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20" w:name="créditos"/>
    <w:p>
      <w:pPr>
        <w:pStyle w:val="Heading1"/>
      </w:pPr>
      <w:r>
        <w:t xml:space="preserve">Créditos</w:t>
      </w:r>
    </w:p>
    <w:p>
      <w:pPr>
        <w:pStyle w:val="FirstParagraph"/>
      </w:pPr>
      <w:r>
        <w:rPr>
          <w:bCs/>
          <w:b/>
        </w:rPr>
        <w:t xml:space="preserve">O manual dos peptídeos</w:t>
      </w:r>
      <w:r>
        <w:t xml:space="preserve"> </w:t>
      </w:r>
      <w:r>
        <w:t xml:space="preserve">Todos os estudos em humanos comparados – efeitos, riscos, situação legal e perspectivas</w:t>
      </w:r>
    </w:p>
    <w:p>
      <w:pPr>
        <w:pStyle w:val="BodyText"/>
      </w:pPr>
      <w:r>
        <w:t xml:space="preserve">© 2026 Josef Gallab. Todos os direitos reservados.</w:t>
      </w:r>
    </w:p>
    <w:p>
      <w:pPr>
        <w:pStyle w:val="BodyText"/>
      </w:pPr>
      <w:r>
        <w:t xml:space="preserve">Primeira edição. Situação da pesquisa: outubro/novembro de 2026. Traduzido do original alemão.</w:t>
      </w:r>
    </w:p>
    <w:p>
      <w:pPr>
        <w:pStyle w:val="BodyText"/>
      </w:pPr>
      <w:r>
        <w:t xml:space="preserve">Este livro tem finalidade exclusivamente informativa. Não substitui aconselhamento, diagnóstico ou tratamento médico</w:t>
      </w:r>
      <w:r>
        <w:t xml:space="preserve"> </w:t>
      </w:r>
      <w:r>
        <w:t xml:space="preserve">e não contém recomendações de uso. Muitas das substâncias descritas não são aprovadas como medicamentos.</w:t>
      </w:r>
    </w:p>
    <w:p>
      <w:pPr>
        <w:pStyle w:val="BodyText"/>
      </w:pPr>
      <w:r>
        <w:t xml:space="preserve">Capa: Josef Gallab</w:t>
      </w:r>
    </w:p>
    <w:p>
      <w:pPr>
        <w:pStyle w:val="BodyText"/>
      </w:pPr>
      <w:r>
        <w:t xml:space="preserve">As informações sobre aprovação, situação legal e status antidoping refletem a situação de outubro/novembro de 2026. Elas podem mudar a qualquer momento – verifique a atualização antes de qualquer decisão. As fontes de cada afirmação estão nas notas de rodapé e no índice de estudos.</w:t>
      </w:r>
    </w:p>
    <w:p>
      <w:pPr>
        <w:pStyle w:val="BodyText"/>
      </w:pPr>
      <w:r>
        <w:t xml:space="preserve">Nenhuma parte desta obra pode ser reproduzida ou distribuída sem a autorização por escrito do autor.</w:t>
      </w:r>
    </w:p>
    <w:bookmarkEnd w:id="20"/>
    <w:bookmarkStart w:id="21" w:name="prefácio"/>
    <w:p>
      <w:pPr>
        <w:pStyle w:val="Heading1"/>
      </w:pPr>
      <w:r>
        <w:t xml:space="preserve">Prefácio</w:t>
      </w:r>
    </w:p>
    <w:p>
      <w:pPr>
        <w:pStyle w:val="FirstParagraph"/>
      </w:pPr>
      <w:r>
        <w:t xml:space="preserve">Há mais de cinco anos os peptídeos não saem da minha cabeça. Tudo começou como para muita gente: com o esporte, com a vontade de me recuperar mais rápido, de render mais e de tirar mais do meu corpo. Pelo biohacking, cheguei a substâncias das quais a maioria das pessoas nunca ouviu falar – BPC-157, MOTS-c, Semax, GHK-Cu e, mais tarde, retatrutida. Mergulhei a fundo nelas, li inúmeros relatos de experiência e conversei com muitas pessoas que as usam.</w:t>
      </w:r>
    </w:p>
    <w:p>
      <w:pPr>
        <w:pStyle w:val="BodyText"/>
      </w:pPr>
      <w:r>
        <w:t xml:space="preserve">O que sempre me incomodou nisso tudo: as informações que se encontram são ou propaganda ou alarmismo. Sites de vendedores prometem milagres, nos fóruns o entusiasmo se alterna com histórias de terror e, do outro lado, muitas vezes há uma rejeição generalizada. O que quase sempre falta é um olhar sóbrio para os estudos. O que foi realmente investigado – em pessoas, e não só em ratos? Qual era o tamanho dos estudos? O que se sabe sobre os riscos?</w:t>
      </w:r>
    </w:p>
    <w:p>
      <w:pPr>
        <w:pStyle w:val="BodyText"/>
      </w:pPr>
      <w:r>
        <w:t xml:space="preserve">Este é o livro que eu mesmo gostaria de ter tido há cinco anos.</w:t>
      </w:r>
    </w:p>
    <w:p>
      <w:pPr>
        <w:pStyle w:val="BodyText"/>
      </w:pPr>
      <w:r>
        <w:t xml:space="preserve">Estou convencido de que os peptídeos estão entre os avanços mais empolgantes da medicina. Os medicamentos de GLP-1 mudaram em poucos anos a forma como pensamos sobre excesso de peso, diabetes e saúde do coração. Muitos outros peptídeos mostram, em laboratório e nos primeiros estudos, um potencial que me entusiasma. Acredito que um dia eles poderão resolver muitos dos nossos problemas de saúde e nos ajudar a tirar o melhor do nosso corpo.</w:t>
      </w:r>
    </w:p>
    <w:p>
      <w:pPr>
        <w:pStyle w:val="BodyText"/>
      </w:pPr>
      <w:r>
        <w:t xml:space="preserve">Mas – e é exatamente por isso que este livro ficou como está – entusiasmo não substitui provas. Para muitos peptídeos celebrados na internet, até hoje não existe um único estudo conclusivo em humanos. Por mais numerosos que sejam, relatos de experiência são casos isolados, e não evidência. Quem segue cegamente cada modismo corre riscos que muitas vezes ninguém conhece: produtos contaminados do mercado cinza, efeitos de longo prazo desconhecidos, problemas legais.</w:t>
      </w:r>
    </w:p>
    <w:p>
      <w:pPr>
        <w:pStyle w:val="BodyText"/>
      </w:pPr>
      <w:r>
        <w:t xml:space="preserve">Por isso, neste livro você encontra, para cada um dos 58 peptídeos, as duas coisas: o potencial e as perguntas em aberto. Cada afirmação é sustentada por uma fonte que você mesmo pode consultar. Os níveis de evidência de A a D mostram a você, num relance, o quão seguro é o conhecimento. E onde os dados são escassos, isso está dito com todas as letras.</w:t>
      </w:r>
    </w:p>
    <w:p>
      <w:pPr>
        <w:pStyle w:val="BodyText"/>
      </w:pPr>
      <w:r>
        <w:t xml:space="preserve">Dosagens e fontes de compra você não vai encontrar aqui. Isso é proposital. Este livro quer ajudar você a formar sua própria opinião – e a fazer as perguntas certas quando conversar com sua médica ou seu médico.</w:t>
      </w:r>
    </w:p>
    <w:p>
      <w:pPr>
        <w:pStyle w:val="BodyText"/>
      </w:pPr>
      <w:r>
        <w:t xml:space="preserve">A pesquisa está mais rápida do que nunca. Muito do que hoje ainda está em aberto terá resposta em poucos anos. Estou ansioso por isso – e espero que este livro acompanhe você nesse caminho.</w:t>
      </w:r>
    </w:p>
    <w:p>
      <w:pPr>
        <w:pStyle w:val="BodyText"/>
      </w:pPr>
      <w:r>
        <w:rPr>
          <w:iCs/>
          <w:i/>
        </w:rPr>
        <w:t xml:space="preserve">Josef Gallab</w:t>
      </w:r>
    </w:p>
    <w:bookmarkEnd w:id="21"/>
    <w:bookmarkStart w:id="28" w:name="aviso-importante"/>
    <w:p>
      <w:pPr>
        <w:pStyle w:val="Heading1"/>
      </w:pPr>
      <w:r>
        <w:t xml:space="preserve">Aviso importante</w:t>
      </w:r>
    </w:p>
    <w:bookmarkStart w:id="22" w:name="não-substitui-orientação-médica"/>
    <w:p>
      <w:pPr>
        <w:pStyle w:val="Heading3"/>
      </w:pPr>
      <w:r>
        <w:t xml:space="preserve">Não substitui orientação médica</w:t>
      </w:r>
    </w:p>
    <w:p>
      <w:pPr>
        <w:pStyle w:val="FirstParagraph"/>
      </w:pPr>
      <w:r>
        <w:t xml:space="preserve">Este livro tem finalidade exclusivamente informativa e educativa. Ele não substitui consulta, diagnóstico ou tratamento médico. Antes de tomar decisões sobre sua saúde ou de iniciar, interromper ou alterar um medicamento, converse com um médico, uma médica ou um farmacêutico, uma farmacêutica. Em caso de sintomas agudos, procure o pronto-atendimento ou ligue para o número de emergência.</w:t>
      </w:r>
    </w:p>
    <w:bookmarkEnd w:id="22"/>
    <w:bookmarkStart w:id="23" w:name="nenhuma-recomendação-de-uso"/>
    <w:p>
      <w:pPr>
        <w:pStyle w:val="Heading3"/>
      </w:pPr>
      <w:r>
        <w:t xml:space="preserve">Nenhuma recomendação de uso</w:t>
      </w:r>
    </w:p>
    <w:p>
      <w:pPr>
        <w:pStyle w:val="FirstParagraph"/>
      </w:pPr>
      <w:r>
        <w:t xml:space="preserve">Este livro deliberadamente não contém recomendações de uso de peptídeos, nem dosagens, instruções de ingestão ou de injeção, ciclos de uso ou recomendações de combinação. Quando o texto menciona uma dose, ela descreve exclusivamente o que foi investigado em um estudo específico. Não se trata de uma recomendação, e ela não pode ser transposta para a sua situação pessoal. Para medicamentos aprovados, o que vale são a bula para profissionais (informação técnica), a bula para pacientes e o acompanhamento médico.</w:t>
      </w:r>
    </w:p>
    <w:bookmarkEnd w:id="23"/>
    <w:bookmarkStart w:id="24" w:name="muitas-substâncias-não-são-aprovadas"/>
    <w:p>
      <w:pPr>
        <w:pStyle w:val="Heading3"/>
      </w:pPr>
      <w:r>
        <w:t xml:space="preserve">Muitas substâncias não são aprovadas</w:t>
      </w:r>
    </w:p>
    <w:p>
      <w:pPr>
        <w:pStyle w:val="FirstParagraph"/>
      </w:pPr>
      <w:r>
        <w:t xml:space="preserve">Muitos dos peptídeos descritos neste livro</w:t>
      </w:r>
      <w:r>
        <w:t xml:space="preserve"> </w:t>
      </w:r>
      <w:r>
        <w:rPr>
          <w:bCs/>
          <w:b/>
        </w:rPr>
        <w:t xml:space="preserve">não</w:t>
      </w:r>
      <w:r>
        <w:t xml:space="preserve"> </w:t>
      </w:r>
      <w:r>
        <w:t xml:space="preserve">são aprovados como medicamentos na União Europeia, na Áustria, na Alemanha e nos EUA. Para muitos deles existem apenas estudos em animais ou em laboratório. A apresentação dessas substâncias neste livro não é uma afirmação sobre sua eficácia ou segurança em seres humanos nem um incentivo ao seu uso. Produtos oferecidos na internet como</w:t>
      </w:r>
      <w:r>
        <w:t xml:space="preserve"> </w:t>
      </w:r>
      <w:r>
        <w:t xml:space="preserve">“</w:t>
      </w:r>
      <w:r>
        <w:t xml:space="preserve">Research Peptides</w:t>
      </w:r>
      <w:r>
        <w:t xml:space="preserve">”</w:t>
      </w:r>
      <w:r>
        <w:t xml:space="preserve"> </w:t>
      </w:r>
      <w:r>
        <w:t xml:space="preserve">ou</w:t>
      </w:r>
      <w:r>
        <w:t xml:space="preserve"> </w:t>
      </w:r>
      <w:r>
        <w:t xml:space="preserve">“</w:t>
      </w:r>
      <w:r>
        <w:t xml:space="preserve">apenas para fins de pesquisa</w:t>
      </w:r>
      <w:r>
        <w:t xml:space="preserve">”</w:t>
      </w:r>
      <w:r>
        <w:t xml:space="preserve"> </w:t>
      </w:r>
      <w:r>
        <w:t xml:space="preserve">podem estar com a dose errada, contaminados ou falsificados. Seu uso pode ter consequências graves para a saúde e do ponto de vista jurídico.</w:t>
      </w:r>
    </w:p>
    <w:bookmarkEnd w:id="24"/>
    <w:bookmarkStart w:id="25" w:name="doping"/>
    <w:p>
      <w:pPr>
        <w:pStyle w:val="Heading3"/>
      </w:pPr>
      <w:r>
        <w:t xml:space="preserve">Doping</w:t>
      </w:r>
    </w:p>
    <w:p>
      <w:pPr>
        <w:pStyle w:val="FirstParagraph"/>
      </w:pPr>
      <w:r>
        <w:t xml:space="preserve">Muitos dos peptídeos descritos constam da lista de substâncias proibidas da Agência Mundial Antidoping (WADA). Seu uso pode levar a suspensões para atletas sujeitos a controles antidoping. Na Áustria e na Alemanha, o comércio, o repasse e, em determinados casos, também a posse de substâncias dopantes podem ser crime.</w:t>
      </w:r>
    </w:p>
    <w:bookmarkEnd w:id="25"/>
    <w:bookmarkStart w:id="26" w:name="atualidade-e-responsabilidade"/>
    <w:p>
      <w:pPr>
        <w:pStyle w:val="Heading3"/>
      </w:pPr>
      <w:r>
        <w:t xml:space="preserve">Atualidade e responsabilidade</w:t>
      </w:r>
    </w:p>
    <w:p>
      <w:pPr>
        <w:pStyle w:val="FirstParagraph"/>
      </w:pPr>
      <w:r>
        <w:t xml:space="preserve">As informações deste livro refletem a</w:t>
      </w:r>
      <w:r>
        <w:t xml:space="preserve"> </w:t>
      </w:r>
      <w:r>
        <w:rPr>
          <w:bCs/>
          <w:b/>
        </w:rPr>
        <w:t xml:space="preserve">situação em novembro de 2026</w:t>
      </w:r>
      <w:r>
        <w:t xml:space="preserve">. A pesquisa nas bases de dados foi feita em outubro de 2026. O conhecimento médico, as aprovações, as leis e as normas antidoping mudam continuamente. Todas as informações foram reunidas da melhor forma possível e com grande cuidado, mas são fornecidas sem garantia de exatidão, completude e atualidade. Exclui-se a responsabilidade do autor por danos decorrentes do uso das informações deste livro, na medida permitida por lei. A apresentação da situação legal não constitui assessoria jurídica.</w:t>
      </w:r>
    </w:p>
    <w:bookmarkEnd w:id="26"/>
    <w:bookmarkStart w:id="27" w:name="como-este-livro-foi-feito"/>
    <w:p>
      <w:pPr>
        <w:pStyle w:val="Heading3"/>
      </w:pPr>
      <w:r>
        <w:t xml:space="preserve">Como este livro foi feito</w:t>
      </w:r>
    </w:p>
    <w:p>
      <w:pPr>
        <w:pStyle w:val="FirstParagraph"/>
      </w:pPr>
      <w:r>
        <w:t xml:space="preserve">Para este livro, as bases de dados PubMed e ClinicalTrials.gov foram pesquisadas de forma sistemática, e os resumos dos estudos encontrados foram analisados.</w:t>
      </w:r>
    </w:p>
    <w:p>
      <w:pPr>
        <w:pStyle w:val="BodyText"/>
      </w:pPr>
      <w:r>
        <w:t xml:space="preserve">Para evitar erros, valem regras rigorosas: cada estudo citado é indicado com seu número no PubMed (PMID) ou seu número de registro no ClinicalTrials.gov (número NCT). Cada número vem do resumo da respectiva publicação ou do registro do estudo. Todos os números citados foram, além disso, verificados automaticamente nas bases de dados. Assim, você pode consultar cada fonte e conferir as informações por conta própria. Como fazer isso está explicado na seção a seguir; detalhes sobre a pesquisa você encontra no apêndice</w:t>
      </w:r>
      <w:r>
        <w:t xml:space="preserve"> </w:t>
      </w:r>
      <w:r>
        <w:t xml:space="preserve">“</w:t>
      </w:r>
      <w:r>
        <w:t xml:space="preserve">Metodologia</w:t>
      </w:r>
      <w:r>
        <w:t xml:space="preserve">”</w:t>
      </w:r>
      <w:r>
        <w:t xml:space="preserve">.</w:t>
      </w:r>
    </w:p>
    <w:bookmarkEnd w:id="27"/>
    <w:bookmarkEnd w:id="28"/>
    <w:bookmarkStart w:id="37" w:name="sobre-este-livro"/>
    <w:p>
      <w:pPr>
        <w:pStyle w:val="Heading1"/>
      </w:pPr>
      <w:r>
        <w:t xml:space="preserve">Sobre este livro</w:t>
      </w:r>
    </w:p>
    <w:bookmarkStart w:id="29" w:name="para-que-serve-este-livro"/>
    <w:p>
      <w:pPr>
        <w:pStyle w:val="Heading3"/>
      </w:pPr>
      <w:r>
        <w:t xml:space="preserve">Para que serve este livro</w:t>
      </w:r>
    </w:p>
    <w:p>
      <w:pPr>
        <w:pStyle w:val="FirstParagraph"/>
      </w:pPr>
      <w:r>
        <w:t xml:space="preserve">Todo mundo fala de peptídeos. Injeções para emagrecer como semaglutida e tirzepatida mudaram o tratamento do excesso de peso, e na internet são oferecidas dezenas de outros peptídeos – para cicatrização mais rápida, mais músculos, pele melhor, mais energia ou uma vida mais longa. Entre as promessas feitas em fóruns, redes sociais e lojas on-line e aquilo que de fato foi estudado em seres humanos, costuma haver uma grande lacuna.</w:t>
      </w:r>
    </w:p>
    <w:p>
      <w:pPr>
        <w:pStyle w:val="BodyText"/>
      </w:pPr>
      <w:r>
        <w:t xml:space="preserve">Este livro quer tornar essa lacuna visível. Para cada peptídeo abordado, ele apresenta de forma sóbria quais estudos em humanos existem, o que eles mostram e o que não mostram, quais riscos são conhecidos e qual é a situação legal. Ele compara os peptídeos entre si e avalia o quão sólidas são as evidências em cada caso. O objetivo é ajudar você a examinar afirmações de forma crítica e a conversar de maneira informada com médicos, médicas e farmácias.</w:t>
      </w:r>
    </w:p>
    <w:bookmarkEnd w:id="29"/>
    <w:bookmarkStart w:id="30" w:name="para-quem-este-livro-foi-escrito"/>
    <w:p>
      <w:pPr>
        <w:pStyle w:val="Heading3"/>
      </w:pPr>
      <w:r>
        <w:t xml:space="preserve">Para quem este livro foi escrito</w:t>
      </w:r>
    </w:p>
    <w:p>
      <w:pPr>
        <w:numPr>
          <w:ilvl w:val="0"/>
          <w:numId w:val="1001"/>
        </w:numPr>
        <w:pStyle w:val="Compact"/>
      </w:pPr>
      <w:r>
        <w:t xml:space="preserve">Para</w:t>
      </w:r>
      <w:r>
        <w:t xml:space="preserve"> </w:t>
      </w:r>
      <w:r>
        <w:rPr>
          <w:bCs/>
          <w:b/>
        </w:rPr>
        <w:t xml:space="preserve">leigos interessados</w:t>
      </w:r>
      <w:r>
        <w:t xml:space="preserve"> </w:t>
      </w:r>
      <w:r>
        <w:t xml:space="preserve">que querem saber o que está por trás do boom dos peptídeos.</w:t>
      </w:r>
    </w:p>
    <w:p>
      <w:pPr>
        <w:numPr>
          <w:ilvl w:val="0"/>
          <w:numId w:val="1001"/>
        </w:numPr>
        <w:pStyle w:val="Compact"/>
      </w:pPr>
      <w:r>
        <w:t xml:space="preserve">Para pessoas que receberam a prescrição de um</w:t>
      </w:r>
      <w:r>
        <w:t xml:space="preserve"> </w:t>
      </w:r>
      <w:r>
        <w:rPr>
          <w:bCs/>
          <w:b/>
        </w:rPr>
        <w:t xml:space="preserve">medicamento peptídico aprovado</w:t>
      </w:r>
      <w:r>
        <w:t xml:space="preserve"> </w:t>
      </w:r>
      <w:r>
        <w:t xml:space="preserve">ou estão pensando nisso e querem entender os estudos.</w:t>
      </w:r>
    </w:p>
    <w:p>
      <w:pPr>
        <w:numPr>
          <w:ilvl w:val="0"/>
          <w:numId w:val="1001"/>
        </w:numPr>
        <w:pStyle w:val="Compact"/>
      </w:pPr>
      <w:r>
        <w:t xml:space="preserve">Para</w:t>
      </w:r>
      <w:r>
        <w:t xml:space="preserve"> </w:t>
      </w:r>
      <w:r>
        <w:rPr>
          <w:bCs/>
          <w:b/>
        </w:rPr>
        <w:t xml:space="preserve">atletas</w:t>
      </w:r>
      <w:r>
        <w:t xml:space="preserve">, treinadoras e treinadores que querem avaliar promessas publicitárias e riscos de doping.</w:t>
      </w:r>
    </w:p>
    <w:p>
      <w:pPr>
        <w:numPr>
          <w:ilvl w:val="0"/>
          <w:numId w:val="1001"/>
        </w:numPr>
        <w:pStyle w:val="Compact"/>
      </w:pPr>
      <w:r>
        <w:t xml:space="preserve">Para</w:t>
      </w:r>
      <w:r>
        <w:t xml:space="preserve"> </w:t>
      </w:r>
      <w:r>
        <w:rPr>
          <w:bCs/>
          <w:b/>
        </w:rPr>
        <w:t xml:space="preserve">profissionais</w:t>
      </w:r>
      <w:r>
        <w:t xml:space="preserve"> </w:t>
      </w:r>
      <w:r>
        <w:t xml:space="preserve">de farmácia, medicina, nutrição, cosmética e jornalismo que buscam uma visão geral rápida e baseada em fontes.</w:t>
      </w:r>
    </w:p>
    <w:p>
      <w:pPr>
        <w:pStyle w:val="FirstParagraph"/>
      </w:pPr>
      <w:r>
        <w:t xml:space="preserve">Não é preciso ter conhecimentos prévios. Os termos técnicos são explicados na primeira vez em que aparecem e também constam do glossário.</w:t>
      </w:r>
    </w:p>
    <w:bookmarkEnd w:id="30"/>
    <w:bookmarkStart w:id="31" w:name="como-o-livro-está-organizado"/>
    <w:p>
      <w:pPr>
        <w:pStyle w:val="Heading3"/>
      </w:pPr>
      <w:r>
        <w:t xml:space="preserve">Como o livro está organizado</w:t>
      </w:r>
    </w:p>
    <w:p>
      <w:pPr>
        <w:pStyle w:val="FirstParagraph"/>
      </w:pPr>
      <w:r>
        <w:rPr>
          <w:bCs/>
          <w:b/>
        </w:rPr>
        <w:t xml:space="preserve">Parte I – Fundamentos</w:t>
      </w:r>
      <w:r>
        <w:t xml:space="preserve"> </w:t>
      </w:r>
      <w:r>
        <w:t xml:space="preserve">explica o que são peptídeos, como a medicina peptídica se desenvolveu, como os peptídeos chegam ao organismo, como ler estudos, o que acontece no mercado cinza e qual é o marco legal. Quem não está familiarizado com esses temas deve começar por aqui.</w:t>
      </w:r>
    </w:p>
    <w:p>
      <w:pPr>
        <w:pStyle w:val="BodyText"/>
      </w:pPr>
      <w:r>
        <w:rPr>
          <w:bCs/>
          <w:b/>
        </w:rPr>
        <w:t xml:space="preserve">Parte II – Os peptídeos</w:t>
      </w:r>
      <w:r>
        <w:t xml:space="preserve"> </w:t>
      </w:r>
      <w:r>
        <w:t xml:space="preserve">apresenta cada substância ativa em seis grupos: metabolismo e peso; cicatrização, regeneração e sistema imunológico; eixo do hormônio do crescimento; cérebro, sono e longevidade; hormônios, sexualidade e pigmentação; colágeno, nutrição e cosmética. Todos os capítulos seguem a mesma estrutura: ficha técnica, mecanismo de ação, estudos em humanos, estudos em animais e em laboratório, riscos e efeitos colaterais, situação legal, estudos em andamento e perspectivas, conclusão. Assim, você pode comparar os peptídeos com facilidade e consultar pontos específicos.</w:t>
      </w:r>
    </w:p>
    <w:p>
      <w:pPr>
        <w:pStyle w:val="BodyText"/>
      </w:pPr>
      <w:r>
        <w:rPr>
          <w:bCs/>
          <w:b/>
        </w:rPr>
        <w:t xml:space="preserve">Parte III – A grande comparação</w:t>
      </w:r>
      <w:r>
        <w:t xml:space="preserve"> </w:t>
      </w:r>
      <w:r>
        <w:t xml:space="preserve">coloca todos os peptídeos lado a lado e compara diretamente os medicamentos GLP-1.</w:t>
      </w:r>
    </w:p>
    <w:p>
      <w:pPr>
        <w:pStyle w:val="BodyText"/>
      </w:pPr>
      <w:r>
        <w:rPr>
          <w:bCs/>
          <w:b/>
        </w:rPr>
        <w:t xml:space="preserve">Parte IV – Riscos</w:t>
      </w:r>
      <w:r>
        <w:t xml:space="preserve"> </w:t>
      </w:r>
      <w:r>
        <w:t xml:space="preserve">resume efeitos colaterais, riscos de câncer e imunológicos, problemas dos produtos do mercado cinza e grupos de risco especiais.</w:t>
      </w:r>
    </w:p>
    <w:p>
      <w:pPr>
        <w:pStyle w:val="BodyText"/>
      </w:pPr>
      <w:r>
        <w:rPr>
          <w:bCs/>
          <w:b/>
        </w:rPr>
        <w:t xml:space="preserve">Parte V – Futuro</w:t>
      </w:r>
      <w:r>
        <w:t xml:space="preserve"> </w:t>
      </w:r>
      <w:r>
        <w:t xml:space="preserve">olha para o pipeline de desenvolvimento, novas formas farmacêuticas, vencimento de patentes e preços. Fatos confirmados e avaliações pessoais são claramente separados.</w:t>
      </w:r>
    </w:p>
    <w:p>
      <w:pPr>
        <w:pStyle w:val="BodyText"/>
      </w:pPr>
      <w:r>
        <w:t xml:space="preserve">No</w:t>
      </w:r>
      <w:r>
        <w:t xml:space="preserve"> </w:t>
      </w:r>
      <w:r>
        <w:rPr>
          <w:bCs/>
          <w:b/>
        </w:rPr>
        <w:t xml:space="preserve">apêndice</w:t>
      </w:r>
      <w:r>
        <w:t xml:space="preserve"> </w:t>
      </w:r>
      <w:r>
        <w:t xml:space="preserve">você encontra o glossário, a metodologia da pesquisa e a lista dos estudos analisados.</w:t>
      </w:r>
    </w:p>
    <w:bookmarkEnd w:id="31"/>
    <w:bookmarkStart w:id="32" w:name="os-níveis-de-evidência"/>
    <w:p>
      <w:pPr>
        <w:pStyle w:val="Heading3"/>
      </w:pPr>
      <w:r>
        <w:t xml:space="preserve">Os níveis de evidência</w:t>
      </w:r>
    </w:p>
    <w:p>
      <w:pPr>
        <w:pStyle w:val="FirstParagraph"/>
      </w:pPr>
      <w:r>
        <w:t xml:space="preserve">Cada peptídeo recebe na ficha técnica um nível de evidência. Ele descreve o quão boa é a base de dados</w:t>
      </w:r>
      <w:r>
        <w:t xml:space="preserve"> </w:t>
      </w:r>
      <w:r>
        <w:rPr>
          <w:bCs/>
          <w:b/>
        </w:rPr>
        <w:t xml:space="preserve">em seres humanos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em laboratório</w:t>
            </w:r>
          </w:p>
        </w:tc>
      </w:tr>
    </w:tbl>
    <w:p>
      <w:pPr>
        <w:pStyle w:val="BodyText"/>
      </w:pPr>
      <w:r>
        <w:t xml:space="preserve">O nível de evidência não é uma recomendação nem uma afirmação sobre a segurança de uma substância. Mesmo uma substância de nível A tem efeitos colaterais, e uma substância de nível D não é necessariamente ineficaz – ela apenas ainda não foi suficientemente estudada em seres humanos. O que está por trás dos termos</w:t>
      </w:r>
      <w:r>
        <w:t xml:space="preserve"> </w:t>
      </w:r>
      <w:r>
        <w:t xml:space="preserve">“</w:t>
      </w:r>
      <w:r>
        <w:t xml:space="preserve">randomizado</w:t>
      </w:r>
      <w:r>
        <w:t xml:space="preserve">”</w:t>
      </w:r>
      <w:r>
        <w:t xml:space="preserve">,</w:t>
      </w:r>
      <w:r>
        <w:t xml:space="preserve"> </w:t>
      </w:r>
      <w:r>
        <w:t xml:space="preserve">“</w:t>
      </w:r>
      <w:r>
        <w:t xml:space="preserve">controlado</w:t>
      </w:r>
      <w:r>
        <w:t xml:space="preserve">”</w:t>
      </w:r>
      <w:r>
        <w:t xml:space="preserve"> </w:t>
      </w:r>
      <w:r>
        <w:t xml:space="preserve">ou</w:t>
      </w:r>
      <w:r>
        <w:t xml:space="preserve"> </w:t>
      </w:r>
      <w:r>
        <w:t xml:space="preserve">“</w:t>
      </w:r>
      <w:r>
        <w:t xml:space="preserve">desfecho substituto</w:t>
      </w:r>
      <w:r>
        <w:t xml:space="preserve">”</w:t>
      </w:r>
      <w:r>
        <w:t xml:space="preserve"> </w:t>
      </w:r>
      <w:r>
        <w:t xml:space="preserve">é explicado no capítulo</w:t>
      </w:r>
      <w:r>
        <w:t xml:space="preserve"> </w:t>
      </w:r>
      <w:r>
        <w:t xml:space="preserve">“</w:t>
      </w:r>
      <w:r>
        <w:t xml:space="preserve">Como ler estudos corretamente</w:t>
      </w:r>
      <w:r>
        <w:t xml:space="preserve">”</w:t>
      </w:r>
      <w:r>
        <w:t xml:space="preserve">.</w:t>
      </w:r>
    </w:p>
    <w:bookmarkEnd w:id="32"/>
    <w:bookmarkStart w:id="33" w:name="como-as-fontes-são-indicadas"/>
    <w:p>
      <w:pPr>
        <w:pStyle w:val="Heading3"/>
      </w:pPr>
      <w:r>
        <w:t xml:space="preserve">Como as fontes são indicadas</w:t>
      </w:r>
    </w:p>
    <w:p>
      <w:pPr>
        <w:pStyle w:val="FirstParagraph"/>
      </w:pPr>
      <w:r>
        <w:t xml:space="preserve">Para manter o texto fácil de ler, as fontes estão em notas de rodapé. No e-book, aparece um pequeno número sobrescrito no ponto correspondente; basta tocar nele para ver a fonte. Cada nota indica o primeiro autor ou a primeira autora, o ano de publicação e o número do PubMed, por exemplo: Wilding 2021, PMID 33567185.</w:t>
      </w:r>
    </w:p>
    <w:p>
      <w:pPr>
        <w:pStyle w:val="BodyText"/>
      </w:pPr>
      <w:r>
        <w:t xml:space="preserve">Estudos registrados, especialmente os em andamento, são indicados com seu número no registro norte-americano ClinicalTrials.gov, por exemplo NCT03548935. Nas tabelas, as fontes aparecem diretamente na primeira coluna.</w:t>
      </w:r>
    </w:p>
    <w:p>
      <w:pPr>
        <w:pStyle w:val="BodyText"/>
      </w:pPr>
      <w:r>
        <w:t xml:space="preserve">As notas ficam no final de cada capítulo; o índice completo de estudos está no apêndice.</w:t>
      </w:r>
    </w:p>
    <w:bookmarkEnd w:id="33"/>
    <w:bookmarkStart w:id="34" w:name="como-consultar-uma-fonte"/>
    <w:p>
      <w:pPr>
        <w:pStyle w:val="Heading3"/>
      </w:pPr>
      <w:r>
        <w:t xml:space="preserve">Como consultar uma fonte</w:t>
      </w:r>
    </w:p>
    <w:p>
      <w:pPr>
        <w:pStyle w:val="FirstParagraph"/>
      </w:pPr>
      <w:r>
        <w:rPr>
          <w:bCs/>
          <w:b/>
        </w:rPr>
        <w:t xml:space="preserve">PMID</w:t>
      </w:r>
      <w:r>
        <w:t xml:space="preserve">: o número de identificação do PubMed é um número único para cada registro no PubMed, a base de dados bibliográfica de acesso livre da National Library of Medicine dos EUA.</w:t>
      </w:r>
    </w:p>
    <w:p>
      <w:pPr>
        <w:numPr>
          <w:ilvl w:val="0"/>
          <w:numId w:val="1002"/>
        </w:numPr>
        <w:pStyle w:val="Compact"/>
      </w:pPr>
      <w:r>
        <w:t xml:space="preserve">Abra no seu navegador a página pubmed.ncbi.nlm.nih.gov.</w:t>
      </w:r>
    </w:p>
    <w:p>
      <w:pPr>
        <w:numPr>
          <w:ilvl w:val="0"/>
          <w:numId w:val="1002"/>
        </w:numPr>
        <w:pStyle w:val="Compact"/>
      </w:pPr>
      <w:r>
        <w:t xml:space="preserve">Digite o número no campo de busca, por exemplo 33567185, e inicie a busca.</w:t>
      </w:r>
    </w:p>
    <w:p>
      <w:pPr>
        <w:numPr>
          <w:ilvl w:val="0"/>
          <w:numId w:val="1002"/>
        </w:numPr>
        <w:pStyle w:val="Compact"/>
      </w:pPr>
      <w:r>
        <w:t xml:space="preserve">Você chegará diretamente ao registro com título, autoras e autores, revista científica e, na maioria das vezes, um resumo (abstract).</w:t>
      </w:r>
    </w:p>
    <w:p>
      <w:pPr>
        <w:pStyle w:val="FirstParagraph"/>
      </w:pPr>
      <w:r>
        <w:t xml:space="preserve">Como alternativa, você pode acrescentar o número diretamente ao endereço: pubmed.ncbi.nlm.nih.gov/33567185. Muitos registros contêm um link para o texto completo, que às vezes é gratuito e às vezes só está disponível mediante pagamento.</w:t>
      </w:r>
    </w:p>
    <w:p>
      <w:pPr>
        <w:pStyle w:val="BodyText"/>
      </w:pPr>
      <w:r>
        <w:rPr>
          <w:bCs/>
          <w:b/>
        </w:rPr>
        <w:t xml:space="preserve">Número NCT</w:t>
      </w:r>
      <w:r>
        <w:t xml:space="preserve">: estudos registrados podem ser encontrados no site clinicaltrials.gov, digitando o número no campo de busca ou acrescentando-o ao endereço clinicaltrials.gov/study/, por exemplo clinicaltrials.gov/study/NCT03548935. Ali você vê o desenho do estudo, o número de participantes, os desfechos e a situação atual.</w:t>
      </w:r>
    </w:p>
    <w:bookmarkEnd w:id="34"/>
    <w:bookmarkStart w:id="35" w:name="Xad6b893405c2bfbefb8bf40f72f18187ed8feaf"/>
    <w:p>
      <w:pPr>
        <w:pStyle w:val="Heading3"/>
      </w:pPr>
      <w:r>
        <w:t xml:space="preserve">O que este livro deliberadamente não contém</w:t>
      </w:r>
    </w:p>
    <w:p>
      <w:pPr>
        <w:numPr>
          <w:ilvl w:val="0"/>
          <w:numId w:val="1003"/>
        </w:numPr>
        <w:pStyle w:val="Compact"/>
      </w:pPr>
      <w:r>
        <w:rPr>
          <w:bCs/>
          <w:b/>
        </w:rPr>
        <w:t xml:space="preserve">Nenhuma dosagem nem instrução de uso.</w:t>
      </w:r>
      <w:r>
        <w:t xml:space="preserve"> </w:t>
      </w:r>
      <w:r>
        <w:t xml:space="preserve">Não há informações sobre quanto, com que frequência ou por quanto tempo um peptídeo deve ser usado, nem instruções para dissolver ou injetar, nem combinações de várias substâncias. No caso de medicamentos aprovados, o livro remete à bula para profissionais e ao acompanhamento médico.</w:t>
      </w:r>
    </w:p>
    <w:p>
      <w:pPr>
        <w:numPr>
          <w:ilvl w:val="0"/>
          <w:numId w:val="1003"/>
        </w:numPr>
        <w:pStyle w:val="Compact"/>
      </w:pPr>
      <w:r>
        <w:rPr>
          <w:bCs/>
          <w:b/>
        </w:rPr>
        <w:t xml:space="preserve">Nenhuma fonte de compra.</w:t>
      </w:r>
      <w:r>
        <w:t xml:space="preserve"> </w:t>
      </w:r>
      <w:r>
        <w:t xml:space="preserve">Não são citados lojas, fabricantes, farmácias ou países onde se possam adquirir peptídeos, nem dadas dicas de como driblar controles.</w:t>
      </w:r>
    </w:p>
    <w:p>
      <w:pPr>
        <w:numPr>
          <w:ilvl w:val="0"/>
          <w:numId w:val="1003"/>
        </w:numPr>
        <w:pStyle w:val="Compact"/>
      </w:pPr>
      <w:r>
        <w:rPr>
          <w:bCs/>
          <w:b/>
        </w:rPr>
        <w:t xml:space="preserve">Nenhuma promessa de cura.</w:t>
      </w:r>
      <w:r>
        <w:t xml:space="preserve"> </w:t>
      </w:r>
      <w:r>
        <w:t xml:space="preserve">O livro relata o que foi observado em estudos – não o que uma substância vai provocar em você.</w:t>
      </w:r>
    </w:p>
    <w:p>
      <w:pPr>
        <w:numPr>
          <w:ilvl w:val="0"/>
          <w:numId w:val="1003"/>
        </w:numPr>
        <w:pStyle w:val="Compact"/>
      </w:pPr>
      <w:r>
        <w:rPr>
          <w:bCs/>
          <w:b/>
        </w:rPr>
        <w:t xml:space="preserve">Nenhuma recomendação de produto.</w:t>
      </w:r>
      <w:r>
        <w:t xml:space="preserve"> </w:t>
      </w:r>
      <w:r>
        <w:t xml:space="preserve">Não se recomendam marcas nem fornecedores. Nomes comerciais de medicamentos aprovados só são mencionados quando necessários para a compreensão.</w:t>
      </w:r>
    </w:p>
    <w:bookmarkEnd w:id="35"/>
    <w:bookmarkStart w:id="36" w:name="uma-palavra-final"/>
    <w:p>
      <w:pPr>
        <w:pStyle w:val="Heading3"/>
      </w:pPr>
      <w:r>
        <w:t xml:space="preserve">Uma palavra final</w:t>
      </w:r>
    </w:p>
    <w:p>
      <w:pPr>
        <w:pStyle w:val="FirstParagraph"/>
      </w:pPr>
      <w:r>
        <w:t xml:space="preserve">Este livro é uma ferramenta para a reflexão, não um guia de automedicação. Se depois da leitura você tiver mais perguntas do que antes, isso não é um mau sinal: muitas vezes, a resposta mais honesta à pergunta</w:t>
      </w:r>
      <w:r>
        <w:t xml:space="preserve"> </w:t>
      </w:r>
      <w:r>
        <w:t xml:space="preserve">“</w:t>
      </w:r>
      <w:r>
        <w:t xml:space="preserve">Este peptídeo funciona?</w:t>
      </w:r>
      <w:r>
        <w:t xml:space="preserve">”</w:t>
      </w:r>
      <w:r>
        <w:t xml:space="preserve"> </w:t>
      </w:r>
      <w:r>
        <w:t xml:space="preserve">é</w:t>
      </w:r>
      <w:r>
        <w:t xml:space="preserve"> </w:t>
      </w:r>
      <w:r>
        <w:t xml:space="preserve">“</w:t>
      </w:r>
      <w:r>
        <w:t xml:space="preserve">Ninguém sabe ainda</w:t>
      </w:r>
      <w:r>
        <w:t xml:space="preserve">”</w:t>
      </w:r>
      <w:r>
        <w:t xml:space="preserve">.</w:t>
      </w:r>
    </w:p>
    <w:bookmarkEnd w:id="36"/>
    <w:bookmarkEnd w:id="37"/>
    <w:bookmarkStart w:id="231" w:name="parte-i-fundamentos"/>
    <w:p>
      <w:pPr>
        <w:pStyle w:val="Heading1"/>
      </w:pPr>
      <w:r>
        <w:t xml:space="preserve">Parte I – Fundamentos</w:t>
      </w:r>
    </w:p>
    <w:p>
      <w:pPr>
        <w:pStyle w:val="FirstParagraph"/>
      </w:pPr>
      <w:r>
        <w:t xml:space="preserve">Antes de a Parte II tratar de cada substância ativa, esta parte estabelece as bases. Você vai saber o que um peptídeo é de fato do ponto de vista químico, como um extrato de pâncreas de cães se tornou, em menos de um século, um dos grupos de medicamentos de maior faturamento do mundo, por que a maioria dos peptídeos precisa ser injetada, como ler um estudo sem se deixar enganar por manchetes, o que realmente há dentro dos frascos do mercado cinza e quais regras legais se aplicam.</w:t>
      </w:r>
    </w:p>
    <w:p>
      <w:pPr>
        <w:pStyle w:val="BodyText"/>
      </w:pPr>
      <w:r>
        <w:t xml:space="preserve">Quem quiser consultar apenas um peptídeo específico pode ir direto para a Parte II. Os capítulos desta parte, porém, explicam os conceitos e critérios usados o tempo todo lá – como</w:t>
      </w:r>
      <w:r>
        <w:t xml:space="preserve"> </w:t>
      </w:r>
      <w:r>
        <w:t xml:space="preserve">“</w:t>
      </w:r>
      <w:r>
        <w:t xml:space="preserve">randomizado</w:t>
      </w:r>
      <w:r>
        <w:t xml:space="preserve">”</w:t>
      </w:r>
      <w:r>
        <w:t xml:space="preserve">,</w:t>
      </w:r>
      <w:r>
        <w:t xml:space="preserve"> </w:t>
      </w:r>
      <w:r>
        <w:t xml:space="preserve">“</w:t>
      </w:r>
      <w:r>
        <w:t xml:space="preserve">desfecho substituto</w:t>
      </w:r>
      <w:r>
        <w:t xml:space="preserve">”</w:t>
      </w:r>
      <w:r>
        <w:t xml:space="preserve">,</w:t>
      </w:r>
      <w:r>
        <w:t xml:space="preserve"> </w:t>
      </w:r>
      <w:r>
        <w:t xml:space="preserve">“</w:t>
      </w:r>
      <w:r>
        <w:t xml:space="preserve">nível de evidência B</w:t>
      </w:r>
      <w:r>
        <w:t xml:space="preserve">”</w:t>
      </w:r>
      <w:r>
        <w:t xml:space="preserve"> </w:t>
      </w:r>
      <w:r>
        <w:t xml:space="preserve">ou</w:t>
      </w:r>
      <w:r>
        <w:t xml:space="preserve"> </w:t>
      </w:r>
      <w:r>
        <w:t xml:space="preserve">“</w:t>
      </w:r>
      <w:r>
        <w:t xml:space="preserve">Research Peptide</w:t>
      </w:r>
      <w:r>
        <w:t xml:space="preserve">”</w:t>
      </w:r>
      <w:r>
        <w:t xml:space="preserve">. Por isso, uma leitura rápida vale a pena também para leitoras e leitores com pressa.</w:t>
      </w:r>
    </w:p>
    <w:bookmarkStart w:id="63" w:name="o-que-são-peptídeos-e-o-que-não-são"/>
    <w:p>
      <w:pPr>
        <w:pStyle w:val="Heading2"/>
      </w:pPr>
      <w:r>
        <w:t xml:space="preserve">O que são peptídeos – e o que não são</w:t>
      </w:r>
    </w:p>
    <w:p>
      <w:pPr>
        <w:pStyle w:val="FirstParagraph"/>
      </w:pPr>
      <w:r>
        <w:t xml:space="preserve">A palavra</w:t>
      </w:r>
      <w:r>
        <w:t xml:space="preserve"> </w:t>
      </w:r>
      <w:r>
        <w:t xml:space="preserve">“</w:t>
      </w:r>
      <w:r>
        <w:t xml:space="preserve">peptídeo</w:t>
      </w:r>
      <w:r>
        <w:t xml:space="preserve">”</w:t>
      </w:r>
      <w:r>
        <w:t xml:space="preserve"> </w:t>
      </w:r>
      <w:r>
        <w:t xml:space="preserve">fez uma carreira impressionante nos últimos anos. Ela aparece em cremes para a pele e em proteínas em pó, em anúncios de injeções para emagrecer e em fóruns on-line onde se discute sobre</w:t>
      </w:r>
      <w:r>
        <w:t xml:space="preserve"> </w:t>
      </w:r>
      <w:r>
        <w:t xml:space="preserve">“</w:t>
      </w:r>
      <w:r>
        <w:t xml:space="preserve">peptídeos de cura</w:t>
      </w:r>
      <w:r>
        <w:t xml:space="preserve">”</w:t>
      </w:r>
      <w:r>
        <w:t xml:space="preserve">. No entanto, o termo designa, antes de tudo, apenas um determinado tipo de construção química – nem mais, nem menos. Ele não diz nada sobre se uma substância funciona, se é segura ou se sequer chega ao organismo. Este capítulo esclarece os conceitos básicos e desfaz alguns equívocos comuns.</w:t>
      </w:r>
    </w:p>
    <w:bookmarkStart w:id="38" w:name="aminoácidos-os-blocos-de-construção"/>
    <w:p>
      <w:pPr>
        <w:pStyle w:val="Heading3"/>
      </w:pPr>
      <w:r>
        <w:t xml:space="preserve">Aminoácidos: os blocos de construção</w:t>
      </w:r>
    </w:p>
    <w:p>
      <w:pPr>
        <w:pStyle w:val="FirstParagraph"/>
      </w:pPr>
      <w:r>
        <w:t xml:space="preserve">Todos os peptídeos e proteínas são formados por aminoácidos. Um aminoácido é uma pequena molécula com dois componentes típicos: um grupo amino (que contém nitrogênio) e um grupo ácido (grupo carboxila). Entre eles fica um átomo de carbono central, ao qual está ligada uma chamada cadeia lateral. É essa cadeia lateral que diferencia os aminoácidos entre si: ela pode ser pequena e discreta, como na glicina, oleosa e repelente à água, como na leucina, eletricamente carregada, como na lisina, ou conter enxofre, como na cisteína.</w:t>
      </w:r>
    </w:p>
    <w:p>
      <w:pPr>
        <w:pStyle w:val="BodyText"/>
      </w:pPr>
      <w:r>
        <w:t xml:space="preserve">O corpo humano constrói suas proteínas essencialmente a partir de 20 aminoácidos padrão. Alguns deles ele consegue produzir sozinho; outros – os aminoácidos</w:t>
      </w:r>
      <w:r>
        <w:t xml:space="preserve"> </w:t>
      </w:r>
      <w:r>
        <w:t xml:space="preserve">“</w:t>
      </w:r>
      <w:r>
        <w:t xml:space="preserve">essenciais</w:t>
      </w:r>
      <w:r>
        <w:t xml:space="preserve">”</w:t>
      </w:r>
      <w:r>
        <w:t xml:space="preserve"> </w:t>
      </w:r>
      <w:r>
        <w:t xml:space="preserve">– precisam ser obtidos pela alimentação. Além disso, existem centenas de outros aminoácidos que ocorrem na natureza ou são produzidos em laboratório. Para o desenvolvimento de medicamentos, esses aminoácidos</w:t>
      </w:r>
      <w:r>
        <w:t xml:space="preserve"> </w:t>
      </w:r>
      <w:r>
        <w:t xml:space="preserve">“</w:t>
      </w:r>
      <w:r>
        <w:t xml:space="preserve">não naturais</w:t>
      </w:r>
      <w:r>
        <w:t xml:space="preserve">”</w:t>
      </w:r>
      <w:r>
        <w:t xml:space="preserve"> </w:t>
      </w:r>
      <w:r>
        <w:t xml:space="preserve">são importantes, porque podem tornar um peptídeo mais estável. Você encontra um exemplo mais adiante, no caso da semaglutida.</w:t>
      </w:r>
    </w:p>
    <w:p>
      <w:pPr>
        <w:pStyle w:val="BodyText"/>
      </w:pPr>
      <w:r>
        <w:t xml:space="preserve">Importante para entender muitas promessas publicitárias: aminoácidos isolados não são peptídeos. Um suplemento alimentar com arginina, glutamina ou</w:t>
      </w:r>
      <w:r>
        <w:t xml:space="preserve"> </w:t>
      </w:r>
      <w:r>
        <w:t xml:space="preserve">“</w:t>
      </w:r>
      <w:r>
        <w:t xml:space="preserve">BCAA</w:t>
      </w:r>
      <w:r>
        <w:t xml:space="preserve">”</w:t>
      </w:r>
      <w:r>
        <w:t xml:space="preserve"> </w:t>
      </w:r>
      <w:r>
        <w:t xml:space="preserve">contém aminoácidos livres, ou seja, blocos soltos – não um peptídeo.</w:t>
      </w:r>
    </w:p>
    <w:bookmarkEnd w:id="38"/>
    <w:bookmarkStart w:id="39" w:name="a-ligação-peptídica"/>
    <w:p>
      <w:pPr>
        <w:pStyle w:val="Heading3"/>
      </w:pPr>
      <w:r>
        <w:t xml:space="preserve">A ligação peptídica</w:t>
      </w:r>
    </w:p>
    <w:p>
      <w:pPr>
        <w:pStyle w:val="FirstParagraph"/>
      </w:pPr>
      <w:r>
        <w:t xml:space="preserve">Quando dois aminoácidos se unem, o grupo ácido de um reage com o grupo amino do outro. Nesse processo, uma molécula de água é liberada e forma-se uma ligação estável: a ligação peptídica. O resultado se chama dipeptídeo. Acrescentando-se mais um aminoácido, forma-se um tripeptídeo, depois um tetrapeptídeo, e assim por diante. Essa cadeia tem sempre uma direção: ela começa com um grupo amino livre (a</w:t>
      </w:r>
      <w:r>
        <w:t xml:space="preserve"> </w:t>
      </w:r>
      <w:r>
        <w:t xml:space="preserve">“</w:t>
      </w:r>
      <w:r>
        <w:t xml:space="preserve">extremidade N-terminal</w:t>
      </w:r>
      <w:r>
        <w:t xml:space="preserve">”</w:t>
      </w:r>
      <w:r>
        <w:t xml:space="preserve">) e termina com um grupo ácido livre (a</w:t>
      </w:r>
      <w:r>
        <w:t xml:space="preserve"> </w:t>
      </w:r>
      <w:r>
        <w:t xml:space="preserve">“</w:t>
      </w:r>
      <w:r>
        <w:t xml:space="preserve">extremidade C-terminal</w:t>
      </w:r>
      <w:r>
        <w:t xml:space="preserve">”</w:t>
      </w:r>
      <w:r>
        <w:t xml:space="preserve">). Por isso, em artigos científicos os aminoácidos são sempre escritos da esquerda para a direita, da extremidade N para a C – muitas vezes com abreviações de uma letra. O tripeptídeo</w:t>
      </w:r>
      <w:r>
        <w:t xml:space="preserve"> </w:t>
      </w:r>
      <w:r>
        <w:t xml:space="preserve">“</w:t>
      </w:r>
      <w:r>
        <w:t xml:space="preserve">GHK</w:t>
      </w:r>
      <w:r>
        <w:t xml:space="preserve">”</w:t>
      </w:r>
      <w:r>
        <w:t xml:space="preserve">, por exemplo, significa glicina–histidina–lisina.</w:t>
      </w:r>
    </w:p>
    <w:p>
      <w:pPr>
        <w:pStyle w:val="BodyText"/>
      </w:pPr>
      <w:r>
        <w:t xml:space="preserve">A ordem dos aminoácidos é chamada de sequência ou estrutura primária. Ela é decisiva: dois peptídeos com os mesmos blocos em outra ordem são substâncias diferentes, com propriedades diferentes – assim como</w:t>
      </w:r>
      <w:r>
        <w:t xml:space="preserve"> </w:t>
      </w:r>
      <w:r>
        <w:t xml:space="preserve">“</w:t>
      </w:r>
      <w:r>
        <w:t xml:space="preserve">Roma</w:t>
      </w:r>
      <w:r>
        <w:t xml:space="preserve">”</w:t>
      </w:r>
      <w:r>
        <w:t xml:space="preserve"> </w:t>
      </w:r>
      <w:r>
        <w:t xml:space="preserve">e</w:t>
      </w:r>
      <w:r>
        <w:t xml:space="preserve"> </w:t>
      </w:r>
      <w:r>
        <w:t xml:space="preserve">“</w:t>
      </w:r>
      <w:r>
        <w:t xml:space="preserve">amor</w:t>
      </w:r>
      <w:r>
        <w:t xml:space="preserve">”</w:t>
      </w:r>
      <w:r>
        <w:t xml:space="preserve"> </w:t>
      </w:r>
      <w:r>
        <w:t xml:space="preserve">são formadas pelas mesmas letras.</w:t>
      </w:r>
    </w:p>
    <w:bookmarkEnd w:id="39"/>
    <w:bookmarkStart w:id="42" w:name="X1a282ddb00ad0754c0777dc5e918c9417d622de"/>
    <w:p>
      <w:pPr>
        <w:pStyle w:val="Heading3"/>
      </w:pPr>
      <w:r>
        <w:t xml:space="preserve">Peptídeo ou proteína? Uma questão de tamanho</w:t>
      </w:r>
    </w:p>
    <w:p>
      <w:pPr>
        <w:pStyle w:val="FirstParagraph"/>
      </w:pPr>
      <w:r>
        <w:t xml:space="preserve">Entre peptídeos e proteínas não existe uma fronteira científica nítida, mas uma convenção. De modo geral:</w:t>
      </w:r>
    </w:p>
    <w:p>
      <w:pPr>
        <w:numPr>
          <w:ilvl w:val="0"/>
          <w:numId w:val="1004"/>
        </w:numPr>
        <w:pStyle w:val="Compact"/>
      </w:pPr>
      <w:r>
        <w:rPr>
          <w:bCs/>
          <w:b/>
        </w:rPr>
        <w:t xml:space="preserve">Oligopeptídeos</w:t>
      </w:r>
      <w:r>
        <w:t xml:space="preserve">: cerca de 2 a 10 aminoácidos, por exemplo o tripeptídeo glutationa ou o dipeptídeo carnosina.</w:t>
      </w:r>
    </w:p>
    <w:p>
      <w:pPr>
        <w:numPr>
          <w:ilvl w:val="0"/>
          <w:numId w:val="1004"/>
        </w:numPr>
        <w:pStyle w:val="Compact"/>
      </w:pPr>
      <w:r>
        <w:rPr>
          <w:bCs/>
          <w:b/>
        </w:rPr>
        <w:t xml:space="preserve">Polipeptídeos</w:t>
      </w:r>
      <w:r>
        <w:t xml:space="preserve">: cadeias mais longas, até cerca de 50 aminoácidos.</w:t>
      </w:r>
    </w:p>
    <w:p>
      <w:pPr>
        <w:numPr>
          <w:ilvl w:val="0"/>
          <w:numId w:val="1004"/>
        </w:numPr>
        <w:pStyle w:val="Compact"/>
      </w:pPr>
      <w:r>
        <w:rPr>
          <w:bCs/>
          <w:b/>
        </w:rPr>
        <w:t xml:space="preserve">Proteínas</w:t>
      </w:r>
      <w:r>
        <w:t xml:space="preserve">: moléculas maiores, geralmente com mais de 50 aminoácidos e um dobramento espacial definido.</w:t>
      </w:r>
    </w:p>
    <w:p>
      <w:pPr>
        <w:pStyle w:val="FirstParagraph"/>
      </w:pPr>
      <w:r>
        <w:t xml:space="preserve">A insulina, com 51 aminoácidos, fica exatamente nessa fronteira. Ela é formada por duas cadeias unidas por pontes de enxofre e, dependendo do livro-texto, é chamada de peptídeo ou de pequena proteína. Já o hormônio do crescimento humano é claramente uma proteína: a forma mais comum é composta por 191 aminoácidos e pesa cerca de 22.000 dáltons</w:t>
      </w:r>
      <w:r>
        <w:rPr>
          <w:rStyle w:val="FootnoteReference"/>
        </w:rPr>
        <w:footnoteReference w:id="40"/>
      </w:r>
      <w:r>
        <w:t xml:space="preserve">. O dálton é a unidade de massa das moléculas; um aminoácido médio em uma cadeia pesa um pouco mais de 100 dáltons.</w:t>
      </w:r>
    </w:p>
    <w:p>
      <w:pPr>
        <w:pStyle w:val="BodyText"/>
      </w:pPr>
      <w:r>
        <w:t xml:space="preserve">Alguns exemplos deste livro para orientação: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Substância</w:t>
            </w:r>
          </w:p>
        </w:tc>
        <w:tc>
          <w:tcPr/>
          <w:p>
            <w:pPr>
              <w:pStyle w:val="Compact"/>
              <w:jc w:val="left"/>
            </w:pPr>
            <w:r>
              <w:t xml:space="preserve">Tamanho</w:t>
            </w:r>
          </w:p>
        </w:tc>
        <w:tc>
          <w:tcPr/>
          <w:p>
            <w:pPr>
              <w:pStyle w:val="Compact"/>
              <w:jc w:val="left"/>
            </w:pPr>
            <w:r>
              <w:t xml:space="preserve">Observação</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nos músculos</w:t>
            </w:r>
          </w:p>
        </w:tc>
      </w:tr>
      <w:tr>
        <w:tc>
          <w:tcPr/>
          <w:p>
            <w:pPr>
              <w:pStyle w:val="Compact"/>
              <w:jc w:val="left"/>
            </w:pPr>
            <w:r>
              <w:t xml:space="preserve">Glutationa</w:t>
            </w:r>
          </w:p>
        </w:tc>
        <w:tc>
          <w:tcPr/>
          <w:p>
            <w:pPr>
              <w:pStyle w:val="Compact"/>
              <w:jc w:val="left"/>
            </w:pPr>
            <w:r>
              <w:t xml:space="preserve">3 aminoácidos</w:t>
            </w:r>
          </w:p>
        </w:tc>
        <w:tc>
          <w:tcPr/>
          <w:p>
            <w:pPr>
              <w:pStyle w:val="Compact"/>
              <w:jc w:val="left"/>
            </w:pPr>
            <w:r>
              <w:t xml:space="preserve">molécula protetora do próprio corpo</w:t>
            </w:r>
          </w:p>
        </w:tc>
      </w:tr>
      <w:tr>
        <w:tc>
          <w:tcPr/>
          <w:p>
            <w:pPr>
              <w:pStyle w:val="Compact"/>
              <w:jc w:val="left"/>
            </w:pPr>
            <w:r>
              <w:t xml:space="preserve">Ocitocina</w:t>
            </w:r>
          </w:p>
        </w:tc>
        <w:tc>
          <w:tcPr/>
          <w:p>
            <w:pPr>
              <w:pStyle w:val="Compact"/>
              <w:jc w:val="left"/>
            </w:pPr>
            <w:r>
              <w:t xml:space="preserve">9 aminoácidos</w:t>
            </w:r>
          </w:p>
        </w:tc>
        <w:tc>
          <w:tcPr/>
          <w:p>
            <w:pPr>
              <w:pStyle w:val="Compact"/>
              <w:jc w:val="left"/>
            </w:pPr>
            <w:r>
              <w:t xml:space="preserve">hormônio, estrutura em anel</w:t>
            </w:r>
          </w:p>
        </w:tc>
      </w:tr>
      <w:tr>
        <w:tc>
          <w:tcPr/>
          <w:p>
            <w:pPr>
              <w:pStyle w:val="Compact"/>
              <w:jc w:val="left"/>
            </w:pPr>
            <w:r>
              <w:t xml:space="preserve">GLP-1 (forma ativa)</w:t>
            </w:r>
          </w:p>
        </w:tc>
        <w:tc>
          <w:tcPr/>
          <w:p>
            <w:pPr>
              <w:pStyle w:val="Compact"/>
              <w:jc w:val="left"/>
            </w:pPr>
            <w:r>
              <w:t xml:space="preserve">30 aminoácidos</w:t>
            </w:r>
          </w:p>
        </w:tc>
        <w:tc>
          <w:tcPr/>
          <w:p>
            <w:pPr>
              <w:pStyle w:val="Compact"/>
              <w:jc w:val="left"/>
            </w:pPr>
            <w:r>
              <w:t xml:space="preserve">hormônio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do veneno de um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duas cadeias</w:t>
            </w:r>
          </w:p>
        </w:tc>
      </w:tr>
      <w:tr>
        <w:tc>
          <w:tcPr/>
          <w:p>
            <w:pPr>
              <w:pStyle w:val="Compact"/>
              <w:jc w:val="left"/>
            </w:pPr>
            <w:r>
              <w:t xml:space="preserve">Hormônio do crescimento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O tamanho da exendina-4 é indicado na descrição original</w:t>
      </w:r>
      <w:r>
        <w:rPr>
          <w:rStyle w:val="FootnoteReference"/>
        </w:rPr>
        <w:footnoteReference w:id="41"/>
      </w:r>
      <w:r>
        <w:t xml:space="preserve">; os demais dados correspondem ao conhecimento dos livros-texto.</w:t>
      </w:r>
    </w:p>
    <w:p>
      <w:pPr>
        <w:pStyle w:val="BodyText"/>
      </w:pPr>
      <w:r>
        <w:t xml:space="preserve">Na prática, o tamanho é importante por vários motivos. Peptídeos curtos são mais fáceis e mais baratos de produzir quimicamente. Cadeias longas se dobram em formas complexas que podem ser indispensáveis para o efeito. E quanto maior uma molécula, mais difícil é para ela atravessar a pele ou a parede intestinal – mais sobre isso no capítulo sobre as formas farmacêuticas.</w:t>
      </w:r>
    </w:p>
    <w:bookmarkEnd w:id="42"/>
    <w:bookmarkStart w:id="44" w:name="como-os-peptídeos-agem-no-organismo"/>
    <w:p>
      <w:pPr>
        <w:pStyle w:val="Heading3"/>
      </w:pPr>
      <w:r>
        <w:t xml:space="preserve">Como os peptídeos agem no organismo</w:t>
      </w:r>
    </w:p>
    <w:p>
      <w:pPr>
        <w:pStyle w:val="FirstParagraph"/>
      </w:pPr>
      <w:r>
        <w:t xml:space="preserve">O corpo humano usa peptídeos sobretudo como mensageiros. Um hormônio peptídico é produzido em uma célula, liberado no sangue ou no tecido e se acopla, em outra célula, a um receptor correspondente. Receptores são moléculas de proteína na membrana celular que funcionam como uma fechadura: só a chave certa desencadeia um sinal no interior da célula.</w:t>
      </w:r>
    </w:p>
    <w:p>
      <w:pPr>
        <w:pStyle w:val="BodyText"/>
      </w:pPr>
      <w:r>
        <w:t xml:space="preserve">Como os peptídeos geralmente são grandes demais e solúveis demais em água para atravessar a membrana celular gordurosa, a maioria age por meio de receptores na superfície da célula. Muitos deles pertencem à grande família dos receptores acoplados à proteína G. O receptor de GLP-1, por meio do qual agem a semaglutida ou a liraglutida, é um receptor desse tipo. Ele está presente não só no pâncreas, mas também no trato gastrointestinal, no coração, nos pulmões, nos rins e no cérebro</w:t>
      </w:r>
      <w:r>
        <w:rPr>
          <w:rStyle w:val="FootnoteReference"/>
        </w:rPr>
        <w:footnoteReference w:id="43"/>
      </w:r>
      <w:r>
        <w:t xml:space="preserve"> </w:t>
      </w:r>
      <w:r>
        <w:t xml:space="preserve">– o que explica por que essas substâncias têm tantos efeitos diferentes.</w:t>
      </w:r>
    </w:p>
    <w:p>
      <w:pPr>
        <w:pStyle w:val="BodyText"/>
      </w:pPr>
      <w:r>
        <w:t xml:space="preserve">No organismo, os peptídeos desempenham funções muito variadas:</w:t>
      </w:r>
    </w:p>
    <w:p>
      <w:pPr>
        <w:numPr>
          <w:ilvl w:val="0"/>
          <w:numId w:val="1005"/>
        </w:numPr>
        <w:pStyle w:val="Compact"/>
      </w:pPr>
      <w:r>
        <w:rPr>
          <w:bCs/>
          <w:b/>
        </w:rPr>
        <w:t xml:space="preserve">Hormônios</w:t>
      </w:r>
      <w:r>
        <w:t xml:space="preserve"> </w:t>
      </w:r>
      <w:r>
        <w:t xml:space="preserve">como insulina, glucagon, GLP-1, ocitocina ou vasopressina regulam o metabolismo, o equilíbrio hídrico e a reprodução.</w:t>
      </w:r>
    </w:p>
    <w:p>
      <w:pPr>
        <w:numPr>
          <w:ilvl w:val="0"/>
          <w:numId w:val="1005"/>
        </w:numPr>
        <w:pStyle w:val="Compact"/>
      </w:pPr>
      <w:r>
        <w:rPr>
          <w:bCs/>
          <w:b/>
        </w:rPr>
        <w:t xml:space="preserve">Fatores de liberação</w:t>
      </w:r>
      <w:r>
        <w:t xml:space="preserve"> </w:t>
      </w:r>
      <w:r>
        <w:t xml:space="preserve">do diencéfalo, como o hormônio liberador de gonadotrofina (GnRH), dão ordens à hipófise.</w:t>
      </w:r>
    </w:p>
    <w:p>
      <w:pPr>
        <w:numPr>
          <w:ilvl w:val="0"/>
          <w:numId w:val="1005"/>
        </w:numPr>
        <w:pStyle w:val="Compact"/>
      </w:pPr>
      <w:r>
        <w:rPr>
          <w:bCs/>
          <w:b/>
        </w:rPr>
        <w:t xml:space="preserve">Neuropeptídeos</w:t>
      </w:r>
      <w:r>
        <w:t xml:space="preserve"> </w:t>
      </w:r>
      <w:r>
        <w:t xml:space="preserve">como as endorfinas agem como sinalizadores no sistema nervoso.</w:t>
      </w:r>
    </w:p>
    <w:p>
      <w:pPr>
        <w:numPr>
          <w:ilvl w:val="0"/>
          <w:numId w:val="1005"/>
        </w:numPr>
        <w:pStyle w:val="Compact"/>
      </w:pPr>
      <w:r>
        <w:rPr>
          <w:bCs/>
          <w:b/>
        </w:rPr>
        <w:t xml:space="preserve">Peptídeos antimicrobianos</w:t>
      </w:r>
      <w:r>
        <w:t xml:space="preserve"> </w:t>
      </w:r>
      <w:r>
        <w:t xml:space="preserve">como o LL-37 fazem parte da defesa imunológica inata.</w:t>
      </w:r>
    </w:p>
    <w:p>
      <w:pPr>
        <w:numPr>
          <w:ilvl w:val="0"/>
          <w:numId w:val="1005"/>
        </w:numPr>
        <w:pStyle w:val="Compact"/>
      </w:pPr>
      <w:r>
        <w:rPr>
          <w:bCs/>
          <w:b/>
        </w:rPr>
        <w:t xml:space="preserve">Componentes estruturais e produtos de degradação</w:t>
      </w:r>
      <w:r>
        <w:t xml:space="preserve">: quando colágeno ou proteína do leite são digeridos, formam-se peptídeos curtos, alguns dos quais podem ser detectados no sangue.</w:t>
      </w:r>
    </w:p>
    <w:p>
      <w:pPr>
        <w:pStyle w:val="FirstParagraph"/>
      </w:pPr>
      <w:r>
        <w:t xml:space="preserve">Essa diversidade explica por que substâncias tão diferentes são reunidas sob o termo</w:t>
      </w:r>
      <w:r>
        <w:t xml:space="preserve"> </w:t>
      </w:r>
      <w:r>
        <w:t xml:space="preserve">“</w:t>
      </w:r>
      <w:r>
        <w:t xml:space="preserve">peptídeo</w:t>
      </w:r>
      <w:r>
        <w:t xml:space="preserve">”</w:t>
      </w:r>
      <w:r>
        <w:t xml:space="preserve">: tanto um medicamento para diabetes altamente eficaz e sujeito a prescrição quanto um colágeno em pó do supermercado.</w:t>
      </w:r>
    </w:p>
    <w:bookmarkEnd w:id="44"/>
    <w:bookmarkStart w:id="48" w:name="Xe42b69d8f182823e2cfee007462712ebab31f51"/>
    <w:p>
      <w:pPr>
        <w:pStyle w:val="Heading3"/>
      </w:pPr>
      <w:r>
        <w:t xml:space="preserve">Vida curta: o problema básico dos peptídeos naturais</w:t>
      </w:r>
    </w:p>
    <w:p>
      <w:pPr>
        <w:pStyle w:val="FirstParagraph"/>
      </w:pPr>
      <w:r>
        <w:t xml:space="preserve">Os peptídeos do próprio corpo geralmente são feitos para uma ação curta e precisa. O organismo dispõe de uma grande variedade de enzimas que quebram ligações peptídicas – as chamadas peptidases ou proteases. Isso faz sentido: um sinal hormonal deve surgir depois da refeição e depois desaparecer.</w:t>
      </w:r>
    </w:p>
    <w:p>
      <w:pPr>
        <w:pStyle w:val="BodyText"/>
      </w:pPr>
      <w:r>
        <w:t xml:space="preserve">Para um medicamento, porém, essa vida curta é um problema. O GLP-1 natural é rapidamente cortado pela enzima dipeptidil peptidase-4 (DPP-4). Em plasma sanguíneo humano em tubo de ensaio, a meia-vida foi de cerca de 20 minutos</w:t>
      </w:r>
      <w:r>
        <w:rPr>
          <w:rStyle w:val="FootnoteReference"/>
        </w:rPr>
        <w:footnoteReference w:id="45"/>
      </w:r>
      <w:r>
        <w:t xml:space="preserve">; no organismo, o GLP-1 é, além disso, rapidamente removido da circulação. Por isso, o GLP-1 inalterado dificilmente serviria como medicamento.</w:t>
      </w:r>
    </w:p>
    <w:p>
      <w:pPr>
        <w:pStyle w:val="BodyText"/>
      </w:pPr>
      <w:r>
        <w:t xml:space="preserve">A solução da pesquisa farmacêutica foi modificar a molécula de forma direcionada. Na semaglutida, dois aminoácidos do GLP-1 natural foram trocados – na posição 8 fica o aminoácido não natural Aib, que protege a molécula da DPP-4 – e um ácido graxo foi ligado à cadeia por meio de um conector. O ácido graxo faz com que a semaglutida se ligue de forma reversível, no sangue, à proteína transportadora albumina</w:t>
      </w:r>
      <w:r>
        <w:rPr>
          <w:rStyle w:val="FootnoteReference"/>
        </w:rPr>
        <w:footnoteReference w:id="46"/>
      </w:r>
      <w:r>
        <w:t xml:space="preserve">. Assim se forma um depósito a partir do qual a substância é liberada lentamente. A meia-vida em humanos é de cerca de uma semana</w:t>
      </w:r>
      <w:r>
        <w:rPr>
          <w:rStyle w:val="FootnoteReference"/>
        </w:rPr>
        <w:footnoteReference w:id="47"/>
      </w:r>
      <w:r>
        <w:t xml:space="preserve"> </w:t>
      </w:r>
      <w:r>
        <w:t xml:space="preserve">– por isso basta uma injeção por semana.</w:t>
      </w:r>
    </w:p>
    <w:p>
      <w:pPr>
        <w:pStyle w:val="BodyText"/>
      </w:pPr>
      <w:r>
        <w:t xml:space="preserve">Esse princípio – modelo natural, estabilizado de forma direcionada – percorre toda a medicina peptídica moderna. Mas isso também significa: um medicamento peptídico geralmente</w:t>
      </w:r>
      <w:r>
        <w:t xml:space="preserve"> </w:t>
      </w:r>
      <w:r>
        <w:rPr>
          <w:bCs/>
          <w:b/>
        </w:rPr>
        <w:t xml:space="preserve">não</w:t>
      </w:r>
      <w:r>
        <w:t xml:space="preserve"> </w:t>
      </w:r>
      <w:r>
        <w:t xml:space="preserve">é uma substância</w:t>
      </w:r>
      <w:r>
        <w:t xml:space="preserve"> </w:t>
      </w:r>
      <w:r>
        <w:t xml:space="preserve">“</w:t>
      </w:r>
      <w:r>
        <w:t xml:space="preserve">natural</w:t>
      </w:r>
      <w:r>
        <w:t xml:space="preserve">”</w:t>
      </w:r>
      <w:r>
        <w:t xml:space="preserve"> </w:t>
      </w:r>
      <w:r>
        <w:t xml:space="preserve">no sentido de idêntica e inalterada em relação à do próprio corpo. É uma molécula inspirada na natureza, mas otimizada em laboratório.</w:t>
      </w:r>
    </w:p>
    <w:bookmarkEnd w:id="48"/>
    <w:bookmarkStart w:id="52" w:name="como-os-peptídeos-são-produzidos"/>
    <w:p>
      <w:pPr>
        <w:pStyle w:val="Heading3"/>
      </w:pPr>
      <w:r>
        <w:t xml:space="preserve">Como os peptídeos são produzidos</w:t>
      </w:r>
    </w:p>
    <w:p>
      <w:pPr>
        <w:pStyle w:val="FirstParagraph"/>
      </w:pPr>
      <w:r>
        <w:t xml:space="preserve">Há três caminhos básicos para obter peptídeos:</w:t>
      </w:r>
    </w:p>
    <w:p>
      <w:pPr>
        <w:pStyle w:val="BodyText"/>
      </w:pPr>
      <w:r>
        <w:rPr>
          <w:bCs/>
          <w:b/>
        </w:rPr>
        <w:t xml:space="preserve">Síntese química.</w:t>
      </w:r>
      <w:r>
        <w:t xml:space="preserve"> </w:t>
      </w:r>
      <w:r>
        <w:t xml:space="preserve">Desde a década de 1960, os peptídeos são montados bloco a bloco sobre um material de suporte sólido. Esse método de síntese de peptídeos em fase sólida foi desenvolvido por Robert Bruce Merrifield</w:t>
      </w:r>
      <w:r>
        <w:rPr>
          <w:rStyle w:val="FootnoteReference"/>
        </w:rPr>
        <w:footnoteReference w:id="49"/>
      </w:r>
      <w:r>
        <w:t xml:space="preserve">, que recebeu por ele o Prêmio Nobel de Química em 1984. Hoje essas sínteses são amplamente automatizadas. Elas são a base de quase todos os peptídeos curtos, inclusive dos oferecidos no mercado cinza. Em cada etapa de acoplamento, porém, podem ocorrer erros – como aminoácidos faltantes ou duplicados. Por isso, uma etapa cuidadosa de purificação é indispensável.</w:t>
      </w:r>
    </w:p>
    <w:p>
      <w:pPr>
        <w:pStyle w:val="BodyText"/>
      </w:pPr>
      <w:r>
        <w:rPr>
          <w:bCs/>
          <w:b/>
        </w:rPr>
        <w:t xml:space="preserve">Produção por engenharia genética (recombinante).</w:t>
      </w:r>
      <w:r>
        <w:t xml:space="preserve"> </w:t>
      </w:r>
      <w:r>
        <w:t xml:space="preserve">Nesse caso, as instruções de montagem do peptídeo são introduzidas em bactérias ou leveduras, que então o produzem em grandes tanques. A insulina humana foi o primeiro medicamento produzido dessa forma; em estudos clínicos com seres humanos, ela passou a ser usada a partir de 1980</w:t>
      </w:r>
      <w:r>
        <w:rPr>
          <w:rStyle w:val="FootnoteReference"/>
        </w:rPr>
        <w:footnoteReference w:id="50"/>
      </w:r>
      <w:r>
        <w:t xml:space="preserve">. Peptídeos maiores e proteínas ainda hoje são obtidos predominantemente dessa maneira, às vezes em combinação com etapas de modificação química.</w:t>
      </w:r>
    </w:p>
    <w:p>
      <w:pPr>
        <w:pStyle w:val="BodyText"/>
      </w:pPr>
      <w:r>
        <w:rPr>
          <w:bCs/>
          <w:b/>
        </w:rPr>
        <w:t xml:space="preserve">Obtenção de fontes naturais.</w:t>
      </w:r>
      <w:r>
        <w:t xml:space="preserve"> </w:t>
      </w:r>
      <w:r>
        <w:t xml:space="preserve">As primeiras insulinas eram extraídas de pâncreas de bovinos e suínos. Os peptídeos de colágeno são produzidos hoje decompondo-se com enzimas o colágeno de pele, ossos ou escamas de peixe em pedaços menores (hidrólise). Esses hidrolisados são misturas de muitos peptídeos diferentes – não uma substância ativa uniforme.</w:t>
      </w:r>
    </w:p>
    <w:p>
      <w:pPr>
        <w:pStyle w:val="BodyText"/>
      </w:pPr>
      <w:r>
        <w:t xml:space="preserve">O modo de produção é relevante para a segurança. Uma análise comparou produtos de imitação de semaglutida e liraglutida com os produtos originais e encontrou, em algumas das substâncias imitadas, novas impurezas, entre elas proteínas de maior peso molecular, metais em traços e resíduos de solventes</w:t>
      </w:r>
      <w:r>
        <w:rPr>
          <w:rStyle w:val="FootnoteReference"/>
        </w:rPr>
        <w:footnoteReference w:id="51"/>
      </w:r>
      <w:r>
        <w:t xml:space="preserve">. Se essas diferenças são clinicamente relevantes ainda é uma questão em aberto – mas elas mostram que</w:t>
      </w:r>
      <w:r>
        <w:t xml:space="preserve"> </w:t>
      </w:r>
      <w:r>
        <w:t xml:space="preserve">“</w:t>
      </w:r>
      <w:r>
        <w:t xml:space="preserve">a mesma substância ativa</w:t>
      </w:r>
      <w:r>
        <w:t xml:space="preserve">”</w:t>
      </w:r>
      <w:r>
        <w:t xml:space="preserve"> </w:t>
      </w:r>
      <w:r>
        <w:t xml:space="preserve">não significa automaticamente</w:t>
      </w:r>
      <w:r>
        <w:t xml:space="preserve"> </w:t>
      </w:r>
      <w:r>
        <w:t xml:space="preserve">“</w:t>
      </w:r>
      <w:r>
        <w:t xml:space="preserve">o mesmo produto</w:t>
      </w:r>
      <w:r>
        <w:t xml:space="preserve">”</w:t>
      </w:r>
      <w:r>
        <w:t xml:space="preserve">. A análise, aliás, foi realizada pelo fabricante dos produtos originais, o que deve ser levado em conta na avaliação.</w:t>
      </w:r>
    </w:p>
    <w:bookmarkEnd w:id="52"/>
    <w:bookmarkStart w:id="55" w:name="X8ad4061a723d24da2136d11a098422645529d78"/>
    <w:p>
      <w:pPr>
        <w:pStyle w:val="Heading3"/>
      </w:pPr>
      <w:r>
        <w:t xml:space="preserve">Peptídeos como medicamentos: um grupo em crescimento</w:t>
      </w:r>
    </w:p>
    <w:p>
      <w:pPr>
        <w:pStyle w:val="FirstParagraph"/>
      </w:pPr>
      <w:r>
        <w:t xml:space="preserve">Os peptídeos ocupam um nicho entre as clássicas</w:t>
      </w:r>
      <w:r>
        <w:t xml:space="preserve"> </w:t>
      </w:r>
      <w:r>
        <w:t xml:space="preserve">“</w:t>
      </w:r>
      <w:r>
        <w:t xml:space="preserve">moléculas pequenas</w:t>
      </w:r>
      <w:r>
        <w:t xml:space="preserve">”</w:t>
      </w:r>
      <w:r>
        <w:t xml:space="preserve"> </w:t>
      </w:r>
      <w:r>
        <w:t xml:space="preserve">(como aspirina ou metformina) e os grandes biológicos (como anticorpos). Eles podem se ligar de modo muito específico a um receptor, o que muitas vezes resulta em poucos efeitos indesejados em outros locais. Ao mesmo tempo, são mais difíceis de transformar em comprimidos e muitas vezes caros de produzir.</w:t>
      </w:r>
    </w:p>
    <w:p>
      <w:pPr>
        <w:pStyle w:val="BodyText"/>
      </w:pPr>
      <w:r>
        <w:t xml:space="preserve">Segundo um artigo de revisão, desde a introdução da insulina mais de 80 medicamentos peptídicos chegaram ao mercado, por exemplo contra diabetes, câncer, osteoporose, esclerose múltipla, infecção por HIV e dor crônica</w:t>
      </w:r>
      <w:r>
        <w:rPr>
          <w:rStyle w:val="FootnoteReference"/>
        </w:rPr>
        <w:footnoteReference w:id="53"/>
      </w:r>
      <w:r>
        <w:t xml:space="preserve">. Outra análise contou mais de 150 peptídeos em desenvolvimento clínico ativo</w:t>
      </w:r>
      <w:r>
        <w:rPr>
          <w:rStyle w:val="FootnoteReference"/>
        </w:rPr>
        <w:footnoteReference w:id="54"/>
      </w:r>
      <w:r>
        <w:t xml:space="preserve">. Os números variam conforme o critério de contagem, mas apontam na mesma direção: os peptídeos são uma parte consolidada e crescente da medicina.</w:t>
      </w:r>
    </w:p>
    <w:p>
      <w:pPr>
        <w:pStyle w:val="BodyText"/>
      </w:pPr>
      <w:r>
        <w:t xml:space="preserve">Muitos medicamentos peptídicos talvez você conheça sem tê-los percebido como peptídeos: a insulina, o medicamento para osteoporose teriparatida (um fragmento do paratormônio com 34 aminoácidos), substâncias contra o câncer de próstata que atuam no sistema GnRH, o indutor do parto ocitocina ou o antibiótico vancomicina, um glicopeptídeo.</w:t>
      </w:r>
    </w:p>
    <w:bookmarkEnd w:id="55"/>
    <w:bookmarkStart w:id="57" w:name="o-que-os-peptídeos-não-são"/>
    <w:p>
      <w:pPr>
        <w:pStyle w:val="Heading3"/>
      </w:pPr>
      <w:r>
        <w:t xml:space="preserve">O que os peptídeos não são</w:t>
      </w:r>
    </w:p>
    <w:p>
      <w:pPr>
        <w:pStyle w:val="FirstParagraph"/>
      </w:pPr>
      <w:r>
        <w:t xml:space="preserve">Justamente porque o termo se tornou tão popular, vale a pena examinar alguns equívocos comuns.</w:t>
      </w:r>
    </w:p>
    <w:p>
      <w:pPr>
        <w:pStyle w:val="BodyText"/>
      </w:pPr>
      <w:r>
        <w:rPr>
          <w:bCs/>
          <w:b/>
        </w:rPr>
        <w:t xml:space="preserve">“</w:t>
      </w:r>
      <w:r>
        <w:rPr>
          <w:bCs/>
          <w:b/>
        </w:rPr>
        <w:t xml:space="preserve">Peptídeo</w:t>
      </w:r>
      <w:r>
        <w:rPr>
          <w:bCs/>
          <w:b/>
        </w:rPr>
        <w:t xml:space="preserve">”</w:t>
      </w:r>
      <w:r>
        <w:rPr>
          <w:bCs/>
          <w:b/>
        </w:rPr>
        <w:t xml:space="preserve"> </w:t>
      </w:r>
      <w:r>
        <w:rPr>
          <w:bCs/>
          <w:b/>
        </w:rPr>
        <w:t xml:space="preserve">não é selo de qualidade.</w:t>
      </w:r>
      <w:r>
        <w:t xml:space="preserve"> </w:t>
      </w:r>
      <w:r>
        <w:t xml:space="preserve">A construção química não diz nada sobre benefício ou risco. A insulina salva vidas todos os dias – na quantidade errada, pode ser fatal. Um peptídeo não é automaticamente mais suave do que um medicamento</w:t>
      </w:r>
      <w:r>
        <w:t xml:space="preserve"> </w:t>
      </w:r>
      <w:r>
        <w:t xml:space="preserve">“</w:t>
      </w:r>
      <w:r>
        <w:t xml:space="preserve">químico</w:t>
      </w:r>
      <w:r>
        <w:t xml:space="preserve">”</w:t>
      </w:r>
      <w:r>
        <w:t xml:space="preserve">.</w:t>
      </w:r>
    </w:p>
    <w:p>
      <w:pPr>
        <w:pStyle w:val="BodyText"/>
      </w:pPr>
      <w:r>
        <w:rPr>
          <w:bCs/>
          <w:b/>
        </w:rPr>
        <w:t xml:space="preserve">“</w:t>
      </w:r>
      <w:r>
        <w:rPr>
          <w:bCs/>
          <w:b/>
        </w:rPr>
        <w:t xml:space="preserve">Do próprio corpo</w:t>
      </w:r>
      <w:r>
        <w:rPr>
          <w:bCs/>
          <w:b/>
        </w:rPr>
        <w:t xml:space="preserve">”</w:t>
      </w:r>
      <w:r>
        <w:rPr>
          <w:bCs/>
          <w:b/>
        </w:rPr>
        <w:t xml:space="preserve"> </w:t>
      </w:r>
      <w:r>
        <w:rPr>
          <w:bCs/>
          <w:b/>
        </w:rPr>
        <w:t xml:space="preserve">não quer dizer</w:t>
      </w:r>
      <w:r>
        <w:rPr>
          <w:bCs/>
          <w:b/>
        </w:rPr>
        <w:t xml:space="preserve"> </w:t>
      </w:r>
      <w:r>
        <w:rPr>
          <w:bCs/>
          <w:b/>
        </w:rPr>
        <w:t xml:space="preserve">“</w:t>
      </w:r>
      <w:r>
        <w:rPr>
          <w:bCs/>
          <w:b/>
        </w:rPr>
        <w:t xml:space="preserve">inofensivo</w:t>
      </w:r>
      <w:r>
        <w:rPr>
          <w:bCs/>
          <w:b/>
        </w:rPr>
        <w:t xml:space="preserve">”</w:t>
      </w:r>
      <w:r>
        <w:rPr>
          <w:bCs/>
          <w:b/>
        </w:rPr>
        <w:t xml:space="preserve">.</w:t>
      </w:r>
      <w:r>
        <w:t xml:space="preserve"> </w:t>
      </w:r>
      <w:r>
        <w:t xml:space="preserve">Muitos peptídeos do mercado cinza são anunciados como</w:t>
      </w:r>
      <w:r>
        <w:t xml:space="preserve"> </w:t>
      </w:r>
      <w:r>
        <w:t xml:space="preserve">“</w:t>
      </w:r>
      <w:r>
        <w:t xml:space="preserve">do próprio corpo</w:t>
      </w:r>
      <w:r>
        <w:t xml:space="preserve">”</w:t>
      </w:r>
      <w:r>
        <w:t xml:space="preserve"> </w:t>
      </w:r>
      <w:r>
        <w:t xml:space="preserve">ou</w:t>
      </w:r>
      <w:r>
        <w:t xml:space="preserve"> </w:t>
      </w:r>
      <w:r>
        <w:t xml:space="preserve">“</w:t>
      </w:r>
      <w:r>
        <w:t xml:space="preserve">bioidênticos</w:t>
      </w:r>
      <w:r>
        <w:t xml:space="preserve">”</w:t>
      </w:r>
      <w:r>
        <w:t xml:space="preserve">. Mas também substâncias produzidas pelo próprio organismo podem causar danos em quantidades anormalmente altas, no lugar errado ou por muito tempo. Um exemplo é o sistema do hormônio do crescimento: a falta causa doença, e o excesso permanente também. Além disso, muitos peptídeos supostamente do próprio corpo são, na verdade, variações ou fragmentos que nem sequer existem dessa forma no organismo. O BPC-157, por exemplo, é uma sequência de 15 aminoácidos</w:t>
      </w:r>
      <w:r>
        <w:rPr>
          <w:rStyle w:val="FootnoteReference"/>
        </w:rPr>
        <w:footnoteReference w:id="56"/>
      </w:r>
      <w:r>
        <w:t xml:space="preserve"> </w:t>
      </w:r>
      <w:r>
        <w:t xml:space="preserve">que seus descobridores derivaram do suco gástrico; como hormônio humano independente, ele não está estabelecido.</w:t>
      </w:r>
    </w:p>
    <w:p>
      <w:pPr>
        <w:pStyle w:val="BodyText"/>
      </w:pPr>
      <w:r>
        <w:rPr>
          <w:bCs/>
          <w:b/>
        </w:rPr>
        <w:t xml:space="preserve">Peptídeos não são esteroides.</w:t>
      </w:r>
      <w:r>
        <w:t xml:space="preserve"> </w:t>
      </w:r>
      <w:r>
        <w:t xml:space="preserve">Anabolizantes como a testosterona são hormônios esteroides com uma estrutura química completamente diferente, formada por anéis de carbono. Eles agem por meio de receptores no interior das células. No meio fitness, os dois grupos às vezes são colocados no mesmo saco; química e farmacologicamente, têm pouco em comum.</w:t>
      </w:r>
    </w:p>
    <w:p>
      <w:pPr>
        <w:pStyle w:val="BodyText"/>
      </w:pPr>
      <w:r>
        <w:rPr>
          <w:bCs/>
          <w:b/>
        </w:rPr>
        <w:t xml:space="preserve">Nem tudo o que age de modo parecido é um peptídeo.</w:t>
      </w:r>
      <w:r>
        <w:t xml:space="preserve"> </w:t>
      </w:r>
      <w:r>
        <w:t xml:space="preserve">A orforglipron, por exemplo, ativa o receptor de GLP-1 como a semaglutida, mas é uma molécula pequena, não peptídica. O ibutamoreno (MK-677) estimula a liberação do hormônio do crescimento como alguns peptídeos, mas ele próprio não é um. Por isso, ambos são tratados neste livro apenas para fins de comparação.</w:t>
      </w:r>
    </w:p>
    <w:p>
      <w:pPr>
        <w:pStyle w:val="BodyText"/>
      </w:pPr>
      <w:r>
        <w:rPr>
          <w:bCs/>
          <w:b/>
        </w:rPr>
        <w:t xml:space="preserve">Um peptídeo no creme não é o mesmo que um peptídeo na injeção.</w:t>
      </w:r>
      <w:r>
        <w:t xml:space="preserve"> </w:t>
      </w:r>
      <w:r>
        <w:t xml:space="preserve">Peptídeos cosméticos como o palmitoil pentapeptídeo-4 são desenhados especialmente para agir na camada mais superficial da pele. Se e quão profundamente penetram é outra questão. Por outro lado, um peptídeo injetado como medicamento não atravessa simplesmente a pele quando aplicado sobre ela.</w:t>
      </w:r>
    </w:p>
    <w:p>
      <w:pPr>
        <w:pStyle w:val="BodyText"/>
      </w:pPr>
      <w:r>
        <w:rPr>
          <w:bCs/>
          <w:b/>
        </w:rPr>
        <w:t xml:space="preserve">Peptídeos ingeridos geralmente são digeridos.</w:t>
      </w:r>
      <w:r>
        <w:t xml:space="preserve"> </w:t>
      </w:r>
      <w:r>
        <w:t xml:space="preserve">O trato gastrointestinal foi feito para decompor proteínas em aminoácidos e fragmentos muito curtos. Por isso, um hormônio peptídico engolido costuma ser degradado antes de poder agir. As exceções – como peptídeos muito pequenos do colágeno, detectáveis no sangue, ou o comprimido de semaglutida com seu excipiente – são explicadas no capítulo depois do próximo.</w:t>
      </w:r>
    </w:p>
    <w:bookmarkEnd w:id="57"/>
    <w:bookmarkStart w:id="58" w:name="natural-idêntico-ao-natural-modificado"/>
    <w:p>
      <w:pPr>
        <w:pStyle w:val="Heading3"/>
      </w:pPr>
      <w:r>
        <w:t xml:space="preserve">Natural, idêntico ao natural, modificado</w:t>
      </w:r>
    </w:p>
    <w:p>
      <w:pPr>
        <w:pStyle w:val="FirstParagraph"/>
      </w:pPr>
      <w:r>
        <w:t xml:space="preserve">Para classificar os peptídeos da Parte II, ajuda uma distinção simples:</w:t>
      </w:r>
    </w:p>
    <w:p>
      <w:pPr>
        <w:numPr>
          <w:ilvl w:val="0"/>
          <w:numId w:val="1006"/>
        </w:numPr>
        <w:pStyle w:val="Compact"/>
      </w:pPr>
      <w:r>
        <w:rPr>
          <w:bCs/>
          <w:b/>
        </w:rPr>
        <w:t xml:space="preserve">Peptídeos idênticos aos naturais</w:t>
      </w:r>
      <w:r>
        <w:t xml:space="preserve"> </w:t>
      </w:r>
      <w:r>
        <w:t xml:space="preserve">correspondem exatamente a uma molécula do próprio corpo, como a ocitocina ou a glutationa.</w:t>
      </w:r>
    </w:p>
    <w:p>
      <w:pPr>
        <w:numPr>
          <w:ilvl w:val="0"/>
          <w:numId w:val="1006"/>
        </w:numPr>
        <w:pStyle w:val="Compact"/>
      </w:pPr>
      <w:r>
        <w:rPr>
          <w:bCs/>
          <w:b/>
        </w:rPr>
        <w:t xml:space="preserve">Análogos modificados</w:t>
      </w:r>
      <w:r>
        <w:t xml:space="preserve"> </w:t>
      </w:r>
      <w:r>
        <w:t xml:space="preserve">são derivados do modelo natural, mas alterados de forma direcionada – por troca de aminoácidos, ligação de ácidos graxos ou estruturas em anel. Quase todos os medicamentos peptídicos modernos pertencem a esse grupo.</w:t>
      </w:r>
    </w:p>
    <w:p>
      <w:pPr>
        <w:numPr>
          <w:ilvl w:val="0"/>
          <w:numId w:val="1006"/>
        </w:numPr>
        <w:pStyle w:val="Compact"/>
      </w:pPr>
      <w:r>
        <w:rPr>
          <w:bCs/>
          <w:b/>
        </w:rPr>
        <w:t xml:space="preserve">Peptídeos estranhos ao corpo ou de novo desenho</w:t>
      </w:r>
      <w:r>
        <w:t xml:space="preserve"> </w:t>
      </w:r>
      <w:r>
        <w:t xml:space="preserve">vêm de outros seres vivos (como a exendina-4, da saliva do monstro-de-gila) ou foram desenvolvidos do zero em laboratório (como os peptídeos cosméticos ou os agonistas duplos e triplos tirzepatida e retatrutida).</w:t>
      </w:r>
    </w:p>
    <w:p>
      <w:pPr>
        <w:pStyle w:val="FirstParagraph"/>
      </w:pPr>
      <w:r>
        <w:t xml:space="preserve">Para a segurança, essa classificação por si só não é decisiva. Mas ela ajuda a entender por que estudos em humanos são indispensáveis nos três grupos: mesmo uma molécula idêntica à natural se comporta de outra forma quando é administrada de fora em grande quantidade.</w:t>
      </w:r>
    </w:p>
    <w:bookmarkEnd w:id="58"/>
    <w:bookmarkStart w:id="61" w:name="X8522cfd4546462615b4911fd4c4b1652698d25e"/>
    <w:p>
      <w:pPr>
        <w:pStyle w:val="Heading3"/>
      </w:pPr>
      <w:r>
        <w:t xml:space="preserve">Por que os peptídeos recebem tanta atenção justamente agora</w:t>
      </w:r>
    </w:p>
    <w:p>
      <w:pPr>
        <w:pStyle w:val="FirstParagraph"/>
      </w:pPr>
      <w:r>
        <w:t xml:space="preserve">Três desenvolvimentos explicam o boom dos últimos anos:</w:t>
      </w:r>
    </w:p>
    <w:p>
      <w:pPr>
        <w:pStyle w:val="BodyText"/>
      </w:pPr>
      <w:r>
        <w:rPr>
          <w:bCs/>
          <w:b/>
        </w:rPr>
        <w:t xml:space="preserve">Primeiro, os medicamentos GLP-1.</w:t>
      </w:r>
      <w:r>
        <w:t xml:space="preserve"> </w:t>
      </w:r>
      <w:r>
        <w:t xml:space="preserve">Os resultados de substâncias como semaglutida e tirzepatida no excesso de peso colocaram os peptídeos nas manchetes. No estudo de aprovação STEP 1, os participantes com semaglutida perderam em média 14,9% do peso corporal, contra 2,4% com placebo</w:t>
      </w:r>
      <w:r>
        <w:rPr>
          <w:rStyle w:val="FootnoteReference"/>
        </w:rPr>
        <w:footnoteReference w:id="59"/>
      </w:r>
      <w:r>
        <w:t xml:space="preserve">. Números assim nunca tinham sido alcançados com medicamentos.</w:t>
      </w:r>
    </w:p>
    <w:p>
      <w:pPr>
        <w:pStyle w:val="BodyText"/>
      </w:pPr>
      <w:r>
        <w:rPr>
          <w:bCs/>
          <w:b/>
        </w:rPr>
        <w:t xml:space="preserve">Segundo, a fácil disponibilidade.</w:t>
      </w:r>
      <w:r>
        <w:t xml:space="preserve"> </w:t>
      </w:r>
      <w:r>
        <w:t xml:space="preserve">Hoje, peptídeos curtos podem ser sintetizados a baixo custo em muitos países e são oferecidos no mundo todo pela internet – muitas vezes com o rótulo</w:t>
      </w:r>
      <w:r>
        <w:t xml:space="preserve"> </w:t>
      </w:r>
      <w:r>
        <w:t xml:space="preserve">“</w:t>
      </w:r>
      <w:r>
        <w:t xml:space="preserve">apenas para fins de pesquisa</w:t>
      </w:r>
      <w:r>
        <w:t xml:space="preserve">”</w:t>
      </w:r>
      <w:r>
        <w:t xml:space="preserve">. O que isso significa é tratado no capítulo sobre o mercado cinza.</w:t>
      </w:r>
    </w:p>
    <w:p>
      <w:pPr>
        <w:pStyle w:val="BodyText"/>
      </w:pPr>
      <w:r>
        <w:rPr>
          <w:bCs/>
          <w:b/>
        </w:rPr>
        <w:t xml:space="preserve">Terceiro, as redes sociais.</w:t>
      </w:r>
      <w:r>
        <w:t xml:space="preserve"> </w:t>
      </w:r>
      <w:r>
        <w:t xml:space="preserve">Relatos de experiência, fotos de antes e depois e recomendações de influenciadores se espalham mais rápido que dados científicos. Um artigo de revisão descreve como publicidade digital, acesso ao mercado cinza e autoinjeção interagem e normalizam produtos cuja identidade, pureza e segurança são incertas</w:t>
      </w:r>
      <w:r>
        <w:rPr>
          <w:rStyle w:val="FootnoteReference"/>
        </w:rPr>
        <w:footnoteReference w:id="60"/>
      </w:r>
      <w:r>
        <w:t xml:space="preserve">.</w:t>
      </w:r>
    </w:p>
    <w:p>
      <w:pPr>
        <w:pStyle w:val="BodyText"/>
      </w:pPr>
      <w:r>
        <w:t xml:space="preserve">Este livro quer oferecer aqui um contraponto sóbrio: para cada peptídeo, examina-se o que de fato foi estudado em seres humanos – e o que não foi.</w:t>
      </w:r>
    </w:p>
    <w:bookmarkEnd w:id="61"/>
    <w:bookmarkStart w:id="62" w:name="o-essencial-em-resumo"/>
    <w:p>
      <w:pPr>
        <w:pStyle w:val="Heading3"/>
      </w:pPr>
      <w:r>
        <w:t xml:space="preserve">O essencial em resumo</w:t>
      </w:r>
    </w:p>
    <w:p>
      <w:pPr>
        <w:numPr>
          <w:ilvl w:val="0"/>
          <w:numId w:val="1007"/>
        </w:numPr>
        <w:pStyle w:val="Compact"/>
      </w:pPr>
      <w:r>
        <w:t xml:space="preserve">Peptídeos são cadeias de aminoácidos unidos por ligações peptídicas. A partir de cerca de 50 aminoácidos, geralmente se fala em proteínas.</w:t>
      </w:r>
    </w:p>
    <w:p>
      <w:pPr>
        <w:numPr>
          <w:ilvl w:val="0"/>
          <w:numId w:val="1007"/>
        </w:numPr>
        <w:pStyle w:val="Compact"/>
      </w:pPr>
      <w:r>
        <w:t xml:space="preserve">No organismo, os peptídeos agem principalmente como mensageiros, por meio de receptores na superfície celular.</w:t>
      </w:r>
    </w:p>
    <w:p>
      <w:pPr>
        <w:numPr>
          <w:ilvl w:val="0"/>
          <w:numId w:val="1007"/>
        </w:numPr>
        <w:pStyle w:val="Compact"/>
      </w:pPr>
      <w:r>
        <w:t xml:space="preserve">Peptídeos naturais são degradados rapidamente. Por isso, os medicamentos peptídicos modernos são quase sempre moléculas modificadas de forma direcionada.</w:t>
      </w:r>
    </w:p>
    <w:p>
      <w:pPr>
        <w:numPr>
          <w:ilvl w:val="0"/>
          <w:numId w:val="1007"/>
        </w:numPr>
        <w:pStyle w:val="Compact"/>
      </w:pPr>
      <w:r>
        <w:t xml:space="preserve">Peptídeos são sintetizados quimicamente, produzidos por engenharia genética ou obtidos de fontes naturais. O modo de produção e a pureza influenciam a segurança.</w:t>
      </w:r>
    </w:p>
    <w:p>
      <w:pPr>
        <w:numPr>
          <w:ilvl w:val="0"/>
          <w:numId w:val="1007"/>
        </w:numPr>
        <w:pStyle w:val="Compact"/>
      </w:pPr>
      <w:r>
        <w:t xml:space="preserve">“</w:t>
      </w:r>
      <w:r>
        <w:t xml:space="preserve">Peptídeo</w:t>
      </w:r>
      <w:r>
        <w:t xml:space="preserve">”</w:t>
      </w:r>
      <w:r>
        <w:t xml:space="preserve"> </w:t>
      </w:r>
      <w:r>
        <w:t xml:space="preserve">é uma descrição química, não um selo de qualidade. Se um determinado peptídeo funciona e é seguro em seres humanos, só bons estudos podem mostrar.</w:t>
      </w:r>
    </w:p>
    <w:bookmarkEnd w:id="62"/>
    <w:bookmarkEnd w:id="63"/>
    <w:bookmarkStart w:id="100" w:name="X1edf16053ea327c141b0bf8d2313e659991df1f"/>
    <w:p>
      <w:pPr>
        <w:pStyle w:val="Heading2"/>
      </w:pPr>
      <w:r>
        <w:t xml:space="preserve">Breve história: da insulina aos medicamentos GLP-1</w:t>
      </w:r>
    </w:p>
    <w:p>
      <w:pPr>
        <w:pStyle w:val="FirstParagraph"/>
      </w:pPr>
      <w:r>
        <w:t xml:space="preserve">A história dos medicamentos peptídicos é uma história de avanços, de caminhos equivocados e de acasos surpreendentes. Ela começa com um experimento desesperado em Toronto, passa pelo veneno de um lagarto do deserto norte-americano e termina – por enquanto – em injeções para emagrecer que estão entre os medicamentos mais vendidos do mundo. Este capítulo conta as etapas mais importantes. Ele deve ajudar você a situar o alvoroço atual em torno dos peptídeos: muito do que é vendido como revolucionário se apoia nos ombros de cem anos de pesquisa trabalhosa.</w:t>
      </w:r>
    </w:p>
    <w:bookmarkStart w:id="64" w:name="Xc1057307cf8206bd37c9c67b7f148a0bb97bac3"/>
    <w:p>
      <w:pPr>
        <w:pStyle w:val="Heading3"/>
      </w:pPr>
      <w:r>
        <w:t xml:space="preserve">Antes de 1922: os mensageiros químicos são descobertos</w:t>
      </w:r>
    </w:p>
    <w:p>
      <w:pPr>
        <w:pStyle w:val="FirstParagraph"/>
      </w:pPr>
      <w:r>
        <w:t xml:space="preserve">Por volta de 1900, uma nova ideia se impôs na fisiologia: os órgãos se comunicam não apenas por nervos, mas também por mensageiros químicos no sangue. Os fisiologistas britânicos William Bayliss e Ernest Starling descreveram em 1902 a secretina, uma substância da parede intestinal que estimula o pâncreas a produzir suco. Pouco depois, Starling cunhou para esses mensageiros o termo</w:t>
      </w:r>
      <w:r>
        <w:t xml:space="preserve"> </w:t>
      </w:r>
      <w:r>
        <w:t xml:space="preserve">“</w:t>
      </w:r>
      <w:r>
        <w:t xml:space="preserve">hormônio</w:t>
      </w:r>
      <w:r>
        <w:t xml:space="preserve">”</w:t>
      </w:r>
      <w:r>
        <w:t xml:space="preserve">. A secretina é – como se sabe hoje – um peptídeo. Assim, um peptídeo esteve no início de toda a pesquisa sobre hormônios.</w:t>
      </w:r>
    </w:p>
    <w:p>
      <w:pPr>
        <w:pStyle w:val="BodyText"/>
      </w:pPr>
      <w:r>
        <w:t xml:space="preserve">Ao mesmo tempo, sabia-se que o diabetes mellitus estava relacionado ao pâncreas. Cães dos quais se retirava esse órgão desenvolviam um diabetes fatal. Muitos grupos de pesquisa tentaram obter da glândula a suposta substância capaz de baixar a glicose no sangue. Os extratos, porém, ou eram ineficazes ou tão contaminados que provocavam reações graves.</w:t>
      </w:r>
    </w:p>
    <w:bookmarkEnd w:id="64"/>
    <w:bookmarkStart w:id="68" w:name="Xf15d1e63dc2d2f12d6b6fd8771520e5902520c0"/>
    <w:p>
      <w:pPr>
        <w:pStyle w:val="Heading3"/>
      </w:pPr>
      <w:r>
        <w:t xml:space="preserve">1922: insulina – o primeiro medicamento peptídico</w:t>
      </w:r>
    </w:p>
    <w:p>
      <w:pPr>
        <w:pStyle w:val="FirstParagraph"/>
      </w:pPr>
      <w:r>
        <w:t xml:space="preserve">No verão de 1921, um grupo da Universidade de Toronto deu o passo decisivo. Frederick Banting e Charles Best, sob a direção de John Macleod, obtiveram um extrato que baixava a glicose no sangue de cães sem pâncreas. O bioquímico James Collip aprimorou a purificação a ponto de o extrato poder ser testado em seres humanos. Em janeiro de 1922, um menino de 14 anos com diabetes grave recebeu as primeiras injeções em Toronto. No mesmo ano, o grupo relatou suas experiências com pacientes</w:t>
      </w:r>
      <w:r>
        <w:rPr>
          <w:rStyle w:val="FootnoteReference"/>
        </w:rPr>
        <w:footnoteReference w:id="65"/>
      </w:r>
      <w:r>
        <w:t xml:space="preserve">.</w:t>
      </w:r>
    </w:p>
    <w:p>
      <w:pPr>
        <w:pStyle w:val="BodyText"/>
      </w:pPr>
      <w:r>
        <w:t xml:space="preserve">O efeito foi dramático: o diabetes tipo 1, até então fatal em pouco tempo, tornou-se uma doença crônica tratável. Um artigo de revisão publicado no centenário descreve exatamente essa transformação como o cerne da descoberta</w:t>
      </w:r>
      <w:r>
        <w:rPr>
          <w:rStyle w:val="FootnoteReference"/>
        </w:rPr>
        <w:footnoteReference w:id="66"/>
      </w:r>
      <w:r>
        <w:t xml:space="preserve">. Banting e Macleod receberam em 1923 o Prêmio Nobel de Medicina.</w:t>
      </w:r>
    </w:p>
    <w:p>
      <w:pPr>
        <w:pStyle w:val="BodyText"/>
      </w:pPr>
      <w:r>
        <w:t xml:space="preserve">As décadas seguintes giraram, como resume uma revisão histórica, em torno de questões bem práticas: produzir insulina suficiente, torná-la mais pura para evitar reações alérgicas, estabelecer padrões e prolongar a duração do efeito para que fossem necessárias menos injeções</w:t>
      </w:r>
      <w:r>
        <w:rPr>
          <w:rStyle w:val="FootnoteReference"/>
        </w:rPr>
        <w:footnoteReference w:id="67"/>
      </w:r>
      <w:r>
        <w:t xml:space="preserve">. Exatamente esses temas – produção, pureza, duração do efeito, administração – acompanham a medicina peptídica até hoje.</w:t>
      </w:r>
    </w:p>
    <w:bookmarkEnd w:id="68"/>
    <w:bookmarkStart w:id="71" w:name="X3ae1a1c1e4f67e5e30a77c778fd74811551ead5"/>
    <w:p>
      <w:pPr>
        <w:pStyle w:val="Heading3"/>
      </w:pPr>
      <w:r>
        <w:t xml:space="preserve">Década de 1950: os peptídeos se tornam legíveis e reproduzíveis</w:t>
      </w:r>
    </w:p>
    <w:p>
      <w:pPr>
        <w:pStyle w:val="FirstParagraph"/>
      </w:pPr>
      <w:r>
        <w:t xml:space="preserve">Por muito tempo não se sabia como a insulina era constituída quimicamente. O bioquímico britânico Frederick Sanger decifrou, no início da década de 1950, passo a passo, a ordem dos aminoácidos nas duas cadeias da insulina</w:t>
      </w:r>
      <w:r>
        <w:rPr>
          <w:rStyle w:val="FootnoteReference"/>
        </w:rPr>
        <w:footnoteReference w:id="69"/>
      </w:r>
      <w:r>
        <w:t xml:space="preserve">. A insulina tornou-se assim a primeira proteína cuja sequência completa era conhecida. Sanger recebeu por isso o Prêmio Nobel de Química em 1958. A constatação de que as proteínas têm uma ordem fixa e exatamente definida de blocos de construção foi fundamental para toda a biologia molecular.</w:t>
      </w:r>
    </w:p>
    <w:p>
      <w:pPr>
        <w:pStyle w:val="BodyText"/>
      </w:pPr>
      <w:r>
        <w:t xml:space="preserve">Quase ao mesmo tempo, o químico norte-americano Vincent du Vigneaud conseguiu a primeira produção química de um hormônio peptídico: a ocitocina, um hormônio de nove aminoácidos que desencadeia as contrações do parto e a saída do leite. Ele recebeu por isso o Prêmio Nobel de Química em 1955. Pela primeira vez, um hormônio do próprio corpo havia sido</w:t>
      </w:r>
      <w:r>
        <w:t xml:space="preserve"> </w:t>
      </w:r>
      <w:r>
        <w:t xml:space="preserve">“</w:t>
      </w:r>
      <w:r>
        <w:t xml:space="preserve">reconstruído</w:t>
      </w:r>
      <w:r>
        <w:t xml:space="preserve">”</w:t>
      </w:r>
      <w:r>
        <w:t xml:space="preserve"> </w:t>
      </w:r>
      <w:r>
        <w:t xml:space="preserve">em laboratório – a ocitocina sintética é usada na obstetrícia até hoje.</w:t>
      </w:r>
    </w:p>
    <w:p>
      <w:pPr>
        <w:pStyle w:val="BodyText"/>
      </w:pPr>
      <w:r>
        <w:t xml:space="preserve">Na década de 1960, Robert Bruce Merrifield desenvolveu a síntese em fase sólida, na qual uma cadeia peptídica é alongada bloco a bloco sobre um suporte sólido</w:t>
      </w:r>
      <w:r>
        <w:rPr>
          <w:rStyle w:val="FootnoteReference"/>
        </w:rPr>
        <w:footnoteReference w:id="70"/>
      </w:r>
      <w:r>
        <w:t xml:space="preserve">. O método pôde ser automatizado e tornou viável, pela primeira vez, a produção de quaisquer peptídeos curtos. Merrifield recebeu o Prêmio Nobel de Química em 1984. Sem essa técnica não existiriam nem a maioria dos medicamentos peptídicos modernos nem o mercado cinza atual.</w:t>
      </w:r>
    </w:p>
    <w:bookmarkEnd w:id="71"/>
    <w:bookmarkStart w:id="73" w:name="décadas-de-1960-e-1970-medir-e-controlar"/>
    <w:p>
      <w:pPr>
        <w:pStyle w:val="Heading3"/>
      </w:pPr>
      <w:r>
        <w:t xml:space="preserve">Décadas de 1960 e 1970: medir e controlar</w:t>
      </w:r>
    </w:p>
    <w:p>
      <w:pPr>
        <w:pStyle w:val="FirstParagraph"/>
      </w:pPr>
      <w:r>
        <w:t xml:space="preserve">Outro obstáculo era a possibilidade de medição. Os hormônios peptídicos estão presentes no sangue em quantidades ínfimas. Rosalyn Yalow e Solomon Berson desenvolveram um método de medição com anticorpos e moléculas marcadas radioativamente, o radioimunoensaio, e com ele determinaram pela primeira vez a insulina no sangue de seres humanos</w:t>
      </w:r>
      <w:r>
        <w:rPr>
          <w:rStyle w:val="FootnoteReference"/>
        </w:rPr>
        <w:footnoteReference w:id="72"/>
      </w:r>
      <w:r>
        <w:t xml:space="preserve">. Yalow recebeu o Prêmio Nobel em 1977. De repente, era possível acompanhar quando o corpo libera quais hormônios peptídicos.</w:t>
      </w:r>
    </w:p>
    <w:p>
      <w:pPr>
        <w:pStyle w:val="BodyText"/>
      </w:pPr>
      <w:r>
        <w:t xml:space="preserve">No mesmo ano, foram premiados Roger Guillemin e Andrew Schally. Eles haviam decifrado os mensageiros peptídicos do hipotálamo – a região cerebral que dá ordens à hipófise. Dessas descobertas surgiram classes inteiras de medicamentos: variantes do hormônio liberador de gonadotrofina (GnRH) são usadas, por exemplo, no câncer de próstata, na endometriose e no tratamento da infertilidade. O hormônio somatostatina serviu de modelo para a octreotida, usada em tumores produtores de hormônios e na acromegalia. Os peptídeos liberadores do hormônio do crescimento, tratados em detalhe na Parte II, também têm suas raízes aqui.</w:t>
      </w:r>
    </w:p>
    <w:bookmarkEnd w:id="73"/>
    <w:bookmarkStart w:id="77" w:name="X9e7819a1b6a036f8293370cf20cc9cb4deae7fd"/>
    <w:p>
      <w:pPr>
        <w:pStyle w:val="Heading3"/>
      </w:pPr>
      <w:r>
        <w:t xml:space="preserve">Década de 1980: a engenharia genética muda tudo</w:t>
      </w:r>
    </w:p>
    <w:p>
      <w:pPr>
        <w:pStyle w:val="FirstParagraph"/>
      </w:pPr>
      <w:r>
        <w:t xml:space="preserve">Até a década de 1980, a insulina vinha de pâncreas de animais abatidos. O hormônio do crescimento humano era obtido de hipófises de pessoas falecidas; esse período foi de 1958 a 1985</w:t>
      </w:r>
      <w:r>
        <w:rPr>
          <w:rStyle w:val="FootnoteReference"/>
        </w:rPr>
        <w:footnoteReference w:id="74"/>
      </w:r>
      <w:r>
        <w:t xml:space="preserve">. Esse método de obtenção teve um lado trágico: algumas crianças que haviam recebido esse hormônio desenvolveram anos depois a doença de Creutzfeldt-Jakob, transmitida por preparações contaminadas. O episódio continua sendo um alerta sobre a importância da pureza e da origem em substâncias biológicas.</w:t>
      </w:r>
    </w:p>
    <w:p>
      <w:pPr>
        <w:pStyle w:val="BodyText"/>
      </w:pPr>
      <w:r>
        <w:t xml:space="preserve">A engenharia genética ofereceu uma saída. A insulina humana, produzida em bactérias, passou a ser usada em estudos clínicos com seres humanos a partir de 1980 e foi o primeiro medicamento obtido pela tecnologia do DNA recombinante</w:t>
      </w:r>
      <w:r>
        <w:rPr>
          <w:rStyle w:val="FootnoteReference"/>
        </w:rPr>
        <w:footnoteReference w:id="75"/>
      </w:r>
      <w:r>
        <w:t xml:space="preserve">. Poucos anos depois veio o hormônio do crescimento recombinante. Pela primeira vez, peptídeos e proteínas humanos estavam disponíveis em quantidades praticamente ilimitadas.</w:t>
      </w:r>
    </w:p>
    <w:p>
      <w:pPr>
        <w:pStyle w:val="BodyText"/>
      </w:pPr>
      <w:r>
        <w:t xml:space="preserve">Na década de 1990, os fabricantes foram um passo além: modificaram as moléculas de insulina de forma direcionada para que agissem mais rápido ou mais devagar. Esses</w:t>
      </w:r>
      <w:r>
        <w:t xml:space="preserve"> </w:t>
      </w:r>
      <w:r>
        <w:t xml:space="preserve">“</w:t>
      </w:r>
      <w:r>
        <w:t xml:space="preserve">análogos de insulina</w:t>
      </w:r>
      <w:r>
        <w:t xml:space="preserve">”</w:t>
      </w:r>
      <w:r>
        <w:t xml:space="preserve"> </w:t>
      </w:r>
      <w:r>
        <w:t xml:space="preserve">foram precursores do princípio que mais tarde tornaria os medicamentos GLP-1 tão bem-sucedidos: um modelo natural, otimizado em laboratório para o uso.</w:t>
      </w:r>
    </w:p>
    <w:p>
      <w:pPr>
        <w:pStyle w:val="BodyText"/>
      </w:pPr>
      <w:r>
        <w:t xml:space="preserve">Outros medicamentos peptídicos também se estabeleceram. Um exemplo é a teriparatida, um fragmento do paratormônio. Em um grande estudo com 1.637 mulheres na pós-menopausa com osteoporose, novas fraturas vertebrais ocorreram em 14% das mulheres com placebo, mas apenas em 5% e 4%, respectivamente, nos dois grupos de teriparatida</w:t>
      </w:r>
      <w:r>
        <w:rPr>
          <w:rStyle w:val="FootnoteReference"/>
        </w:rPr>
        <w:footnoteReference w:id="76"/>
      </w:r>
      <w:r>
        <w:t xml:space="preserve">. Estudos assim, com desfechos</w:t>
      </w:r>
      <w:r>
        <w:t xml:space="preserve"> </w:t>
      </w:r>
      <w:r>
        <w:t xml:space="preserve">“</w:t>
      </w:r>
      <w:r>
        <w:t xml:space="preserve">duros</w:t>
      </w:r>
      <w:r>
        <w:t xml:space="preserve">”</w:t>
      </w:r>
      <w:r>
        <w:t xml:space="preserve"> </w:t>
      </w:r>
      <w:r>
        <w:t xml:space="preserve">como fraturas ósseas, estabeleceram o padrão pelo qual também os novos peptídeos precisam ser medidos.</w:t>
      </w:r>
    </w:p>
    <w:bookmarkEnd w:id="77"/>
    <w:bookmarkStart w:id="80" w:name="X422396500dc8badfa43bc312bc08888d7f8edc0"/>
    <w:p>
      <w:pPr>
        <w:pStyle w:val="Heading3"/>
      </w:pPr>
      <w:r>
        <w:t xml:space="preserve">As incretinas: do intestino ao medicamento</w:t>
      </w:r>
    </w:p>
    <w:p>
      <w:pPr>
        <w:pStyle w:val="FirstParagraph"/>
      </w:pPr>
      <w:r>
        <w:t xml:space="preserve">A história dos medicamentos GLP-1 começa com uma observação da década de 1960: o açúcar ingerido provoca uma liberação de insulina muito maior do que a mesma quantidade de açúcar injetada diretamente no sangue. Portanto, durante a refeição, o intestino deve enviar sinais ao pâncreas. Esses sinalizadores foram chamados de incretinas.</w:t>
      </w:r>
    </w:p>
    <w:p>
      <w:pPr>
        <w:pStyle w:val="BodyText"/>
      </w:pPr>
      <w:r>
        <w:t xml:space="preserve">A primeira incretina conhecida foi o GIP (polipeptídeo insulinotrópico dependente de glicose). Na década de 1980, descobriu-se uma segunda: o glucagon-like peptide-1, ou GLP-1. Um grupo britânico mostrou em 1987 que o GLP-1 aumenta no sangue humano após uma refeição, que – infundido em quantidades semelhantes às de depois de comer – aumentou a liberação de insulina e baixou a glicose no sangue em sete voluntários e que, nisso, foi mais eficaz que o GIP</w:t>
      </w:r>
      <w:r>
        <w:rPr>
          <w:rStyle w:val="FootnoteReference"/>
        </w:rPr>
        <w:footnoteReference w:id="78"/>
      </w:r>
      <w:r>
        <w:t xml:space="preserve">.</w:t>
      </w:r>
    </w:p>
    <w:p>
      <w:pPr>
        <w:pStyle w:val="BodyText"/>
      </w:pPr>
      <w:r>
        <w:t xml:space="preserve">O problema: o GLP-1 natural é degradado no sangue em poucos minutos pela enzima DPP-4</w:t>
      </w:r>
      <w:r>
        <w:rPr>
          <w:rStyle w:val="FootnoteReference"/>
        </w:rPr>
        <w:footnoteReference w:id="79"/>
      </w:r>
      <w:r>
        <w:t xml:space="preserve">. Assim, dificilmente serviria como medicamento. Foram seguidos dois caminhos: inibidores da enzima degradadora (as chamadas gliptinas, aprovadas como comprimidos e que não são peptídeos) e réplicas estáveis do próprio GLP-1.</w:t>
      </w:r>
    </w:p>
    <w:bookmarkEnd w:id="80"/>
    <w:bookmarkStart w:id="83" w:name="o-veneno-de-lagarto-exenatida"/>
    <w:p>
      <w:pPr>
        <w:pStyle w:val="Heading3"/>
      </w:pPr>
      <w:r>
        <w:t xml:space="preserve">O veneno de lagarto: exenatida</w:t>
      </w:r>
    </w:p>
    <w:p>
      <w:pPr>
        <w:pStyle w:val="FirstParagraph"/>
      </w:pPr>
      <w:r>
        <w:t xml:space="preserve">A primeira réplica estável veio de uma direção inesperada. O endocrinologista norte-americano John Eng estudou, no início da década de 1990, o veneno do monstro-de-gila (Heloderma suspectum), um réptil venenoso do sudoeste dos EUA. Ele isolou desse veneno um peptídeo de 39 aminoácidos que chamou de exendina-4</w:t>
      </w:r>
      <w:r>
        <w:rPr>
          <w:rStyle w:val="FootnoteReference"/>
        </w:rPr>
        <w:footnoteReference w:id="81"/>
      </w:r>
      <w:r>
        <w:t xml:space="preserve">. A exendina-4 se parece com o GLP-1 humano, ativa o mesmo receptor, mas quase não é atacada pela DPP-4.</w:t>
      </w:r>
    </w:p>
    <w:p>
      <w:pPr>
        <w:pStyle w:val="BodyText"/>
      </w:pPr>
      <w:r>
        <w:t xml:space="preserve">A exendina-4 sintética recebeu o nome de exenatida e foi aprovada nos EUA em 2005 como o primeiro medicamento dessa classe. Em um dos estudos de aprovação, com 336 pessoas com diabetes tipo 2 que já tomavam metformina, a HbA1c, valor de longo prazo da glicose no sangue, caiu após 30 semanas 0,78 ponto percentual no grupo de dose mais alta, enquanto com placebo subiu levemente, 0,08 ponto percentual. Ao mesmo tempo, os participantes com exenatida perderam peso, 2,8 kg na dose mais alta</w:t>
      </w:r>
      <w:r>
        <w:rPr>
          <w:rStyle w:val="FootnoteReference"/>
        </w:rPr>
        <w:footnoteReference w:id="82"/>
      </w:r>
      <w:r>
        <w:t xml:space="preserve">. No início, a exenatida precisava ser injetada duas vezes ao dia.</w:t>
      </w:r>
    </w:p>
    <w:p>
      <w:pPr>
        <w:pStyle w:val="BodyText"/>
      </w:pPr>
      <w:r>
        <w:t xml:space="preserve">A perda de peso era considerada, na época, um efeito colateral bem-vindo. Que justamente esse efeito tornaria toda a classe famosa duas décadas depois, poucos devem ter imaginado.</w:t>
      </w:r>
    </w:p>
    <w:bookmarkEnd w:id="83"/>
    <w:bookmarkStart w:id="88" w:name="X13096d05c8bc563722195b422171b5489d92070"/>
    <w:p>
      <w:pPr>
        <w:pStyle w:val="Heading3"/>
      </w:pPr>
      <w:r>
        <w:t xml:space="preserve">Ação mais longa: liraglutida e semaglutida</w:t>
      </w:r>
    </w:p>
    <w:p>
      <w:pPr>
        <w:pStyle w:val="FirstParagraph"/>
      </w:pPr>
      <w:r>
        <w:t xml:space="preserve">A fabricante dinamarquesa Novo Nordisk seguiu outro caminho. Em vez de usar um peptídeo estranho ao corpo, modificou-se o GLP-1 humano de modo que ele se ligasse à proteína transportadora albumina no sangue e, assim, fosse degradado mais lentamente. O resultado foi a liraglutida, injetada uma vez ao dia e aprovada na UE em 2009. Uma revisão escrita pelos desenvolvedores descreve como foram buscadas combinações adequadas de ácido graxo e conector para maximizar a ligação à albumina sem perder a ação no receptor</w:t>
      </w:r>
      <w:r>
        <w:rPr>
          <w:rStyle w:val="FootnoteReference"/>
        </w:rPr>
        <w:footnoteReference w:id="84"/>
      </w:r>
      <w:r>
        <w:t xml:space="preserve">.</w:t>
      </w:r>
    </w:p>
    <w:p>
      <w:pPr>
        <w:pStyle w:val="BodyText"/>
      </w:pPr>
      <w:r>
        <w:t xml:space="preserve">Mais tarde, a liraglutida também foi testada em dose mais alta para o tratamento do peso. No estudo SCALE, com 3.731 participantes sem diabetes, as pessoas com liraglutida perderam em média 8,4 kg em 56 semanas, contra 2,8 kg com placebo</w:t>
      </w:r>
      <w:r>
        <w:rPr>
          <w:rStyle w:val="FootnoteReference"/>
        </w:rPr>
        <w:footnoteReference w:id="85"/>
      </w:r>
      <w:r>
        <w:t xml:space="preserve">.</w:t>
      </w:r>
    </w:p>
    <w:p>
      <w:pPr>
        <w:pStyle w:val="BodyText"/>
      </w:pPr>
      <w:r>
        <w:t xml:space="preserve">O passo seguinte foi a semaglutida: uma molécula ligada ainda mais fortemente à albumina, que precisa ser injetada apenas uma vez por semana</w:t>
      </w:r>
      <w:r>
        <w:rPr>
          <w:rStyle w:val="FootnoteReference"/>
        </w:rPr>
        <w:footnoteReference w:id="86"/>
      </w:r>
      <w:r>
        <w:t xml:space="preserve">. No estudo de aprovação STEP 1, com 1.961 adultos com sobrepeso ou obesidade, o peso corporal caiu em média 14,9% ao longo de 68 semanas, contra 2,4% com placebo</w:t>
      </w:r>
      <w:r>
        <w:rPr>
          <w:rStyle w:val="FootnoteReference"/>
        </w:rPr>
        <w:footnoteReference w:id="87"/>
      </w:r>
      <w:r>
        <w:t xml:space="preserve">. Essa ordem de grandeza ficou muito acima de tudo o que os medicamentos para emagrecer anteriores haviam alcançado.</w:t>
      </w:r>
    </w:p>
    <w:bookmarkEnd w:id="88"/>
    <w:bookmarkStart w:id="92" w:name="da-glicose-ao-coração"/>
    <w:p>
      <w:pPr>
        <w:pStyle w:val="Heading3"/>
      </w:pPr>
      <w:r>
        <w:t xml:space="preserve">Da glicose ao coração</w:t>
      </w:r>
    </w:p>
    <w:p>
      <w:pPr>
        <w:pStyle w:val="FirstParagraph"/>
      </w:pPr>
      <w:r>
        <w:t xml:space="preserve">Um ponto de virada veio quando, após problemas com outro medicamento para diabetes, as autoridades passaram a exigir a partir de 2008 que novos medicamentos para diabetes comprovassem sua segurança cardiovascular em grandes estudos. Esses estudos deveriam, na verdade, apenas mostrar que os medicamentos não colocavam o coração em risco. No caso dos medicamentos GLP-1, mostraram mais do que isso.</w:t>
      </w:r>
    </w:p>
    <w:p>
      <w:pPr>
        <w:pStyle w:val="BodyText"/>
      </w:pPr>
      <w:r>
        <w:t xml:space="preserve">No estudo LEADER, com 9.340 pessoas com diabetes tipo 2 e alto risco cardiovascular, o evento combinado de morte cardiovascular, infarto não fatal ou AVC ocorreu em 13,0% com liraglutida e em 14,9% com placebo</w:t>
      </w:r>
      <w:r>
        <w:rPr>
          <w:rStyle w:val="FootnoteReference"/>
        </w:rPr>
        <w:footnoteReference w:id="89"/>
      </w:r>
      <w:r>
        <w:t xml:space="preserve">. No estudo SUSTAIN-6, com 3.297 participantes, foram 6,6% com semaglutida e 8,9% com placebo; no entanto, complicações na retina ocorreram com mais frequência com semaglutida</w:t>
      </w:r>
      <w:r>
        <w:rPr>
          <w:rStyle w:val="FootnoteReference"/>
        </w:rPr>
        <w:footnoteReference w:id="90"/>
      </w:r>
      <w:r>
        <w:t xml:space="preserve">.</w:t>
      </w:r>
    </w:p>
    <w:p>
      <w:pPr>
        <w:pStyle w:val="BodyText"/>
      </w:pPr>
      <w:r>
        <w:t xml:space="preserve">Em 2023 veio o estudo SELECT, o primeiro a investigar pessoas com sobrepeso e doença cardiovascular, mas sem diabetes. Em 17.604 participantes, o evento cardiovascular combinado ocorreu, ao longo de em média 39,8 meses, em 6,5% com semaglutida e em 8,0% com placebo</w:t>
      </w:r>
      <w:r>
        <w:rPr>
          <w:rStyle w:val="FootnoteReference"/>
        </w:rPr>
        <w:footnoteReference w:id="91"/>
      </w:r>
      <w:r>
        <w:t xml:space="preserve">. Com isso ficou demonstrado que um medicamento peptídico na obesidade pode influenciar não só o peso, mas também eventos duros como infartos. O que essas porcentagens significam – e por que é preciso distinguir entre diferenças relativas e absolutas – é explicado no capítulo</w:t>
      </w:r>
      <w:r>
        <w:t xml:space="preserve"> </w:t>
      </w:r>
      <w:r>
        <w:t xml:space="preserve">“</w:t>
      </w:r>
      <w:r>
        <w:t xml:space="preserve">Como ler estudos corretamente</w:t>
      </w:r>
      <w:r>
        <w:t xml:space="preserve">”</w:t>
      </w:r>
      <w:r>
        <w:t xml:space="preserve">.</w:t>
      </w:r>
    </w:p>
    <w:bookmarkEnd w:id="92"/>
    <w:bookmarkStart w:id="96" w:name="o-comprimido-e-os-agonistas-múltiplos"/>
    <w:p>
      <w:pPr>
        <w:pStyle w:val="Heading3"/>
      </w:pPr>
      <w:r>
        <w:t xml:space="preserve">O comprimido e os agonistas múltiplos</w:t>
      </w:r>
    </w:p>
    <w:p>
      <w:pPr>
        <w:pStyle w:val="FirstParagraph"/>
      </w:pPr>
      <w:r>
        <w:t xml:space="preserve">Dois outros desenvolvimentos marcaram os últimos anos.</w:t>
      </w:r>
    </w:p>
    <w:p>
      <w:pPr>
        <w:pStyle w:val="BodyText"/>
      </w:pPr>
      <w:r>
        <w:rPr>
          <w:bCs/>
          <w:b/>
        </w:rPr>
        <w:t xml:space="preserve">O primeiro comprimido peptídico dessa classe.</w:t>
      </w:r>
      <w:r>
        <w:t xml:space="preserve"> </w:t>
      </w:r>
      <w:r>
        <w:t xml:space="preserve">Com um excipiente especial, foi possível disponibilizar a semaglutida em comprimido. No estudo PIONEER 1, a semaglutida oral reduziu a HbA1c em pessoas com diabetes tipo 2 de forma muito mais acentuada que o placebo</w:t>
      </w:r>
      <w:r>
        <w:rPr>
          <w:rStyle w:val="FootnoteReference"/>
        </w:rPr>
        <w:footnoteReference w:id="93"/>
      </w:r>
      <w:r>
        <w:t xml:space="preserve">. Como isso funciona tecnicamente é explicado no próximo capítulo.</w:t>
      </w:r>
    </w:p>
    <w:p>
      <w:pPr>
        <w:pStyle w:val="BodyText"/>
      </w:pPr>
      <w:r>
        <w:rPr>
          <w:bCs/>
          <w:b/>
        </w:rPr>
        <w:t xml:space="preserve">Substâncias combinadas.</w:t>
      </w:r>
      <w:r>
        <w:t xml:space="preserve"> </w:t>
      </w:r>
      <w:r>
        <w:t xml:space="preserve">A tirzepatida ativa ao mesmo tempo os receptores de GLP-1 e de GIP. No estudo SURMOUNT-1, com 2.539 adultos com obesidade, a perda de peso média após 72 semanas foi, conforme a dose, de 15,0% a 20,9%, contra 3,1% com placebo</w:t>
      </w:r>
      <w:r>
        <w:rPr>
          <w:rStyle w:val="FootnoteReference"/>
        </w:rPr>
        <w:footnoteReference w:id="94"/>
      </w:r>
      <w:r>
        <w:t xml:space="preserve">. Atualmente, agonistas triplos como a retatrutida e combinações com o hormônio amilina estão sendo testados em grandes estudos. A Parte II os apresenta individualmente; a Parte V dá uma olhada no pipeline.</w:t>
      </w:r>
    </w:p>
    <w:p>
      <w:pPr>
        <w:pStyle w:val="BodyText"/>
      </w:pPr>
      <w:r>
        <w:t xml:space="preserve">É notável que a incretina GIP, considerada na década de 1980 mais fraca que o GLP-1</w:t>
      </w:r>
      <w:r>
        <w:rPr>
          <w:rStyle w:val="FootnoteReference"/>
        </w:rPr>
        <w:footnoteReference w:id="95"/>
      </w:r>
      <w:r>
        <w:t xml:space="preserve">, volte a ter um papel em combinação. A pesquisa raramente segue em linha reta.</w:t>
      </w:r>
    </w:p>
    <w:bookmarkEnd w:id="96"/>
    <w:bookmarkStart w:id="97" w:name="o-outro-lado-do-sucesso"/>
    <w:p>
      <w:pPr>
        <w:pStyle w:val="Heading3"/>
      </w:pPr>
      <w:r>
        <w:t xml:space="preserve">O outro lado do sucesso</w:t>
      </w:r>
    </w:p>
    <w:p>
      <w:pPr>
        <w:pStyle w:val="FirstParagraph"/>
      </w:pPr>
      <w:r>
        <w:t xml:space="preserve">O enorme sucesso dos medicamentos GLP-1 teve efeitos colaterais para além da farmacologia. A falta de produto a partir de 2022 fez com que pessoas com diabetes ficassem temporariamente sem seus medicamentos. Nos EUA, farmácias usaram uma regra de exceção para produzir preparações de imitação. No mundo todo surgiram falsificações que, em alguns casos, continham insulina em vez de semaglutida. E o interesse crescente por</w:t>
      </w:r>
      <w:r>
        <w:t xml:space="preserve"> </w:t>
      </w:r>
      <w:r>
        <w:t xml:space="preserve">“</w:t>
      </w:r>
      <w:r>
        <w:t xml:space="preserve">peptídeos</w:t>
      </w:r>
      <w:r>
        <w:t xml:space="preserve">”</w:t>
      </w:r>
      <w:r>
        <w:t xml:space="preserve"> </w:t>
      </w:r>
      <w:r>
        <w:t xml:space="preserve">em geral abriu um mercado para substâncias que nunca foram devidamente estudadas em seres humanos. O capítulo sobre o mercado cinza trata disso em detalhe.</w:t>
      </w:r>
    </w:p>
    <w:bookmarkEnd w:id="97"/>
    <w:bookmarkStart w:id="98" w:name="o-que-a-história-ensina"/>
    <w:p>
      <w:pPr>
        <w:pStyle w:val="Heading3"/>
      </w:pPr>
      <w:r>
        <w:t xml:space="preserve">O que a história ensina</w:t>
      </w:r>
    </w:p>
    <w:p>
      <w:pPr>
        <w:pStyle w:val="FirstParagraph"/>
      </w:pPr>
      <w:r>
        <w:t xml:space="preserve">De cem anos de medicina peptídica é possível tirar algumas lições úteis para avaliar as substâncias deste livro:</w:t>
      </w:r>
    </w:p>
    <w:p>
      <w:pPr>
        <w:numPr>
          <w:ilvl w:val="0"/>
          <w:numId w:val="1008"/>
        </w:numPr>
        <w:pStyle w:val="Compact"/>
      </w:pPr>
      <w:r>
        <w:rPr>
          <w:bCs/>
          <w:b/>
        </w:rPr>
        <w:t xml:space="preserve">A pureza não é um detalhe.</w:t>
      </w:r>
      <w:r>
        <w:t xml:space="preserve"> </w:t>
      </w:r>
      <w:r>
        <w:t xml:space="preserve">Dos extratos de insulina contaminados do início ao hormônio do crescimento obtido de hipófises de cadáveres, a história mostra que a qualidade da produção pode decidir entre a vida e a morte.</w:t>
      </w:r>
    </w:p>
    <w:p>
      <w:pPr>
        <w:numPr>
          <w:ilvl w:val="0"/>
          <w:numId w:val="1008"/>
        </w:numPr>
        <w:pStyle w:val="Compact"/>
      </w:pPr>
      <w:r>
        <w:rPr>
          <w:bCs/>
          <w:b/>
        </w:rPr>
        <w:t xml:space="preserve">Mecanismo de ação não é o mesmo que benefício.</w:t>
      </w:r>
      <w:r>
        <w:t xml:space="preserve"> </w:t>
      </w:r>
      <w:r>
        <w:t xml:space="preserve">O fato de um peptídeo agir em um receptor ainda não significa que ele traga benefício às pessoas. No caso dos medicamentos GLP-1, foram necessários grandes estudos com milhares de participantes e vários anos de acompanhamento.</w:t>
      </w:r>
    </w:p>
    <w:p>
      <w:pPr>
        <w:numPr>
          <w:ilvl w:val="0"/>
          <w:numId w:val="1008"/>
        </w:numPr>
        <w:pStyle w:val="Compact"/>
      </w:pPr>
      <w:r>
        <w:rPr>
          <w:bCs/>
          <w:b/>
        </w:rPr>
        <w:t xml:space="preserve">Há surpresas nas duas direções.</w:t>
      </w:r>
      <w:r>
        <w:t xml:space="preserve"> </w:t>
      </w:r>
      <w:r>
        <w:t xml:space="preserve">A perda de peso com exenatida foi inicialmente uma nota de rodapé; os efeitos de proteção cardíaca foram descobertos em estudos de segurança. Por outro lado, grandes estudos também revelaram riscos inesperados, como as complicações na retina no SUSTAIN-6.</w:t>
      </w:r>
    </w:p>
    <w:p>
      <w:pPr>
        <w:numPr>
          <w:ilvl w:val="0"/>
          <w:numId w:val="1008"/>
        </w:numPr>
        <w:pStyle w:val="Compact"/>
      </w:pPr>
      <w:r>
        <w:rPr>
          <w:bCs/>
          <w:b/>
        </w:rPr>
        <w:t xml:space="preserve">Boas ideias precisam de tempo.</w:t>
      </w:r>
      <w:r>
        <w:t xml:space="preserve"> </w:t>
      </w:r>
      <w:r>
        <w:t xml:space="preserve">Entre a descrição do GLP-1 em humanos, em 1987, e a aprovação da semaglutida para o tratamento do peso, passaram-se mais de três décadas. Peptídeos anunciados hoje na internet como</w:t>
      </w:r>
      <w:r>
        <w:t xml:space="preserve"> </w:t>
      </w:r>
      <w:r>
        <w:t xml:space="preserve">“</w:t>
      </w:r>
      <w:r>
        <w:t xml:space="preserve">avanço revolucionário</w:t>
      </w:r>
      <w:r>
        <w:t xml:space="preserve">”</w:t>
      </w:r>
      <w:r>
        <w:t xml:space="preserve">, sem que exista um único estudo controlado em seres humanos, estão, na melhor das hipóteses, no início de um caminho assim.</w:t>
      </w:r>
    </w:p>
    <w:bookmarkEnd w:id="98"/>
    <w:bookmarkStart w:id="99" w:name="linha-do-tempo"/>
    <w:p>
      <w:pPr>
        <w:pStyle w:val="Heading3"/>
      </w:pPr>
      <w:r>
        <w:t xml:space="preserve">Linha do tempo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w:t>
            </w:r>
          </w:p>
        </w:tc>
        <w:tc>
          <w:tcPr/>
          <w:p>
            <w:pPr>
              <w:pStyle w:val="Compact"/>
              <w:jc w:val="left"/>
            </w:pPr>
            <w:r>
              <w:t xml:space="preserve">Acontecimento</w:t>
            </w:r>
          </w:p>
        </w:tc>
      </w:tr>
      <w:tr>
        <w:tc>
          <w:tcPr/>
          <w:p>
            <w:pPr>
              <w:pStyle w:val="Compact"/>
              <w:jc w:val="left"/>
            </w:pPr>
            <w:r>
              <w:t xml:space="preserve">1902</w:t>
            </w:r>
          </w:p>
        </w:tc>
        <w:tc>
          <w:tcPr/>
          <w:p>
            <w:pPr>
              <w:pStyle w:val="Compact"/>
              <w:jc w:val="left"/>
            </w:pPr>
            <w:r>
              <w:t xml:space="preserve">Descrição da secretina, o primeiro hormônio (um peptídeo)</w:t>
            </w:r>
          </w:p>
        </w:tc>
      </w:tr>
      <w:tr>
        <w:tc>
          <w:tcPr/>
          <w:p>
            <w:pPr>
              <w:pStyle w:val="Compact"/>
              <w:jc w:val="left"/>
            </w:pPr>
            <w:r>
              <w:t xml:space="preserve">1922</w:t>
            </w:r>
          </w:p>
        </w:tc>
        <w:tc>
          <w:tcPr/>
          <w:p>
            <w:pPr>
              <w:pStyle w:val="Compact"/>
              <w:jc w:val="left"/>
            </w:pPr>
            <w:r>
              <w:t xml:space="preserve">Primeiro tratamento de um ser humano com insulina em Toronto</w:t>
            </w:r>
          </w:p>
        </w:tc>
      </w:tr>
      <w:tr>
        <w:tc>
          <w:tcPr/>
          <w:p>
            <w:pPr>
              <w:pStyle w:val="Compact"/>
              <w:jc w:val="left"/>
            </w:pPr>
            <w:r>
              <w:t xml:space="preserve">1951–1955</w:t>
            </w:r>
          </w:p>
        </w:tc>
        <w:tc>
          <w:tcPr/>
          <w:p>
            <w:pPr>
              <w:pStyle w:val="Compact"/>
              <w:jc w:val="left"/>
            </w:pPr>
            <w:r>
              <w:t xml:space="preserve">Sanger decifra a sequência da insulina</w:t>
            </w:r>
          </w:p>
        </w:tc>
      </w:tr>
      <w:tr>
        <w:tc>
          <w:tcPr/>
          <w:p>
            <w:pPr>
              <w:pStyle w:val="Compact"/>
              <w:jc w:val="left"/>
            </w:pPr>
            <w:r>
              <w:t xml:space="preserve">1953</w:t>
            </w:r>
          </w:p>
        </w:tc>
        <w:tc>
          <w:tcPr/>
          <w:p>
            <w:pPr>
              <w:pStyle w:val="Compact"/>
              <w:jc w:val="left"/>
            </w:pPr>
            <w:r>
              <w:t xml:space="preserve">Primeira síntese química de um hormônio peptídico (ocitocina)</w:t>
            </w:r>
          </w:p>
        </w:tc>
      </w:tr>
      <w:tr>
        <w:tc>
          <w:tcPr/>
          <w:p>
            <w:pPr>
              <w:pStyle w:val="Compact"/>
              <w:jc w:val="left"/>
            </w:pPr>
            <w:r>
              <w:t xml:space="preserve">Década de 1960</w:t>
            </w:r>
          </w:p>
        </w:tc>
        <w:tc>
          <w:tcPr/>
          <w:p>
            <w:pPr>
              <w:pStyle w:val="Compact"/>
              <w:jc w:val="left"/>
            </w:pPr>
            <w:r>
              <w:t xml:space="preserve">Síntese em fase sólida (Merrifield), radioimunoensaio</w:t>
            </w:r>
          </w:p>
        </w:tc>
      </w:tr>
      <w:tr>
        <w:tc>
          <w:tcPr/>
          <w:p>
            <w:pPr>
              <w:pStyle w:val="Compact"/>
              <w:jc w:val="left"/>
            </w:pPr>
            <w:r>
              <w:t xml:space="preserve">1980</w:t>
            </w:r>
          </w:p>
        </w:tc>
        <w:tc>
          <w:tcPr/>
          <w:p>
            <w:pPr>
              <w:pStyle w:val="Compact"/>
              <w:jc w:val="left"/>
            </w:pPr>
            <w:r>
              <w:t xml:space="preserve">Insulina humana de engenharia genética em estudos clínicos</w:t>
            </w:r>
          </w:p>
        </w:tc>
      </w:tr>
      <w:tr>
        <w:tc>
          <w:tcPr/>
          <w:p>
            <w:pPr>
              <w:pStyle w:val="Compact"/>
              <w:jc w:val="left"/>
            </w:pPr>
            <w:r>
              <w:t xml:space="preserve">1985</w:t>
            </w:r>
          </w:p>
        </w:tc>
        <w:tc>
          <w:tcPr/>
          <w:p>
            <w:pPr>
              <w:pStyle w:val="Compact"/>
              <w:jc w:val="left"/>
            </w:pPr>
            <w:r>
              <w:t xml:space="preserve">Fim da obtenção do hormônio do crescimento de hipófises</w:t>
            </w:r>
          </w:p>
        </w:tc>
      </w:tr>
      <w:tr>
        <w:tc>
          <w:tcPr/>
          <w:p>
            <w:pPr>
              <w:pStyle w:val="Compact"/>
              <w:jc w:val="left"/>
            </w:pPr>
            <w:r>
              <w:t xml:space="preserve">1987</w:t>
            </w:r>
          </w:p>
        </w:tc>
        <w:tc>
          <w:tcPr/>
          <w:p>
            <w:pPr>
              <w:pStyle w:val="Compact"/>
              <w:jc w:val="left"/>
            </w:pPr>
            <w:r>
              <w:t xml:space="preserve">GLP-1 descrito como incretina em humanos</w:t>
            </w:r>
          </w:p>
        </w:tc>
      </w:tr>
      <w:tr>
        <w:tc>
          <w:tcPr/>
          <w:p>
            <w:pPr>
              <w:pStyle w:val="Compact"/>
              <w:jc w:val="left"/>
            </w:pPr>
            <w:r>
              <w:t xml:space="preserve">1992</w:t>
            </w:r>
          </w:p>
        </w:tc>
        <w:tc>
          <w:tcPr/>
          <w:p>
            <w:pPr>
              <w:pStyle w:val="Compact"/>
              <w:jc w:val="left"/>
            </w:pPr>
            <w:r>
              <w:t xml:space="preserve">Exendina-4 descoberta no veneno do lagarto</w:t>
            </w:r>
          </w:p>
        </w:tc>
      </w:tr>
      <w:tr>
        <w:tc>
          <w:tcPr/>
          <w:p>
            <w:pPr>
              <w:pStyle w:val="Compact"/>
              <w:jc w:val="left"/>
            </w:pPr>
            <w:r>
              <w:t xml:space="preserve">2005</w:t>
            </w:r>
          </w:p>
        </w:tc>
        <w:tc>
          <w:tcPr/>
          <w:p>
            <w:pPr>
              <w:pStyle w:val="Compact"/>
              <w:jc w:val="left"/>
            </w:pPr>
            <w:r>
              <w:t xml:space="preserve">Exenatida aprovada nos EUA</w:t>
            </w:r>
          </w:p>
        </w:tc>
      </w:tr>
      <w:tr>
        <w:tc>
          <w:tcPr/>
          <w:p>
            <w:pPr>
              <w:pStyle w:val="Compact"/>
              <w:jc w:val="left"/>
            </w:pPr>
            <w:r>
              <w:t xml:space="preserve">2009</w:t>
            </w:r>
          </w:p>
        </w:tc>
        <w:tc>
          <w:tcPr/>
          <w:p>
            <w:pPr>
              <w:pStyle w:val="Compact"/>
              <w:jc w:val="left"/>
            </w:pPr>
            <w:r>
              <w:t xml:space="preserve">Liraglutida aprovada na UE</w:t>
            </w:r>
          </w:p>
        </w:tc>
      </w:tr>
      <w:tr>
        <w:tc>
          <w:tcPr/>
          <w:p>
            <w:pPr>
              <w:pStyle w:val="Compact"/>
              <w:jc w:val="left"/>
            </w:pPr>
            <w:r>
              <w:t xml:space="preserve">2016</w:t>
            </w:r>
          </w:p>
        </w:tc>
        <w:tc>
          <w:tcPr/>
          <w:p>
            <w:pPr>
              <w:pStyle w:val="Compact"/>
              <w:jc w:val="left"/>
            </w:pPr>
            <w:r>
              <w:t xml:space="preserve">LEADER e SUSTAIN-6: menos eventos cardiovasculares</w:t>
            </w:r>
          </w:p>
        </w:tc>
      </w:tr>
      <w:tr>
        <w:tc>
          <w:tcPr/>
          <w:p>
            <w:pPr>
              <w:pStyle w:val="Compact"/>
              <w:jc w:val="left"/>
            </w:pPr>
            <w:r>
              <w:t xml:space="preserve">2019</w:t>
            </w:r>
          </w:p>
        </w:tc>
        <w:tc>
          <w:tcPr/>
          <w:p>
            <w:pPr>
              <w:pStyle w:val="Compact"/>
              <w:jc w:val="left"/>
            </w:pPr>
            <w:r>
              <w:t xml:space="preserve">Primeiro comprimido de GLP-1 (semaglutida oral)</w:t>
            </w:r>
          </w:p>
        </w:tc>
      </w:tr>
      <w:tr>
        <w:tc>
          <w:tcPr/>
          <w:p>
            <w:pPr>
              <w:pStyle w:val="Compact"/>
              <w:jc w:val="left"/>
            </w:pPr>
            <w:r>
              <w:t xml:space="preserve">2021</w:t>
            </w:r>
          </w:p>
        </w:tc>
        <w:tc>
          <w:tcPr/>
          <w:p>
            <w:pPr>
              <w:pStyle w:val="Compact"/>
              <w:jc w:val="left"/>
            </w:pPr>
            <w:r>
              <w:t xml:space="preserve">Semaglutida para tratamento do peso (programa STEP)</w:t>
            </w:r>
          </w:p>
        </w:tc>
      </w:tr>
      <w:tr>
        <w:tc>
          <w:tcPr/>
          <w:p>
            <w:pPr>
              <w:pStyle w:val="Compact"/>
              <w:jc w:val="left"/>
            </w:pPr>
            <w:r>
              <w:t xml:space="preserve">2022</w:t>
            </w:r>
          </w:p>
        </w:tc>
        <w:tc>
          <w:tcPr/>
          <w:p>
            <w:pPr>
              <w:pStyle w:val="Compact"/>
              <w:jc w:val="left"/>
            </w:pPr>
            <w:r>
              <w:t xml:space="preserve">Tirzepatida: primeiro agonista duplo GIP/GLP-1</w:t>
            </w:r>
          </w:p>
        </w:tc>
      </w:tr>
      <w:tr>
        <w:tc>
          <w:tcPr/>
          <w:p>
            <w:pPr>
              <w:pStyle w:val="Compact"/>
              <w:jc w:val="left"/>
            </w:pPr>
            <w:r>
              <w:t xml:space="preserve">2023</w:t>
            </w:r>
          </w:p>
        </w:tc>
        <w:tc>
          <w:tcPr/>
          <w:p>
            <w:pPr>
              <w:pStyle w:val="Compact"/>
              <w:jc w:val="left"/>
            </w:pPr>
            <w:r>
              <w:t xml:space="preserve">SELECT: proteção cardíaca na obesidade sem diabetes</w:t>
            </w:r>
          </w:p>
        </w:tc>
      </w:tr>
    </w:tbl>
    <w:p>
      <w:pPr>
        <w:pStyle w:val="BodyText"/>
      </w:pPr>
      <w:r>
        <w:t xml:space="preserve">Os anos de aprovação referem-se, em cada caso, à primeira aprovação; em outros países e para outras indicações valem, em parte, outras datas. Situação em 2026, verificar atualização se necessário.</w:t>
      </w:r>
    </w:p>
    <w:bookmarkEnd w:id="99"/>
    <w:bookmarkEnd w:id="100"/>
    <w:bookmarkStart w:id="135" w:name="Xcc261d8f3adb659783115f7ab3af3dc3d0d9420"/>
    <w:p>
      <w:pPr>
        <w:pStyle w:val="Heading2"/>
      </w:pPr>
      <w:r>
        <w:t xml:space="preserve">Como os peptídeos entram no corpo – e por que isso é difícil</w:t>
      </w:r>
    </w:p>
    <w:p>
      <w:pPr>
        <w:pStyle w:val="FirstParagraph"/>
      </w:pPr>
      <w:r>
        <w:t xml:space="preserve">Quase todo medicamento peptídico que você conhece é injetado: insulina, semaglutida, tirzepatida, teriparatida. Isso não é acaso nem preferência da indústria farmacêutica, mas uma consequência da biologia. O corpo humano é excelente em decompor proteínas e peptídeos – afinal, ele vive de quebrar as proteínas dos alimentos em seus blocos de construção. Este capítulo explica quais obstáculos um peptídeo precisa superar a caminho do seu local de ação, quais caminhos a medicina encontrou e por que muitas promessas sobre gotas, cápsulas e cremes devem ser vistas com cautela.</w:t>
      </w:r>
    </w:p>
    <w:bookmarkStart w:id="102" w:name="o-problema-básico-biodisponibilidade"/>
    <w:p>
      <w:pPr>
        <w:pStyle w:val="Heading3"/>
      </w:pPr>
      <w:r>
        <w:t xml:space="preserve">O problema básico: biodisponibilidade</w:t>
      </w:r>
    </w:p>
    <w:p>
      <w:pPr>
        <w:pStyle w:val="FirstParagraph"/>
      </w:pPr>
      <w:r>
        <w:t xml:space="preserve">Um conceito central neste capítulo é a</w:t>
      </w:r>
      <w:r>
        <w:t xml:space="preserve"> </w:t>
      </w:r>
      <w:r>
        <w:rPr>
          <w:bCs/>
          <w:b/>
        </w:rPr>
        <w:t xml:space="preserve">biodisponibilidade</w:t>
      </w:r>
      <w:r>
        <w:t xml:space="preserve">. Ela indica que fração de uma quantidade administrada chega de fato inalterada à corrente sanguínea. Em uma infusão diretamente na veia, por definição, essa fração é de 100%. Em todas as outras vias, uma parte se perde – por degradação, por barreiras ou porque a substância é simplesmente eliminada.</w:t>
      </w:r>
    </w:p>
    <w:p>
      <w:pPr>
        <w:pStyle w:val="BodyText"/>
      </w:pPr>
      <w:r>
        <w:t xml:space="preserve">Para os peptídeos, a biodisponibilidade é especialmente crítica, porque três características se somam:</w:t>
      </w:r>
    </w:p>
    <w:p>
      <w:pPr>
        <w:numPr>
          <w:ilvl w:val="0"/>
          <w:numId w:val="1009"/>
        </w:numPr>
        <w:pStyle w:val="Compact"/>
      </w:pPr>
      <w:r>
        <w:rPr>
          <w:bCs/>
          <w:b/>
        </w:rPr>
        <w:t xml:space="preserve">São sensíveis a enzimas.</w:t>
      </w:r>
      <w:r>
        <w:t xml:space="preserve"> </w:t>
      </w:r>
      <w:r>
        <w:t xml:space="preserve">As ligações peptídicas são quebradas de forma direcionada por enzimas digestivas como a pepsina no estômago ou a tripsina no intestino delgado, além de inúmeras enzimas no sangue e nos tecidos.</w:t>
      </w:r>
    </w:p>
    <w:p>
      <w:pPr>
        <w:numPr>
          <w:ilvl w:val="0"/>
          <w:numId w:val="1009"/>
        </w:numPr>
        <w:pStyle w:val="Compact"/>
      </w:pPr>
      <w:r>
        <w:rPr>
          <w:bCs/>
          <w:b/>
        </w:rPr>
        <w:t xml:space="preserve">São grandes.</w:t>
      </w:r>
      <w:r>
        <w:t xml:space="preserve"> </w:t>
      </w:r>
      <w:r>
        <w:t xml:space="preserve">Comparados a fármacos clássicos como o ibuprofeno, a maioria dos peptídeos é enorme. Um peptídeo de apenas dez aminoácidos já pesa mais de 1.000 dáltons.</w:t>
      </w:r>
    </w:p>
    <w:p>
      <w:pPr>
        <w:numPr>
          <w:ilvl w:val="0"/>
          <w:numId w:val="1009"/>
        </w:numPr>
        <w:pStyle w:val="Compact"/>
      </w:pPr>
      <w:r>
        <w:rPr>
          <w:bCs/>
          <w:b/>
        </w:rPr>
        <w:t xml:space="preserve">Geralmente são solúveis em água e muitas vezes têm carga elétrica.</w:t>
      </w:r>
      <w:r>
        <w:t xml:space="preserve"> </w:t>
      </w:r>
      <w:r>
        <w:t xml:space="preserve">Por isso, têm dificuldade em atravessar as membranas gordurosas das células.</w:t>
      </w:r>
    </w:p>
    <w:p>
      <w:pPr>
        <w:pStyle w:val="FirstParagraph"/>
      </w:pPr>
      <w:r>
        <w:t xml:space="preserve">Cada via de administração é uma tentativa de contornar esses obstáculos. Um artigo de revisão sobre peptídeos orais resume que substâncias proteicas e peptídicas, em regra, precisam ser administradas contornando o trato digestivo, o que pode prejudicar a adesão ao tratamento</w:t>
      </w:r>
      <w:r>
        <w:rPr>
          <w:rStyle w:val="FootnoteReference"/>
        </w:rPr>
        <w:footnoteReference w:id="101"/>
      </w:r>
      <w:r>
        <w:t xml:space="preserve">.</w:t>
      </w:r>
    </w:p>
    <w:bookmarkEnd w:id="102"/>
    <w:bookmarkStart w:id="106" w:name="a-injeção-via-padrão-com-desvantagens"/>
    <w:p>
      <w:pPr>
        <w:pStyle w:val="Heading3"/>
      </w:pPr>
      <w:r>
        <w:t xml:space="preserve">A injeção: via padrão, com desvantagens</w:t>
      </w:r>
    </w:p>
    <w:p>
      <w:pPr>
        <w:pStyle w:val="FirstParagraph"/>
      </w:pPr>
      <w:r>
        <w:t xml:space="preserve">A maioria dos medicamentos peptídicos é injetada por via</w:t>
      </w:r>
      <w:r>
        <w:t xml:space="preserve"> </w:t>
      </w:r>
      <w:r>
        <w:rPr>
          <w:bCs/>
          <w:b/>
        </w:rPr>
        <w:t xml:space="preserve">subcutânea</w:t>
      </w:r>
      <w:r>
        <w:t xml:space="preserve">, ou seja, no tecido adiposo sob a pele – tipicamente no abdome, na coxa ou na parte superior do braço. Dali, a substância chega à circulação por pequenos vasos sanguíneos e linfáticos. A biodisponibilidade é alta, e pacientes podem aplicar a injeção sozinhos após treinamento. Com menos frequência, os peptídeos são aplicados no músculo (</w:t>
      </w:r>
      <w:r>
        <w:rPr>
          <w:bCs/>
          <w:b/>
        </w:rPr>
        <w:t xml:space="preserve">intramuscular</w:t>
      </w:r>
      <w:r>
        <w:t xml:space="preserve">) ou diretamente na veia (</w:t>
      </w:r>
      <w:r>
        <w:rPr>
          <w:bCs/>
          <w:b/>
        </w:rPr>
        <w:t xml:space="preserve">intravenosa</w:t>
      </w:r>
      <w:r>
        <w:t xml:space="preserve">), por exemplo no hospital.</w:t>
      </w:r>
    </w:p>
    <w:p>
      <w:pPr>
        <w:pStyle w:val="BodyText"/>
      </w:pPr>
      <w:r>
        <w:t xml:space="preserve">A injeção contorna o trato digestivo, mas não as enzimas do sangue. Por isso, a pesquisa farmacêutica se empenhou muito em tornar os peptídeos mais duradouros:</w:t>
      </w:r>
    </w:p>
    <w:p>
      <w:pPr>
        <w:numPr>
          <w:ilvl w:val="0"/>
          <w:numId w:val="1010"/>
        </w:numPr>
        <w:pStyle w:val="Compact"/>
      </w:pPr>
      <w:r>
        <w:rPr>
          <w:bCs/>
          <w:b/>
        </w:rPr>
        <w:t xml:space="preserve">Troca de aminoácidos</w:t>
      </w:r>
      <w:r>
        <w:t xml:space="preserve"> </w:t>
      </w:r>
      <w:r>
        <w:t xml:space="preserve">nos pontos onde as enzimas atacam.</w:t>
      </w:r>
    </w:p>
    <w:p>
      <w:pPr>
        <w:numPr>
          <w:ilvl w:val="0"/>
          <w:numId w:val="1010"/>
        </w:numPr>
        <w:pStyle w:val="Compact"/>
      </w:pPr>
      <w:r>
        <w:rPr>
          <w:bCs/>
          <w:b/>
        </w:rPr>
        <w:t xml:space="preserve">Ligação de ácidos graxos</w:t>
      </w:r>
      <w:r>
        <w:t xml:space="preserve">, para que o peptídeo se ligue à proteína sanguínea albumina. A liraglutida e a semaglutida usam esse princípio</w:t>
      </w:r>
      <w:r>
        <w:rPr>
          <w:rStyle w:val="FootnoteReference"/>
        </w:rPr>
        <w:footnoteReference w:id="103"/>
      </w:r>
      <w:r>
        <w:t xml:space="preserve">. No caso da semaglutida, isso resulta em uma meia-vida de cerca de uma semana</w:t>
      </w:r>
      <w:r>
        <w:rPr>
          <w:rStyle w:val="FootnoteReference"/>
        </w:rPr>
        <w:footnoteReference w:id="104"/>
      </w:r>
      <w:r>
        <w:t xml:space="preserve">.</w:t>
      </w:r>
    </w:p>
    <w:p>
      <w:pPr>
        <w:numPr>
          <w:ilvl w:val="0"/>
          <w:numId w:val="1010"/>
        </w:numPr>
        <w:pStyle w:val="Compact"/>
      </w:pPr>
      <w:r>
        <w:rPr>
          <w:bCs/>
          <w:b/>
        </w:rPr>
        <w:t xml:space="preserve">Acoplamento a moléculas maiores</w:t>
      </w:r>
      <w:r>
        <w:t xml:space="preserve">, como partes de anticorpos ou polímeros como o polietilenoglicol. A dulaglutida é um exemplo de molécula de GLP-1 ligada a um fragmento de anticorpo.</w:t>
      </w:r>
    </w:p>
    <w:p>
      <w:pPr>
        <w:numPr>
          <w:ilvl w:val="0"/>
          <w:numId w:val="1010"/>
        </w:numPr>
        <w:pStyle w:val="Compact"/>
      </w:pPr>
      <w:r>
        <w:rPr>
          <w:bCs/>
          <w:b/>
        </w:rPr>
        <w:t xml:space="preserve">Formas de depósito</w:t>
      </w:r>
      <w:r>
        <w:t xml:space="preserve">, nas quais a substância é incorporada em microesferas ou géis dos quais é liberada lentamente.</w:t>
      </w:r>
    </w:p>
    <w:p>
      <w:pPr>
        <w:pStyle w:val="FirstParagraph"/>
      </w:pPr>
      <w:r>
        <w:t xml:space="preserve">Para quem usa, a injeção também traz obrigações: o produto precisa ser estéril, a agulha só pode ser usada uma vez, e muitas preparações precisam ser armazenadas sob refrigeração. Canetas preenchidas com etapas de dose predefinidas reduzem bastante o risco de erros. A importância disso aparece em uma série de casos de um centro de informação toxicológica dos EUA: com semaglutida dispensada em farmácias como frasco com seringas, ocorreram superdosagens de dez vezes, entre outros motivos porque mililitros,</w:t>
      </w:r>
      <w:r>
        <w:t xml:space="preserve"> </w:t>
      </w:r>
      <w:r>
        <w:t xml:space="preserve">“</w:t>
      </w:r>
      <w:r>
        <w:t xml:space="preserve">unidades</w:t>
      </w:r>
      <w:r>
        <w:t xml:space="preserve">”</w:t>
      </w:r>
      <w:r>
        <w:t xml:space="preserve"> </w:t>
      </w:r>
      <w:r>
        <w:t xml:space="preserve">e miligramas foram confundidos</w:t>
      </w:r>
      <w:r>
        <w:rPr>
          <w:rStyle w:val="FootnoteReference"/>
        </w:rPr>
        <w:footnoteReference w:id="105"/>
      </w:r>
      <w:r>
        <w:t xml:space="preserve">. Mais sobre isso no capítulo sobre o mercado cinza.</w:t>
      </w:r>
    </w:p>
    <w:bookmarkEnd w:id="106"/>
    <w:bookmarkStart w:id="108" w:name="o-comprimido-o-caminho-mais-difícil"/>
    <w:p>
      <w:pPr>
        <w:pStyle w:val="Heading3"/>
      </w:pPr>
      <w:r>
        <w:t xml:space="preserve">O comprimido: o caminho mais difícil</w:t>
      </w:r>
    </w:p>
    <w:p>
      <w:pPr>
        <w:pStyle w:val="FirstParagraph"/>
      </w:pPr>
      <w:r>
        <w:t xml:space="preserve">Um comprimido seria, para a maioria das pessoas, a solução mais cômoda. Para os peptídeos, é ao mesmo tempo a mais exigente. No caminho da boca até o sangue, há vários obstáculos:</w:t>
      </w:r>
    </w:p>
    <w:p>
      <w:pPr>
        <w:numPr>
          <w:ilvl w:val="0"/>
          <w:numId w:val="1011"/>
        </w:numPr>
        <w:pStyle w:val="Compact"/>
      </w:pPr>
      <w:r>
        <w:t xml:space="preserve">O</w:t>
      </w:r>
      <w:r>
        <w:t xml:space="preserve"> </w:t>
      </w:r>
      <w:r>
        <w:rPr>
          <w:bCs/>
          <w:b/>
        </w:rPr>
        <w:t xml:space="preserve">ácido gástrico</w:t>
      </w:r>
      <w:r>
        <w:t xml:space="preserve"> </w:t>
      </w:r>
      <w:r>
        <w:t xml:space="preserve">pode destruir a estrutura espacial dos peptídeos.</w:t>
      </w:r>
    </w:p>
    <w:p>
      <w:pPr>
        <w:numPr>
          <w:ilvl w:val="0"/>
          <w:numId w:val="1011"/>
        </w:numPr>
        <w:pStyle w:val="Compact"/>
      </w:pPr>
      <w:r>
        <w:t xml:space="preserve">A</w:t>
      </w:r>
      <w:r>
        <w:t xml:space="preserve"> </w:t>
      </w:r>
      <w:r>
        <w:rPr>
          <w:bCs/>
          <w:b/>
        </w:rPr>
        <w:t xml:space="preserve">pepsina</w:t>
      </w:r>
      <w:r>
        <w:t xml:space="preserve"> </w:t>
      </w:r>
      <w:r>
        <w:t xml:space="preserve">no estômago e as</w:t>
      </w:r>
      <w:r>
        <w:t xml:space="preserve"> </w:t>
      </w:r>
      <w:r>
        <w:rPr>
          <w:bCs/>
          <w:b/>
        </w:rPr>
        <w:t xml:space="preserve">enzimas pancreáticas</w:t>
      </w:r>
      <w:r>
        <w:t xml:space="preserve"> </w:t>
      </w:r>
      <w:r>
        <w:t xml:space="preserve">no intestino delgado decompõem os peptídeos em pequenos fragmentos.</w:t>
      </w:r>
    </w:p>
    <w:p>
      <w:pPr>
        <w:numPr>
          <w:ilvl w:val="0"/>
          <w:numId w:val="1011"/>
        </w:numPr>
        <w:pStyle w:val="Compact"/>
      </w:pPr>
      <w:r>
        <w:t xml:space="preserve">Uma</w:t>
      </w:r>
      <w:r>
        <w:t xml:space="preserve"> </w:t>
      </w:r>
      <w:r>
        <w:rPr>
          <w:bCs/>
          <w:b/>
        </w:rPr>
        <w:t xml:space="preserve">camada de muco</w:t>
      </w:r>
      <w:r>
        <w:t xml:space="preserve"> </w:t>
      </w:r>
      <w:r>
        <w:t xml:space="preserve">sobre a mucosa intestinal retém moléculas grandes.</w:t>
      </w:r>
    </w:p>
    <w:p>
      <w:pPr>
        <w:numPr>
          <w:ilvl w:val="0"/>
          <w:numId w:val="1011"/>
        </w:numPr>
        <w:pStyle w:val="Compact"/>
      </w:pPr>
      <w:r>
        <w:t xml:space="preserve">As próprias</w:t>
      </w:r>
      <w:r>
        <w:t xml:space="preserve"> </w:t>
      </w:r>
      <w:r>
        <w:rPr>
          <w:bCs/>
          <w:b/>
        </w:rPr>
        <w:t xml:space="preserve">células intestinais</w:t>
      </w:r>
      <w:r>
        <w:t xml:space="preserve"> </w:t>
      </w:r>
      <w:r>
        <w:t xml:space="preserve">estão firmemente unidas entre si. Moléculas grandes e solúveis em água não passam nem através das células nem entre elas.</w:t>
      </w:r>
    </w:p>
    <w:p>
      <w:pPr>
        <w:numPr>
          <w:ilvl w:val="0"/>
          <w:numId w:val="1011"/>
        </w:numPr>
        <w:pStyle w:val="Compact"/>
      </w:pPr>
      <w:r>
        <w:t xml:space="preserve">O que consegue chegar ao sangue passa primeiro pelo</w:t>
      </w:r>
      <w:r>
        <w:t xml:space="preserve"> </w:t>
      </w:r>
      <w:r>
        <w:rPr>
          <w:bCs/>
          <w:b/>
        </w:rPr>
        <w:t xml:space="preserve">fígado</w:t>
      </w:r>
      <w:r>
        <w:t xml:space="preserve">, que pode degradar mais uma parte.</w:t>
      </w:r>
    </w:p>
    <w:p>
      <w:pPr>
        <w:pStyle w:val="FirstParagraph"/>
      </w:pPr>
      <w:r>
        <w:t xml:space="preserve">A revisão de Drucker cita como abordagens substâncias que aumentam a permeabilidade, inibidores de enzimas digestivas e peptídeos carreadores capazes de atravessar o muco e as células. Em estudos clínicos, foram testadas formas orais de, entre outros, insulina, calcitonina, paratormônio e vasopressina</w:t>
      </w:r>
      <w:r>
        <w:rPr>
          <w:rStyle w:val="FootnoteReference"/>
        </w:rPr>
        <w:footnoteReference w:id="107"/>
      </w:r>
      <w:r>
        <w:t xml:space="preserve">. O avanço para uma substância de uso amplo, porém, só veio com o comprimido de semaglutida.</w:t>
      </w:r>
    </w:p>
    <w:bookmarkEnd w:id="108"/>
    <w:bookmarkStart w:id="118" w:name="X63d275ccfae2880e2fc12ef9e95f1d3bd4e343c"/>
    <w:p>
      <w:pPr>
        <w:pStyle w:val="Heading3"/>
      </w:pPr>
      <w:r>
        <w:t xml:space="preserve">A tecnologia SNAC: como funciona o comprimido de semaglutida</w:t>
      </w:r>
    </w:p>
    <w:p>
      <w:pPr>
        <w:pStyle w:val="FirstParagraph"/>
      </w:pPr>
      <w:r>
        <w:t xml:space="preserve">O comprimido de semaglutida contém, além da substância ativa, um excipiente chamado</w:t>
      </w:r>
      <w:r>
        <w:t xml:space="preserve"> </w:t>
      </w:r>
      <w:r>
        <w:rPr>
          <w:bCs/>
          <w:b/>
        </w:rPr>
        <w:t xml:space="preserve">SNAC</w:t>
      </w:r>
      <w:r>
        <w:t xml:space="preserve"> </w:t>
      </w:r>
      <w:r>
        <w:t xml:space="preserve">(N-[8-(2-hidroxibenzoil)amino]caprilato de sódio). Um estudo que combinou dados de investigações em humanos e em cães esclareceu o que acontece</w:t>
      </w:r>
      <w:r>
        <w:rPr>
          <w:rStyle w:val="FootnoteReference"/>
        </w:rPr>
        <w:footnoteReference w:id="109"/>
      </w:r>
      <w:r>
        <w:t xml:space="preserve">:</w:t>
      </w:r>
    </w:p>
    <w:p>
      <w:pPr>
        <w:numPr>
          <w:ilvl w:val="0"/>
          <w:numId w:val="1012"/>
        </w:numPr>
        <w:pStyle w:val="Compact"/>
      </w:pPr>
      <w:r>
        <w:t xml:space="preserve">Surpreendentemente, a absorção não ocorre no intestino, mas</w:t>
      </w:r>
      <w:r>
        <w:t xml:space="preserve"> </w:t>
      </w:r>
      <w:r>
        <w:rPr>
          <w:bCs/>
          <w:b/>
        </w:rPr>
        <w:t xml:space="preserve">no estômago</w:t>
      </w:r>
      <w:r>
        <w:t xml:space="preserve">.</w:t>
      </w:r>
    </w:p>
    <w:p>
      <w:pPr>
        <w:numPr>
          <w:ilvl w:val="0"/>
          <w:numId w:val="1012"/>
        </w:numPr>
        <w:pStyle w:val="Compact"/>
      </w:pPr>
      <w:r>
        <w:t xml:space="preserve">Ela se limita a uma pequena área</w:t>
      </w:r>
      <w:r>
        <w:t xml:space="preserve"> </w:t>
      </w:r>
      <w:r>
        <w:rPr>
          <w:bCs/>
          <w:b/>
        </w:rPr>
        <w:t xml:space="preserve">diretamente na superfície do comprimido</w:t>
      </w:r>
      <w:r>
        <w:t xml:space="preserve">.</w:t>
      </w:r>
    </w:p>
    <w:p>
      <w:pPr>
        <w:numPr>
          <w:ilvl w:val="0"/>
          <w:numId w:val="1012"/>
        </w:numPr>
        <w:pStyle w:val="Compact"/>
      </w:pPr>
      <w:r>
        <w:t xml:space="preserve">Ali, o SNAC tampona localmente o ácido gástrico e assim</w:t>
      </w:r>
      <w:r>
        <w:t xml:space="preserve"> </w:t>
      </w:r>
      <w:r>
        <w:rPr>
          <w:bCs/>
          <w:b/>
        </w:rPr>
        <w:t xml:space="preserve">protege</w:t>
      </w:r>
      <w:r>
        <w:t xml:space="preserve"> </w:t>
      </w:r>
      <w:r>
        <w:t xml:space="preserve">a semaglutida da degradação por enzimas.</w:t>
      </w:r>
    </w:p>
    <w:p>
      <w:pPr>
        <w:numPr>
          <w:ilvl w:val="0"/>
          <w:numId w:val="1012"/>
        </w:numPr>
        <w:pStyle w:val="Compact"/>
      </w:pPr>
      <w:r>
        <w:t xml:space="preserve">O SNAC aumenta a permeabilidade da mucosa gástrica apenas</w:t>
      </w:r>
      <w:r>
        <w:t xml:space="preserve"> </w:t>
      </w:r>
      <w:r>
        <w:rPr>
          <w:bCs/>
          <w:b/>
        </w:rPr>
        <w:t xml:space="preserve">por pouco tempo</w:t>
      </w:r>
      <w:r>
        <w:t xml:space="preserve">.</w:t>
      </w:r>
    </w:p>
    <w:p>
      <w:pPr>
        <w:numPr>
          <w:ilvl w:val="0"/>
          <w:numId w:val="1012"/>
        </w:numPr>
        <w:pStyle w:val="Compact"/>
      </w:pPr>
      <w:r>
        <w:t xml:space="preserve">A semaglutida chega ao sangue</w:t>
      </w:r>
      <w:r>
        <w:t xml:space="preserve"> </w:t>
      </w:r>
      <w:r>
        <w:rPr>
          <w:bCs/>
          <w:b/>
        </w:rPr>
        <w:t xml:space="preserve">atravessando as células</w:t>
      </w:r>
      <w:r>
        <w:t xml:space="preserve">, sem que as junções entre elas sejam abertas.</w:t>
      </w:r>
    </w:p>
    <w:p>
      <w:pPr>
        <w:pStyle w:val="FirstParagraph"/>
      </w:pPr>
      <w:r>
        <w:t xml:space="preserve">Um artigo de revisão mais recente acrescenta que o SNAC eleva o pH no entorno imediato, atenua a ativação da pepsina e contribui para que a semaglutida permaneça como molécula isolada, em vez de se agregar em conjuntos maiores e de absorção mais difícil</w:t>
      </w:r>
      <w:r>
        <w:rPr>
          <w:rStyle w:val="FootnoteReference"/>
        </w:rPr>
        <w:footnoteReference w:id="110"/>
      </w:r>
      <w:r>
        <w:t xml:space="preserve">.</w:t>
      </w:r>
    </w:p>
    <w:p>
      <w:pPr>
        <w:pStyle w:val="BodyText"/>
      </w:pPr>
      <w:r>
        <w:t xml:space="preserve">Apesar dessa tecnologia, o aproveitamento é baixo. A mesma revisão indica uma biodisponibilidade absoluta da semaglutida oral de apenas cerca de 0,4 a 1% – e isso em condições otimizadas: em jejum e com pouca água. Depois de uma refeição, praticamente não se detecta semaglutida no sangue</w:t>
      </w:r>
      <w:r>
        <w:rPr>
          <w:rStyle w:val="FootnoteReference"/>
        </w:rPr>
        <w:footnoteReference w:id="111"/>
      </w:r>
      <w:r>
        <w:t xml:space="preserve">. Por isso valem para o comprimido regras rígidas de ingestão, descritas na bula para profissionais, que devem ser discutidas com a médica ou o médico responsável.</w:t>
      </w:r>
    </w:p>
    <w:p>
      <w:pPr>
        <w:pStyle w:val="BodyText"/>
      </w:pPr>
      <w:r>
        <w:t xml:space="preserve">A baixa biodisponibilidade tem uma consequência prática: o comprimido exige uma quantidade muitas vezes maior de substância ativa. No estudo SUSTAIN-6, os participantes receberam 0,5 ou 1,0 mg de semaglutida uma vez por semana em injeção</w:t>
      </w:r>
      <w:r>
        <w:rPr>
          <w:rStyle w:val="FootnoteReference"/>
        </w:rPr>
        <w:footnoteReference w:id="112"/>
      </w:r>
      <w:r>
        <w:t xml:space="preserve">. Já no estudo do comprimido PIONEER 1, foram investigadas doses diárias de 3, 7 ou 14 mg</w:t>
      </w:r>
      <w:r>
        <w:rPr>
          <w:rStyle w:val="FootnoteReference"/>
        </w:rPr>
        <w:footnoteReference w:id="113"/>
      </w:r>
      <w:r>
        <w:t xml:space="preserve">. O fato de o efeito de longo prazo ainda assim ser estável se deve à longa meia-vida: as oscilações da absorção de um dia para o outro se compensam em grande parte ao longo da semana</w:t>
      </w:r>
      <w:r>
        <w:rPr>
          <w:rStyle w:val="FootnoteReference"/>
        </w:rPr>
        <w:footnoteReference w:id="114"/>
      </w:r>
      <w:r>
        <w:t xml:space="preserve">.</w:t>
      </w:r>
    </w:p>
    <w:p>
      <w:pPr>
        <w:pStyle w:val="BodyText"/>
      </w:pPr>
      <w:r>
        <w:t xml:space="preserve">O comprimido funciona, como mostram os estudos. No PIONEER 1, com 703 pessoas com diabetes tipo 2, a HbA1c caiu, após 26 semanas na dose mais alta, 1,1 ponto percentual a mais do que com placebo</w:t>
      </w:r>
      <w:r>
        <w:rPr>
          <w:rStyle w:val="FootnoteReference"/>
        </w:rPr>
        <w:footnoteReference w:id="115"/>
      </w:r>
      <w:r>
        <w:t xml:space="preserve">. No estudo OASIS 1, uma dose mais alta, de 50 mg por dia, foi testada em 667 adultos com sobrepeso ou obesidade sem diabetes. Após 68 semanas, a perda de peso média foi de 15,1%, contra 2,4% com placebo</w:t>
      </w:r>
      <w:r>
        <w:rPr>
          <w:rStyle w:val="FootnoteReference"/>
        </w:rPr>
        <w:footnoteReference w:id="116"/>
      </w:r>
      <w:r>
        <w:t xml:space="preserve">. Queixas gastrointestinais ocorreram em 80% dos participantes com semaglutida e em 46% com placebo.</w:t>
      </w:r>
    </w:p>
    <w:p>
      <w:pPr>
        <w:pStyle w:val="BodyText"/>
      </w:pPr>
      <w:r>
        <w:t xml:space="preserve">Uma observação importante para a prática: a tecnologia SNAC depende da composição exata do comprimido. Uma análise de produtos de imitação encontrou, em várias preparações orais de semaglutida, bem menos substância ativa do que o declarado e um comportamento de liberação diferente da semaglutida e do SNAC, o que poderia reduzir a absorção</w:t>
      </w:r>
      <w:r>
        <w:rPr>
          <w:rStyle w:val="FootnoteReference"/>
        </w:rPr>
        <w:footnoteReference w:id="117"/>
      </w:r>
      <w:r>
        <w:t xml:space="preserve">. Um comprimido que contém</w:t>
      </w:r>
      <w:r>
        <w:t xml:space="preserve"> </w:t>
      </w:r>
      <w:r>
        <w:t xml:space="preserve">“</w:t>
      </w:r>
      <w:r>
        <w:t xml:space="preserve">semaglutida</w:t>
      </w:r>
      <w:r>
        <w:t xml:space="preserve">”</w:t>
      </w:r>
      <w:r>
        <w:t xml:space="preserve">, portanto, não é automaticamente tão eficaz quanto a preparação aprovada.</w:t>
      </w:r>
    </w:p>
    <w:p>
      <w:pPr>
        <w:pStyle w:val="BodyText"/>
      </w:pPr>
      <w:r>
        <w:t xml:space="preserve">Paralelamente aos comprimidos peptídicos, estão sendo desenvolvidas moléculas pequenas, não peptídicas, que ativam o mesmo receptor e podem ser tomadas como um comprimido comum, como a orforglipron. Elas são apresentadas para comparação na Parte II e tratadas na Parte V no contexto do futuro das terapias em comprimido.</w:t>
      </w:r>
    </w:p>
    <w:bookmarkEnd w:id="118"/>
    <w:bookmarkStart w:id="120" w:name="Xae30503dd08a3447d0848e67120e8948b029cb3"/>
    <w:p>
      <w:pPr>
        <w:pStyle w:val="Heading3"/>
      </w:pPr>
      <w:r>
        <w:t xml:space="preserve">Exceção dos alimentos: peptídeos curtos do colágeno e do leite</w:t>
      </w:r>
    </w:p>
    <w:p>
      <w:pPr>
        <w:pStyle w:val="FirstParagraph"/>
      </w:pPr>
      <w:r>
        <w:t xml:space="preserve">Se os peptídeos são degradados no trato gastrointestinal, como podem agir os peptídeos de colágeno ou de leite consumidos em pó ou em bebidas? A resposta é matizada.</w:t>
      </w:r>
    </w:p>
    <w:p>
      <w:pPr>
        <w:pStyle w:val="BodyText"/>
      </w:pPr>
      <w:r>
        <w:t xml:space="preserve">Na digestão surgem não apenas aminoácidos isolados, mas também fragmentos muito curtos, de dois ou três blocos. Alguns deles são relativamente resistentes a enzimas e são absorvidos por sistemas de transporte próprios. Assim, após o consumo de colágeno hidrolisado por cinco voluntários saudáveis, foram medidos no plasma os dipeptídeos prolil-hidroxiprolina e hidroxiprolil-glicina</w:t>
      </w:r>
      <w:r>
        <w:rPr>
          <w:rStyle w:val="FootnoteReference"/>
        </w:rPr>
        <w:footnoteReference w:id="119"/>
      </w:r>
      <w:r>
        <w:t xml:space="preserve">.</w:t>
      </w:r>
    </w:p>
    <w:p>
      <w:pPr>
        <w:pStyle w:val="BodyText"/>
      </w:pPr>
      <w:r>
        <w:t xml:space="preserve">Disso não decorre automaticamente, porém, que esses fragmentos tenham um efeito específico no corpo – por exemplo, na pele ou nas articulações. Se isso acontece, só pode ser esclarecido em estudos controlados com desfechos clínicos. Esses dados são discutidos na Parte II, no capítulo sobre peptídeos de colágeno. Para peptídeos maiores, como hormônios, vale o contrário: engolidos, eles são digeridos.</w:t>
      </w:r>
    </w:p>
    <w:bookmarkEnd w:id="120"/>
    <w:bookmarkStart w:id="122" w:name="sob-a-língua-poucas-evidências"/>
    <w:p>
      <w:pPr>
        <w:pStyle w:val="Heading3"/>
      </w:pPr>
      <w:r>
        <w:t xml:space="preserve">Sob a língua: poucas evidências</w:t>
      </w:r>
    </w:p>
    <w:p>
      <w:pPr>
        <w:pStyle w:val="FirstParagraph"/>
      </w:pPr>
      <w:r>
        <w:t xml:space="preserve">A mucosa da boca, especialmente sob a língua, é bem irrigada. Substâncias absorvidas ali contornam o estômago e o fígado. Para alguns fármacos pequenos isso funciona bem, mas para os peptídeos a mucosa é uma barreira considerável.</w:t>
      </w:r>
    </w:p>
    <w:p>
      <w:pPr>
        <w:pStyle w:val="BodyText"/>
      </w:pPr>
      <w:r>
        <w:t xml:space="preserve">Mesmo assim, sobretudo nos EUA, semaglutida e tirzepatida são oferecidas em gotas ou comprimidos orodispersíveis para uso sob a língua. Uma análise de ofertas de farmácias norte-americanas que manipulam medicamentos encontrou 33 produtos que diferem das preparações aprovadas. Dos 17 produtos com uma única substância ativa, 82% eram destinados ao uso sob a língua e os demais eram comprimidos orodispersíveis. Os autores consideram essa forma farmacêutica compreensível em princípio, mas constatam que não há comprovação de vantagem em relação às preparações aprovadas e que faltam dados de segurança e eficácia</w:t>
      </w:r>
      <w:r>
        <w:rPr>
          <w:rStyle w:val="FootnoteReference"/>
        </w:rPr>
        <w:footnoteReference w:id="121"/>
      </w:r>
      <w:r>
        <w:t xml:space="preserve">.</w:t>
      </w:r>
    </w:p>
    <w:bookmarkEnd w:id="122"/>
    <w:bookmarkStart w:id="124" w:name="o-spray-nasal-rápido-mas-limitado"/>
    <w:p>
      <w:pPr>
        <w:pStyle w:val="Heading3"/>
      </w:pPr>
      <w:r>
        <w:t xml:space="preserve">O spray nasal: rápido, mas limitado</w:t>
      </w:r>
    </w:p>
    <w:p>
      <w:pPr>
        <w:pStyle w:val="FirstParagraph"/>
      </w:pPr>
      <w:r>
        <w:t xml:space="preserve">A mucosa nasal tem uma superfície grande e bem irrigada, e as substâncias passam dali diretamente para o sangue. Alguns medicamentos peptídicos usam essa via há muito tempo, como o análogo da vasopressina desmopressina. A ocitocina também está sendo estudada como spray nasal.</w:t>
      </w:r>
    </w:p>
    <w:p>
      <w:pPr>
        <w:pStyle w:val="BodyText"/>
      </w:pPr>
      <w:r>
        <w:t xml:space="preserve">Os limites, porém, são claros:</w:t>
      </w:r>
    </w:p>
    <w:p>
      <w:pPr>
        <w:numPr>
          <w:ilvl w:val="0"/>
          <w:numId w:val="1013"/>
        </w:numPr>
        <w:pStyle w:val="Compact"/>
      </w:pPr>
      <w:r>
        <w:t xml:space="preserve">A absorção de peptídeos maiores é baixa e varia muito – conforme a técnica de aplicação, um resfriado ou a quantidade de muco.</w:t>
      </w:r>
    </w:p>
    <w:p>
      <w:pPr>
        <w:numPr>
          <w:ilvl w:val="0"/>
          <w:numId w:val="1013"/>
        </w:numPr>
        <w:pStyle w:val="Compact"/>
      </w:pPr>
      <w:r>
        <w:t xml:space="preserve">Grande parte do jato é engolida ou removida pelos cílios.</w:t>
      </w:r>
    </w:p>
    <w:p>
      <w:pPr>
        <w:numPr>
          <w:ilvl w:val="0"/>
          <w:numId w:val="1013"/>
        </w:numPr>
        <w:pStyle w:val="Compact"/>
      </w:pPr>
      <w:r>
        <w:t xml:space="preserve">Substâncias irritantes ou excipientes frequentemente usados podem sobrecarregar a mucosa.</w:t>
      </w:r>
    </w:p>
    <w:p>
      <w:pPr>
        <w:pStyle w:val="FirstParagraph"/>
      </w:pPr>
      <w:r>
        <w:t xml:space="preserve">Particularmente popular é a ideia de que peptídeos poderiam chegar pelo nariz</w:t>
      </w:r>
      <w:r>
        <w:t xml:space="preserve"> </w:t>
      </w:r>
      <w:r>
        <w:t xml:space="preserve">“</w:t>
      </w:r>
      <w:r>
        <w:t xml:space="preserve">diretamente ao cérebro</w:t>
      </w:r>
      <w:r>
        <w:t xml:space="preserve">”</w:t>
      </w:r>
      <w:r>
        <w:t xml:space="preserve">. Para algumas substâncias há indícios de vias desse tipo pelos nervos olfatório e facial, mas os dados são escassos. Uma revisão crítica muito citada concluiu, no caso da ocitocina, que muito pouco da ocitocina administrada pelo nariz chega ao líquido cefalorraquidiano, enquanto as concentrações no sangue sobem a valores acima do nível natural – com possíveis efeitos no trato gastrointestinal, no coração e nos órgãos reprodutivos</w:t>
      </w:r>
      <w:r>
        <w:rPr>
          <w:rStyle w:val="FootnoteReference"/>
        </w:rPr>
        <w:footnoteReference w:id="123"/>
      </w:r>
      <w:r>
        <w:t xml:space="preserve">. Os autores pedem ceticismo diante de estudos com efeitos comportamentais e defendem estudos pré-registrados. Isso é relevante para todos os peptídeos anunciados como</w:t>
      </w:r>
      <w:r>
        <w:t xml:space="preserve"> </w:t>
      </w:r>
      <w:r>
        <w:t xml:space="preserve">“</w:t>
      </w:r>
      <w:r>
        <w:t xml:space="preserve">spray nasal para o cérebro</w:t>
      </w:r>
      <w:r>
        <w:t xml:space="preserve">”</w:t>
      </w:r>
      <w:r>
        <w:t xml:space="preserve">, como o Semax ou o Selank, tratados na Parte II.</w:t>
      </w:r>
    </w:p>
    <w:bookmarkEnd w:id="124"/>
    <w:bookmarkStart w:id="126" w:name="inalação-um-fracasso-instrutivo"/>
    <w:p>
      <w:pPr>
        <w:pStyle w:val="Heading3"/>
      </w:pPr>
      <w:r>
        <w:t xml:space="preserve">Inalação: um fracasso instrutivo</w:t>
      </w:r>
    </w:p>
    <w:p>
      <w:pPr>
        <w:pStyle w:val="FirstParagraph"/>
      </w:pPr>
      <w:r>
        <w:t xml:space="preserve">O pulmão oferece uma superfície enorme com uma barreira muito fina em relação ao sangue. Por isso, trabalhou-se intensamente em uma insulina inalável. Um primeiro produto chegou ao mercado, mas logo foi retirado; outros desenvolvimentos foram interrompidos. Um comentário dessa época descreve vantagens e desvantagens do ponto de vista de pacientes, médicos, indústria e pagadores – entre elas o tamanho dos inaladores e os custos</w:t>
      </w:r>
      <w:r>
        <w:rPr>
          <w:rStyle w:val="FootnoteReference"/>
        </w:rPr>
        <w:footnoteReference w:id="125"/>
      </w:r>
      <w:r>
        <w:t xml:space="preserve">. Mais tarde, outra insulina inalável foi aprovada nos EUA. Para a maioria dos outros peptídeos, a inalação até agora não tem papel relevante.</w:t>
      </w:r>
    </w:p>
    <w:bookmarkEnd w:id="126"/>
    <w:bookmarkStart w:id="128" w:name="a-pele-uma-barreira-muito-eficiente"/>
    <w:p>
      <w:pPr>
        <w:pStyle w:val="Heading3"/>
      </w:pPr>
      <w:r>
        <w:t xml:space="preserve">A pele: uma barreira muito eficiente</w:t>
      </w:r>
    </w:p>
    <w:p>
      <w:pPr>
        <w:pStyle w:val="FirstParagraph"/>
      </w:pPr>
      <w:r>
        <w:t xml:space="preserve">A pele é um dos órgãos mais impermeáveis do corpo. Sua camada mais externa, a camada córnea, é formada por células mortas envoltas em gorduras – uma espécie de alvenaria com argamassa. Uma conhecida regra prática da dermatologia diz que uma substância precisa ter menos de cerca de 500 dáltons para atravessar a pele em quantidade significativa. Os autores fundamentam isso, entre outras coisas, no fato de que praticamente todos os alérgenos de contato conhecidos e todos os fármacos usados em adesivos de liberação transdérmica estão abaixo desse limite</w:t>
      </w:r>
      <w:r>
        <w:rPr>
          <w:rStyle w:val="FootnoteReference"/>
        </w:rPr>
        <w:footnoteReference w:id="127"/>
      </w:r>
      <w:r>
        <w:t xml:space="preserve">.</w:t>
      </w:r>
    </w:p>
    <w:p>
      <w:pPr>
        <w:pStyle w:val="BodyText"/>
      </w:pPr>
      <w:r>
        <w:t xml:space="preserve">Para os peptídeos, isso significa: já a partir de cerca de quatro a cinco aminoácidos, eles geralmente ficam acima desse limite. Um tripeptídeo como o GHK pode ficar abaixo; peptídeos como o palmitoil pentapeptídeo-4 ou o acetil hexapeptídeo-8 ficam bem acima. Os fabricantes de cosméticos tentam melhorar a penetração com a ligação de ácidos graxos (como no peptídeo</w:t>
      </w:r>
      <w:r>
        <w:t xml:space="preserve"> </w:t>
      </w:r>
      <w:r>
        <w:t xml:space="preserve">“</w:t>
      </w:r>
      <w:r>
        <w:t xml:space="preserve">palmitoil</w:t>
      </w:r>
      <w:r>
        <w:t xml:space="preserve">”</w:t>
      </w:r>
      <w:r>
        <w:t xml:space="preserve">) ou com sistemas carreadores especiais. Se os peptídeos chegam em quantidade suficiente às células-alvo presumidas nas camadas mais profundas da pele é uma questão que precisaria ser investigada especificamente para cada produto. Os estudos a respeito são discutidos na Parte II.</w:t>
      </w:r>
    </w:p>
    <w:p>
      <w:pPr>
        <w:pStyle w:val="BodyText"/>
      </w:pPr>
      <w:r>
        <w:t xml:space="preserve">Uma regra prática é apenas uma regra prática: há exceções, e recursos como adesivos de microagulhas podem superar a barreira. Esses adesivos têm agulhas minúsculas que penetram apenas a camada mais superficial da pele. Para peptídeos, eles ainda estão em grande parte em desenvolvimento.</w:t>
      </w:r>
    </w:p>
    <w:p>
      <w:pPr>
        <w:pStyle w:val="BodyText"/>
      </w:pPr>
      <w:r>
        <w:t xml:space="preserve">Para peptídeos medicamentosos como análogos de GLP-1, liberadores do hormônio do crescimento ou o melanotan, vale o seguinte: um simples creme ou gel não os leva ao sangue em quantidade significativa. Ofertas na internet que afirmam o contrário devem ser vistas com grande ceticismo.</w:t>
      </w:r>
    </w:p>
    <w:bookmarkEnd w:id="128"/>
    <w:bookmarkStart w:id="130" w:name="estabilidade-o-problema-subestimado"/>
    <w:p>
      <w:pPr>
        <w:pStyle w:val="Heading3"/>
      </w:pPr>
      <w:r>
        <w:t xml:space="preserve">Estabilidade: o problema subestimado</w:t>
      </w:r>
    </w:p>
    <w:p>
      <w:pPr>
        <w:pStyle w:val="FirstParagraph"/>
      </w:pPr>
      <w:r>
        <w:t xml:space="preserve">Também fora do corpo os peptídeos são sensíveis. Eles podem se decompor, sofrer alterações químicas (por exemplo, por oxidação) ou se aglomerar em conjuntos maiores. Essas aglomerações – os especialistas falam em agregação ou formação de fibrilas – podem reduzir o efeito e irritar o sistema imunológico. Uma análise encontrou, em preparações de imitação de liraglutida, uma tendência maior à formação de fibrilas e uma estabilidade física menor do que no original</w:t>
      </w:r>
      <w:r>
        <w:rPr>
          <w:rStyle w:val="FootnoteReference"/>
        </w:rPr>
        <w:footnoteReference w:id="129"/>
      </w:r>
      <w:r>
        <w:t xml:space="preserve">.</w:t>
      </w:r>
    </w:p>
    <w:p>
      <w:pPr>
        <w:pStyle w:val="BodyText"/>
      </w:pPr>
      <w:r>
        <w:t xml:space="preserve">Por isso, os medicamentos peptídicos aprovados são produzidos, embalados e transportados sob refrigeração em condições rigorosamente definidas e recebem prazos de validade. Já os peptídeos do mercado cinza geralmente são vendidos como pó liofilizado, que precisa ser dissolvido pelo próprio usuário antes do uso. Cada uma dessas etapas – transporte sem refrigeração, armazenamento, dissolução, aspiração na seringa – é uma possível fonte de erro.</w:t>
      </w:r>
    </w:p>
    <w:bookmarkEnd w:id="130"/>
    <w:bookmarkStart w:id="132" w:name="reações-imunológicas"/>
    <w:p>
      <w:pPr>
        <w:pStyle w:val="Heading3"/>
      </w:pPr>
      <w:r>
        <w:t xml:space="preserve">Reações imunológicas</w:t>
      </w:r>
    </w:p>
    <w:p>
      <w:pPr>
        <w:pStyle w:val="FirstParagraph"/>
      </w:pPr>
      <w:r>
        <w:t xml:space="preserve">Os peptídeos são substâncias proteicas e podem ser reconhecidos como estranhos pelo sistema imunológico, especialmente quando não correspondem exatamente a uma molécula do próprio corpo ou contêm impurezas. As possíveis consequências são reações no local da injeção, reações alérgicas ou a formação de anticorpos que podem enfraquecer o efeito. Na análise de semaglutida de imitação, foram encontrados novos sítios de ligação para o sistema imunológico, previstos por computador, que apontam para um possível risco de reações imunológicas</w:t>
      </w:r>
      <w:r>
        <w:rPr>
          <w:rStyle w:val="FootnoteReference"/>
        </w:rPr>
        <w:footnoteReference w:id="131"/>
      </w:r>
      <w:r>
        <w:t xml:space="preserve">. A Parte IV trata das reações imunológicas em detalhe.</w:t>
      </w:r>
    </w:p>
    <w:bookmarkEnd w:id="132"/>
    <w:bookmarkStart w:id="133" w:name="Xfb4671af1db3ca7d7226302bff9cc5b335c5736"/>
    <w:p>
      <w:pPr>
        <w:pStyle w:val="Heading3"/>
      </w:pPr>
      <w:r>
        <w:t xml:space="preserve">Visão geral: vias de administração em comparação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w:t>
            </w:r>
          </w:p>
        </w:tc>
        <w:tc>
          <w:tcPr/>
          <w:p>
            <w:pPr>
              <w:pStyle w:val="Compact"/>
              <w:jc w:val="left"/>
            </w:pPr>
            <w:r>
              <w:t xml:space="preserve">Exemplos</w:t>
            </w:r>
          </w:p>
        </w:tc>
      </w:tr>
      <w:tr>
        <w:tc>
          <w:tcPr/>
          <w:p>
            <w:pPr>
              <w:pStyle w:val="Compact"/>
              <w:jc w:val="left"/>
            </w:pPr>
            <w:r>
              <w:t xml:space="preserve">Injeção sob a pele</w:t>
            </w:r>
          </w:p>
        </w:tc>
        <w:tc>
          <w:tcPr/>
          <w:p>
            <w:pPr>
              <w:pStyle w:val="Compact"/>
              <w:jc w:val="left"/>
            </w:pPr>
            <w:r>
              <w:t xml:space="preserve">agulha, esterilidade, refrigeração</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degradação no trato gastrointestinal</w:t>
            </w:r>
          </w:p>
        </w:tc>
        <w:tc>
          <w:tcPr/>
          <w:p>
            <w:pPr>
              <w:pStyle w:val="Compact"/>
              <w:jc w:val="left"/>
            </w:pPr>
            <w:r>
              <w:t xml:space="preserve">semaglutida com SNAC</w:t>
            </w:r>
          </w:p>
        </w:tc>
      </w:tr>
      <w:tr>
        <w:tc>
          <w:tcPr/>
          <w:p>
            <w:pPr>
              <w:pStyle w:val="Compact"/>
              <w:jc w:val="left"/>
            </w:pPr>
            <w:r>
              <w:t xml:space="preserve">Sob a língua</w:t>
            </w:r>
          </w:p>
        </w:tc>
        <w:tc>
          <w:tcPr/>
          <w:p>
            <w:pPr>
              <w:pStyle w:val="Compact"/>
              <w:jc w:val="left"/>
            </w:pPr>
            <w:r>
              <w:t xml:space="preserve">mucosa como barreira</w:t>
            </w:r>
          </w:p>
        </w:tc>
        <w:tc>
          <w:tcPr/>
          <w:p>
            <w:pPr>
              <w:pStyle w:val="Compact"/>
              <w:jc w:val="left"/>
            </w:pPr>
            <w:r>
              <w:t xml:space="preserve">nenhum dado sólido</w:t>
            </w:r>
          </w:p>
        </w:tc>
      </w:tr>
      <w:tr>
        <w:tc>
          <w:tcPr/>
          <w:p>
            <w:pPr>
              <w:pStyle w:val="Compact"/>
              <w:jc w:val="left"/>
            </w:pPr>
            <w:r>
              <w:t xml:space="preserve">Spray nasal</w:t>
            </w:r>
          </w:p>
        </w:tc>
        <w:tc>
          <w:tcPr/>
          <w:p>
            <w:pPr>
              <w:pStyle w:val="Compact"/>
              <w:jc w:val="left"/>
            </w:pPr>
            <w:r>
              <w:t xml:space="preserve">absorção baixa e variável</w:t>
            </w:r>
          </w:p>
        </w:tc>
        <w:tc>
          <w:tcPr/>
          <w:p>
            <w:pPr>
              <w:pStyle w:val="Compact"/>
              <w:jc w:val="left"/>
            </w:pPr>
            <w:r>
              <w:t xml:space="preserve">desmopressina, ocitocina</w:t>
            </w:r>
          </w:p>
        </w:tc>
      </w:tr>
      <w:tr>
        <w:tc>
          <w:tcPr/>
          <w:p>
            <w:pPr>
              <w:pStyle w:val="Compact"/>
              <w:jc w:val="left"/>
            </w:pPr>
            <w:r>
              <w:t xml:space="preserve">Inalação</w:t>
            </w:r>
          </w:p>
        </w:tc>
        <w:tc>
          <w:tcPr/>
          <w:p>
            <w:pPr>
              <w:pStyle w:val="Compact"/>
              <w:jc w:val="left"/>
            </w:pPr>
            <w:r>
              <w:t xml:space="preserve">dispositivos, segurança pulmonar</w:t>
            </w:r>
          </w:p>
        </w:tc>
        <w:tc>
          <w:tcPr/>
          <w:p>
            <w:pPr>
              <w:pStyle w:val="Compact"/>
              <w:jc w:val="left"/>
            </w:pPr>
            <w:r>
              <w:t xml:space="preserve">insulina inalável</w:t>
            </w:r>
          </w:p>
        </w:tc>
      </w:tr>
      <w:tr>
        <w:tc>
          <w:tcPr/>
          <w:p>
            <w:pPr>
              <w:pStyle w:val="Compact"/>
              <w:jc w:val="left"/>
            </w:pPr>
            <w:r>
              <w:t xml:space="preserve">Pele</w:t>
            </w:r>
          </w:p>
        </w:tc>
        <w:tc>
          <w:tcPr/>
          <w:p>
            <w:pPr>
              <w:pStyle w:val="Compact"/>
              <w:jc w:val="left"/>
            </w:pPr>
            <w:r>
              <w:t xml:space="preserve">camada córnea, tamanho da molécula</w:t>
            </w:r>
          </w:p>
        </w:tc>
        <w:tc>
          <w:tcPr/>
          <w:p>
            <w:pPr>
              <w:pStyle w:val="Compact"/>
              <w:jc w:val="left"/>
            </w:pPr>
            <w:r>
              <w:t xml:space="preserve">peptídeos cosméticos</w:t>
            </w:r>
          </w:p>
        </w:tc>
      </w:tr>
    </w:tbl>
    <w:bookmarkEnd w:id="133"/>
    <w:bookmarkStart w:id="134" w:name="o-essencial-em-resumo-1"/>
    <w:p>
      <w:pPr>
        <w:pStyle w:val="Heading3"/>
      </w:pPr>
      <w:r>
        <w:t xml:space="preserve">O essencial em resumo</w:t>
      </w:r>
    </w:p>
    <w:p>
      <w:pPr>
        <w:numPr>
          <w:ilvl w:val="0"/>
          <w:numId w:val="1014"/>
        </w:numPr>
        <w:pStyle w:val="Compact"/>
      </w:pPr>
      <w:r>
        <w:t xml:space="preserve">Os peptídeos são degradados no trato digestivo, são grandes e atravessam mal as membranas. Por isso, a maioria dos medicamentos peptídicos é injetada.</w:t>
      </w:r>
    </w:p>
    <w:p>
      <w:pPr>
        <w:numPr>
          <w:ilvl w:val="0"/>
          <w:numId w:val="1014"/>
        </w:numPr>
        <w:pStyle w:val="Compact"/>
      </w:pPr>
      <w:r>
        <w:t xml:space="preserve">Uma longa duração de ação é obtida por modificações direcionadas na molécula, como a ligação de ácidos graxos para a ligação à albumina.</w:t>
      </w:r>
    </w:p>
    <w:p>
      <w:pPr>
        <w:numPr>
          <w:ilvl w:val="0"/>
          <w:numId w:val="1014"/>
        </w:numPr>
        <w:pStyle w:val="Compact"/>
      </w:pPr>
      <w:r>
        <w:t xml:space="preserve">O comprimido de semaglutida usa o excipiente SNAC, que permite a absorção no estômago. A biodisponibilidade continua muito baixa, de cerca de 0,4 a 1%.</w:t>
      </w:r>
    </w:p>
    <w:p>
      <w:pPr>
        <w:numPr>
          <w:ilvl w:val="0"/>
          <w:numId w:val="1014"/>
        </w:numPr>
        <w:pStyle w:val="Compact"/>
      </w:pPr>
      <w:r>
        <w:t xml:space="preserve">Em sprays nasais e cremes, a absorção de peptídeos maiores é limitada. Promessas como</w:t>
      </w:r>
      <w:r>
        <w:t xml:space="preserve"> </w:t>
      </w:r>
      <w:r>
        <w:t xml:space="preserve">“</w:t>
      </w:r>
      <w:r>
        <w:t xml:space="preserve">direto para o cérebro</w:t>
      </w:r>
      <w:r>
        <w:t xml:space="preserve">”</w:t>
      </w:r>
      <w:r>
        <w:t xml:space="preserve"> </w:t>
      </w:r>
      <w:r>
        <w:t xml:space="preserve">ou</w:t>
      </w:r>
      <w:r>
        <w:t xml:space="preserve"> </w:t>
      </w:r>
      <w:r>
        <w:t xml:space="preserve">“</w:t>
      </w:r>
      <w:r>
        <w:t xml:space="preserve">pela pele até o sangue</w:t>
      </w:r>
      <w:r>
        <w:t xml:space="preserve">”</w:t>
      </w:r>
      <w:r>
        <w:t xml:space="preserve"> </w:t>
      </w:r>
      <w:r>
        <w:t xml:space="preserve">geralmente não têm comprovação.</w:t>
      </w:r>
    </w:p>
    <w:p>
      <w:pPr>
        <w:numPr>
          <w:ilvl w:val="0"/>
          <w:numId w:val="1014"/>
        </w:numPr>
        <w:pStyle w:val="Compact"/>
      </w:pPr>
      <w:r>
        <w:t xml:space="preserve">Estabilidade, esterilidade e pureza não são detalhes no caso dos peptídeos, mas pré-requisitos para a segurança e o efeito.</w:t>
      </w:r>
    </w:p>
    <w:bookmarkEnd w:id="134"/>
    <w:bookmarkEnd w:id="135"/>
    <w:bookmarkStart w:id="167" w:name="como-ler-estudos-corretamente"/>
    <w:p>
      <w:pPr>
        <w:pStyle w:val="Heading2"/>
      </w:pPr>
      <w:r>
        <w:t xml:space="preserve">Como ler estudos corretamente</w:t>
      </w:r>
    </w:p>
    <w:p>
      <w:pPr>
        <w:pStyle w:val="FirstParagraph"/>
      </w:pPr>
      <w:r>
        <w:t xml:space="preserve">“</w:t>
      </w:r>
      <w:r>
        <w:t xml:space="preserve">Estudos mostram…</w:t>
      </w:r>
      <w:r>
        <w:t xml:space="preserve">”</w:t>
      </w:r>
      <w:r>
        <w:t xml:space="preserve"> </w:t>
      </w:r>
      <w:r>
        <w:t xml:space="preserve">– poucas expressões são usadas com tanta frequência na publicidade de peptídeos. Ela pode significar qualquer coisa: um teste com células em uma placa de Petri, um experimento com doze ratos, o relato de experiência de um único paciente ou um estudo com 17.000 participantes ao longo de mais de três anos. Quem quer avaliar peptídeos precisa conhecer essas diferenças. Este capítulo é uma espécie de caixa de ferramentas. Ele explica os principais tipos de estudo, as armadilhas na interpretação dos resultados e como você mesmo pode verificar o que está por trás de uma afirmação.</w:t>
      </w:r>
    </w:p>
    <w:bookmarkStart w:id="136" w:name="a-pirâmide-de-evidências"/>
    <w:p>
      <w:pPr>
        <w:pStyle w:val="Heading3"/>
      </w:pPr>
      <w:r>
        <w:t xml:space="preserve">A pirâmide de evidências</w:t>
      </w:r>
    </w:p>
    <w:p>
      <w:pPr>
        <w:pStyle w:val="FirstParagraph"/>
      </w:pPr>
      <w:r>
        <w:t xml:space="preserve">Os especialistas costumam organizar os tipos de estudo em uma pirâmide. Na base ficam as formas de estudo que fornecem muitos indícios, mas pouca certeza; no topo, aquelas que mostram de modo mais confiável se um tratamento funciona em seres humanos. De baixo para cima:</w:t>
      </w:r>
    </w:p>
    <w:p>
      <w:pPr>
        <w:numPr>
          <w:ilvl w:val="0"/>
          <w:numId w:val="1015"/>
        </w:numPr>
        <w:pStyle w:val="Compact"/>
      </w:pPr>
      <w:r>
        <w:rPr>
          <w:bCs/>
          <w:b/>
        </w:rPr>
        <w:t xml:space="preserve">Estudos de laboratório e com células</w:t>
      </w:r>
      <w:r>
        <w:t xml:space="preserve"> </w:t>
      </w:r>
      <w:r>
        <w:t xml:space="preserve">(in vitro,</w:t>
      </w:r>
      <w:r>
        <w:t xml:space="preserve"> </w:t>
      </w:r>
      <w:r>
        <w:t xml:space="preserve">“</w:t>
      </w:r>
      <w:r>
        <w:t xml:space="preserve">no vidro</w:t>
      </w:r>
      <w:r>
        <w:t xml:space="preserve">”</w:t>
      </w:r>
      <w:r>
        <w:t xml:space="preserve">): células ou tecidos são expostos a uma substância em laboratório.</w:t>
      </w:r>
    </w:p>
    <w:p>
      <w:pPr>
        <w:numPr>
          <w:ilvl w:val="0"/>
          <w:numId w:val="1015"/>
        </w:numPr>
        <w:pStyle w:val="Compact"/>
      </w:pPr>
      <w:r>
        <w:rPr>
          <w:bCs/>
          <w:b/>
        </w:rPr>
        <w:t xml:space="preserve">Estudos em animais</w:t>
      </w:r>
      <w:r>
        <w:t xml:space="preserve"> </w:t>
      </w:r>
      <w:r>
        <w:t xml:space="preserve">(geralmente em camundongos ou ratos).</w:t>
      </w:r>
    </w:p>
    <w:p>
      <w:pPr>
        <w:numPr>
          <w:ilvl w:val="0"/>
          <w:numId w:val="1015"/>
        </w:numPr>
        <w:pStyle w:val="Compact"/>
      </w:pPr>
      <w:r>
        <w:rPr>
          <w:bCs/>
          <w:b/>
        </w:rPr>
        <w:t xml:space="preserve">Relatos de caso e séries de casos</w:t>
      </w:r>
      <w:r>
        <w:t xml:space="preserve">: descrições de um ou de poucos pacientes.</w:t>
      </w:r>
    </w:p>
    <w:p>
      <w:pPr>
        <w:numPr>
          <w:ilvl w:val="0"/>
          <w:numId w:val="1015"/>
        </w:numPr>
        <w:pStyle w:val="Compact"/>
      </w:pPr>
      <w:r>
        <w:rPr>
          <w:bCs/>
          <w:b/>
        </w:rPr>
        <w:t xml:space="preserve">Estudos observacionais</w:t>
      </w:r>
      <w:r>
        <w:t xml:space="preserve">: observam-se pessoas que, por conta própria, tomam ou não tomam uma substância e compara-se o que acontece com elas.</w:t>
      </w:r>
    </w:p>
    <w:p>
      <w:pPr>
        <w:numPr>
          <w:ilvl w:val="0"/>
          <w:numId w:val="1015"/>
        </w:numPr>
        <w:pStyle w:val="Compact"/>
      </w:pPr>
      <w:r>
        <w:rPr>
          <w:bCs/>
          <w:b/>
        </w:rPr>
        <w:t xml:space="preserve">Estudos controlados sem alocação aleatória</w:t>
      </w:r>
      <w:r>
        <w:t xml:space="preserve"> </w:t>
      </w:r>
      <w:r>
        <w:t xml:space="preserve">e</w:t>
      </w:r>
      <w:r>
        <w:t xml:space="preserve"> </w:t>
      </w:r>
      <w:r>
        <w:rPr>
          <w:bCs/>
          <w:b/>
        </w:rPr>
        <w:t xml:space="preserve">estudos abertos</w:t>
      </w:r>
      <w:r>
        <w:t xml:space="preserve">.</w:t>
      </w:r>
    </w:p>
    <w:p>
      <w:pPr>
        <w:numPr>
          <w:ilvl w:val="0"/>
          <w:numId w:val="1015"/>
        </w:numPr>
        <w:pStyle w:val="Compact"/>
      </w:pPr>
      <w:r>
        <w:rPr>
          <w:bCs/>
          <w:b/>
        </w:rPr>
        <w:t xml:space="preserve">Ensaios clínicos randomizados e controlados</w:t>
      </w:r>
      <w:r>
        <w:t xml:space="preserve"> </w:t>
      </w:r>
      <w:r>
        <w:t xml:space="preserve">(ECR).</w:t>
      </w:r>
    </w:p>
    <w:p>
      <w:pPr>
        <w:numPr>
          <w:ilvl w:val="0"/>
          <w:numId w:val="1015"/>
        </w:numPr>
        <w:pStyle w:val="Compact"/>
      </w:pPr>
      <w:r>
        <w:rPr>
          <w:bCs/>
          <w:b/>
        </w:rPr>
        <w:t xml:space="preserve">Revisões sistemáticas e metanálises</w:t>
      </w:r>
      <w:r>
        <w:t xml:space="preserve">, que reúnem todos os bons estudos disponíveis sobre uma questão.</w:t>
      </w:r>
    </w:p>
    <w:p>
      <w:pPr>
        <w:pStyle w:val="FirstParagraph"/>
      </w:pPr>
      <w:r>
        <w:t xml:space="preserve">A pirâmide é uma simplificação. Um estudo observacional grande e cuidadoso pode ser mais informativo do que um ECR minúsculo e malfeito, e uma metanálise só é tão boa quanto os estudos que inclui. Como orientação geral, porém, ela é útil – sobretudo para perceber o quão baixo na pirâmide estão as evidências de muitos peptídeos do mercado cinza.</w:t>
      </w:r>
    </w:p>
    <w:bookmarkEnd w:id="136"/>
    <w:bookmarkStart w:id="137" w:name="X25b93ce762f3bf69cc3fd18e1b37c7f7442be5c"/>
    <w:p>
      <w:pPr>
        <w:pStyle w:val="Heading3"/>
      </w:pPr>
      <w:r>
        <w:t xml:space="preserve">Estudos de laboratório: o que acontece na placa de Petri</w:t>
      </w:r>
    </w:p>
    <w:p>
      <w:pPr>
        <w:pStyle w:val="FirstParagraph"/>
      </w:pPr>
      <w:r>
        <w:t xml:space="preserve">Em culturas de células é possível investigar bem os mecanismos: qual receptor é ativado? Quais genes são lidos? As células crescem ou migram mais rápido? Esses estudos são indispensáveis para a pesquisa básica.</w:t>
      </w:r>
    </w:p>
    <w:p>
      <w:pPr>
        <w:pStyle w:val="BodyText"/>
      </w:pPr>
      <w:r>
        <w:t xml:space="preserve">Seus limites, porém, são grandes. Células em uma placa não têm circulação sanguínea, nem fígado para degradar substâncias, nem sistema imunológico, nem digestão. As concentrações usadas em laboratório costumam ser muito maiores do que as que poderiam ser alcançadas no corpo humano. Uma substância que mata células cancerosas na placa de Petri pode ser ineficaz ou tóxica no organismo. Quando um texto publicitário se apoia em</w:t>
      </w:r>
      <w:r>
        <w:t xml:space="preserve"> </w:t>
      </w:r>
      <w:r>
        <w:t xml:space="preserve">“</w:t>
      </w:r>
      <w:r>
        <w:t xml:space="preserve">estudos</w:t>
      </w:r>
      <w:r>
        <w:t xml:space="preserve">”</w:t>
      </w:r>
      <w:r>
        <w:t xml:space="preserve"> </w:t>
      </w:r>
      <w:r>
        <w:t xml:space="preserve">e se trata de culturas de células, isso é um indício de um possível mecanismo – não de um benefício em seres humanos.</w:t>
      </w:r>
    </w:p>
    <w:bookmarkEnd w:id="137"/>
    <w:bookmarkStart w:id="139" w:name="Xf3f4c5eb82c6c07b38a27e854a689ec72d8d15e"/>
    <w:p>
      <w:pPr>
        <w:pStyle w:val="Heading3"/>
      </w:pPr>
      <w:r>
        <w:t xml:space="preserve">Estudos em animais: importantes, mas não transferíveis</w:t>
      </w:r>
    </w:p>
    <w:p>
      <w:pPr>
        <w:pStyle w:val="FirstParagraph"/>
      </w:pPr>
      <w:r>
        <w:t xml:space="preserve">Os experimentos com animais permitem estudar efeitos em um organismo inteiro e esclarecer questões de segurança antes que seres humanos sejam expostos a uma nova substância. Ao mesmo tempo, camundongos e ratos diferem consideravelmente dos humanos no metabolismo, na expectativa de vida, no tamanho corporal e no modo como as doenças surgem. Além disso, as doenças nos animais muitas vezes são provocadas artificialmente – como uma lesão de tendão por um corte –, o que só corresponde parcialmente à situação em seres humanos.</w:t>
      </w:r>
    </w:p>
    <w:p>
      <w:pPr>
        <w:pStyle w:val="BodyText"/>
      </w:pPr>
      <w:r>
        <w:t xml:space="preserve">O quão difícil é essa transposição mostra uma revisão sistemática que comparou os efeitos de tratamentos em experimentos com animais com os de estudos clínicos</w:t>
      </w:r>
      <w:r>
        <w:rPr>
          <w:rStyle w:val="FootnoteReference"/>
        </w:rPr>
        <w:footnoteReference w:id="138"/>
      </w:r>
      <w:r>
        <w:t xml:space="preserve">. Alguns exemplos:</w:t>
      </w:r>
    </w:p>
    <w:p>
      <w:pPr>
        <w:numPr>
          <w:ilvl w:val="0"/>
          <w:numId w:val="1016"/>
        </w:numPr>
        <w:pStyle w:val="Compact"/>
      </w:pPr>
      <w:r>
        <w:t xml:space="preserve">Preparações de corticoide melhoraram os resultados em modelos animais de traumatismo craniano, mas em estudos clínicos com seres humanos não mostraram benefício.</w:t>
      </w:r>
    </w:p>
    <w:p>
      <w:pPr>
        <w:numPr>
          <w:ilvl w:val="0"/>
          <w:numId w:val="1016"/>
        </w:numPr>
        <w:pStyle w:val="Compact"/>
      </w:pPr>
      <w:r>
        <w:t xml:space="preserve">A substância tirilazad reduziu em animais com AVC a área cerebral lesionada em 29% e melhorou os escores neurológicos em 48%. Em pessoas com AVC, esteve associada a um resultado pior.</w:t>
      </w:r>
    </w:p>
    <w:p>
      <w:pPr>
        <w:numPr>
          <w:ilvl w:val="0"/>
          <w:numId w:val="1016"/>
        </w:numPr>
        <w:pStyle w:val="Compact"/>
      </w:pPr>
      <w:r>
        <w:t xml:space="preserve">Outros tratamentos, como a dissolução de coágulos no AVC, funcionaram tanto em animais quanto em humanos.</w:t>
      </w:r>
    </w:p>
    <w:p>
      <w:pPr>
        <w:pStyle w:val="FirstParagraph"/>
      </w:pPr>
      <w:r>
        <w:t xml:space="preserve">Os autores atribuem as discrepâncias a vieses nos estudos com animais e ao fato de os modelos animais não reproduzirem suficientemente as doenças humanas.</w:t>
      </w:r>
    </w:p>
    <w:p>
      <w:pPr>
        <w:pStyle w:val="BodyText"/>
      </w:pPr>
      <w:r>
        <w:t xml:space="preserve">Para este livro, isso tem uma consequência clara: quando para um peptídeo existem apenas dados em animais, ele recebe o nível de evidência D – independentemente de quão impressionantes pareçam os resultados em ratos. E o texto sempre diz explicitamente quando um resultado vem de animais ou do laboratório.</w:t>
      </w:r>
    </w:p>
    <w:bookmarkEnd w:id="139"/>
    <w:bookmarkStart w:id="140" w:name="relatos-de-caso-e-estudos-observacionais"/>
    <w:p>
      <w:pPr>
        <w:pStyle w:val="Heading3"/>
      </w:pPr>
      <w:r>
        <w:t xml:space="preserve">Relatos de caso e estudos observacionais</w:t>
      </w:r>
    </w:p>
    <w:p>
      <w:pPr>
        <w:pStyle w:val="FirstParagraph"/>
      </w:pPr>
      <w:r>
        <w:rPr>
          <w:bCs/>
          <w:b/>
        </w:rPr>
        <w:t xml:space="preserve">Relatos de caso</w:t>
      </w:r>
      <w:r>
        <w:t xml:space="preserve"> </w:t>
      </w:r>
      <w:r>
        <w:t xml:space="preserve">descrevem pacientes individuais. Sobre a eficácia, dizem pouco; para a segurança, por outro lado, podem ser muito valiosos: efeitos colaterais raros ou inesperados muitas vezes são notados primeiro em relatos de caso. No capítulo sobre o mercado cinza, você vai conhecer vários desses relatos, por exemplo sobre hipoglicemias graves causadas por preparações falsificadas.</w:t>
      </w:r>
    </w:p>
    <w:p>
      <w:pPr>
        <w:pStyle w:val="BodyText"/>
      </w:pPr>
      <w:r>
        <w:rPr>
          <w:bCs/>
          <w:b/>
        </w:rPr>
        <w:t xml:space="preserve">Estudos observacionais</w:t>
      </w:r>
      <w:r>
        <w:t xml:space="preserve"> </w:t>
      </w:r>
      <w:r>
        <w:t xml:space="preserve">comparam pessoas que tomam uma substância com pessoas que não a tomam. Seu principal problema é o chamado</w:t>
      </w:r>
      <w:r>
        <w:t xml:space="preserve"> </w:t>
      </w:r>
      <w:r>
        <w:rPr>
          <w:bCs/>
          <w:b/>
        </w:rPr>
        <w:t xml:space="preserve">fator de confusão</w:t>
      </w:r>
      <w:r>
        <w:t xml:space="preserve"> </w:t>
      </w:r>
      <w:r>
        <w:t xml:space="preserve">(confounding): quem toma uma determinada preparação muitas vezes também é diferente em outros aspectos – por exemplo, na renda, na atenção à saúde ou em doenças preexistentes. Uma associação encontrada, portanto, não precisa ser uma relação de causa e efeito.</w:t>
      </w:r>
    </w:p>
    <w:p>
      <w:pPr>
        <w:pStyle w:val="BodyText"/>
      </w:pPr>
      <w:r>
        <w:t xml:space="preserve">Uma forma especial são as análises de</w:t>
      </w:r>
      <w:r>
        <w:t xml:space="preserve"> </w:t>
      </w:r>
      <w:r>
        <w:rPr>
          <w:bCs/>
          <w:b/>
        </w:rPr>
        <w:t xml:space="preserve">sistemas de notificação de efeitos colaterais</w:t>
      </w:r>
      <w:r>
        <w:t xml:space="preserve">, como a base de dados europeia EudraVigilance ou a norte-americana FAERS. Elas reúnem notificações de suspeitas feitas por médicas, pacientes e fabricantes. Esses dados mostram sinais que devem ser investigados, mas não provam uma relação e não dizem nada sobre a real frequência de um efeito colateral.</w:t>
      </w:r>
    </w:p>
    <w:bookmarkEnd w:id="140"/>
    <w:bookmarkStart w:id="141" w:name="X8ba75ee05a8ceabf0578bd00aba5ca37774faab"/>
    <w:p>
      <w:pPr>
        <w:pStyle w:val="Heading3"/>
      </w:pPr>
      <w:r>
        <w:t xml:space="preserve">O ensaio clínico randomizado e controlado (ECR)</w:t>
      </w:r>
    </w:p>
    <w:p>
      <w:pPr>
        <w:pStyle w:val="FirstParagraph"/>
      </w:pPr>
      <w:r>
        <w:t xml:space="preserve">O ECR é considerado o padrão-ouro para testar o efeito de um tratamento. Três elementos o definem:</w:t>
      </w:r>
    </w:p>
    <w:p>
      <w:pPr>
        <w:pStyle w:val="BodyText"/>
      </w:pPr>
      <w:r>
        <w:rPr>
          <w:bCs/>
          <w:b/>
        </w:rPr>
        <w:t xml:space="preserve">Grupo controle.</w:t>
      </w:r>
      <w:r>
        <w:t xml:space="preserve"> </w:t>
      </w:r>
      <w:r>
        <w:t xml:space="preserve">Além do grupo que recebe a substância, há um grupo de comparação – com placebo, um tratamento padrão ou nenhum tratamento. Só assim é possível dizer se uma mudança se deve à substância ou se teria ocorrido também sem ela.</w:t>
      </w:r>
    </w:p>
    <w:p>
      <w:pPr>
        <w:pStyle w:val="BodyText"/>
      </w:pPr>
      <w:r>
        <w:rPr>
          <w:bCs/>
          <w:b/>
        </w:rPr>
        <w:t xml:space="preserve">Randomização.</w:t>
      </w:r>
      <w:r>
        <w:t xml:space="preserve"> </w:t>
      </w:r>
      <w:r>
        <w:t xml:space="preserve">Quem vai para qual grupo é decidido pelo acaso. Com isso, fatores de influência conhecidos e desconhecidos se distribuem igualmente entre os grupos. Diferenças no resultado podem então ser atribuídas ao tratamento com alta probabilidade.</w:t>
      </w:r>
    </w:p>
    <w:p>
      <w:pPr>
        <w:pStyle w:val="BodyText"/>
      </w:pPr>
      <w:r>
        <w:rPr>
          <w:bCs/>
          <w:b/>
        </w:rPr>
        <w:t xml:space="preserve">Cegamento.</w:t>
      </w:r>
      <w:r>
        <w:t xml:space="preserve"> </w:t>
      </w:r>
      <w:r>
        <w:t xml:space="preserve">Em um estudo</w:t>
      </w:r>
      <w:r>
        <w:t xml:space="preserve"> </w:t>
      </w:r>
      <w:r>
        <w:rPr>
          <w:bCs/>
          <w:b/>
        </w:rPr>
        <w:t xml:space="preserve">duplo-cego</w:t>
      </w:r>
      <w:r>
        <w:t xml:space="preserve">, nem os participantes nem a equipe do estudo sabem quem recebe a substância e quem recebe o placebo. Isso impede que expectativas influenciem o resultado. Em um estudo</w:t>
      </w:r>
      <w:r>
        <w:t xml:space="preserve"> </w:t>
      </w:r>
      <w:r>
        <w:rPr>
          <w:bCs/>
          <w:b/>
        </w:rPr>
        <w:t xml:space="preserve">aberto</w:t>
      </w:r>
      <w:r>
        <w:t xml:space="preserve">, todos os envolvidos sabem; às vezes não há outra forma, mas isso torna os resultados mais suscetíveis a vieses, especialmente em desfechos subjetivos como dor, humor ou aparência da pele.</w:t>
      </w:r>
    </w:p>
    <w:bookmarkEnd w:id="141"/>
    <w:bookmarkStart w:id="144" w:name="Xcaa0e0ddabfbac50f38f4b421e73a0eecd0dd95"/>
    <w:p>
      <w:pPr>
        <w:pStyle w:val="Heading3"/>
      </w:pPr>
      <w:r>
        <w:t xml:space="preserve">O efeito placebo e por que os grupos controle são indispensáveis</w:t>
      </w:r>
    </w:p>
    <w:p>
      <w:pPr>
        <w:pStyle w:val="FirstParagraph"/>
      </w:pPr>
      <w:r>
        <w:t xml:space="preserve">As pessoas muitas vezes melhoram em estudos mesmo quando recebem apenas uma preparação simulada. Isso se deve às expectativas, à atenção adicional, a mudanças no estilo de vida durante o estudo e ao fato de que muitas queixas melhoram sozinhas de qualquer maneira.</w:t>
      </w:r>
    </w:p>
    <w:p>
      <w:pPr>
        <w:pStyle w:val="BodyText"/>
      </w:pPr>
      <w:r>
        <w:t xml:space="preserve">Um exemplo claro é o estudo STEP 1: também o grupo placebo perdeu em média 2,4% do peso corporal ao longo de 68 semanas, porque todos os participantes receberam, além disso, orientação sobre estilo de vida</w:t>
      </w:r>
      <w:r>
        <w:rPr>
          <w:rStyle w:val="FootnoteReference"/>
        </w:rPr>
        <w:footnoteReference w:id="142"/>
      </w:r>
      <w:r>
        <w:t xml:space="preserve">. O efeito real da substância é a diferença entre os grupos – neste caso, 12,4 pontos percentuais, e não 14,9%.</w:t>
      </w:r>
    </w:p>
    <w:p>
      <w:pPr>
        <w:pStyle w:val="BodyText"/>
      </w:pPr>
      <w:r>
        <w:t xml:space="preserve">Um artigo de revisão sobre peptídeos na medicina esportiva ressalta expressamente que o efeito placebo poderia explicar parte dos efeitos relatados para peptídeos não regulamentados e que as redes sociais amplificam esse efeito</w:t>
      </w:r>
      <w:r>
        <w:rPr>
          <w:rStyle w:val="FootnoteReference"/>
        </w:rPr>
        <w:footnoteReference w:id="143"/>
      </w:r>
      <w:r>
        <w:t xml:space="preserve">. Relatos de experiência em fóruns, portanto, não substituem estudos controlados.</w:t>
      </w:r>
    </w:p>
    <w:bookmarkEnd w:id="144"/>
    <w:bookmarkStart w:id="145" w:name="fases-dos-estudos"/>
    <w:p>
      <w:pPr>
        <w:pStyle w:val="Heading3"/>
      </w:pPr>
      <w:r>
        <w:t xml:space="preserve">Fases dos estudos</w:t>
      </w:r>
    </w:p>
    <w:p>
      <w:pPr>
        <w:pStyle w:val="FirstParagraph"/>
      </w:pPr>
      <w:r>
        <w:t xml:space="preserve">Novos medicamentos passam tipicamente por quatro fases em seres humanos: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Tamanho típico</w:t>
            </w:r>
          </w:p>
        </w:tc>
      </w:tr>
      <w:tr>
        <w:tc>
          <w:tcPr/>
          <w:p>
            <w:pPr>
              <w:pStyle w:val="Compact"/>
              <w:jc w:val="left"/>
            </w:pPr>
            <w:r>
              <w:t xml:space="preserve">Fase 1</w:t>
            </w:r>
          </w:p>
        </w:tc>
        <w:tc>
          <w:tcPr/>
          <w:p>
            <w:pPr>
              <w:pStyle w:val="Compact"/>
              <w:jc w:val="left"/>
            </w:pPr>
            <w:r>
              <w:t xml:space="preserve">tolerabilidade, comportamento no organismo</w:t>
            </w:r>
          </w:p>
        </w:tc>
        <w:tc>
          <w:tcPr/>
          <w:p>
            <w:pPr>
              <w:pStyle w:val="Compact"/>
              <w:jc w:val="left"/>
            </w:pPr>
            <w:r>
              <w:t xml:space="preserve">algumas dezenas de pessoas saudáveis</w:t>
            </w:r>
          </w:p>
        </w:tc>
      </w:tr>
      <w:tr>
        <w:tc>
          <w:tcPr/>
          <w:p>
            <w:pPr>
              <w:pStyle w:val="Compact"/>
              <w:jc w:val="left"/>
            </w:pPr>
            <w:r>
              <w:t xml:space="preserve">Fase 2</w:t>
            </w:r>
          </w:p>
        </w:tc>
        <w:tc>
          <w:tcPr/>
          <w:p>
            <w:pPr>
              <w:pStyle w:val="Compact"/>
              <w:jc w:val="left"/>
            </w:pPr>
            <w:r>
              <w:t xml:space="preserve">primeira eficácia, definição de dose</w:t>
            </w:r>
          </w:p>
        </w:tc>
        <w:tc>
          <w:tcPr/>
          <w:p>
            <w:pPr>
              <w:pStyle w:val="Compact"/>
              <w:jc w:val="left"/>
            </w:pPr>
            <w:r>
              <w:t xml:space="preserve">cerca de 100 a algumas centenas</w:t>
            </w:r>
          </w:p>
        </w:tc>
      </w:tr>
      <w:tr>
        <w:tc>
          <w:tcPr/>
          <w:p>
            <w:pPr>
              <w:pStyle w:val="Compact"/>
              <w:jc w:val="left"/>
            </w:pPr>
            <w:r>
              <w:t xml:space="preserve">Fase 3</w:t>
            </w:r>
          </w:p>
        </w:tc>
        <w:tc>
          <w:tcPr/>
          <w:p>
            <w:pPr>
              <w:pStyle w:val="Compact"/>
              <w:jc w:val="left"/>
            </w:pPr>
            <w:r>
              <w:t xml:space="preserve">eficácia e segurança em comparação</w:t>
            </w:r>
          </w:p>
        </w:tc>
        <w:tc>
          <w:tcPr/>
          <w:p>
            <w:pPr>
              <w:pStyle w:val="Compact"/>
              <w:jc w:val="left"/>
            </w:pPr>
            <w:r>
              <w:t xml:space="preserve">centenas a milhares</w:t>
            </w:r>
          </w:p>
        </w:tc>
      </w:tr>
      <w:tr>
        <w:tc>
          <w:tcPr/>
          <w:p>
            <w:pPr>
              <w:pStyle w:val="Compact"/>
              <w:jc w:val="left"/>
            </w:pPr>
            <w:r>
              <w:t xml:space="preserve">Fase 4</w:t>
            </w:r>
          </w:p>
        </w:tc>
        <w:tc>
          <w:tcPr/>
          <w:p>
            <w:pPr>
              <w:pStyle w:val="Compact"/>
              <w:jc w:val="left"/>
            </w:pPr>
            <w:r>
              <w:t xml:space="preserve">acompanhamento após a aprovação</w:t>
            </w:r>
          </w:p>
        </w:tc>
        <w:tc>
          <w:tcPr/>
          <w:p>
            <w:pPr>
              <w:pStyle w:val="Compact"/>
              <w:jc w:val="left"/>
            </w:pPr>
            <w:r>
              <w:t xml:space="preserve">muitas vezes muito grande</w:t>
            </w:r>
          </w:p>
        </w:tc>
      </w:tr>
    </w:tbl>
    <w:p>
      <w:pPr>
        <w:pStyle w:val="BodyText"/>
      </w:pPr>
      <w:r>
        <w:t xml:space="preserve">Muitas substâncias fracassam entre a fase 2 e a fase 3. Um resultado promissor de fase 2, portanto, ainda não garante uma aprovação futura.</w:t>
      </w:r>
    </w:p>
    <w:bookmarkEnd w:id="145"/>
    <w:bookmarkStart w:id="147" w:name="desfechos-o-que-afinal-está-sendo-medido"/>
    <w:p>
      <w:pPr>
        <w:pStyle w:val="Heading3"/>
      </w:pPr>
      <w:r>
        <w:t xml:space="preserve">Desfechos: o que, afinal, está sendo medido?</w:t>
      </w:r>
    </w:p>
    <w:p>
      <w:pPr>
        <w:pStyle w:val="FirstParagraph"/>
      </w:pPr>
      <w:r>
        <w:t xml:space="preserve">Cada estudo define de antemão um</w:t>
      </w:r>
      <w:r>
        <w:t xml:space="preserve"> </w:t>
      </w:r>
      <w:r>
        <w:rPr>
          <w:bCs/>
          <w:b/>
        </w:rPr>
        <w:t xml:space="preserve">desfecho primário</w:t>
      </w:r>
      <w:r>
        <w:t xml:space="preserve"> </w:t>
      </w:r>
      <w:r>
        <w:t xml:space="preserve">– o objetivo principal pelo qual o sucesso é medido. A isso se somam desfechos secundários. Quando um resultado só é destacado como importante depois, é preciso cautela: quem mede muitos desfechos quase sempre encontra em algum lugar uma diferença</w:t>
      </w:r>
      <w:r>
        <w:t xml:space="preserve"> </w:t>
      </w:r>
      <w:r>
        <w:t xml:space="preserve">“</w:t>
      </w:r>
      <w:r>
        <w:t xml:space="preserve">significativa</w:t>
      </w:r>
      <w:r>
        <w:t xml:space="preserve">”</w:t>
      </w:r>
      <w:r>
        <w:t xml:space="preserve">.</w:t>
      </w:r>
    </w:p>
    <w:p>
      <w:pPr>
        <w:pStyle w:val="BodyText"/>
      </w:pPr>
      <w:r>
        <w:t xml:space="preserve">É especialmente importante distinguir entre</w:t>
      </w:r>
      <w:r>
        <w:t xml:space="preserve"> </w:t>
      </w:r>
      <w:r>
        <w:rPr>
          <w:bCs/>
          <w:b/>
        </w:rPr>
        <w:t xml:space="preserve">desfechos duros</w:t>
      </w:r>
      <w:r>
        <w:t xml:space="preserve"> </w:t>
      </w:r>
      <w:r>
        <w:t xml:space="preserve">e</w:t>
      </w:r>
      <w:r>
        <w:t xml:space="preserve"> </w:t>
      </w:r>
      <w:r>
        <w:rPr>
          <w:bCs/>
          <w:b/>
        </w:rPr>
        <w:t xml:space="preserve">desfechos substitutos</w:t>
      </w:r>
      <w:r>
        <w:t xml:space="preserve">:</w:t>
      </w:r>
    </w:p>
    <w:p>
      <w:pPr>
        <w:numPr>
          <w:ilvl w:val="0"/>
          <w:numId w:val="1017"/>
        </w:numPr>
        <w:pStyle w:val="Compact"/>
      </w:pPr>
      <w:r>
        <w:rPr>
          <w:bCs/>
          <w:b/>
        </w:rPr>
        <w:t xml:space="preserve">Desfechos duros</w:t>
      </w:r>
      <w:r>
        <w:t xml:space="preserve"> </w:t>
      </w:r>
      <w:r>
        <w:t xml:space="preserve">são eventos que importam diretamente para os pacientes: morte, infarto, AVC, fratura óssea, cegueira, qualidade de vida.</w:t>
      </w:r>
    </w:p>
    <w:p>
      <w:pPr>
        <w:numPr>
          <w:ilvl w:val="0"/>
          <w:numId w:val="1017"/>
        </w:numPr>
        <w:pStyle w:val="Compact"/>
      </w:pPr>
      <w:r>
        <w:rPr>
          <w:bCs/>
          <w:b/>
        </w:rPr>
        <w:t xml:space="preserve">Desfechos substitutos</w:t>
      </w:r>
      <w:r>
        <w:t xml:space="preserve"> </w:t>
      </w:r>
      <w:r>
        <w:t xml:space="preserve">são valores medidos que se supõe estarem relacionados a desfechos duros: glicose, HbA1c, colesterol, pressão arterial, densidade óssea, peso corporal ou valores laboratoriais como o IGF-1.</w:t>
      </w:r>
    </w:p>
    <w:p>
      <w:pPr>
        <w:pStyle w:val="FirstParagraph"/>
      </w:pPr>
      <w:r>
        <w:t xml:space="preserve">Os desfechos substitutos são práticos, porque podem ser medidos mais rapidamente e com menos participantes. Mas podem enganar. O exemplo mais conhecido é o Cardiac Arrhythmia Suppression Trial (CAST), do final da década de 1980. Partia-se do princípio de que medicamentos que suprimem certas arritmias cardíacas após um infarto também evitariam mortes. Os medicamentos de fato suprimiram as arritmias – o desfecho substituto foi alcançado. Mas no estudo randomizado morreram mais pessoas com dois desses medicamentos do que com placebo: por arritmias, morreram 43 participantes com a substância contra 16 com placebo</w:t>
      </w:r>
      <w:r>
        <w:rPr>
          <w:rStyle w:val="FootnoteReference"/>
        </w:rPr>
        <w:footnoteReference w:id="146"/>
      </w:r>
      <w:r>
        <w:t xml:space="preserve">.</w:t>
      </w:r>
    </w:p>
    <w:p>
      <w:pPr>
        <w:pStyle w:val="BodyText"/>
      </w:pPr>
      <w:r>
        <w:t xml:space="preserve">No caso dos peptídeos, você encontrará desfechos substitutos o tempo todo. Com os liberadores do hormônio do crescimento, muitas vezes mede-se apenas se o nível de hormônio do crescimento ou de IGF-1 sobe – e não se as pessoas ficam mais saudáveis, mais fortes ou vivem mais por causa disso. Já no caso dos medicamentos GLP-1, existem hoje grandes estudos com desfechos duros, como infarto e AVC. Esse é um dos motivos pelos quais eles recebem neste livro o nível de evidência mais alto.</w:t>
      </w:r>
    </w:p>
    <w:bookmarkEnd w:id="147"/>
    <w:bookmarkStart w:id="150" w:name="riscos-relativos-e-absolutos"/>
    <w:p>
      <w:pPr>
        <w:pStyle w:val="Heading3"/>
      </w:pPr>
      <w:r>
        <w:t xml:space="preserve">Riscos relativos e absolutos</w:t>
      </w:r>
    </w:p>
    <w:p>
      <w:pPr>
        <w:pStyle w:val="FirstParagraph"/>
      </w:pPr>
      <w:r>
        <w:t xml:space="preserve">Poucos detalhes estatísticos são tão frequentemente mal compreendidos quanto este. Tomemos o estudo SELECT: ao longo de em média 39,8 meses, o evento cardiovascular combinado ocorreu em 6,5% dos participantes com semaglutida e em 8,0% com placebo. O hazard ratio – uma medida do risco relativo ao longo do tempo – foi de 0,80</w:t>
      </w:r>
      <w:r>
        <w:rPr>
          <w:rStyle w:val="FootnoteReference"/>
        </w:rPr>
        <w:footnoteReference w:id="148"/>
      </w:r>
      <w:r>
        <w:t xml:space="preserve">.</w:t>
      </w:r>
    </w:p>
    <w:p>
      <w:pPr>
        <w:pStyle w:val="BodyText"/>
      </w:pPr>
      <w:r>
        <w:t xml:space="preserve">Daí se podem tirar duas afirmações, ambas corretas:</w:t>
      </w:r>
    </w:p>
    <w:p>
      <w:pPr>
        <w:numPr>
          <w:ilvl w:val="0"/>
          <w:numId w:val="1018"/>
        </w:numPr>
        <w:pStyle w:val="Compact"/>
      </w:pPr>
      <w:r>
        <w:rPr>
          <w:bCs/>
          <w:b/>
        </w:rPr>
        <w:t xml:space="preserve">Relativa:</w:t>
      </w:r>
      <w:r>
        <w:t xml:space="preserve"> </w:t>
      </w:r>
      <w:r>
        <w:t xml:space="preserve">o risco foi cerca de 20% menor.</w:t>
      </w:r>
    </w:p>
    <w:p>
      <w:pPr>
        <w:numPr>
          <w:ilvl w:val="0"/>
          <w:numId w:val="1018"/>
        </w:numPr>
        <w:pStyle w:val="Compact"/>
      </w:pPr>
      <w:r>
        <w:rPr>
          <w:bCs/>
          <w:b/>
        </w:rPr>
        <w:t xml:space="preserve">Absoluta:</w:t>
      </w:r>
      <w:r>
        <w:t xml:space="preserve"> </w:t>
      </w:r>
      <w:r>
        <w:t xml:space="preserve">a proporção de afetados caiu 1,5 ponto percentual – de 8,0 para 6,5 em cada 100 pessoas.</w:t>
      </w:r>
    </w:p>
    <w:p>
      <w:pPr>
        <w:pStyle w:val="FirstParagraph"/>
      </w:pPr>
      <w:r>
        <w:t xml:space="preserve">A partir da diferença absoluta é possível calcular o</w:t>
      </w:r>
      <w:r>
        <w:t xml:space="preserve"> </w:t>
      </w:r>
      <w:r>
        <w:rPr>
          <w:bCs/>
          <w:b/>
        </w:rPr>
        <w:t xml:space="preserve">número necessário para tratar (NNT)</w:t>
      </w:r>
      <w:r>
        <w:t xml:space="preserve">: quantas pessoas precisam ser tratadas para que uma evite um evento. Aqui, pelos cálculos, são cerca de 67 pessoas ao longo de pouco mais de três anos. Isso não significa que o tratamento seja irrelevante – com milhões de pessoas afetadas, o efeito é significativo. Mas mostra que a maioria dos tratados não teria tido um evento mesmo sem o medicamento, e que alguns têm um evento apesar do medicamento.</w:t>
      </w:r>
    </w:p>
    <w:p>
      <w:pPr>
        <w:pStyle w:val="BodyText"/>
      </w:pPr>
      <w:r>
        <w:t xml:space="preserve">A publicidade e as manchetes preferem números relativos, porque soam maiores. Bons relatórios de estudos informam os dois. Por isso, preste sempre atenção à frequência de partida:</w:t>
      </w:r>
      <w:r>
        <w:t xml:space="preserve"> </w:t>
      </w:r>
      <w:r>
        <w:t xml:space="preserve">“</w:t>
      </w:r>
      <w:r>
        <w:t xml:space="preserve">reduzir pela metade</w:t>
      </w:r>
      <w:r>
        <w:t xml:space="preserve">”</w:t>
      </w:r>
      <w:r>
        <w:t xml:space="preserve"> </w:t>
      </w:r>
      <w:r>
        <w:t xml:space="preserve">um risco de 2 para 1 em 10.000 é algo completamente diferente de reduzi-lo de 20 para 10 em 100.</w:t>
      </w:r>
    </w:p>
    <w:p>
      <w:pPr>
        <w:pStyle w:val="BodyText"/>
      </w:pPr>
      <w:r>
        <w:t xml:space="preserve">O mesmo vale para os efeitos colaterais. No SELECT, 16,6% dos participantes com semaglutida interromperam o tratamento por eventos adversos, contra 8,2% com placebo</w:t>
      </w:r>
      <w:r>
        <w:rPr>
          <w:rStyle w:val="FootnoteReference"/>
        </w:rPr>
        <w:footnoteReference w:id="149"/>
      </w:r>
      <w:r>
        <w:t xml:space="preserve">. Em termos relativos, é o dobro; em termos absolutos, uma diferença de 8,4 pontos percentuais.</w:t>
      </w:r>
    </w:p>
    <w:bookmarkEnd w:id="150"/>
    <w:bookmarkStart w:id="152" w:name="X67fc370a5c4833b5cfe5eb36474892f02c88da1"/>
    <w:p>
      <w:pPr>
        <w:pStyle w:val="Heading3"/>
      </w:pPr>
      <w:r>
        <w:t xml:space="preserve">Significância estatística e intervalos de confiança</w:t>
      </w:r>
    </w:p>
    <w:p>
      <w:pPr>
        <w:pStyle w:val="FirstParagraph"/>
      </w:pPr>
      <w:r>
        <w:t xml:space="preserve">Um</w:t>
      </w:r>
      <w:r>
        <w:t xml:space="preserve"> </w:t>
      </w:r>
      <w:r>
        <w:rPr>
          <w:bCs/>
          <w:b/>
        </w:rPr>
        <w:t xml:space="preserve">valor de p</w:t>
      </w:r>
      <w:r>
        <w:t xml:space="preserve"> </w:t>
      </w:r>
      <w:r>
        <w:t xml:space="preserve">indica a probabilidade de uma diferença pelo menos tão grande se, na realidade, não houvesse efeito. Se ele for menor que 0,05, um resultado costuma ser considerado</w:t>
      </w:r>
      <w:r>
        <w:t xml:space="preserve"> </w:t>
      </w:r>
      <w:r>
        <w:t xml:space="preserve">“</w:t>
      </w:r>
      <w:r>
        <w:t xml:space="preserve">estatisticamente significativo</w:t>
      </w:r>
      <w:r>
        <w:t xml:space="preserve">”</w:t>
      </w:r>
      <w:r>
        <w:t xml:space="preserve">. Isso não quer dizer que o efeito seja grande ou relevante – em estudos muito grandes, até diferenças minúsculas se tornam significativas.</w:t>
      </w:r>
    </w:p>
    <w:p>
      <w:pPr>
        <w:pStyle w:val="BodyText"/>
      </w:pPr>
      <w:r>
        <w:t xml:space="preserve">Muitas vezes, mais informativo é o</w:t>
      </w:r>
      <w:r>
        <w:t xml:space="preserve"> </w:t>
      </w:r>
      <w:r>
        <w:rPr>
          <w:bCs/>
          <w:b/>
        </w:rPr>
        <w:t xml:space="preserve">intervalo de confiança de 95%</w:t>
      </w:r>
      <w:r>
        <w:t xml:space="preserve">. Ele indica uma faixa na qual o efeito verdadeiro se encontra com alta probabilidade. No STEP 1, a diferença no peso corporal entre semaglutida e placebo foi de 12,4 pontos percentuais, com um intervalo de confiança de 11,5 a 13,4</w:t>
      </w:r>
      <w:r>
        <w:rPr>
          <w:rStyle w:val="FootnoteReference"/>
        </w:rPr>
        <w:footnoteReference w:id="151"/>
      </w:r>
      <w:r>
        <w:t xml:space="preserve">. Um intervalo tão estreito mostra uma estimativa precisa. Em estudos pequenos, os intervalos costumam ser muito amplos – um sinal de que o efeito verdadeiro pode ser grande, pequeno ou até nulo.</w:t>
      </w:r>
    </w:p>
    <w:bookmarkEnd w:id="152"/>
    <w:bookmarkStart w:id="154" w:name="como-se-conta-a-questão-do-estimando"/>
    <w:p>
      <w:pPr>
        <w:pStyle w:val="Heading3"/>
      </w:pPr>
      <w:r>
        <w:t xml:space="preserve">Como se conta: a questão do estimando</w:t>
      </w:r>
    </w:p>
    <w:p>
      <w:pPr>
        <w:pStyle w:val="FirstParagraph"/>
      </w:pPr>
      <w:r>
        <w:t xml:space="preserve">Um detalhe que se tornou importante em estudos mais recentes: como são contadas as pessoas que interrompem o tratamento ou tomam medicamentos adicionais? No estudo PIONEER 1, foram relatadas duas análises. Analisando-se todos os participantes, independentemente de terem continuado a tomar os comprimidos, a HbA1c caiu na dose mais alta 1,1 ponto percentual a mais do que com placebo. Considerando-se apenas o período em que os comprimidos foram de fato tomados, foram 1,4 ponto percentual</w:t>
      </w:r>
      <w:r>
        <w:rPr>
          <w:rStyle w:val="FootnoteReference"/>
        </w:rPr>
        <w:footnoteReference w:id="153"/>
      </w:r>
      <w:r>
        <w:t xml:space="preserve">. Ambos os números estão corretos, mas respondem a perguntas diferentes. O primeiro geralmente é mais realista para o dia a dia.</w:t>
      </w:r>
    </w:p>
    <w:bookmarkEnd w:id="154"/>
    <w:bookmarkStart w:id="156" w:name="duração-e-tamanho"/>
    <w:p>
      <w:pPr>
        <w:pStyle w:val="Heading3"/>
      </w:pPr>
      <w:r>
        <w:t xml:space="preserve">Duração e tamanho</w:t>
      </w:r>
    </w:p>
    <w:p>
      <w:pPr>
        <w:pStyle w:val="FirstParagraph"/>
      </w:pPr>
      <w:r>
        <w:t xml:space="preserve">Muitos estudos com peptídeos são curtos. Uma alteração em valores laboratoriais após duas semanas diz pouco sobre o que acontece após dois anos – nem sobre o benefício, nem sobre riscos como o câncer, que muitas vezes só aparecem depois de anos. Igualmente importante é o tamanho: efeitos colaterais raros, que afetam uma em cada mil pessoas, inevitavelmente passam despercebidos em um estudo com 40 participantes. A ausência de efeitos colaterais em um estudo pequeno não é prova de segurança.</w:t>
      </w:r>
    </w:p>
    <w:p>
      <w:pPr>
        <w:pStyle w:val="BodyText"/>
      </w:pPr>
      <w:r>
        <w:t xml:space="preserve">A partir de considerações teóricas e simulações, o epidemiologista John Ioannidis concluiu que os resultados de pesquisa são tanto menos confiáveis quanto menores forem os estudos e os efeitos, quanto mais questões forem testadas sem seleção prévia, quanto mais flexíveis forem o desenho e a análise e quanto maiores forem os interesses financeiros e os preconceitos em uma área</w:t>
      </w:r>
      <w:r>
        <w:rPr>
          <w:rStyle w:val="FootnoteReference"/>
        </w:rPr>
        <w:footnoteReference w:id="155"/>
      </w:r>
      <w:r>
        <w:t xml:space="preserve">. Muitas dessas características se aplicam à pesquisa sobre peptídeos pouco estudados.</w:t>
      </w:r>
    </w:p>
    <w:bookmarkEnd w:id="156"/>
    <w:bookmarkStart w:id="158" w:name="conflitos-de-interesse"/>
    <w:p>
      <w:pPr>
        <w:pStyle w:val="Heading3"/>
      </w:pPr>
      <w:r>
        <w:t xml:space="preserve">Conflitos de interesse</w:t>
      </w:r>
    </w:p>
    <w:p>
      <w:pPr>
        <w:pStyle w:val="FirstParagraph"/>
      </w:pPr>
      <w:r>
        <w:t xml:space="preserve">Os grandes estudos de aprovação são quase sempre financiados pelos fabricantes. Isso é previsto pela lei e não é automaticamente um defeito – esses estudos seguem regras rígidas, são registrados previamente e examinados pelas autoridades. Ainda assim, vale a pena olhar o financiamento. Uma revisão Cochrane concluiu que estudos patrocinados pela indústria relataram com mais frequência resultados de eficácia favoráveis (risco relativo 1,27) e conclusões favoráveis (risco relativo 1,34) do que estudos com outro financiamento</w:t>
      </w:r>
      <w:r>
        <w:rPr>
          <w:rStyle w:val="FootnoteReference"/>
        </w:rPr>
        <w:footnoteReference w:id="157"/>
      </w:r>
      <w:r>
        <w:t xml:space="preserve">.</w:t>
      </w:r>
    </w:p>
    <w:p>
      <w:pPr>
        <w:pStyle w:val="BodyText"/>
      </w:pPr>
      <w:r>
        <w:t xml:space="preserve">Conflitos de interesse não existem apenas nas grandes farmacêuticas. Também pesquisadores que descobriram uma substância e detêm patentes, clínicas que vendem terapias com peptídeos ou influenciadores com cupons de desconto têm interesse em resultados positivos. Um sinal de alerta é quando quase todos os estudos sobre uma substância vêm de um único grupo de pesquisa e não foram confirmados por equipes independentes.</w:t>
      </w:r>
    </w:p>
    <w:bookmarkEnd w:id="158"/>
    <w:bookmarkStart w:id="160" w:name="o-problema-dos-estudos-desaparecidos"/>
    <w:p>
      <w:pPr>
        <w:pStyle w:val="Heading3"/>
      </w:pPr>
      <w:r>
        <w:t xml:space="preserve">O problema dos estudos desaparecidos</w:t>
      </w:r>
    </w:p>
    <w:p>
      <w:pPr>
        <w:pStyle w:val="FirstParagraph"/>
      </w:pPr>
      <w:r>
        <w:t xml:space="preserve">Nem todo estudo é publicado – e são sobretudo os decepcionantes que desaparecem. O quanto isso pode distorcer foi mostrado por uma análise sobre antidepressivos. Dos 74 estudos registrados na agência norte-americana de medicamentos FDA, 31% não foram publicados. Segundo a literatura publicada, 94% dos estudos eram positivos; segundo a análise da FDA, apenas 51%</w:t>
      </w:r>
      <w:r>
        <w:rPr>
          <w:rStyle w:val="FootnoteReference"/>
        </w:rPr>
        <w:footnoteReference w:id="159"/>
      </w:r>
      <w:r>
        <w:t xml:space="preserve">. Quem lê apenas as revistas científicas tem uma imagem otimista demais.</w:t>
      </w:r>
    </w:p>
    <w:bookmarkEnd w:id="160"/>
    <w:bookmarkStart w:id="162" w:name="registros-de-estudos"/>
    <w:p>
      <w:pPr>
        <w:pStyle w:val="Heading3"/>
      </w:pPr>
      <w:r>
        <w:t xml:space="preserve">Registros de estudos</w:t>
      </w:r>
    </w:p>
    <w:p>
      <w:pPr>
        <w:pStyle w:val="FirstParagraph"/>
      </w:pPr>
      <w:r>
        <w:t xml:space="preserve">Em resposta a esses achados, o Comitê Internacional de Editores de Revistas Médicas declarou em 2004 que os estudos clínicos precisam ser inscritos em um registro público antes de começar para poderem ser publicados depois</w:t>
      </w:r>
      <w:r>
        <w:rPr>
          <w:rStyle w:val="FootnoteReference"/>
        </w:rPr>
        <w:footnoteReference w:id="161"/>
      </w:r>
      <w:r>
        <w:t xml:space="preserve">. Hoje, os registros são uma ferramenta central:</w:t>
      </w:r>
    </w:p>
    <w:p>
      <w:pPr>
        <w:numPr>
          <w:ilvl w:val="0"/>
          <w:numId w:val="1019"/>
        </w:numPr>
        <w:pStyle w:val="Compact"/>
      </w:pPr>
      <w:r>
        <w:t xml:space="preserve">O</w:t>
      </w:r>
      <w:r>
        <w:t xml:space="preserve"> </w:t>
      </w:r>
      <w:r>
        <w:rPr>
          <w:bCs/>
          <w:b/>
        </w:rPr>
        <w:t xml:space="preserve">ClinicalTrials.gov</w:t>
      </w:r>
      <w:r>
        <w:t xml:space="preserve"> </w:t>
      </w:r>
      <w:r>
        <w:t xml:space="preserve">(EUA) é o maior registro. Cada estudo recebe um número no formato</w:t>
      </w:r>
      <w:r>
        <w:t xml:space="preserve"> </w:t>
      </w:r>
      <w:r>
        <w:t xml:space="preserve">“</w:t>
      </w:r>
      <w:r>
        <w:t xml:space="preserve">NCT</w:t>
      </w:r>
      <w:r>
        <w:t xml:space="preserve">”</w:t>
      </w:r>
      <w:r>
        <w:t xml:space="preserve"> </w:t>
      </w:r>
      <w:r>
        <w:t xml:space="preserve">mais oito dígitos. O estudo SELECT, por exemplo, tem o número NCT03574597.</w:t>
      </w:r>
    </w:p>
    <w:p>
      <w:pPr>
        <w:numPr>
          <w:ilvl w:val="0"/>
          <w:numId w:val="1019"/>
        </w:numPr>
        <w:pStyle w:val="Compact"/>
      </w:pPr>
      <w:r>
        <w:t xml:space="preserve">Na</w:t>
      </w:r>
      <w:r>
        <w:t xml:space="preserve"> </w:t>
      </w:r>
      <w:r>
        <w:rPr>
          <w:bCs/>
          <w:b/>
        </w:rPr>
        <w:t xml:space="preserve">UE</w:t>
      </w:r>
      <w:r>
        <w:t xml:space="preserve">, os ensaios clínicos são registrados no Clinical Trials Information System (CTIS) da Agência Europeia de Medicamentos; estudos mais antigos estão no EU Clinical Trials Register.</w:t>
      </w:r>
    </w:p>
    <w:p>
      <w:pPr>
        <w:numPr>
          <w:ilvl w:val="0"/>
          <w:numId w:val="1019"/>
        </w:numPr>
        <w:pStyle w:val="Compact"/>
      </w:pPr>
      <w:r>
        <w:t xml:space="preserve">A</w:t>
      </w:r>
      <w:r>
        <w:t xml:space="preserve"> </w:t>
      </w:r>
      <w:r>
        <w:rPr>
          <w:bCs/>
          <w:b/>
        </w:rPr>
        <w:t xml:space="preserve">Organização Mundial da Saúde</w:t>
      </w:r>
      <w:r>
        <w:t xml:space="preserve"> </w:t>
      </w:r>
      <w:r>
        <w:t xml:space="preserve">reúne muitos registros nacionais em um portal de busca (ICTRP).</w:t>
      </w:r>
    </w:p>
    <w:p>
      <w:pPr>
        <w:pStyle w:val="FirstParagraph"/>
      </w:pPr>
      <w:r>
        <w:t xml:space="preserve">No registro constam, entre outras coisas, o desenho planejado do estudo, o número de participantes, o desfecho primário e a situação. Assim é possível verificar se um estudo publicado relata os desfechos originalmente planejados – e se, para uma substância, estudos foram iniciados, mas nunca publicados. Para este livro, os registros foram usados principalmente para encontrar estudos em andamento. Importante: um registro não é um resultado. O fato de um estudo estar registrado não diz nada sobre se a substância funciona.</w:t>
      </w:r>
    </w:p>
    <w:bookmarkEnd w:id="162"/>
    <w:bookmarkStart w:id="163" w:name="outros-sinais-de-alerta"/>
    <w:p>
      <w:pPr>
        <w:pStyle w:val="Heading3"/>
      </w:pPr>
      <w:r>
        <w:t xml:space="preserve">Outros sinais de alerta</w:t>
      </w:r>
    </w:p>
    <w:p>
      <w:pPr>
        <w:numPr>
          <w:ilvl w:val="0"/>
          <w:numId w:val="1020"/>
        </w:numPr>
        <w:pStyle w:val="Compact"/>
      </w:pPr>
      <w:r>
        <w:rPr>
          <w:bCs/>
          <w:b/>
        </w:rPr>
        <w:t xml:space="preserve">Apenas um resumo de congresso ou um preprint.</w:t>
      </w:r>
      <w:r>
        <w:t xml:space="preserve"> </w:t>
      </w:r>
      <w:r>
        <w:t xml:space="preserve">Publicações prévias (por exemplo, no medRxiv) e trabalhos de congresso ainda não passaram por revisão completa.</w:t>
      </w:r>
    </w:p>
    <w:p>
      <w:pPr>
        <w:numPr>
          <w:ilvl w:val="0"/>
          <w:numId w:val="1020"/>
        </w:numPr>
        <w:pStyle w:val="Compact"/>
      </w:pPr>
      <w:r>
        <w:rPr>
          <w:bCs/>
          <w:b/>
        </w:rPr>
        <w:t xml:space="preserve">Revistas científicas com padrões questionáveis.</w:t>
      </w:r>
      <w:r>
        <w:t xml:space="preserve"> </w:t>
      </w:r>
      <w:r>
        <w:t xml:space="preserve">Algumas revistas publicam praticamente tudo mediante pagamento.</w:t>
      </w:r>
    </w:p>
    <w:p>
      <w:pPr>
        <w:numPr>
          <w:ilvl w:val="0"/>
          <w:numId w:val="1020"/>
        </w:numPr>
        <w:pStyle w:val="Compact"/>
      </w:pPr>
      <w:r>
        <w:rPr>
          <w:bCs/>
          <w:b/>
        </w:rPr>
        <w:t xml:space="preserve">Estudos que não podem ser encontrados.</w:t>
      </w:r>
      <w:r>
        <w:t xml:space="preserve"> </w:t>
      </w:r>
      <w:r>
        <w:t xml:space="preserve">Quando um estudo citado não é encontrado no PubMed nem em um registro, é preciso cautela.</w:t>
      </w:r>
    </w:p>
    <w:p>
      <w:pPr>
        <w:numPr>
          <w:ilvl w:val="0"/>
          <w:numId w:val="1020"/>
        </w:numPr>
        <w:pStyle w:val="Compact"/>
      </w:pPr>
      <w:r>
        <w:rPr>
          <w:bCs/>
          <w:b/>
        </w:rPr>
        <w:t xml:space="preserve">Transposição de doentes para saudáveis.</w:t>
      </w:r>
      <w:r>
        <w:t xml:space="preserve"> </w:t>
      </w:r>
      <w:r>
        <w:t xml:space="preserve">Uma substância que ajuda em uma determinada doença não precisa trazer benefício a pessoas saudáveis – nelas, a relação risco-benefício é completamente diferente.</w:t>
      </w:r>
    </w:p>
    <w:p>
      <w:pPr>
        <w:numPr>
          <w:ilvl w:val="0"/>
          <w:numId w:val="1020"/>
        </w:numPr>
        <w:pStyle w:val="Compact"/>
      </w:pPr>
      <w:r>
        <w:rPr>
          <w:bCs/>
          <w:b/>
        </w:rPr>
        <w:t xml:space="preserve">Transposição de uma substância para outra.</w:t>
      </w:r>
      <w:r>
        <w:t xml:space="preserve"> </w:t>
      </w:r>
      <w:r>
        <w:t xml:space="preserve">Resultados sobre a semaglutida não valem automaticamente para um produto do mercado cinza em cujo rótulo está escrito</w:t>
      </w:r>
      <w:r>
        <w:t xml:space="preserve"> </w:t>
      </w:r>
      <w:r>
        <w:t xml:space="preserve">“</w:t>
      </w:r>
      <w:r>
        <w:t xml:space="preserve">semaglutida</w:t>
      </w:r>
      <w:r>
        <w:t xml:space="preserve">”</w:t>
      </w:r>
      <w:r>
        <w:t xml:space="preserve"> </w:t>
      </w:r>
      <w:r>
        <w:t xml:space="preserve">– e estudos sobre a timosina beta-4 não valem automaticamente para o fragmento</w:t>
      </w:r>
      <w:r>
        <w:t xml:space="preserve"> </w:t>
      </w:r>
      <w:r>
        <w:t xml:space="preserve">“</w:t>
      </w:r>
      <w:r>
        <w:t xml:space="preserve">TB-500</w:t>
      </w:r>
      <w:r>
        <w:t xml:space="preserve">”</w:t>
      </w:r>
      <w:r>
        <w:t xml:space="preserve">.</w:t>
      </w:r>
    </w:p>
    <w:bookmarkEnd w:id="163"/>
    <w:bookmarkStart w:id="164" w:name="X2f9c32ee17368657caf481bf740a4adf30de080"/>
    <w:p>
      <w:pPr>
        <w:pStyle w:val="Heading3"/>
      </w:pPr>
      <w:r>
        <w:t xml:space="preserve">Dez perguntas para fazer a qualquer estudo</w:t>
      </w:r>
    </w:p>
    <w:p>
      <w:pPr>
        <w:numPr>
          <w:ilvl w:val="0"/>
          <w:numId w:val="1021"/>
        </w:numPr>
        <w:pStyle w:val="Compact"/>
      </w:pPr>
      <w:r>
        <w:t xml:space="preserve">Foram estudados seres humanos – ou animais ou células?</w:t>
      </w:r>
    </w:p>
    <w:p>
      <w:pPr>
        <w:numPr>
          <w:ilvl w:val="0"/>
          <w:numId w:val="1021"/>
        </w:numPr>
        <w:pStyle w:val="Compact"/>
      </w:pPr>
      <w:r>
        <w:t xml:space="preserve">Havia um grupo controle, e a alocação foi aleatória?</w:t>
      </w:r>
    </w:p>
    <w:p>
      <w:pPr>
        <w:numPr>
          <w:ilvl w:val="0"/>
          <w:numId w:val="1021"/>
        </w:numPr>
        <w:pStyle w:val="Compact"/>
      </w:pPr>
      <w:r>
        <w:t xml:space="preserve">O estudo foi cego?</w:t>
      </w:r>
    </w:p>
    <w:p>
      <w:pPr>
        <w:numPr>
          <w:ilvl w:val="0"/>
          <w:numId w:val="1021"/>
        </w:numPr>
        <w:pStyle w:val="Compact"/>
      </w:pPr>
      <w:r>
        <w:t xml:space="preserve">Quantos participantes havia, e por quanto tempo foram acompanhados?</w:t>
      </w:r>
    </w:p>
    <w:p>
      <w:pPr>
        <w:numPr>
          <w:ilvl w:val="0"/>
          <w:numId w:val="1021"/>
        </w:numPr>
        <w:pStyle w:val="Compact"/>
      </w:pPr>
      <w:r>
        <w:t xml:space="preserve">Quem foi estudado – doentes ou saudáveis, jovens ou idosos?</w:t>
      </w:r>
    </w:p>
    <w:p>
      <w:pPr>
        <w:numPr>
          <w:ilvl w:val="0"/>
          <w:numId w:val="1021"/>
        </w:numPr>
        <w:pStyle w:val="Compact"/>
      </w:pPr>
      <w:r>
        <w:t xml:space="preserve">Qual foi o desfecho primário: um desfecho duro ou um substituto?</w:t>
      </w:r>
    </w:p>
    <w:p>
      <w:pPr>
        <w:numPr>
          <w:ilvl w:val="0"/>
          <w:numId w:val="1021"/>
        </w:numPr>
        <w:pStyle w:val="Compact"/>
      </w:pPr>
      <w:r>
        <w:t xml:space="preserve">Qual foi o tamanho da diferença em termos absolutos, e não só relativos?</w:t>
      </w:r>
    </w:p>
    <w:p>
      <w:pPr>
        <w:numPr>
          <w:ilvl w:val="0"/>
          <w:numId w:val="1021"/>
        </w:numPr>
        <w:pStyle w:val="Compact"/>
      </w:pPr>
      <w:r>
        <w:t xml:space="preserve">Quantos interromperam, e quais efeitos colaterais ocorreram?</w:t>
      </w:r>
    </w:p>
    <w:p>
      <w:pPr>
        <w:numPr>
          <w:ilvl w:val="0"/>
          <w:numId w:val="1021"/>
        </w:numPr>
        <w:pStyle w:val="Compact"/>
      </w:pPr>
      <w:r>
        <w:t xml:space="preserve">Quem pagou o estudo, e os resultados foram confirmados de forma independente?</w:t>
      </w:r>
    </w:p>
    <w:p>
      <w:pPr>
        <w:numPr>
          <w:ilvl w:val="0"/>
          <w:numId w:val="1021"/>
        </w:numPr>
        <w:pStyle w:val="Compact"/>
      </w:pPr>
      <w:r>
        <w:t xml:space="preserve">O estudo foi registrado previamente, e os desfechos relatados coincidem com o registro?</w:t>
      </w:r>
    </w:p>
    <w:bookmarkEnd w:id="164"/>
    <w:bookmarkStart w:id="165" w:name="como-este-livro-classifica-a-evidência"/>
    <w:p>
      <w:pPr>
        <w:pStyle w:val="Heading3"/>
      </w:pPr>
      <w:r>
        <w:t xml:space="preserve">Como este livro classifica a evidência</w:t>
      </w:r>
    </w:p>
    <w:p>
      <w:pPr>
        <w:pStyle w:val="FirstParagraph"/>
      </w:pPr>
      <w:r>
        <w:t xml:space="preserve">Cada peptídeo da Parte II recebe um nível de evidência:</w:t>
      </w:r>
    </w:p>
    <w:p>
      <w:pPr>
        <w:numPr>
          <w:ilvl w:val="0"/>
          <w:numId w:val="1022"/>
        </w:numPr>
        <w:pStyle w:val="Compact"/>
      </w:pPr>
      <w:r>
        <w:rPr>
          <w:bCs/>
          <w:b/>
        </w:rPr>
        <w:t xml:space="preserve">A</w:t>
      </w:r>
      <w:r>
        <w:t xml:space="preserve">: vários grandes estudos randomizados em humanos, aprovação como medicamento.</w:t>
      </w:r>
    </w:p>
    <w:p>
      <w:pPr>
        <w:numPr>
          <w:ilvl w:val="0"/>
          <w:numId w:val="1022"/>
        </w:numPr>
        <w:pStyle w:val="Compact"/>
      </w:pPr>
      <w:r>
        <w:rPr>
          <w:bCs/>
          <w:b/>
        </w:rPr>
        <w:t xml:space="preserve">B</w:t>
      </w:r>
      <w:r>
        <w:t xml:space="preserve">: estudos randomizados isolados em humanos.</w:t>
      </w:r>
    </w:p>
    <w:p>
      <w:pPr>
        <w:numPr>
          <w:ilvl w:val="0"/>
          <w:numId w:val="1022"/>
        </w:numPr>
        <w:pStyle w:val="Compact"/>
      </w:pPr>
      <w:r>
        <w:rPr>
          <w:bCs/>
          <w:b/>
        </w:rPr>
        <w:t xml:space="preserve">C</w:t>
      </w:r>
      <w:r>
        <w:t xml:space="preserve">: apenas estudos em humanos pequenos ou não controlados.</w:t>
      </w:r>
    </w:p>
    <w:p>
      <w:pPr>
        <w:numPr>
          <w:ilvl w:val="0"/>
          <w:numId w:val="1022"/>
        </w:numPr>
        <w:pStyle w:val="Compact"/>
      </w:pPr>
      <w:r>
        <w:rPr>
          <w:bCs/>
          <w:b/>
        </w:rPr>
        <w:t xml:space="preserve">D</w:t>
      </w:r>
      <w:r>
        <w:t xml:space="preserve">: apenas estudos em animais e em laboratório.</w:t>
      </w:r>
    </w:p>
    <w:p>
      <w:pPr>
        <w:pStyle w:val="FirstParagraph"/>
      </w:pPr>
      <w:r>
        <w:t xml:space="preserve">O nível avalia a</w:t>
      </w:r>
      <w:r>
        <w:t xml:space="preserve"> </w:t>
      </w:r>
      <w:r>
        <w:rPr>
          <w:bCs/>
          <w:b/>
        </w:rPr>
        <w:t xml:space="preserve">quantidade e a qualidade dos dados em seres humanos</w:t>
      </w:r>
      <w:r>
        <w:t xml:space="preserve">, e não se uma substância é</w:t>
      </w:r>
      <w:r>
        <w:t xml:space="preserve"> </w:t>
      </w:r>
      <w:r>
        <w:t xml:space="preserve">“</w:t>
      </w:r>
      <w:r>
        <w:t xml:space="preserve">boa</w:t>
      </w:r>
      <w:r>
        <w:t xml:space="preserve">”</w:t>
      </w:r>
      <w:r>
        <w:t xml:space="preserve"> </w:t>
      </w:r>
      <w:r>
        <w:t xml:space="preserve">ou</w:t>
      </w:r>
      <w:r>
        <w:t xml:space="preserve"> </w:t>
      </w:r>
      <w:r>
        <w:t xml:space="preserve">“</w:t>
      </w:r>
      <w:r>
        <w:t xml:space="preserve">ruim</w:t>
      </w:r>
      <w:r>
        <w:t xml:space="preserve">”</w:t>
      </w:r>
      <w:r>
        <w:t xml:space="preserve">. Um peptídeo de nível A pode ter efeitos colaterais consideráveis, e um peptídeo de nível D pode muito bem ser útil no futuro – ele apenas ainda não foi suficientemente estudado. Além disso, a classificação vale para um uso específico: uma substância pode estar bem comprovada para uma doença e não ter comprovação nenhuma para outra.</w:t>
      </w:r>
    </w:p>
    <w:bookmarkEnd w:id="165"/>
    <w:bookmarkStart w:id="166" w:name="o-essencial-em-resumo-2"/>
    <w:p>
      <w:pPr>
        <w:pStyle w:val="Heading3"/>
      </w:pPr>
      <w:r>
        <w:t xml:space="preserve">O essencial em resumo</w:t>
      </w:r>
    </w:p>
    <w:p>
      <w:pPr>
        <w:numPr>
          <w:ilvl w:val="0"/>
          <w:numId w:val="1023"/>
        </w:numPr>
        <w:pStyle w:val="Compact"/>
      </w:pPr>
      <w:r>
        <w:t xml:space="preserve">Estudos de laboratório e em animais fornecem indícios sobre mecanismos, mas não comprovam benefício em seres humanos.</w:t>
      </w:r>
    </w:p>
    <w:p>
      <w:pPr>
        <w:numPr>
          <w:ilvl w:val="0"/>
          <w:numId w:val="1023"/>
        </w:numPr>
        <w:pStyle w:val="Compact"/>
      </w:pPr>
      <w:r>
        <w:t xml:space="preserve">A comparação randomizada, controlada e cega é o caminho mais confiável para comprovar um efeito.</w:t>
      </w:r>
    </w:p>
    <w:p>
      <w:pPr>
        <w:numPr>
          <w:ilvl w:val="0"/>
          <w:numId w:val="1023"/>
        </w:numPr>
        <w:pStyle w:val="Compact"/>
      </w:pPr>
      <w:r>
        <w:t xml:space="preserve">Desfechos substitutos, como valores laboratoriais, podem enganar; o que conta são os desfechos duros.</w:t>
      </w:r>
    </w:p>
    <w:p>
      <w:pPr>
        <w:numPr>
          <w:ilvl w:val="0"/>
          <w:numId w:val="1023"/>
        </w:numPr>
        <w:pStyle w:val="Compact"/>
      </w:pPr>
      <w:r>
        <w:t xml:space="preserve">Números relativos soam maiores que absolutos. Pergunte sempre pela frequência de partida.</w:t>
      </w:r>
    </w:p>
    <w:p>
      <w:pPr>
        <w:numPr>
          <w:ilvl w:val="0"/>
          <w:numId w:val="1023"/>
        </w:numPr>
        <w:pStyle w:val="Compact"/>
      </w:pPr>
      <w:r>
        <w:t xml:space="preserve">Financiamento, viés de publicação e falta de confirmação por grupos independentes podem distorcer o quadro. Os registros de estudos ajudam a verificar isso.</w:t>
      </w:r>
    </w:p>
    <w:bookmarkEnd w:id="166"/>
    <w:bookmarkEnd w:id="167"/>
    <w:bookmarkStart w:id="212" w:name="o-mercado-cinza"/>
    <w:p>
      <w:pPr>
        <w:pStyle w:val="Heading2"/>
      </w:pPr>
      <w:r>
        <w:t xml:space="preserve">O mercado cinza</w:t>
      </w:r>
    </w:p>
    <w:p>
      <w:pPr>
        <w:pStyle w:val="FirstParagraph"/>
      </w:pPr>
      <w:r>
        <w:t xml:space="preserve">Quem pesquisa peptídeos na internet logo chega a lojas on-line com páginas de aparência profissional, fotos de laboratório e certificados de pureza. São oferecidos frascos com pó branco: BPC-157, TB-500, ipamorelina, melanotan II – e, cada vez mais, também semaglutida, tirzepatida ou substâncias ainda nem aprovadas, como a retatrutida. Quase sempre há em algum lugar o aviso</w:t>
      </w:r>
      <w:r>
        <w:t xml:space="preserve"> </w:t>
      </w:r>
      <w:r>
        <w:t xml:space="preserve">“</w:t>
      </w:r>
      <w:r>
        <w:t xml:space="preserve">Research Use Only</w:t>
      </w:r>
      <w:r>
        <w:t xml:space="preserve">”</w:t>
      </w:r>
      <w:r>
        <w:t xml:space="preserve"> </w:t>
      </w:r>
      <w:r>
        <w:t xml:space="preserve">ou</w:t>
      </w:r>
      <w:r>
        <w:t xml:space="preserve"> </w:t>
      </w:r>
      <w:r>
        <w:t xml:space="preserve">“</w:t>
      </w:r>
      <w:r>
        <w:t xml:space="preserve">not for human consumption</w:t>
      </w:r>
      <w:r>
        <w:t xml:space="preserve">”</w:t>
      </w:r>
      <w:r>
        <w:t xml:space="preserve"> </w:t>
      </w:r>
      <w:r>
        <w:t xml:space="preserve">– apenas para fins de pesquisa, não para uso em seres humanos.</w:t>
      </w:r>
    </w:p>
    <w:p>
      <w:pPr>
        <w:pStyle w:val="BodyText"/>
      </w:pPr>
      <w:r>
        <w:t xml:space="preserve">Este capítulo descreve o que se sabe sobre esse mercado: a partir de análises laboratoriais de produtos comprados e apreendidos, de relatos de caso de intoxicações e de análises de notificações de efeitos colaterais. Ele deve ajudar você a avaliar os riscos de forma realista. Fontes de compra nunca são mencionadas neste livro.</w:t>
      </w:r>
    </w:p>
    <w:bookmarkStart w:id="170" w:name="o-que-são-research-peptides"/>
    <w:p>
      <w:pPr>
        <w:pStyle w:val="Heading3"/>
      </w:pPr>
      <w:r>
        <w:t xml:space="preserve">O que são</w:t>
      </w:r>
      <w:r>
        <w:t xml:space="preserve"> </w:t>
      </w:r>
      <w:r>
        <w:t xml:space="preserve">“</w:t>
      </w:r>
      <w:r>
        <w:t xml:space="preserve">Research Peptides</w:t>
      </w:r>
      <w:r>
        <w:t xml:space="preserve">”</w:t>
      </w:r>
    </w:p>
    <w:p>
      <w:pPr>
        <w:pStyle w:val="FirstParagraph"/>
      </w:pPr>
      <w:r>
        <w:t xml:space="preserve">São chamadas de</w:t>
      </w:r>
      <w:r>
        <w:t xml:space="preserve"> </w:t>
      </w:r>
      <w:r>
        <w:t xml:space="preserve">“</w:t>
      </w:r>
      <w:r>
        <w:t xml:space="preserve">Research Peptides</w:t>
      </w:r>
      <w:r>
        <w:t xml:space="preserve">”</w:t>
      </w:r>
      <w:r>
        <w:t xml:space="preserve"> </w:t>
      </w:r>
      <w:r>
        <w:t xml:space="preserve">ou</w:t>
      </w:r>
      <w:r>
        <w:t xml:space="preserve"> </w:t>
      </w:r>
      <w:r>
        <w:t xml:space="preserve">“</w:t>
      </w:r>
      <w:r>
        <w:t xml:space="preserve">Research Chemicals</w:t>
      </w:r>
      <w:r>
        <w:t xml:space="preserve">”</w:t>
      </w:r>
      <w:r>
        <w:t xml:space="preserve"> </w:t>
      </w:r>
      <w:r>
        <w:t xml:space="preserve">as substâncias que oficialmente só são vendidas a laboratórios para fins de pesquisa. A inscrição</w:t>
      </w:r>
      <w:r>
        <w:t xml:space="preserve"> </w:t>
      </w:r>
      <w:r>
        <w:t xml:space="preserve">“</w:t>
      </w:r>
      <w:r>
        <w:t xml:space="preserve">não destinado ao uso em seres humanos</w:t>
      </w:r>
      <w:r>
        <w:t xml:space="preserve">”</w:t>
      </w:r>
      <w:r>
        <w:t xml:space="preserve"> </w:t>
      </w:r>
      <w:r>
        <w:t xml:space="preserve">pretende proteger juridicamente a venda: um produto que não é oferecido como medicamento – segundo a lógica dos vendedores – também não precisa de aprovação como medicamento. Na prática, porém, muitas dessas lojas se dirigem visivelmente a pessoas físicas que querem injetar as substâncias em si mesmas. Se essa construção se sustenta juridicamente é discutido no próximo capítulo; em muitos casos, não se sustenta.</w:t>
      </w:r>
    </w:p>
    <w:p>
      <w:pPr>
        <w:pStyle w:val="BodyText"/>
      </w:pPr>
      <w:r>
        <w:t xml:space="preserve">Um artigo de revisão descreve o padrão usando como exemplo a semaglutida e a tirzepatida: fabricantes vendem frascos</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destinados ao consumo humano</w:t>
      </w:r>
      <w:r>
        <w:t xml:space="preserve">”</w:t>
      </w:r>
      <w:r>
        <w:t xml:space="preserve"> </w:t>
      </w:r>
      <w:r>
        <w:t xml:space="preserve">diretamente aos consumidores, muitas vezes sem os materiais e o conhecimento necessários para dissolver, aspirar e injetar a substância. Com isso, médicas, médicos e farmácias são contornados – e, com eles, a verificação de interações e o acompanhamento médico</w:t>
      </w:r>
      <w:r>
        <w:rPr>
          <w:rStyle w:val="FootnoteReference"/>
        </w:rPr>
        <w:footnoteReference w:id="168"/>
      </w:r>
      <w:r>
        <w:t xml:space="preserve">.</w:t>
      </w:r>
    </w:p>
    <w:p>
      <w:pPr>
        <w:pStyle w:val="BodyText"/>
      </w:pPr>
      <w:r>
        <w:t xml:space="preserve">O quão difícil é o uso para leigos foi investigado por um pequeno estudo em uma universidade norte-americana. Vinte adultos deveriam, com base em informações da internet, executar os passos necessários para dissolver um pó de semaglutida desse tipo e preparar uma seringa. Dos 34 passos, executaram corretamente em média 15. Os pesquisadores observaram erros que poderiam levar a dose errada, ferimentos com a agulha ou infecções</w:t>
      </w:r>
      <w:r>
        <w:rPr>
          <w:rStyle w:val="FootnoteReference"/>
        </w:rPr>
        <w:footnoteReference w:id="169"/>
      </w:r>
      <w:r>
        <w:t xml:space="preserve">.</w:t>
      </w:r>
    </w:p>
    <w:bookmarkEnd w:id="170"/>
    <w:bookmarkStart w:id="185" w:name="X26db98b97a231af93ce4fb16945cad016565c0d"/>
    <w:p>
      <w:pPr>
        <w:pStyle w:val="Heading3"/>
      </w:pPr>
      <w:r>
        <w:t xml:space="preserve">O que há dentro dos frascos: análises laboratoriais</w:t>
      </w:r>
    </w:p>
    <w:p>
      <w:pPr>
        <w:pStyle w:val="FirstParagraph"/>
      </w:pPr>
      <w:r>
        <w:t xml:space="preserve">As informações mais confiáveis sobre produtos do mercado cinza vêm de análises laboratoriais. Elas são feitas principalmente por laboratórios antidoping, agências reguladoras de medicamentos e alguns grupos de pesquisa, que compram produtos de forma direcionada ou os recebem da alfândega e da polícia.</w:t>
      </w:r>
    </w:p>
    <w:bookmarkStart w:id="172" w:name="semaglutida-de-farmácias-on-line-ilegais"/>
    <w:p>
      <w:pPr>
        <w:pStyle w:val="Heading4"/>
      </w:pPr>
      <w:r>
        <w:t xml:space="preserve">Semaglutida de farmácias on-line ilegais</w:t>
      </w:r>
    </w:p>
    <w:p>
      <w:pPr>
        <w:pStyle w:val="FirstParagraph"/>
      </w:pPr>
      <w:r>
        <w:t xml:space="preserve">Uma investigação particularmente minuciosa combinou uma análise de mercado com compras de teste</w:t>
      </w:r>
      <w:r>
        <w:rPr>
          <w:rStyle w:val="FootnoteReference"/>
        </w:rPr>
        <w:footnoteReference w:id="171"/>
      </w:r>
      <w:r>
        <w:t xml:space="preserve">. Os pesquisadores analisaram 1.080 links de mecanismos de busca. 317 levavam a farmácias on-line, das quais 134 a 59 sites ilegais diferentes. Os 30 principais domínios ligados a farmácias ilegais registraram mais de 4,7 milhões de visitas em três meses de 2023.</w:t>
      </w:r>
    </w:p>
    <w:p>
      <w:pPr>
        <w:pStyle w:val="BodyText"/>
      </w:pPr>
      <w:r>
        <w:t xml:space="preserve">Compras de teste foram feitas com seis vendedores ilegais. Os resultados:</w:t>
      </w:r>
    </w:p>
    <w:p>
      <w:pPr>
        <w:numPr>
          <w:ilvl w:val="0"/>
          <w:numId w:val="1024"/>
        </w:numPr>
        <w:pStyle w:val="Compact"/>
      </w:pPr>
      <w:r>
        <w:t xml:space="preserve">Três canetas de Ozempic encomendadas nunca chegaram – tratava-se de golpe sem entrega.</w:t>
      </w:r>
    </w:p>
    <w:p>
      <w:pPr>
        <w:numPr>
          <w:ilvl w:val="0"/>
          <w:numId w:val="1024"/>
        </w:numPr>
        <w:pStyle w:val="Compact"/>
      </w:pPr>
      <w:r>
        <w:t xml:space="preserve">Três frascos com pó foram entregues. Todos foram considerados provavelmente de qualidade inferior ou falsificados; na inspeção visual, não cumpriam de 59 a 63% dos critérios.</w:t>
      </w:r>
    </w:p>
    <w:p>
      <w:pPr>
        <w:numPr>
          <w:ilvl w:val="0"/>
          <w:numId w:val="1024"/>
        </w:numPr>
        <w:pStyle w:val="Compact"/>
      </w:pPr>
      <w:r>
        <w:t xml:space="preserve">O teor de semaglutida estava de 28,6 a 38,7%</w:t>
      </w:r>
      <w:r>
        <w:t xml:space="preserve"> </w:t>
      </w:r>
      <w:r>
        <w:rPr>
          <w:bCs/>
          <w:b/>
        </w:rPr>
        <w:t xml:space="preserve">acima</w:t>
      </w:r>
      <w:r>
        <w:t xml:space="preserve"> </w:t>
      </w:r>
      <w:r>
        <w:t xml:space="preserve">da quantidade declarada.</w:t>
      </w:r>
    </w:p>
    <w:p>
      <w:pPr>
        <w:numPr>
          <w:ilvl w:val="0"/>
          <w:numId w:val="1024"/>
        </w:numPr>
        <w:pStyle w:val="Compact"/>
      </w:pPr>
      <w:r>
        <w:t xml:space="preserve">A pureza medida foi de apenas 7,7 a 14,4% – em vez dos 99% prometidos no rótulo.</w:t>
      </w:r>
    </w:p>
    <w:p>
      <w:pPr>
        <w:numPr>
          <w:ilvl w:val="0"/>
          <w:numId w:val="1024"/>
        </w:numPr>
        <w:pStyle w:val="Compact"/>
      </w:pPr>
      <w:r>
        <w:t xml:space="preserve">Não foram encontrados germes vivos, mas em</w:t>
      </w:r>
      <w:r>
        <w:t xml:space="preserve"> </w:t>
      </w:r>
      <w:r>
        <w:rPr>
          <w:bCs/>
          <w:b/>
        </w:rPr>
        <w:t xml:space="preserve">todas</w:t>
      </w:r>
      <w:r>
        <w:t xml:space="preserve"> </w:t>
      </w:r>
      <w:r>
        <w:t xml:space="preserve">as amostras havia endotoxinas detectáveis.</w:t>
      </w:r>
    </w:p>
    <w:p>
      <w:pPr>
        <w:pStyle w:val="FirstParagraph"/>
      </w:pPr>
      <w:r>
        <w:t xml:space="preserve">Esse estudo mostra vários problemas típicos ao mesmo tempo: indicações de quantidade erradas, baixa pureza, contaminação e simples golpe.</w:t>
      </w:r>
    </w:p>
    <w:bookmarkEnd w:id="172"/>
    <w:bookmarkStart w:id="174" w:name="X6d69fa6588ccdd51990902695c9198b86de314c"/>
    <w:p>
      <w:pPr>
        <w:pStyle w:val="Heading4"/>
      </w:pPr>
      <w:r>
        <w:t xml:space="preserve">Produtos de imitação em comparação com o original</w:t>
      </w:r>
    </w:p>
    <w:p>
      <w:pPr>
        <w:pStyle w:val="FirstParagraph"/>
      </w:pPr>
      <w:r>
        <w:t xml:space="preserve">Outra investigação analisou 16 produtos de imitação de semaglutida injetável e 8 de semaglutida oral, além de 2 imitações de liraglutida, e os comparou com as preparações originais</w:t>
      </w:r>
      <w:r>
        <w:rPr>
          <w:rStyle w:val="FootnoteReference"/>
        </w:rPr>
        <w:footnoteReference w:id="173"/>
      </w:r>
      <w:r>
        <w:t xml:space="preserve">. Foram encontradas novas impurezas, entre elas moléculas de proteína maiores, metais em traços e resíduos de solventes. Várias preparações orais continham bem menos semaglutida do que o declarado. Além disso, foram encontradas estruturas que, segundo previsão por computador, poderiam ser reconhecidas pelo sistema imunológico. Como o estudo é do fabricante das preparações originais, deve ser lido com a devida cautela; os problemas descritos, porém, coincidem com achados independentes.</w:t>
      </w:r>
    </w:p>
    <w:bookmarkEnd w:id="174"/>
    <w:bookmarkStart w:id="176" w:name="melanotan-ii-de-lojas-on-line"/>
    <w:p>
      <w:pPr>
        <w:pStyle w:val="Heading4"/>
      </w:pPr>
      <w:r>
        <w:t xml:space="preserve">Melanotan II de lojas on-line</w:t>
      </w:r>
    </w:p>
    <w:p>
      <w:pPr>
        <w:pStyle w:val="FirstParagraph"/>
      </w:pPr>
      <w:r>
        <w:t xml:space="preserve">No caso do peptídeo bronzeador melanotan II, um grupo de pesquisa examinou frascos de três lojas on-line. Todas as lojas indicavam 10 mg por frasco; na realidade, os frascos continham entre 4,32 e 8,84 mg. Nos produtos de duas lojas foram encontradas impurezas desconhecidas de 4,1 a 5,9%</w:t>
      </w:r>
      <w:r>
        <w:rPr>
          <w:rStyle w:val="FootnoteReference"/>
        </w:rPr>
        <w:footnoteReference w:id="175"/>
      </w:r>
      <w:r>
        <w:t xml:space="preserve">.</w:t>
      </w:r>
    </w:p>
    <w:bookmarkEnd w:id="176"/>
    <w:bookmarkStart w:id="184" w:name="produtos-apreendidos-no-meio-do-doping"/>
    <w:p>
      <w:pPr>
        <w:pStyle w:val="Heading4"/>
      </w:pPr>
      <w:r>
        <w:t xml:space="preserve">Produtos apreendidos no meio do doping</w:t>
      </w:r>
    </w:p>
    <w:p>
      <w:pPr>
        <w:pStyle w:val="FirstParagraph"/>
      </w:pPr>
      <w:r>
        <w:t xml:space="preserve">O laboratório antidoping de Colônia analisa há anos produtos apreendidos. Em um relatório sobre o ano de 2009, descreveu, entre outras coisas, frascos rotulados como hormônio do crescimento sem nenhum conteúdo farmacologicamente ativo, Long-R3-IGF-1 não purificado e suplementos alimentares que continham o peptídeo liberador do hormônio do crescimento GHRP-2</w:t>
      </w:r>
      <w:r>
        <w:rPr>
          <w:rStyle w:val="FootnoteReference"/>
        </w:rPr>
        <w:footnoteReference w:id="177"/>
      </w:r>
      <w:r>
        <w:t xml:space="preserve">. Em comprimidos oferecidos como suplemento alimentar de venda livre, foram medidos cerca de 50 microgramas de GHRP-2 por comprimido</w:t>
      </w:r>
      <w:r>
        <w:rPr>
          <w:rStyle w:val="FootnoteReference"/>
        </w:rPr>
        <w:footnoteReference w:id="178"/>
      </w:r>
      <w:r>
        <w:t xml:space="preserve"> </w:t>
      </w:r>
      <w:r>
        <w:t xml:space="preserve">– uma substância proibida no esporte e sem aprovação.</w:t>
      </w:r>
    </w:p>
    <w:p>
      <w:pPr>
        <w:pStyle w:val="BodyText"/>
      </w:pPr>
      <w:r>
        <w:t xml:space="preserve">Entre 2010 e 2013, o mesmo laboratório analisou outros 337 produtos. Hormônios peptídicos e fatores de crescimento responderam por 12,8%, sobretudo hormônio do crescimento e peptídeos liberadores do hormônio do crescimento. Entre os achados chamativos estavam a timosina beta-4 e uma proteína de fusão com efeito biológico desconhecido</w:t>
      </w:r>
      <w:r>
        <w:rPr>
          <w:rStyle w:val="FootnoteReference"/>
        </w:rPr>
        <w:footnoteReference w:id="179"/>
      </w:r>
      <w:r>
        <w:t xml:space="preserve">. Na Noruega, 28% dos produtos apreendidos e analisados entre 2011 e 2014 continham substâncias dopantes à base de peptídeos ou proteínas</w:t>
      </w:r>
      <w:r>
        <w:rPr>
          <w:rStyle w:val="FootnoteReference"/>
        </w:rPr>
        <w:footnoteReference w:id="180"/>
      </w:r>
      <w:r>
        <w:t xml:space="preserve">.</w:t>
      </w:r>
    </w:p>
    <w:p>
      <w:pPr>
        <w:pStyle w:val="BodyText"/>
      </w:pPr>
      <w:r>
        <w:t xml:space="preserve">Um relatório posterior de Colônia descreve variantes modificadas de peptídeos conhecidos que não existem como medicamentos: Gly-GHRP-6, Gly-GHRP-2 e Gly-ipamorelina – ou seja, os respectivos peptídeos com um aminoácido glicina adicional no início – além de uma forma ligeiramente alterada do hormônio do crescimento</w:t>
      </w:r>
      <w:r>
        <w:rPr>
          <w:rStyle w:val="FootnoteReference"/>
        </w:rPr>
        <w:footnoteReference w:id="181"/>
      </w:r>
      <w:r>
        <w:t xml:space="preserve">. Essas modificações talvez sejam tentativas de driblar os testes antidoping; seu efeito e sua segurança em seres humanos são desconhecidos.</w:t>
      </w:r>
    </w:p>
    <w:p>
      <w:pPr>
        <w:pStyle w:val="BodyText"/>
      </w:pPr>
      <w:r>
        <w:t xml:space="preserve">O BPC-157 também foi identificado em frascos apreendidos. Um grupo de pesquisa desenvolveu, em seguida, um método de detecção para amostras de urina</w:t>
      </w:r>
      <w:r>
        <w:rPr>
          <w:rStyle w:val="FootnoteReference"/>
        </w:rPr>
        <w:footnoteReference w:id="182"/>
      </w:r>
      <w:r>
        <w:t xml:space="preserve">.</w:t>
      </w:r>
    </w:p>
    <w:p>
      <w:pPr>
        <w:pStyle w:val="BodyText"/>
      </w:pPr>
      <w:r>
        <w:t xml:space="preserve">Um artigo de revisão resume que, em medicamentos peptídicos e proteicos falsificados, foram encontrados repetidamente a substância errada, a quantidade errada ou nenhuma substância ativa, que impurezas tóxicas e subprodutos da fabricação causaram danos à saúde e que, em apreensões, apareceram também substâncias que haviam fracassado em estudos clínicos ou ainda estavam na fase de experimentação animal</w:t>
      </w:r>
      <w:r>
        <w:rPr>
          <w:rStyle w:val="FootnoteReference"/>
        </w:rPr>
        <w:footnoteReference w:id="183"/>
      </w:r>
      <w:r>
        <w:t xml:space="preserve">.</w:t>
      </w:r>
    </w:p>
    <w:bookmarkEnd w:id="184"/>
    <w:bookmarkEnd w:id="185"/>
    <w:bookmarkStart w:id="186" w:name="Xb6802d7b2a804ac8b12ffa2d2effdfe8c6f8494"/>
    <w:p>
      <w:pPr>
        <w:pStyle w:val="Heading3"/>
      </w:pPr>
      <w:r>
        <w:t xml:space="preserve">Os problemas típicos de qualidade em visão geral</w:t>
      </w:r>
    </w:p>
    <w:p>
      <w:pPr>
        <w:pStyle w:val="FirstParagraph"/>
      </w:pPr>
      <w:r>
        <w:t xml:space="preserve">Dessas análises resulta um quadro recorrente: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Consequência</w:t>
            </w:r>
          </w:p>
        </w:tc>
        <w:tc>
          <w:tcPr/>
          <w:p>
            <w:pPr>
              <w:pStyle w:val="Compact"/>
              <w:jc w:val="left"/>
            </w:pPr>
            <w:r>
              <w:t xml:space="preserve">Exemplo</w:t>
            </w:r>
          </w:p>
        </w:tc>
      </w:tr>
      <w:tr>
        <w:tc>
          <w:tcPr/>
          <w:p>
            <w:pPr>
              <w:pStyle w:val="Compact"/>
              <w:jc w:val="left"/>
            </w:pPr>
            <w:r>
              <w:t xml:space="preserve">Substância ativa em excesso</w:t>
            </w:r>
          </w:p>
        </w:tc>
        <w:tc>
          <w:tcPr/>
          <w:p>
            <w:pPr>
              <w:pStyle w:val="Compact"/>
              <w:jc w:val="left"/>
            </w:pPr>
            <w:r>
              <w:t xml:space="preserve">superdosagem, mais efeitos colaterais</w:t>
            </w:r>
          </w:p>
        </w:tc>
        <w:tc>
          <w:tcPr/>
          <w:p>
            <w:pPr>
              <w:pStyle w:val="Compact"/>
              <w:jc w:val="left"/>
            </w:pPr>
            <w:r>
              <w:t xml:space="preserve">semaglutida até 38,7% acima do declarado</w:t>
            </w:r>
          </w:p>
        </w:tc>
      </w:tr>
      <w:tr>
        <w:tc>
          <w:tcPr/>
          <w:p>
            <w:pPr>
              <w:pStyle w:val="Compact"/>
              <w:jc w:val="left"/>
            </w:pPr>
            <w:r>
              <w:t xml:space="preserve">Substância ativa insuficiente</w:t>
            </w:r>
          </w:p>
        </w:tc>
        <w:tc>
          <w:tcPr/>
          <w:p>
            <w:pPr>
              <w:pStyle w:val="Compact"/>
              <w:jc w:val="left"/>
            </w:pPr>
            <w:r>
              <w:t xml:space="preserve">ineficácia</w:t>
            </w:r>
          </w:p>
        </w:tc>
        <w:tc>
          <w:tcPr/>
          <w:p>
            <w:pPr>
              <w:pStyle w:val="Compact"/>
              <w:jc w:val="left"/>
            </w:pPr>
            <w:r>
              <w:t xml:space="preserve">melanotan II 4,32 em vez de 10 mg</w:t>
            </w:r>
          </w:p>
        </w:tc>
      </w:tr>
      <w:tr>
        <w:tc>
          <w:tcPr/>
          <w:p>
            <w:pPr>
              <w:pStyle w:val="Compact"/>
              <w:jc w:val="left"/>
            </w:pPr>
            <w:r>
              <w:t xml:space="preserve">Substância ativa errada</w:t>
            </w:r>
          </w:p>
        </w:tc>
        <w:tc>
          <w:tcPr/>
          <w:p>
            <w:pPr>
              <w:pStyle w:val="Compact"/>
              <w:jc w:val="left"/>
            </w:pPr>
            <w:r>
              <w:t xml:space="preserve">efeito imprevisível, às vezes com risco de vida</w:t>
            </w:r>
          </w:p>
        </w:tc>
        <w:tc>
          <w:tcPr/>
          <w:p>
            <w:pPr>
              <w:pStyle w:val="Compact"/>
              <w:jc w:val="left"/>
            </w:pPr>
            <w:r>
              <w:t xml:space="preserve">insulina em vez de semaglutida</w:t>
            </w:r>
          </w:p>
        </w:tc>
      </w:tr>
      <w:tr>
        <w:tc>
          <w:tcPr/>
          <w:p>
            <w:pPr>
              <w:pStyle w:val="Compact"/>
              <w:jc w:val="left"/>
            </w:pPr>
            <w:r>
              <w:t xml:space="preserve">Nenhuma substância ativa</w:t>
            </w:r>
          </w:p>
        </w:tc>
        <w:tc>
          <w:tcPr/>
          <w:p>
            <w:pPr>
              <w:pStyle w:val="Compact"/>
              <w:jc w:val="left"/>
            </w:pPr>
            <w:r>
              <w:t xml:space="preserve">golpe, ineficácia</w:t>
            </w:r>
          </w:p>
        </w:tc>
        <w:tc>
          <w:tcPr/>
          <w:p>
            <w:pPr>
              <w:pStyle w:val="Compact"/>
              <w:jc w:val="left"/>
            </w:pPr>
            <w:r>
              <w:t xml:space="preserve">frascos vazios de</w:t>
            </w:r>
            <w:r>
              <w:t xml:space="preserve"> </w:t>
            </w:r>
            <w:r>
              <w:t xml:space="preserve">“</w:t>
            </w:r>
            <w:r>
              <w:t xml:space="preserve">hormônio do crescimento</w:t>
            </w:r>
            <w:r>
              <w:t xml:space="preserve">”</w:t>
            </w:r>
          </w:p>
        </w:tc>
      </w:tr>
      <w:tr>
        <w:tc>
          <w:tcPr/>
          <w:p>
            <w:pPr>
              <w:pStyle w:val="Compact"/>
              <w:jc w:val="left"/>
            </w:pPr>
            <w:r>
              <w:t xml:space="preserve">Impurezas</w:t>
            </w:r>
          </w:p>
        </w:tc>
        <w:tc>
          <w:tcPr/>
          <w:p>
            <w:pPr>
              <w:pStyle w:val="Compact"/>
              <w:jc w:val="left"/>
            </w:pPr>
            <w:r>
              <w:t xml:space="preserve">reações imunológicas, efeito tóxico</w:t>
            </w:r>
          </w:p>
        </w:tc>
        <w:tc>
          <w:tcPr/>
          <w:p>
            <w:pPr>
              <w:pStyle w:val="Compact"/>
              <w:jc w:val="left"/>
            </w:pPr>
            <w:r>
              <w:t xml:space="preserve">subprodutos da síntese</w:t>
            </w:r>
          </w:p>
        </w:tc>
      </w:tr>
      <w:tr>
        <w:tc>
          <w:tcPr/>
          <w:p>
            <w:pPr>
              <w:pStyle w:val="Compact"/>
              <w:jc w:val="left"/>
            </w:pPr>
            <w:r>
              <w:t xml:space="preserve">Endotoxinas</w:t>
            </w:r>
          </w:p>
        </w:tc>
        <w:tc>
          <w:tcPr/>
          <w:p>
            <w:pPr>
              <w:pStyle w:val="Compact"/>
              <w:jc w:val="left"/>
            </w:pPr>
            <w:r>
              <w:t xml:space="preserve">febre, inflamação, reações circulatórias</w:t>
            </w:r>
          </w:p>
        </w:tc>
        <w:tc>
          <w:tcPr/>
          <w:p>
            <w:pPr>
              <w:pStyle w:val="Compact"/>
              <w:jc w:val="left"/>
            </w:pPr>
            <w:r>
              <w:t xml:space="preserve">em todas as compras de teste de semaglutida</w:t>
            </w:r>
          </w:p>
        </w:tc>
      </w:tr>
    </w:tbl>
    <w:bookmarkEnd w:id="186"/>
    <w:bookmarkStart w:id="188" w:name="X0bd7faffd895cfeafc629a2ff4492c353fd784f"/>
    <w:p>
      <w:pPr>
        <w:pStyle w:val="Heading3"/>
      </w:pPr>
      <w:r>
        <w:t xml:space="preserve">Pureza: o que a porcentagem significa – e o que não significa</w:t>
      </w:r>
    </w:p>
    <w:p>
      <w:pPr>
        <w:pStyle w:val="FirstParagraph"/>
      </w:pPr>
      <w:r>
        <w:t xml:space="preserve">Muitos vendedores anunciam</w:t>
      </w:r>
      <w:r>
        <w:t xml:space="preserve"> </w:t>
      </w:r>
      <w:r>
        <w:t xml:space="preserve">“</w:t>
      </w:r>
      <w:r>
        <w:t xml:space="preserve">99% de pureza</w:t>
      </w:r>
      <w:r>
        <w:t xml:space="preserve">”</w:t>
      </w:r>
      <w:r>
        <w:t xml:space="preserve"> </w:t>
      </w:r>
      <w:r>
        <w:t xml:space="preserve">e anexam certificados de análise. Algumas observações:</w:t>
      </w:r>
    </w:p>
    <w:p>
      <w:pPr>
        <w:numPr>
          <w:ilvl w:val="0"/>
          <w:numId w:val="1025"/>
        </w:numPr>
        <w:pStyle w:val="Compact"/>
      </w:pPr>
      <w:r>
        <w:rPr>
          <w:bCs/>
          <w:b/>
        </w:rPr>
        <w:t xml:space="preserve">A pureza mede apenas certas impurezas.</w:t>
      </w:r>
      <w:r>
        <w:t xml:space="preserve"> </w:t>
      </w:r>
      <w:r>
        <w:t xml:space="preserve">Uma medição típica (cromatografia líquida de alta eficiência, HPLC) mostra que porcentagem dos sinais de peptídeo mensuráveis corresponde à substância desejada. Muitas vezes não são detectados sais, água, resíduos de solventes, metais ou endotoxinas.</w:t>
      </w:r>
    </w:p>
    <w:p>
      <w:pPr>
        <w:numPr>
          <w:ilvl w:val="0"/>
          <w:numId w:val="1025"/>
        </w:numPr>
        <w:pStyle w:val="Compact"/>
      </w:pPr>
      <w:r>
        <w:rPr>
          <w:bCs/>
          <w:b/>
        </w:rPr>
        <w:t xml:space="preserve">A pureza não diz nada sobre a quantidade.</w:t>
      </w:r>
      <w:r>
        <w:t xml:space="preserve"> </w:t>
      </w:r>
      <w:r>
        <w:t xml:space="preserve">Um frasco pode conter uma substância muito pura, mas na quantidade errada.</w:t>
      </w:r>
    </w:p>
    <w:p>
      <w:pPr>
        <w:numPr>
          <w:ilvl w:val="0"/>
          <w:numId w:val="1025"/>
        </w:numPr>
        <w:pStyle w:val="Compact"/>
      </w:pPr>
      <w:r>
        <w:rPr>
          <w:bCs/>
          <w:b/>
        </w:rPr>
        <w:t xml:space="preserve">A pureza não diz nada sobre a esterilidade.</w:t>
      </w:r>
      <w:r>
        <w:t xml:space="preserve"> </w:t>
      </w:r>
      <w:r>
        <w:t xml:space="preserve">Um pó pode ser quimicamente puro e ainda assim estar contaminado com bactérias ou componentes bacterianos.</w:t>
      </w:r>
    </w:p>
    <w:p>
      <w:pPr>
        <w:numPr>
          <w:ilvl w:val="0"/>
          <w:numId w:val="1025"/>
        </w:numPr>
        <w:pStyle w:val="Compact"/>
      </w:pPr>
      <w:r>
        <w:rPr>
          <w:bCs/>
          <w:b/>
        </w:rPr>
        <w:t xml:space="preserve">Os certificados não podem ser verificados.</w:t>
      </w:r>
      <w:r>
        <w:t xml:space="preserve"> </w:t>
      </w:r>
      <w:r>
        <w:t xml:space="preserve">Se um certificado anexado corresponde de fato ao frasco entregue, quem compra não tem como saber. As compras de teste de semaglutida mostraram uma pureza de 7,7 a 14,4% apesar do rótulo com 99%</w:t>
      </w:r>
      <w:r>
        <w:rPr>
          <w:rStyle w:val="FootnoteReference"/>
        </w:rPr>
        <w:footnoteReference w:id="187"/>
      </w:r>
      <w:r>
        <w:t xml:space="preserve">.</w:t>
      </w:r>
    </w:p>
    <w:p>
      <w:pPr>
        <w:pStyle w:val="FirstParagraph"/>
      </w:pPr>
      <w:r>
        <w:t xml:space="preserve">A isso se somam as impurezas que tipicamente surgem na síntese química: peptídeos com blocos faltantes ou duplicados, variantes mal dobradas ou quimicamente alteradas, resíduos de grupos protetores e de reagentes. Para medicamentos aprovados, existem limites definidos para essas impurezas, controlados regularmente.</w:t>
      </w:r>
    </w:p>
    <w:bookmarkEnd w:id="188"/>
    <w:bookmarkStart w:id="190" w:name="endotoxinas-invisíveis-e-perigosas"/>
    <w:p>
      <w:pPr>
        <w:pStyle w:val="Heading3"/>
      </w:pPr>
      <w:r>
        <w:t xml:space="preserve">Endotoxinas: invisíveis e perigosas</w:t>
      </w:r>
    </w:p>
    <w:p>
      <w:pPr>
        <w:pStyle w:val="FirstParagraph"/>
      </w:pPr>
      <w:r>
        <w:t xml:space="preserve">Endotoxinas são componentes da parede celular de certas bactérias. Elas permanecem mesmo quando as bactérias estão mortas e são muito estáveis ao calor. Se chegam ao sangue, podem provocar febre, calafrios, queda da pressão arterial e, em quantidades maiores, um choque com risco de vida. Por isso, valem limites rígidos para injeções e infusões, e os fabricantes de medicamentos testam cada lote.</w:t>
      </w:r>
    </w:p>
    <w:p>
      <w:pPr>
        <w:pStyle w:val="BodyText"/>
      </w:pPr>
      <w:r>
        <w:t xml:space="preserve">Um pó</w:t>
      </w:r>
      <w:r>
        <w:t xml:space="preserve"> </w:t>
      </w:r>
      <w:r>
        <w:t xml:space="preserve">“</w:t>
      </w:r>
      <w:r>
        <w:t xml:space="preserve">estéril</w:t>
      </w:r>
      <w:r>
        <w:t xml:space="preserve">”</w:t>
      </w:r>
      <w:r>
        <w:t xml:space="preserve"> </w:t>
      </w:r>
      <w:r>
        <w:t xml:space="preserve">ou</w:t>
      </w:r>
      <w:r>
        <w:t xml:space="preserve"> </w:t>
      </w:r>
      <w:r>
        <w:t xml:space="preserve">“</w:t>
      </w:r>
      <w:r>
        <w:t xml:space="preserve">livre de germes</w:t>
      </w:r>
      <w:r>
        <w:t xml:space="preserve">”</w:t>
      </w:r>
      <w:r>
        <w:t xml:space="preserve"> </w:t>
      </w:r>
      <w:r>
        <w:t xml:space="preserve">pode, ainda assim, conter endotoxinas – exatamente o que mostraram as compras de teste de semaglutida: nenhum germe vivo, mas endotoxinas em todas as amostras</w:t>
      </w:r>
      <w:r>
        <w:rPr>
          <w:rStyle w:val="FootnoteReference"/>
        </w:rPr>
        <w:footnoteReference w:id="189"/>
      </w:r>
      <w:r>
        <w:t xml:space="preserve">. Também a dissolução com água não estéril, a retirada repetida do mesmo frasco ou a reutilização de agulhas podem introduzir germes.</w:t>
      </w:r>
    </w:p>
    <w:bookmarkEnd w:id="190"/>
    <w:bookmarkStart w:id="192" w:name="erros-de-dosagem"/>
    <w:p>
      <w:pPr>
        <w:pStyle w:val="Heading3"/>
      </w:pPr>
      <w:r>
        <w:t xml:space="preserve">Erros de dosagem</w:t>
      </w:r>
    </w:p>
    <w:p>
      <w:pPr>
        <w:pStyle w:val="FirstParagraph"/>
      </w:pPr>
      <w:r>
        <w:t xml:space="preserve">Mesmo quando um produto contém exatamente o que diz o rótulo, a dosagem correta no mercado cinza é difícil. O pó precisa ser dissolvido em uma determinada quantidade de líquido; a dose resulta então de uma conversão. Quem erra a conta ou confunde unidades pode facilmente injetar um múltiplo da quantidade pretendida.</w:t>
      </w:r>
    </w:p>
    <w:p>
      <w:pPr>
        <w:pStyle w:val="BodyText"/>
      </w:pPr>
      <w:r>
        <w:t xml:space="preserve">Uma série de casos de um centro de informação toxicológica dos EUA descreve três casos com semaglutida de farmácias e de um estúdio de estética. Duas pessoas tinham injetado por engano dez vezes a quantidade. Todas tiveram por dias náuseas, vômitos e dor abdominal. Uma pessoa havia recebido um frasco com seringas sem nenhuma orientação; outra confundiu mililitros,</w:t>
      </w:r>
      <w:r>
        <w:t xml:space="preserve"> </w:t>
      </w:r>
      <w:r>
        <w:t xml:space="preserve">“</w:t>
      </w:r>
      <w:r>
        <w:t xml:space="preserve">unidades</w:t>
      </w:r>
      <w:r>
        <w:t xml:space="preserve">”</w:t>
      </w:r>
      <w:r>
        <w:t xml:space="preserve"> </w:t>
      </w:r>
      <w:r>
        <w:t xml:space="preserve">e miligramas</w:t>
      </w:r>
      <w:r>
        <w:rPr>
          <w:rStyle w:val="FootnoteReference"/>
        </w:rPr>
        <w:footnoteReference w:id="191"/>
      </w:r>
      <w:r>
        <w:t xml:space="preserve">. Os autores ressaltam que os frascos, ao contrário das canetas preenchidas, não oferecem mecanismos de segurança contra esses erros.</w:t>
      </w:r>
    </w:p>
    <w:bookmarkEnd w:id="192"/>
    <w:bookmarkStart w:id="197" w:name="X30513ad392d7f4538a37c179d5bf270593219eb"/>
    <w:p>
      <w:pPr>
        <w:pStyle w:val="Heading3"/>
      </w:pPr>
      <w:r>
        <w:t xml:space="preserve">Falsificações de Ozempic e de outros medicamentos GLP-1</w:t>
      </w:r>
    </w:p>
    <w:p>
      <w:pPr>
        <w:pStyle w:val="FirstParagraph"/>
      </w:pPr>
      <w:r>
        <w:t xml:space="preserve">Com a enorme demanda por semaglutida, surgiram falsificações no mundo todo. A Organização Mundial da Saúde alertou em 2024 sobre Ozempic falsificado na cadeia global de abastecimento</w:t>
      </w:r>
      <w:r>
        <w:rPr>
          <w:rStyle w:val="FootnoteReference"/>
        </w:rPr>
        <w:footnoteReference w:id="193"/>
      </w:r>
      <w:r>
        <w:t xml:space="preserve">.</w:t>
      </w:r>
    </w:p>
    <w:p>
      <w:pPr>
        <w:pStyle w:val="BodyText"/>
      </w:pPr>
      <w:r>
        <w:t xml:space="preserve">Particularmente perigosas são as falsificações que contêm outra substância ativa. Na Itália, uma mulher de 31 anos foi levada ao pronto-socorro em coma hipoglicêmico depois de ter injetado um suposto Ozempic comprado na internet. A análise toxicológica revelou que o frasco continha insulina em vez de semaglutida</w:t>
      </w:r>
      <w:r>
        <w:rPr>
          <w:rStyle w:val="FootnoteReference"/>
        </w:rPr>
        <w:footnoteReference w:id="194"/>
      </w:r>
      <w:r>
        <w:t xml:space="preserve">. Da Holanda foram relatados dois casos semelhantes: duas pessoas sem diabetes e sem obesidade haviam injetado semaglutida obtida sem receita e estavam em coma com hipoglicemia grave, falta de potássio e hipotermia. A causa foi uma intoxicação por insulina sintética. Para manter a glicose estável, foram necessários até dois dias de infusão contínua de glicose</w:t>
      </w:r>
      <w:r>
        <w:rPr>
          <w:rStyle w:val="FootnoteReference"/>
        </w:rPr>
        <w:footnoteReference w:id="195"/>
      </w:r>
      <w:r>
        <w:t xml:space="preserve">.</w:t>
      </w:r>
    </w:p>
    <w:p>
      <w:pPr>
        <w:pStyle w:val="BodyText"/>
      </w:pPr>
      <w:r>
        <w:t xml:space="preserve">Esses casos são tão significativos porque a semaglutida verdadeira, sozinha, dificilmente causa uma hipoglicemia relevante em pessoas saudáveis. Uma hipoglicemia depois de uma</w:t>
      </w:r>
      <w:r>
        <w:t xml:space="preserve"> </w:t>
      </w:r>
      <w:r>
        <w:t xml:space="preserve">“</w:t>
      </w:r>
      <w:r>
        <w:t xml:space="preserve">injeção para emagrecer</w:t>
      </w:r>
      <w:r>
        <w:t xml:space="preserve">”</w:t>
      </w:r>
      <w:r>
        <w:t xml:space="preserve"> </w:t>
      </w:r>
      <w:r>
        <w:t xml:space="preserve">é, portanto, um sinal de alerta para um produto falsificado.</w:t>
      </w:r>
    </w:p>
    <w:p>
      <w:pPr>
        <w:pStyle w:val="BodyText"/>
      </w:pPr>
      <w:r>
        <w:t xml:space="preserve">Uma análise da base europeia de notificações de efeitos colaterais EudraVigilance encontrou, de 2018 a 2025, um total de 234 notificações relativas a semaglutida possivelmente falsificada. 73,5% referiam-se a mulheres, e 89,3% dos efeitos colaterais notificados eram graves. Os mais notificados foram vômitos, náuseas e hipoglicemia. Em comparação com a semaglutida verdadeira, hipoglicemia, uso fora da indicação aprovada, mal-estar e ineficácia foram notificados com frequência desproporcionalmente alta</w:t>
      </w:r>
      <w:r>
        <w:rPr>
          <w:rStyle w:val="FootnoteReference"/>
        </w:rPr>
        <w:footnoteReference w:id="196"/>
      </w:r>
      <w:r>
        <w:t xml:space="preserve">. Como em todos os dados de notificação, vale: eles mostram sinais, não frequências.</w:t>
      </w:r>
    </w:p>
    <w:bookmarkEnd w:id="197"/>
    <w:bookmarkStart w:id="200" w:name="substâncias-glp-1-não-aprovadas"/>
    <w:p>
      <w:pPr>
        <w:pStyle w:val="Heading3"/>
      </w:pPr>
      <w:r>
        <w:t xml:space="preserve">Substâncias GLP-1 não aprovadas</w:t>
      </w:r>
    </w:p>
    <w:p>
      <w:pPr>
        <w:pStyle w:val="FirstParagraph"/>
      </w:pPr>
      <w:r>
        <w:t xml:space="preserve">Atualmente, o mercado cinza oferece também substâncias que ainda nem foram aprovadas, como o agonista triplo retatrutida. Para essas substâncias existem estudos dos fabricantes, mas nenhum produto verificado – o que de fato há em um frasco com a inscrição</w:t>
      </w:r>
      <w:r>
        <w:t xml:space="preserve"> </w:t>
      </w:r>
      <w:r>
        <w:t xml:space="preserve">“</w:t>
      </w:r>
      <w:r>
        <w:t xml:space="preserve">retatrutida</w:t>
      </w:r>
      <w:r>
        <w:t xml:space="preserve">”</w:t>
      </w:r>
      <w:r>
        <w:t xml:space="preserve"> </w:t>
      </w:r>
      <w:r>
        <w:t xml:space="preserve">é desconhecido. Uma revista científica dedicou a esse mercado negro uma reportagem própria em 2026</w:t>
      </w:r>
      <w:r>
        <w:rPr>
          <w:rStyle w:val="FootnoteReference"/>
        </w:rPr>
        <w:footnoteReference w:id="198"/>
      </w:r>
      <w:r>
        <w:t xml:space="preserve">.</w:t>
      </w:r>
    </w:p>
    <w:p>
      <w:pPr>
        <w:pStyle w:val="BodyText"/>
      </w:pPr>
      <w:r>
        <w:t xml:space="preserve">Um relato de caso descreve uma mulher de vinte e poucos anos que chegou ao hospital com cinco dias de náuseas persistentes, vômitos repetidos e diarreia. Os sintomas inicialmente não melhoraram, apesar de vários medicamentos contra náuseas. Só depois de perguntas repetidas descobriu-se que um autoproclamado coach de vida, sem qualificação médica, havia aplicado nela quatro injeções semanais de um produto que supostamente continha retatrutida. Ela mesma não considerava as injeções um medicamento</w:t>
      </w:r>
      <w:r>
        <w:rPr>
          <w:rStyle w:val="FootnoteReference"/>
        </w:rPr>
        <w:footnoteReference w:id="199"/>
      </w:r>
      <w:r>
        <w:t xml:space="preserve">. O caso mostra outro problema: quem não percebe os peptídeos como medicamentos também não os menciona a médicas e médicos.</w:t>
      </w:r>
    </w:p>
    <w:bookmarkEnd w:id="200"/>
    <w:bookmarkStart w:id="204" w:name="perigos-além-da-contaminação"/>
    <w:p>
      <w:pPr>
        <w:pStyle w:val="Heading3"/>
      </w:pPr>
      <w:r>
        <w:t xml:space="preserve">Perigos além da contaminação</w:t>
      </w:r>
    </w:p>
    <w:p>
      <w:pPr>
        <w:pStyle w:val="FirstParagraph"/>
      </w:pPr>
      <w:r>
        <w:t xml:space="preserve">Mesmo um peptídeo do mercado cinza perfeitamente puro pode ser perigoso se a própria substância nunca foi suficientemente estudada em seres humanos. Um relato de caso descreve um homem de 39 anos que injetou melanotan II comprado na internet – segundo ele mesmo, seis vezes a quantidade inicial que lhe havia sido recomendada. Ele desenvolveu taquicardia, agitação, sudorese intensa e uma destruição muscular maciça (rabdomiólise) com disfunção renal e precisou ser tratado na unidade de terapia intensiva. A análise confirmou que o produto de fato continha melanotan II</w:t>
      </w:r>
      <w:r>
        <w:rPr>
          <w:rStyle w:val="FootnoteReference"/>
        </w:rPr>
        <w:footnoteReference w:id="201"/>
      </w:r>
      <w:r>
        <w:t xml:space="preserve">.</w:t>
      </w:r>
    </w:p>
    <w:p>
      <w:pPr>
        <w:pStyle w:val="BodyText"/>
      </w:pPr>
      <w:r>
        <w:t xml:space="preserve">Artigos de revisão citam como possíveis riscos de peptídeos não regulamentados, entre outros, impurezas, dosagem imprecisa, formação patológica de novos vasos, carcinogênese, sobrecarga do sistema cardiovascular e sinais hormonais excessivos</w:t>
      </w:r>
      <w:r>
        <w:rPr>
          <w:rStyle w:val="FootnoteReference"/>
        </w:rPr>
        <w:footnoteReference w:id="202"/>
      </w:r>
      <w:r>
        <w:t xml:space="preserve">. Muitos desses riscos são deduzidos teoricamente, justamente porque quase não há estudos em humanos. Uma revisão de medicina esportiva conclui que muitos peptídeos não aprovados mostram efeitos favoráveis em modelos animais, mas que dados sólidos de segurança em humanos são raros e danos sérios são possíveis</w:t>
      </w:r>
      <w:r>
        <w:rPr>
          <w:rStyle w:val="FootnoteReference"/>
        </w:rPr>
        <w:footnoteReference w:id="203"/>
      </w:r>
      <w:r>
        <w:t xml:space="preserve">.</w:t>
      </w:r>
    </w:p>
    <w:bookmarkEnd w:id="204"/>
    <w:bookmarkStart w:id="207" w:name="compounding-nos-eua"/>
    <w:p>
      <w:pPr>
        <w:pStyle w:val="Heading3"/>
      </w:pPr>
      <w:r>
        <w:t xml:space="preserve">Compounding nos EUA</w:t>
      </w:r>
    </w:p>
    <w:p>
      <w:pPr>
        <w:pStyle w:val="FirstParagraph"/>
      </w:pPr>
      <w:r>
        <w:t xml:space="preserve">Uma particularidade do mercado norte-americano é o</w:t>
      </w:r>
      <w:r>
        <w:t xml:space="preserve"> </w:t>
      </w:r>
      <w:r>
        <w:rPr>
          <w:bCs/>
          <w:b/>
        </w:rPr>
        <w:t xml:space="preserve">compounding</w:t>
      </w:r>
      <w:r>
        <w:t xml:space="preserve">: farmácias podem, sob certas condições, manipular medicamentos elas mesmas, por exemplo quando uma preparação aprovada não está disponível. Durante a falta de semaglutida e tirzepatida, surgiu assim um grande mercado de preparações de imitação, muitas vezes distribuídas por plataformas de telemedicina. Essas preparações não são medicamentos aprovados; sua eficácia e segurança não foram testadas em estudos.</w:t>
      </w:r>
    </w:p>
    <w:p>
      <w:pPr>
        <w:pStyle w:val="BodyText"/>
      </w:pPr>
      <w:r>
        <w:t xml:space="preserve">Uma análise da base norte-americana de notificações de efeitos colaterais FAERS comparou notificações sobre preparações de GLP-1 manipuladas e aprovadas. Das 81.078 notificações, 707 referiam-se a produtos manipulados. Nesses, foram notificados com frequência desproporcionalmente alta, entre outros, dor abdominal, inflamações da vesícula biliar, erros de preparação e contaminações, assim como internações hospitalares; erros de uso e de dosagem, por outro lado, foram notificados com menos frequência</w:t>
      </w:r>
      <w:r>
        <w:rPr>
          <w:rStyle w:val="FootnoteReference"/>
        </w:rPr>
        <w:footnoteReference w:id="205"/>
      </w:r>
      <w:r>
        <w:t xml:space="preserve">. Os autores ressaltam que esses dados não comprovam uma relação de causa e efeito.</w:t>
      </w:r>
    </w:p>
    <w:p>
      <w:pPr>
        <w:pStyle w:val="BodyText"/>
      </w:pPr>
      <w:r>
        <w:t xml:space="preserve">Com o fim da falta de produto, as farmácias, pela lei norte-americana, só podem produzir preparações que se diferenciem das aprovadas – por exemplo, por outra forma farmacêutica ou por aditivos. Uma investigação encontrou 33 desses produtos, entre eles combinações com vitamina B12, glicina, niacinamida, um laxante ou um medicamento contra náuseas, além de gotas e comprimidos orodispersíveis para uso sob a língua. Para as vitaminas e o laxante, os autores praticamente não encontraram justificativa. Para o acréscimo do medicamento contra náuseas e para as novas formas farmacêuticas, eles veem uma ideia compreensível, mas nenhuma evidência de eficácia e segurança</w:t>
      </w:r>
      <w:r>
        <w:rPr>
          <w:rStyle w:val="FootnoteReference"/>
        </w:rPr>
        <w:footnoteReference w:id="206"/>
      </w:r>
      <w:r>
        <w:t xml:space="preserve">.</w:t>
      </w:r>
    </w:p>
    <w:p>
      <w:pPr>
        <w:pStyle w:val="BodyText"/>
      </w:pPr>
      <w:r>
        <w:t xml:space="preserve">O compounding não é mercado cinza em sentido estrito: as farmácias são autorizadas e estão sujeitas a fiscalização. Para os pacientes, porém, a fronteira se torna difusa quando os produtos são distribuídos por plataformas on-line com pouco acompanhamento médico. Na Europa não existe um sistema comparável; ali, a manipulação em farmácia está sujeita a condições bem mais restritas (mais sobre isso no próximo capítulo).</w:t>
      </w:r>
    </w:p>
    <w:bookmarkEnd w:id="207"/>
    <w:bookmarkStart w:id="209" w:name="quem-usa-o-mercado-cinza-e-por-quê"/>
    <w:p>
      <w:pPr>
        <w:pStyle w:val="Heading3"/>
      </w:pPr>
      <w:r>
        <w:t xml:space="preserve">Quem usa o mercado cinza – e por quê</w:t>
      </w:r>
    </w:p>
    <w:p>
      <w:pPr>
        <w:pStyle w:val="FirstParagraph"/>
      </w:pPr>
      <w:r>
        <w:t xml:space="preserve">Os motivos para recorrer ao mercado cinza são variados: preços altos e falta de cobertura de custos para medicamentos aprovados, falta de produto, o desejo de perder peso sem indicação médica, aumento de desempenho no esporte, esperança de cura mais rápida de lesões ou de uma vida mais longa. Um artigo de revisão descreve como publicidade on-line, relatos de experiência em redes sociais, autoinjeção, combinações de várias substâncias e um monitoramento fraco de efeitos colaterais interagem e normalizam produtos de natureza incerta</w:t>
      </w:r>
      <w:r>
        <w:rPr>
          <w:rStyle w:val="FootnoteReference"/>
        </w:rPr>
        <w:footnoteReference w:id="208"/>
      </w:r>
      <w:r>
        <w:t xml:space="preserve">.</w:t>
      </w:r>
    </w:p>
    <w:p>
      <w:pPr>
        <w:pStyle w:val="BodyText"/>
      </w:pPr>
      <w:r>
        <w:t xml:space="preserve">Esses motivos são compreensíveis. As análises deste capítulo, porém, mostram que quem compra no mercado cinza não tem como saber o que de fato está recebendo.</w:t>
      </w:r>
    </w:p>
    <w:bookmarkEnd w:id="209"/>
    <w:bookmarkStart w:id="210" w:name="Xf96596d331955bee51c1436353baf9b80f3dc3f"/>
    <w:p>
      <w:pPr>
        <w:pStyle w:val="Heading3"/>
      </w:pPr>
      <w:r>
        <w:t xml:space="preserve">Se você já usou peptídeos do mercado cinza</w:t>
      </w:r>
    </w:p>
    <w:p>
      <w:pPr>
        <w:pStyle w:val="FirstParagraph"/>
      </w:pPr>
      <w:r>
        <w:t xml:space="preserve">Este livro não dá instruções de uso. Alguns pontos gerais, porém, são importantes por razões de segurança:</w:t>
      </w:r>
    </w:p>
    <w:p>
      <w:pPr>
        <w:numPr>
          <w:ilvl w:val="0"/>
          <w:numId w:val="1026"/>
        </w:numPr>
        <w:pStyle w:val="Compact"/>
      </w:pPr>
      <w:r>
        <w:t xml:space="preserve">Informe sua médica ou seu médico sobre todas as injeções, peptídeos e</w:t>
      </w:r>
      <w:r>
        <w:t xml:space="preserve"> </w:t>
      </w:r>
      <w:r>
        <w:t xml:space="preserve">“</w:t>
      </w:r>
      <w:r>
        <w:t xml:space="preserve">produtos químicos de pesquisa</w:t>
      </w:r>
      <w:r>
        <w:t xml:space="preserve">”</w:t>
      </w:r>
      <w:r>
        <w:t xml:space="preserve"> </w:t>
      </w:r>
      <w:r>
        <w:t xml:space="preserve">que você usa – mesmo que não os considere medicamentos.</w:t>
      </w:r>
    </w:p>
    <w:p>
      <w:pPr>
        <w:numPr>
          <w:ilvl w:val="0"/>
          <w:numId w:val="1026"/>
        </w:numPr>
        <w:pStyle w:val="Compact"/>
      </w:pPr>
      <w:r>
        <w:t xml:space="preserve">Sintomas inesperados como tremor, suor, confusão ou alterações de consciência após uma injeção podem indicar hipoglicemia e são uma emergência.</w:t>
      </w:r>
    </w:p>
    <w:p>
      <w:pPr>
        <w:numPr>
          <w:ilvl w:val="0"/>
          <w:numId w:val="1026"/>
        </w:numPr>
        <w:pStyle w:val="Compact"/>
      </w:pPr>
      <w:r>
        <w:t xml:space="preserve">Produtos suspeitos e efeitos colaterais podem ser notificados às autoridades: na Alemanha, ao Instituto Federal de Medicamentos e Dispositivos Médicos (BfArM); na Áustria, à Agência Federal de Segurança na Saúde (BASG).</w:t>
      </w:r>
    </w:p>
    <w:bookmarkEnd w:id="210"/>
    <w:bookmarkStart w:id="211" w:name="o-essencial-em-resumo-3"/>
    <w:p>
      <w:pPr>
        <w:pStyle w:val="Heading3"/>
      </w:pPr>
      <w:r>
        <w:t xml:space="preserve">O essencial em resumo</w:t>
      </w:r>
    </w:p>
    <w:p>
      <w:pPr>
        <w:numPr>
          <w:ilvl w:val="0"/>
          <w:numId w:val="1027"/>
        </w:numPr>
        <w:pStyle w:val="Compact"/>
      </w:pPr>
      <w:r>
        <w:t xml:space="preserve">O aviso</w:t>
      </w:r>
      <w:r>
        <w:t xml:space="preserve"> </w:t>
      </w:r>
      <w:r>
        <w:t xml:space="preserve">“</w:t>
      </w:r>
      <w:r>
        <w:t xml:space="preserve">apenas para fins de pesquisa</w:t>
      </w:r>
      <w:r>
        <w:t xml:space="preserve">”</w:t>
      </w:r>
      <w:r>
        <w:t xml:space="preserve"> </w:t>
      </w:r>
      <w:r>
        <w:t xml:space="preserve">não protege contra riscos; ele transfere a responsabilidade para quem compra.</w:t>
      </w:r>
    </w:p>
    <w:p>
      <w:pPr>
        <w:numPr>
          <w:ilvl w:val="0"/>
          <w:numId w:val="1027"/>
        </w:numPr>
        <w:pStyle w:val="Compact"/>
      </w:pPr>
      <w:r>
        <w:t xml:space="preserve">Análises laboratoriais encontraram em peptídeos do mercado cinza substância ativa em excesso, em falta, errada ou ausente, além de impurezas e endotoxinas.</w:t>
      </w:r>
    </w:p>
    <w:p>
      <w:pPr>
        <w:numPr>
          <w:ilvl w:val="0"/>
          <w:numId w:val="1027"/>
        </w:numPr>
        <w:pStyle w:val="Compact"/>
      </w:pPr>
      <w:r>
        <w:t xml:space="preserve">Produtos falsificados de semaglutida que continham insulina levaram a hipoglicemias com risco de vida.</w:t>
      </w:r>
    </w:p>
    <w:p>
      <w:pPr>
        <w:numPr>
          <w:ilvl w:val="0"/>
          <w:numId w:val="1027"/>
        </w:numPr>
        <w:pStyle w:val="Compact"/>
      </w:pPr>
      <w:r>
        <w:t xml:space="preserve">Também as preparações manipuladas por farmácias dos EUA não são testadas como os medicamentos aprovados.</w:t>
      </w:r>
    </w:p>
    <w:p>
      <w:pPr>
        <w:numPr>
          <w:ilvl w:val="0"/>
          <w:numId w:val="1027"/>
        </w:numPr>
        <w:pStyle w:val="Compact"/>
      </w:pPr>
      <w:r>
        <w:t xml:space="preserve">Mesmo um produto puro continua arriscado se a substância nunca foi suficientemente estudada em seres humanos.</w:t>
      </w:r>
    </w:p>
    <w:bookmarkEnd w:id="211"/>
    <w:bookmarkEnd w:id="212"/>
    <w:bookmarkStart w:id="230" w:name="marco-legal"/>
    <w:p>
      <w:pPr>
        <w:pStyle w:val="Heading2"/>
      </w:pPr>
      <w:r>
        <w:t xml:space="preserve">Marco legal</w:t>
      </w:r>
    </w:p>
    <w:p>
      <w:pPr>
        <w:pStyle w:val="FirstParagraph"/>
      </w:pPr>
      <w:r>
        <w:t xml:space="preserve">Se um peptídeo é um medicamento sujeito a prescrição, um suplemento alimentar, um cosmético ou uma substância dopante proibida não depende apenas da molécula. Também é decisivo para que ele se destina, como é oferecido e como age no organismo. O mesmo peptídeo de colágeno pode estar na prateleira do supermercado como alimento; já um peptídeo com efeito comprovadamente semelhante ao de um hormônio é quase sempre um medicamento – não importa o que diga o rótulo. Este capítulo dá uma visão geral das regras na União Europeia, na Áustria, na Alemanha e nos EUA, assim como das normas antidoping.</w:t>
      </w:r>
    </w:p>
    <w:p>
      <w:pPr>
        <w:pStyle w:val="BlockText"/>
      </w:pPr>
      <w:r>
        <w:rPr>
          <w:bCs/>
          <w:b/>
        </w:rPr>
        <w:t xml:space="preserve">Aviso importante:</w:t>
      </w:r>
      <w:r>
        <w:t xml:space="preserve"> </w:t>
      </w:r>
      <w:r>
        <w:t xml:space="preserve">este capítulo reflete a situação em 2026 da melhor forma possível e não constitui assessoria jurídica. Leis, regulamentos, a prática das autoridades e a lista de substâncias proibidas da Agência Mundial Antidoping mudam regularmente. Verifique a situação legal atual em cada caso concreto e, em caso de dúvidas específicas, procure uma advogada, um advogado ou a autoridade competente.</w:t>
      </w:r>
    </w:p>
    <w:bookmarkStart w:id="213" w:name="Xd801092a72769175c95bb4d628cbe8d46f8e4ce"/>
    <w:p>
      <w:pPr>
        <w:pStyle w:val="Heading3"/>
      </w:pPr>
      <w:r>
        <w:t xml:space="preserve">Três gavetas: medicamento, alimento, cosmético</w:t>
      </w:r>
    </w:p>
    <w:p>
      <w:pPr>
        <w:pStyle w:val="FirstParagraph"/>
      </w:pPr>
      <w:r>
        <w:t xml:space="preserve">O direito europeu distingue essencialmente três categorias de produtos nas quais os peptídeos podem se enquadrar. Cada uma tem regras próprias: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Avaliação pela autoridade antes da venda</w:t>
            </w:r>
          </w:p>
        </w:tc>
        <w:tc>
          <w:tcPr/>
          <w:p>
            <w:pPr>
              <w:pStyle w:val="Compact"/>
              <w:jc w:val="left"/>
            </w:pPr>
            <w:r>
              <w:t xml:space="preserve">Peptídeos típicos</w:t>
            </w:r>
          </w:p>
        </w:tc>
      </w:tr>
      <w:tr>
        <w:tc>
          <w:tcPr/>
          <w:p>
            <w:pPr>
              <w:pStyle w:val="Compact"/>
              <w:jc w:val="left"/>
            </w:pPr>
            <w:r>
              <w:t xml:space="preserve">Medicamento</w:t>
            </w:r>
          </w:p>
        </w:tc>
        <w:tc>
          <w:tcPr/>
          <w:p>
            <w:pPr>
              <w:pStyle w:val="Compact"/>
              <w:jc w:val="left"/>
            </w:pPr>
            <w:r>
              <w:t xml:space="preserve">aprovação com comprovação de eficácia e segurança</w:t>
            </w:r>
          </w:p>
        </w:tc>
        <w:tc>
          <w:tcPr/>
          <w:p>
            <w:pPr>
              <w:pStyle w:val="Compact"/>
              <w:jc w:val="left"/>
            </w:pPr>
            <w:r>
              <w:t xml:space="preserve">insulina, semaglutida, ocitocina</w:t>
            </w:r>
          </w:p>
        </w:tc>
      </w:tr>
      <w:tr>
        <w:tc>
          <w:tcPr/>
          <w:p>
            <w:pPr>
              <w:pStyle w:val="Compact"/>
              <w:jc w:val="left"/>
            </w:pPr>
            <w:r>
              <w:t xml:space="preserve">Alimento e suplemento alimentar</w:t>
            </w:r>
          </w:p>
        </w:tc>
        <w:tc>
          <w:tcPr/>
          <w:p>
            <w:pPr>
              <w:pStyle w:val="Compact"/>
              <w:jc w:val="left"/>
            </w:pPr>
            <w:r>
              <w:t xml:space="preserve">sem aprovação, fabricante responsável</w:t>
            </w:r>
          </w:p>
        </w:tc>
        <w:tc>
          <w:tcPr/>
          <w:p>
            <w:pPr>
              <w:pStyle w:val="Compact"/>
              <w:jc w:val="left"/>
            </w:pPr>
            <w:r>
              <w:t xml:space="preserve">peptídeos de colágeno, peptídeos do leite</w:t>
            </w:r>
          </w:p>
        </w:tc>
      </w:tr>
      <w:tr>
        <w:tc>
          <w:tcPr/>
          <w:p>
            <w:pPr>
              <w:pStyle w:val="Compact"/>
              <w:jc w:val="left"/>
            </w:pPr>
            <w:r>
              <w:t xml:space="preserve">Cosmético</w:t>
            </w:r>
          </w:p>
        </w:tc>
        <w:tc>
          <w:tcPr/>
          <w:p>
            <w:pPr>
              <w:pStyle w:val="Compact"/>
              <w:jc w:val="left"/>
            </w:pPr>
            <w:r>
              <w:t xml:space="preserve">sem aprovação, avaliação de segurança pelo fabricante</w:t>
            </w:r>
          </w:p>
        </w:tc>
        <w:tc>
          <w:tcPr/>
          <w:p>
            <w:pPr>
              <w:pStyle w:val="Compact"/>
              <w:jc w:val="left"/>
            </w:pPr>
            <w:r>
              <w:t xml:space="preserve">palmitoil pentapeptídeo-4, Argireline</w:t>
            </w:r>
          </w:p>
        </w:tc>
      </w:tr>
    </w:tbl>
    <w:p>
      <w:pPr>
        <w:pStyle w:val="BodyText"/>
      </w:pPr>
      <w:r>
        <w:t xml:space="preserve">A isso se somam substâncias que não se encaixam legalmente em nenhuma dessas categorias – como substâncias ativas não aprovadas com efeito farmacológico vendidas como</w:t>
      </w:r>
      <w:r>
        <w:t xml:space="preserve"> </w:t>
      </w:r>
      <w:r>
        <w:t xml:space="preserve">“</w:t>
      </w:r>
      <w:r>
        <w:t xml:space="preserve">produtos químicos de pesquisa</w:t>
      </w:r>
      <w:r>
        <w:t xml:space="preserve">”</w:t>
      </w:r>
      <w:r>
        <w:t xml:space="preserve">. Para elas, não existe caminho legal para o comércio como produto destinado ao uso em seres humanos.</w:t>
      </w:r>
    </w:p>
    <w:bookmarkEnd w:id="213"/>
    <w:bookmarkStart w:id="214" w:name="o-que-é-um-medicamento"/>
    <w:p>
      <w:pPr>
        <w:pStyle w:val="Heading3"/>
      </w:pPr>
      <w:r>
        <w:t xml:space="preserve">O que é um medicamento</w:t>
      </w:r>
    </w:p>
    <w:p>
      <w:pPr>
        <w:pStyle w:val="FirstParagraph"/>
      </w:pPr>
      <w:r>
        <w:t xml:space="preserve">A definição de medicamento na UE é dada por uma diretiva (Diretiva 2001/83/CE) e transposta para as leis nacionais de medicamentos. Ela tem dois lados:</w:t>
      </w:r>
    </w:p>
    <w:p>
      <w:pPr>
        <w:numPr>
          <w:ilvl w:val="0"/>
          <w:numId w:val="1028"/>
        </w:numPr>
        <w:pStyle w:val="Compact"/>
      </w:pPr>
      <w:r>
        <w:rPr>
          <w:bCs/>
          <w:b/>
        </w:rPr>
        <w:t xml:space="preserve">Medicamento por apresentação</w:t>
      </w:r>
      <w:r>
        <w:t xml:space="preserve">: um produto é um medicamento quando é</w:t>
      </w:r>
      <w:r>
        <w:t xml:space="preserve"> </w:t>
      </w:r>
      <w:r>
        <w:rPr>
          <w:bCs/>
          <w:b/>
        </w:rPr>
        <w:t xml:space="preserve">apresentado</w:t>
      </w:r>
      <w:r>
        <w:t xml:space="preserve"> </w:t>
      </w:r>
      <w:r>
        <w:t xml:space="preserve">como meio de cura ou prevenção de doenças. A simples publicidade com afirmações como</w:t>
      </w:r>
      <w:r>
        <w:t xml:space="preserve"> </w:t>
      </w:r>
      <w:r>
        <w:t xml:space="preserve">“</w:t>
      </w:r>
      <w:r>
        <w:t xml:space="preserve">acelera a cicatrização de lesões de tendão</w:t>
      </w:r>
      <w:r>
        <w:t xml:space="preserve">”</w:t>
      </w:r>
      <w:r>
        <w:t xml:space="preserve"> </w:t>
      </w:r>
      <w:r>
        <w:t xml:space="preserve">pode transformar um produto em medicamento.</w:t>
      </w:r>
    </w:p>
    <w:p>
      <w:pPr>
        <w:numPr>
          <w:ilvl w:val="0"/>
          <w:numId w:val="1028"/>
        </w:numPr>
        <w:pStyle w:val="Compact"/>
      </w:pPr>
      <w:r>
        <w:rPr>
          <w:bCs/>
          <w:b/>
        </w:rPr>
        <w:t xml:space="preserve">Medicamento por função</w:t>
      </w:r>
      <w:r>
        <w:t xml:space="preserve">: um produto é um medicamento quando pode restaurar, corrigir ou modificar funções do corpo humano por meio de uma</w:t>
      </w:r>
      <w:r>
        <w:t xml:space="preserve"> </w:t>
      </w:r>
      <w:r>
        <w:rPr>
          <w:bCs/>
          <w:b/>
        </w:rPr>
        <w:t xml:space="preserve">ação farmacológica, imunológica ou metabólica</w:t>
      </w:r>
      <w:r>
        <w:t xml:space="preserve"> </w:t>
      </w:r>
      <w:r>
        <w:t xml:space="preserve">– independentemente de como é anunciado.</w:t>
      </w:r>
    </w:p>
    <w:p>
      <w:pPr>
        <w:pStyle w:val="FirstParagraph"/>
      </w:pPr>
      <w:r>
        <w:t xml:space="preserve">Se um produto se enquadra tanto na definição de medicamento quanto na de outro produto, segundo essa diretiva prevalece, em caso de dúvida, o direito dos medicamentos. Para peptídeos com efeito semelhante ao de hormônios – como liberadores do hormônio do crescimento, análogos de GLP-1 ou o melanotan – isso significa: em regra são medicamentos, mesmo quando declarados como suplemento alimentar, cosmético ou</w:t>
      </w:r>
      <w:r>
        <w:t xml:space="preserve"> </w:t>
      </w:r>
      <w:r>
        <w:t xml:space="preserve">“</w:t>
      </w:r>
      <w:r>
        <w:t xml:space="preserve">produto químico de pesquisa</w:t>
      </w:r>
      <w:r>
        <w:t xml:space="preserve">”</w:t>
      </w:r>
      <w:r>
        <w:t xml:space="preserve">.</w:t>
      </w:r>
    </w:p>
    <w:bookmarkEnd w:id="214"/>
    <w:bookmarkStart w:id="215" w:name="aprovação-na-ue"/>
    <w:p>
      <w:pPr>
        <w:pStyle w:val="Heading3"/>
      </w:pPr>
      <w:r>
        <w:t xml:space="preserve">Aprovação na UE</w:t>
      </w:r>
    </w:p>
    <w:p>
      <w:pPr>
        <w:pStyle w:val="FirstParagraph"/>
      </w:pPr>
      <w:r>
        <w:t xml:space="preserve">Na UE, um medicamento só pode ser colocado no mercado se estiver aprovado. Para a aprovação, o fabricante precisa apresentar dados de qualidade, eficácia e segurança – em geral, dos estudos de fase 3 descritos no capítulo</w:t>
      </w:r>
      <w:r>
        <w:t xml:space="preserve"> </w:t>
      </w:r>
      <w:r>
        <w:t xml:space="preserve">“</w:t>
      </w:r>
      <w:r>
        <w:t xml:space="preserve">Como ler estudos corretamente</w:t>
      </w:r>
      <w:r>
        <w:t xml:space="preserve">”</w:t>
      </w:r>
      <w:r>
        <w:t xml:space="preserve">.</w:t>
      </w:r>
    </w:p>
    <w:p>
      <w:pPr>
        <w:pStyle w:val="BodyText"/>
      </w:pPr>
      <w:r>
        <w:t xml:space="preserve">Há dois caminhos principais:</w:t>
      </w:r>
    </w:p>
    <w:p>
      <w:pPr>
        <w:numPr>
          <w:ilvl w:val="0"/>
          <w:numId w:val="1029"/>
        </w:numPr>
        <w:pStyle w:val="Compact"/>
      </w:pPr>
      <w:r>
        <w:rPr>
          <w:bCs/>
          <w:b/>
        </w:rPr>
        <w:t xml:space="preserve">Procedimento centralizado</w:t>
      </w:r>
      <w:r>
        <w:t xml:space="preserve">, por meio da Agência Europeia de Medicamentos (EMA). A aprovação vale então em todos os Estados-Membros. Para medicamentos produzidos por biotecnologia e para novas substâncias ativas contra determinadas doenças – entre elas o diabetes –, esse caminho é obrigatório. A maioria dos medicamentos peptídicos modernos tem aprovação centralizada.</w:t>
      </w:r>
    </w:p>
    <w:p>
      <w:pPr>
        <w:numPr>
          <w:ilvl w:val="0"/>
          <w:numId w:val="1029"/>
        </w:numPr>
        <w:pStyle w:val="Compact"/>
      </w:pPr>
      <w:r>
        <w:rPr>
          <w:bCs/>
          <w:b/>
        </w:rPr>
        <w:t xml:space="preserve">Procedimentos nacionais e descentralizados</w:t>
      </w:r>
      <w:r>
        <w:t xml:space="preserve">, por meio das autoridades dos Estados-Membros: na Áustria, a Agência Federal de Segurança na Saúde (BASG); na Alemanha, o Instituto Federal de Medicamentos e Dispositivos Médicos (BfArM) ou, para certos medicamentos biológicos, o Instituto Paul Ehrlich.</w:t>
      </w:r>
    </w:p>
    <w:p>
      <w:pPr>
        <w:pStyle w:val="FirstParagraph"/>
      </w:pPr>
      <w:r>
        <w:t xml:space="preserve">Junto com a aprovação, define-se se um medicamento está</w:t>
      </w:r>
      <w:r>
        <w:t xml:space="preserve"> </w:t>
      </w:r>
      <w:r>
        <w:rPr>
          <w:bCs/>
          <w:b/>
        </w:rPr>
        <w:t xml:space="preserve">sujeito a prescrição</w:t>
      </w:r>
      <w:r>
        <w:t xml:space="preserve">. Quase todos os medicamentos peptídicos estão. As indicações exatas, dosagens, contraindicações e efeitos colaterais constam da</w:t>
      </w:r>
      <w:r>
        <w:t xml:space="preserve"> </w:t>
      </w:r>
      <w:r>
        <w:rPr>
          <w:bCs/>
          <w:b/>
        </w:rPr>
        <w:t xml:space="preserve">informação técnica</w:t>
      </w:r>
      <w:r>
        <w:t xml:space="preserve"> </w:t>
      </w:r>
      <w:r>
        <w:t xml:space="preserve">(bula para profissionais) e da</w:t>
      </w:r>
      <w:r>
        <w:t xml:space="preserve"> </w:t>
      </w:r>
      <w:r>
        <w:rPr>
          <w:bCs/>
          <w:b/>
        </w:rPr>
        <w:t xml:space="preserve">bula para pacientes</w:t>
      </w:r>
      <w:r>
        <w:t xml:space="preserve">. A aprovação vale para determinadas indicações. Médicas e médicos podem, sob certas condições, prescrever um medicamento aprovado também fora dessas indicações (</w:t>
      </w:r>
      <w:r>
        <w:t xml:space="preserve">“</w:t>
      </w:r>
      <w:r>
        <w:t xml:space="preserve">uso off-label</w:t>
      </w:r>
      <w:r>
        <w:t xml:space="preserve">”</w:t>
      </w:r>
      <w:r>
        <w:t xml:space="preserve">), mas assumem então uma responsabilidade maior pelo esclarecimento e pela ponderação; em regra, os custos não são cobertos pelo seguro de saúde.</w:t>
      </w:r>
    </w:p>
    <w:p>
      <w:pPr>
        <w:pStyle w:val="BodyText"/>
      </w:pPr>
      <w:r>
        <w:t xml:space="preserve">Alguns peptídeos que aparecem neste livro são aprovados em outros países, mas não na UE – como algumas preparações usadas na Rússia. Uma aprovação estrangeira não torna um produto comercializável na UE.</w:t>
      </w:r>
    </w:p>
    <w:bookmarkEnd w:id="215"/>
    <w:bookmarkStart w:id="217" w:name="suplementos-alimentares"/>
    <w:p>
      <w:pPr>
        <w:pStyle w:val="Heading3"/>
      </w:pPr>
      <w:r>
        <w:t xml:space="preserve">Suplementos alimentares</w:t>
      </w:r>
    </w:p>
    <w:p>
      <w:pPr>
        <w:pStyle w:val="FirstParagraph"/>
      </w:pPr>
      <w:r>
        <w:t xml:space="preserve">Juridicamente, os suplementos alimentares são alimentos. Eles se destinam a complementar a alimentação normal e contêm nutrientes ou outras substâncias com efeito nutricional ou fisiológico (Diretiva 2002/46/CE).</w:t>
      </w:r>
      <w:r>
        <w:t xml:space="preserve"> </w:t>
      </w:r>
      <w:r>
        <w:rPr>
          <w:bCs/>
          <w:b/>
        </w:rPr>
        <w:t xml:space="preserve">Não precisam de aprovação</w:t>
      </w:r>
      <w:r>
        <w:t xml:space="preserve">. Dependendo do país, devem ser notificados a uma autoridade antes da primeira venda; na Alemanha, por exemplo, ao Instituto Federal de Proteção do Consumidor e Segurança Alimentar. A segurança é responsabilidade do fabricante, e a fiscalização sanitária de alimentos faz controles por amostragem.</w:t>
      </w:r>
    </w:p>
    <w:p>
      <w:pPr>
        <w:pStyle w:val="BodyText"/>
      </w:pPr>
      <w:r>
        <w:t xml:space="preserve">Limites importantes:</w:t>
      </w:r>
    </w:p>
    <w:p>
      <w:pPr>
        <w:numPr>
          <w:ilvl w:val="0"/>
          <w:numId w:val="1030"/>
        </w:numPr>
        <w:pStyle w:val="Compact"/>
      </w:pPr>
      <w:r>
        <w:t xml:space="preserve">Uma substância com efeito farmacológico não pode ser um suplemento alimentar. Se mesmo assim for vendida como tal, trata-se de um medicamento não aprovado.</w:t>
      </w:r>
    </w:p>
    <w:p>
      <w:pPr>
        <w:numPr>
          <w:ilvl w:val="0"/>
          <w:numId w:val="1030"/>
        </w:numPr>
        <w:pStyle w:val="Compact"/>
      </w:pPr>
      <w:r>
        <w:rPr>
          <w:bCs/>
          <w:b/>
        </w:rPr>
        <w:t xml:space="preserve">Alegações de saúde</w:t>
      </w:r>
      <w:r>
        <w:t xml:space="preserve"> </w:t>
      </w:r>
      <w:r>
        <w:t xml:space="preserve">como</w:t>
      </w:r>
      <w:r>
        <w:t xml:space="preserve"> </w:t>
      </w:r>
      <w:r>
        <w:t xml:space="preserve">“</w:t>
      </w:r>
      <w:r>
        <w:t xml:space="preserve">apoia as articulações</w:t>
      </w:r>
      <w:r>
        <w:t xml:space="preserve">”</w:t>
      </w:r>
      <w:r>
        <w:t xml:space="preserve"> </w:t>
      </w:r>
      <w:r>
        <w:t xml:space="preserve">ou</w:t>
      </w:r>
      <w:r>
        <w:t xml:space="preserve"> </w:t>
      </w:r>
      <w:r>
        <w:t xml:space="preserve">“</w:t>
      </w:r>
      <w:r>
        <w:t xml:space="preserve">reduz a pressão arterial</w:t>
      </w:r>
      <w:r>
        <w:t xml:space="preserve">”</w:t>
      </w:r>
      <w:r>
        <w:t xml:space="preserve"> </w:t>
      </w:r>
      <w:r>
        <w:t xml:space="preserve">só são permitidas se tiverem sido autorizadas pela UE após avaliação da Autoridade Europeia para a Segurança dos Alimentos (EFSA) e constarem de uma lista (Regulamento (CE) n.º 1924/2006). Para muitos efeitos anunciados de alimentos com peptídeos, até onde sabemos, não há alegação autorizada. A publicidade que mesmo assim promete esse efeito é proibida.</w:t>
      </w:r>
    </w:p>
    <w:p>
      <w:pPr>
        <w:numPr>
          <w:ilvl w:val="0"/>
          <w:numId w:val="1030"/>
        </w:numPr>
        <w:pStyle w:val="Compact"/>
      </w:pPr>
      <w:r>
        <w:rPr>
          <w:bCs/>
          <w:b/>
        </w:rPr>
        <w:t xml:space="preserve">Alegações relacionadas a doenças</w:t>
      </w:r>
      <w:r>
        <w:t xml:space="preserve"> </w:t>
      </w:r>
      <w:r>
        <w:t xml:space="preserve">(como</w:t>
      </w:r>
      <w:r>
        <w:t xml:space="preserve"> </w:t>
      </w:r>
      <w:r>
        <w:t xml:space="preserve">“</w:t>
      </w:r>
      <w:r>
        <w:t xml:space="preserve">age contra a artrose</w:t>
      </w:r>
      <w:r>
        <w:t xml:space="preserve">”</w:t>
      </w:r>
      <w:r>
        <w:t xml:space="preserve">) são, em geral, proibidas para alimentos.</w:t>
      </w:r>
    </w:p>
    <w:p>
      <w:pPr>
        <w:pStyle w:val="FirstParagraph"/>
      </w:pPr>
      <w:r>
        <w:t xml:space="preserve">Que também suplementos alimentares não estão livres de substâncias proibidas mostra um caso de um laboratório antidoping: em comprimidos oferecidos como suplemento alimentar de venda livre, foi detectado o peptídeo liberador do hormônio do crescimento GHRP-2</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Um obstáculo próprio para os alimentos é o</w:t>
      </w:r>
      <w:r>
        <w:t xml:space="preserve"> </w:t>
      </w:r>
      <w:r>
        <w:rPr>
          <w:bCs/>
          <w:b/>
        </w:rPr>
        <w:t xml:space="preserve">Regulamento Novel Food</w:t>
      </w:r>
      <w:r>
        <w:t xml:space="preserve"> </w:t>
      </w:r>
      <w:r>
        <w:t xml:space="preserve">(Regulamento (UE) 2015/2283). São considerados</w:t>
      </w:r>
      <w:r>
        <w:t xml:space="preserve"> </w:t>
      </w:r>
      <w:r>
        <w:t xml:space="preserve">“</w:t>
      </w:r>
      <w:r>
        <w:t xml:space="preserve">novos</w:t>
      </w:r>
      <w:r>
        <w:t xml:space="preserve">”</w:t>
      </w:r>
      <w:r>
        <w:t xml:space="preserve"> </w:t>
      </w:r>
      <w:r>
        <w:t xml:space="preserve">os alimentos e ingredientes que, antes de 15 de maio de 1997, não eram usados em quantidade significativa para consumo humano na UE. Eles só podem ser vendidos após uma avaliação de segurança e uma autorização da UE.</w:t>
      </w:r>
    </w:p>
    <w:p>
      <w:pPr>
        <w:pStyle w:val="BodyText"/>
      </w:pPr>
      <w:r>
        <w:t xml:space="preserve">Para os peptídeos, isso significa: hidrolisados de colágeno obtidos de gelatina têm um longo histórico de consumo e não são Novel Food. Já um peptídeo recém-sintetizado, sem histórico de consumo, que se queira vender como alimento seria, em princípio, um Novel Food e precisaria de autorização – a menos que, de qualquer forma, tenha de ser classificado como medicamento por causa de seu efeito farmacológico. Se uma substância é considerada Novel Food deve ser verificado caso a caso; a Comissão Europeia mantém um catálogo a respeito.</w:t>
      </w:r>
    </w:p>
    <w:bookmarkEnd w:id="218"/>
    <w:bookmarkStart w:id="219" w:name="cosméticos"/>
    <w:p>
      <w:pPr>
        <w:pStyle w:val="Heading3"/>
      </w:pPr>
      <w:r>
        <w:t xml:space="preserve">Cosméticos</w:t>
      </w:r>
    </w:p>
    <w:p>
      <w:pPr>
        <w:pStyle w:val="FirstParagraph"/>
      </w:pPr>
      <w:r>
        <w:t xml:space="preserve">Na UE, os produtos cosméticos são regulados pelo Regulamento de Cosméticos (Regulamento (CE) n.º 1223/2009). Eles se destinam à aplicação externa na pele, nos cabelos, nas unhas, nos lábios, nos dentes ou nas mucosas da boca – para limpar, cuidar, proteger ou alterar a aparência.</w:t>
      </w:r>
    </w:p>
    <w:p>
      <w:pPr>
        <w:numPr>
          <w:ilvl w:val="0"/>
          <w:numId w:val="1031"/>
        </w:numPr>
        <w:pStyle w:val="Compact"/>
      </w:pPr>
      <w:r>
        <w:t xml:space="preserve">Cosméticos</w:t>
      </w:r>
      <w:r>
        <w:t xml:space="preserve"> </w:t>
      </w:r>
      <w:r>
        <w:rPr>
          <w:bCs/>
          <w:b/>
        </w:rPr>
        <w:t xml:space="preserve">não precisam de aprovação</w:t>
      </w:r>
      <w:r>
        <w:t xml:space="preserve">. Uma pessoa responsável na UE, porém, precisa apresentar uma avaliação de segurança e notificar o produto em um portal da UE antes da venda.</w:t>
      </w:r>
    </w:p>
    <w:p>
      <w:pPr>
        <w:numPr>
          <w:ilvl w:val="0"/>
          <w:numId w:val="1031"/>
        </w:numPr>
        <w:pStyle w:val="Compact"/>
      </w:pPr>
      <w:r>
        <w:t xml:space="preserve">Certas substâncias são proibidas ou permitidas apenas com restrições.</w:t>
      </w:r>
    </w:p>
    <w:p>
      <w:pPr>
        <w:numPr>
          <w:ilvl w:val="0"/>
          <w:numId w:val="1031"/>
        </w:numPr>
        <w:pStyle w:val="Compact"/>
      </w:pPr>
      <w:r>
        <w:t xml:space="preserve">As alegações publicitárias precisam ser comprováveis e não podem ser enganosas. Alegações sobre o tratamento de doenças são proibidas.</w:t>
      </w:r>
    </w:p>
    <w:p>
      <w:pPr>
        <w:numPr>
          <w:ilvl w:val="0"/>
          <w:numId w:val="1031"/>
        </w:numPr>
        <w:pStyle w:val="Compact"/>
      </w:pPr>
      <w:r>
        <w:rPr>
          <w:bCs/>
          <w:b/>
        </w:rPr>
        <w:t xml:space="preserve">O que é injetado nunca é cosmético.</w:t>
      </w:r>
      <w:r>
        <w:t xml:space="preserve"> </w:t>
      </w:r>
      <w:r>
        <w:t xml:space="preserve">Injeções não se enquadram na definição de produtos cosméticos.</w:t>
      </w:r>
    </w:p>
    <w:p>
      <w:pPr>
        <w:pStyle w:val="FirstParagraph"/>
      </w:pPr>
      <w:r>
        <w:t xml:space="preserve">Por isso, peptídeos cosméticos como o palmitoil pentapeptídeo-4 ou o acetil hexapeptídeo-8 são legais em cremes e séruns. Já um peptídeo como o melanotan II, que é injetado sob a pele e age no corpo inteiro, não é cosmético, mesmo que seja anunciado como</w:t>
      </w:r>
      <w:r>
        <w:t xml:space="preserve"> </w:t>
      </w:r>
      <w:r>
        <w:t xml:space="preserve">“</w:t>
      </w:r>
      <w:r>
        <w:t xml:space="preserve">bronzeador</w:t>
      </w:r>
      <w:r>
        <w:t xml:space="preserve">”</w:t>
      </w:r>
      <w:r>
        <w:t xml:space="preserve">.</w:t>
      </w:r>
    </w:p>
    <w:bookmarkEnd w:id="219"/>
    <w:bookmarkStart w:id="220" w:name="áustria"/>
    <w:p>
      <w:pPr>
        <w:pStyle w:val="Heading3"/>
      </w:pPr>
      <w:r>
        <w:t xml:space="preserve">Áustria</w:t>
      </w:r>
    </w:p>
    <w:p>
      <w:pPr>
        <w:pStyle w:val="FirstParagraph"/>
      </w:pPr>
      <w:r>
        <w:t xml:space="preserve">Na Áustria, a</w:t>
      </w:r>
      <w:r>
        <w:t xml:space="preserve"> </w:t>
      </w:r>
      <w:r>
        <w:rPr>
          <w:bCs/>
          <w:b/>
        </w:rPr>
        <w:t xml:space="preserve">Lei de Medicamentos (Arzneimittelgesetz, AMG)</w:t>
      </w:r>
      <w:r>
        <w:t xml:space="preserve"> </w:t>
      </w:r>
      <w:r>
        <w:t xml:space="preserve">regula a aprovação, a fabricação e a dispensação de medicamentos. A autoridade competente para aprovação e fiscalização é a Agência Federal de Segurança na Saúde (BASG), com a AGES Medizinmarktaufsicht. Medicamentos sujeitos a prescrição só são dispensados em farmácias mediante receita; a venda a distância por farmácias se limita a medicamentos isentos de prescrição.</w:t>
      </w:r>
    </w:p>
    <w:p>
      <w:pPr>
        <w:pStyle w:val="BodyText"/>
      </w:pPr>
      <w:r>
        <w:t xml:space="preserve">A importação de medicamentos é regulada pela</w:t>
      </w:r>
      <w:r>
        <w:t xml:space="preserve"> </w:t>
      </w:r>
      <w:r>
        <w:rPr>
          <w:bCs/>
          <w:b/>
        </w:rPr>
        <w:t xml:space="preserve">Lei de Importação de Medicamentos (Arzneiwareneinfuhrgesetz)</w:t>
      </w:r>
      <w:r>
        <w:t xml:space="preserve">. Pessoas físicas só podem importar medicamentos sob determinadas condições e em quantidades para uso pessoal; para pedidos de países fora do Espaço Econômico Europeu valem regras mais rígidas. Substâncias não aprovadas de lojas de</w:t>
      </w:r>
      <w:r>
        <w:t xml:space="preserve"> </w:t>
      </w:r>
      <w:r>
        <w:t xml:space="preserve">“</w:t>
      </w:r>
      <w:r>
        <w:t xml:space="preserve">produtos químicos de pesquisa</w:t>
      </w:r>
      <w:r>
        <w:t xml:space="preserve">”</w:t>
      </w:r>
      <w:r>
        <w:t xml:space="preserve"> </w:t>
      </w:r>
      <w:r>
        <w:t xml:space="preserve">em regra não cumprem essas condições. A alfândega pode apreender essas remessas.</w:t>
      </w:r>
    </w:p>
    <w:p>
      <w:pPr>
        <w:pStyle w:val="BodyText"/>
      </w:pPr>
      <w:r>
        <w:t xml:space="preserve">Para o esporte vale a</w:t>
      </w:r>
      <w:r>
        <w:t xml:space="preserve"> </w:t>
      </w:r>
      <w:r>
        <w:rPr>
          <w:bCs/>
          <w:b/>
        </w:rPr>
        <w:t xml:space="preserve">Lei Federal Antidoping de 2021 (Anti-Doping-Bundesgesetz 2021)</w:t>
      </w:r>
      <w:r>
        <w:t xml:space="preserve">. Ela remete à lista de substâncias proibidas da Agência Mundial Antidoping e contém proibições e disposições penais, especialmente para a colocação no mercado e o repasse de substâncias proibidas. A responsável pelos controles é a Agência Nacional Antidoping da Áustria (NADA Austria).</w:t>
      </w:r>
    </w:p>
    <w:p>
      <w:pPr>
        <w:pStyle w:val="BodyText"/>
      </w:pPr>
      <w:r>
        <w:t xml:space="preserve">Situação em 2026, verificar atualização.</w:t>
      </w:r>
    </w:p>
    <w:bookmarkEnd w:id="220"/>
    <w:bookmarkStart w:id="221" w:name="alemanha"/>
    <w:p>
      <w:pPr>
        <w:pStyle w:val="Heading3"/>
      </w:pPr>
      <w:r>
        <w:t xml:space="preserve">Alemanha</w:t>
      </w:r>
    </w:p>
    <w:p>
      <w:pPr>
        <w:pStyle w:val="FirstParagraph"/>
      </w:pPr>
      <w:r>
        <w:t xml:space="preserve">Na Alemanha vale a</w:t>
      </w:r>
      <w:r>
        <w:t xml:space="preserve"> </w:t>
      </w:r>
      <w:r>
        <w:rPr>
          <w:bCs/>
          <w:b/>
        </w:rPr>
        <w:t xml:space="preserve">Lei de Medicamentos (Arzneimittelgesetz, AMG)</w:t>
      </w:r>
      <w:r>
        <w:t xml:space="preserve">. As autoridades de aprovação são o BfArM e o Instituto Paul Ehrlich. Medicamentos sujeitos a prescrição só podem ser dispensados mediante receita, também na venda a distância por farmácias autorizadas para isso.</w:t>
      </w:r>
    </w:p>
    <w:p>
      <w:pPr>
        <w:pStyle w:val="BodyText"/>
      </w:pPr>
      <w:r>
        <w:t xml:space="preserve">Para a importação vale, em princípio, a proibição de trazer para a Alemanha medicamentos não aprovados. Há uma exceção para uso pessoal, quando o medicamento é legalmente comercializado no país de origem e é adquirido de um Estado-Membro da UE ou do Espaço Econômico Europeu sem intermediação comercial; além disso, existem regras especiais bastante restritas. Para peptídeos do mercado cinza que não são aprovados como medicamento em lugar nenhum, essa exceção, no nosso entendimento, não se aplica.</w:t>
      </w:r>
    </w:p>
    <w:p>
      <w:pPr>
        <w:pStyle w:val="BodyText"/>
      </w:pPr>
      <w:r>
        <w:t xml:space="preserve">Quem fabrica, coloca no mercado ou entrega a terceiros medicamentos sem autorização pode cometer crime segundo a AMG. Isso vale especialmente para os chamados medicamentos questionáveis, em relação aos quais há suspeita fundamentada de efeitos nocivos.</w:t>
      </w:r>
    </w:p>
    <w:p>
      <w:pPr>
        <w:pStyle w:val="BodyText"/>
      </w:pPr>
      <w:r>
        <w:t xml:space="preserve">Para o esporte vale, além disso, a</w:t>
      </w:r>
      <w:r>
        <w:t xml:space="preserve"> </w:t>
      </w:r>
      <w:r>
        <w:rPr>
          <w:bCs/>
          <w:b/>
        </w:rPr>
        <w:t xml:space="preserve">Lei Antidoping (Anti-Doping-Gesetz, AntiDopG)</w:t>
      </w:r>
      <w:r>
        <w:t xml:space="preserve">. Ela proíbe, entre outras coisas, a fabricação, o comércio e a colocação no mercado de substâncias dopantes, assim como sua aplicação em outras pessoas. A aquisição e a posse de determinadas substâncias listadas em um anexo da lei – entre elas hormônios peptídicos – são crime quando em quantidade não insignificante e para fins de doping. Para atletas de alto rendimento, também o autodoping é crime. A responsável pelos controles é a Agência Nacional Antidoping da Alemanha (NADA).</w:t>
      </w:r>
    </w:p>
    <w:p>
      <w:pPr>
        <w:pStyle w:val="BodyText"/>
      </w:pPr>
      <w:r>
        <w:t xml:space="preserve">Situação em 2026, verificar atualização.</w:t>
      </w:r>
    </w:p>
    <w:bookmarkEnd w:id="221"/>
    <w:bookmarkStart w:id="224" w:name="eua"/>
    <w:p>
      <w:pPr>
        <w:pStyle w:val="Heading3"/>
      </w:pPr>
      <w:r>
        <w:t xml:space="preserve">EUA</w:t>
      </w:r>
    </w:p>
    <w:p>
      <w:pPr>
        <w:pStyle w:val="FirstParagraph"/>
      </w:pPr>
      <w:r>
        <w:t xml:space="preserve">Nos EUA, a competência é da</w:t>
      </w:r>
      <w:r>
        <w:t xml:space="preserve"> </w:t>
      </w:r>
      <w:r>
        <w:rPr>
          <w:bCs/>
          <w:b/>
        </w:rPr>
        <w:t xml:space="preserve">Food and Drug Administration (FDA)</w:t>
      </w:r>
      <w:r>
        <w:t xml:space="preserve">. Novos medicamentos precisam de aprovação (para substâncias produzidas quimicamente, por meio de uma</w:t>
      </w:r>
      <w:r>
        <w:t xml:space="preserve"> </w:t>
      </w:r>
      <w:r>
        <w:t xml:space="preserve">“</w:t>
      </w:r>
      <w:r>
        <w:t xml:space="preserve">New Drug Application</w:t>
      </w:r>
      <w:r>
        <w:t xml:space="preserve">”</w:t>
      </w:r>
      <w:r>
        <w:t xml:space="preserve">; para substâncias biológicas, por meio de uma</w:t>
      </w:r>
      <w:r>
        <w:t xml:space="preserve"> </w:t>
      </w:r>
      <w:r>
        <w:t xml:space="preserve">“</w:t>
      </w:r>
      <w:r>
        <w:t xml:space="preserve">Biologics License Application</w:t>
      </w:r>
      <w:r>
        <w:t xml:space="preserve">”</w:t>
      </w:r>
      <w:r>
        <w:t xml:space="preserve">).</w:t>
      </w:r>
    </w:p>
    <w:p>
      <w:pPr>
        <w:pStyle w:val="BodyText"/>
      </w:pPr>
      <w:r>
        <w:t xml:space="preserve">Os</w:t>
      </w:r>
      <w:r>
        <w:t xml:space="preserve"> </w:t>
      </w:r>
      <w:r>
        <w:rPr>
          <w:bCs/>
          <w:b/>
        </w:rPr>
        <w:t xml:space="preserve">suplementos alimentares</w:t>
      </w:r>
      <w:r>
        <w:t xml:space="preserve"> </w:t>
      </w:r>
      <w:r>
        <w:t xml:space="preserve">(Dietary Supplements), desde uma lei de 1994, podem em grande parte ser comercializados sem avaliação prévia. Uma substância que foi primeiro aprovada como medicamento ou estudada clinicamente como medicamento em escala considerável, porém, em princípio não pode ser vendida depois como suplemento alimentar. Por esse motivo, muitos peptídeos não podem ser comercializados legalmente como suplemento nos EUA.</w:t>
      </w:r>
    </w:p>
    <w:p>
      <w:pPr>
        <w:pStyle w:val="BodyText"/>
      </w:pPr>
      <w:r>
        <w:rPr>
          <w:bCs/>
          <w:b/>
        </w:rPr>
        <w:t xml:space="preserve">Compounding</w:t>
      </w:r>
      <w:r>
        <w:t xml:space="preserve">: farmácias dos EUA podem, sob certas condições, manipular medicamentos elas mesmas – individualmente para determinados pacientes ou em escala maior em estabelecimentos especialmente fiscalizados. Em caso de falta de medicamentos aprovados, também podem produzir cópias. Com o fim da falta de semaglutida e tirzepatida, pela lei norte-americana, só podem produzir preparações diferentes das aprovadas</w:t>
      </w:r>
      <w:r>
        <w:rPr>
          <w:rStyle w:val="FootnoteReference"/>
        </w:rPr>
        <w:footnoteReference w:id="222"/>
      </w:r>
      <w:r>
        <w:t xml:space="preserve">. Quais substâncias podem ser usadas como matéria-prima para o compounding é definido pela FDA em listas. Até onde sabemos, a FDA classificou vários peptídeos populares do mercado cinza, entre eles o BPC-157, como não adequados para o compounding devido a preocupações de segurança. Essas listas e o debate político sobre elas mudam; verifique a situação atual.</w:t>
      </w:r>
    </w:p>
    <w:p>
      <w:pPr>
        <w:pStyle w:val="BodyText"/>
      </w:pPr>
      <w:r>
        <w:rPr>
          <w:bCs/>
          <w:b/>
        </w:rPr>
        <w:t xml:space="preserve">“</w:t>
      </w:r>
      <w:r>
        <w:rPr>
          <w:bCs/>
          <w:b/>
        </w:rPr>
        <w:t xml:space="preserve">Research Use Only</w:t>
      </w:r>
      <w:r>
        <w:rPr>
          <w:bCs/>
          <w:b/>
        </w:rPr>
        <w:t xml:space="preserve">”</w:t>
      </w:r>
      <w:r>
        <w:t xml:space="preserve">: a venda de peptídeos com o aviso</w:t>
      </w:r>
      <w:r>
        <w:t xml:space="preserve"> </w:t>
      </w:r>
      <w:r>
        <w:t xml:space="preserve">“</w:t>
      </w:r>
      <w:r>
        <w:t xml:space="preserve">apenas para fins de pesquisa</w:t>
      </w:r>
      <w:r>
        <w:t xml:space="preserve">”</w:t>
      </w:r>
      <w:r>
        <w:t xml:space="preserve"> </w:t>
      </w:r>
      <w:r>
        <w:t xml:space="preserve">a consumidores se situa também nos EUA em uma zona cinzenta jurídica, descrita por especialistas como forma de contornar a exigência de prescrição</w:t>
      </w:r>
      <w:r>
        <w:rPr>
          <w:rStyle w:val="FootnoteReference"/>
        </w:rPr>
        <w:footnoteReference w:id="223"/>
      </w:r>
      <w:r>
        <w:t xml:space="preserve">. A FDA enviou cartas de advertência a alguns vendedores.</w:t>
      </w:r>
    </w:p>
    <w:p>
      <w:pPr>
        <w:pStyle w:val="BodyText"/>
      </w:pPr>
      <w:r>
        <w:rPr>
          <w:bCs/>
          <w:b/>
        </w:rPr>
        <w:t xml:space="preserve">Importação</w:t>
      </w:r>
      <w:r>
        <w:t xml:space="preserve">: a FDA tolera, sob condições restritas, a importação de pequenas quantidades de medicamentos para uso pessoal. Não há direito garantido a isso, e substâncias não aprovadas sem acompanhamento médico em regra não se enquadram.</w:t>
      </w:r>
    </w:p>
    <w:p>
      <w:pPr>
        <w:pStyle w:val="BodyText"/>
      </w:pPr>
      <w:r>
        <w:t xml:space="preserve">Situação em 2026, verificar atualização.</w:t>
      </w:r>
    </w:p>
    <w:bookmarkEnd w:id="224"/>
    <w:bookmarkStart w:id="226" w:name="X79518a661e372ae25f0e2f55a22f362d1bfe872"/>
    <w:p>
      <w:pPr>
        <w:pStyle w:val="Heading3"/>
      </w:pPr>
      <w:r>
        <w:t xml:space="preserve">Doping: a lista de substâncias proibidas da WADA</w:t>
      </w:r>
    </w:p>
    <w:p>
      <w:pPr>
        <w:pStyle w:val="FirstParagraph"/>
      </w:pPr>
      <w:r>
        <w:t xml:space="preserve">Para atletas sujeitos a controles antidoping, o que vale é a</w:t>
      </w:r>
      <w:r>
        <w:t xml:space="preserve"> </w:t>
      </w:r>
      <w:r>
        <w:rPr>
          <w:bCs/>
          <w:b/>
        </w:rPr>
        <w:t xml:space="preserve">lista de substâncias proibidas da Agência Mundial Antidoping (WADA)</w:t>
      </w:r>
      <w:r>
        <w:t xml:space="preserve">. Ela é revisada anualmente e entra em vigor sempre em 1º de janeiro. Para os peptídeos, duas seções são especialmente importantes, válidas em competição e fora de competição:</w:t>
      </w:r>
    </w:p>
    <w:p>
      <w:pPr>
        <w:pStyle w:val="BodyText"/>
      </w:pPr>
      <w:r>
        <w:rPr>
          <w:bCs/>
          <w:b/>
        </w:rPr>
        <w:t xml:space="preserve">S0 – Substâncias não aprovadas.</w:t>
      </w:r>
      <w:r>
        <w:t xml:space="preserve"> </w:t>
      </w:r>
      <w:r>
        <w:t xml:space="preserve">São proibidas as substâncias farmacologicamente ativas que não constam de nenhuma outra seção da lista e não foram aprovadas por nenhuma autoridade de saúde para uso em seres humanos – como substâncias em desenvolvimento pré-clínico ou clínico, desenvolvimentos interrompidos, drogas de design e substâncias aprovadas apenas para animais. Muitos peptídeos do mercado cinza entram nesse grupo. O BPC-157, até onde sabemos, é citado expressamente na lista como exemplo.</w:t>
      </w:r>
    </w:p>
    <w:p>
      <w:pPr>
        <w:pStyle w:val="BodyText"/>
      </w:pPr>
      <w:r>
        <w:rPr>
          <w:bCs/>
          <w:b/>
        </w:rPr>
        <w:t xml:space="preserve">S2 – Hormônios peptídicos, fatores de crescimento, substâncias relacionadas e miméticos.</w:t>
      </w:r>
      <w:r>
        <w:t xml:space="preserve"> </w:t>
      </w:r>
      <w:r>
        <w:t xml:space="preserve">Fazem parte desse grupo, entre outros:</w:t>
      </w:r>
    </w:p>
    <w:p>
      <w:pPr>
        <w:numPr>
          <w:ilvl w:val="0"/>
          <w:numId w:val="1032"/>
        </w:numPr>
        <w:pStyle w:val="Compact"/>
      </w:pPr>
      <w:r>
        <w:t xml:space="preserve">o hormônio do crescimento e seus fragmentos (por exemplo, AOD-9604),</w:t>
      </w:r>
    </w:p>
    <w:p>
      <w:pPr>
        <w:numPr>
          <w:ilvl w:val="0"/>
          <w:numId w:val="1032"/>
        </w:numPr>
        <w:pStyle w:val="Compact"/>
      </w:pPr>
      <w:r>
        <w:t xml:space="preserve">o hormônio liberador do hormônio do crescimento e seus análogos (por exemplo, CJC-1295, sermorelina, tesamorelina),</w:t>
      </w:r>
    </w:p>
    <w:p>
      <w:pPr>
        <w:numPr>
          <w:ilvl w:val="0"/>
          <w:numId w:val="1032"/>
        </w:numPr>
        <w:pStyle w:val="Compact"/>
      </w:pPr>
      <w:r>
        <w:t xml:space="preserve">secretagogos do hormônio do crescimento e peptídeos liberadores do hormônio do crescimento (por exemplo, ipamorelina, GHRP-2, GHRP-6, hexarelina, macimorelina e, até onde sabemos, também o ibutamoreno, que não é peptídico),</w:t>
      </w:r>
    </w:p>
    <w:p>
      <w:pPr>
        <w:numPr>
          <w:ilvl w:val="0"/>
          <w:numId w:val="1032"/>
        </w:numPr>
        <w:pStyle w:val="Compact"/>
      </w:pPr>
      <w:r>
        <w:t xml:space="preserve">fatores de crescimento como o IGF-1 e seus análogos, assim como a timosina beta-4 e seus derivados (por exemplo, TB-500),</w:t>
      </w:r>
    </w:p>
    <w:p>
      <w:pPr>
        <w:numPr>
          <w:ilvl w:val="0"/>
          <w:numId w:val="1032"/>
        </w:numPr>
        <w:pStyle w:val="Compact"/>
      </w:pPr>
      <w:r>
        <w:t xml:space="preserve">em homens, hormônios e fatores de liberação do eixo dos hormônios sexuais (por exemplo, gonadorelina e kisspeptina).</w:t>
      </w:r>
    </w:p>
    <w:p>
      <w:pPr>
        <w:pStyle w:val="FirstParagraph"/>
      </w:pPr>
      <w:r>
        <w:t xml:space="preserve">Além disso, na seção S4, entre outros, as insulinas são proibidas como moduladores metabólicos. Medicamentos GLP-1 como semaglutida ou tirzepatida, até onde sabemos, atualmente não estão na lista de substâncias proibidas. A lista cita exemplos, mas não é exaustiva: substâncias não citadas com estrutura química semelhante ou efeito biológico semelhante também podem ser proibidas.</w:t>
      </w:r>
    </w:p>
    <w:p>
      <w:pPr>
        <w:pStyle w:val="BodyText"/>
      </w:pPr>
      <w:r>
        <w:t xml:space="preserve">No direito antidoping vale a</w:t>
      </w:r>
      <w:r>
        <w:t xml:space="preserve"> </w:t>
      </w:r>
      <w:r>
        <w:rPr>
          <w:bCs/>
          <w:b/>
        </w:rPr>
        <w:t xml:space="preserve">responsabilidade objetiva</w:t>
      </w:r>
      <w:r>
        <w:t xml:space="preserve">: se uma substância proibida é encontrada em uma amostra, isso é uma violação – independentemente de ter sido tomada intencionalmente ou de vir, por exemplo, de um suplemento alimentar contaminado. Quem precisa de um medicamento aprovado e proibido por razões médicas pode solicitar uma</w:t>
      </w:r>
      <w:r>
        <w:t xml:space="preserve"> </w:t>
      </w:r>
      <w:r>
        <w:rPr>
          <w:bCs/>
          <w:b/>
        </w:rPr>
        <w:t xml:space="preserve">autorização de uso terapêutico</w:t>
      </w:r>
      <w:r>
        <w:t xml:space="preserve"> </w:t>
      </w:r>
      <w:r>
        <w:t xml:space="preserve">(Therapeutic Use Exemption, TUE). Para substâncias não aprovadas da seção S0, isso está praticamente excluído.</w:t>
      </w:r>
    </w:p>
    <w:p>
      <w:pPr>
        <w:pStyle w:val="BodyText"/>
      </w:pPr>
      <w:r>
        <w:t xml:space="preserve">Os laboratórios de controle antidoping desenvolvem continuamente métodos de detecção para novos peptídeos, muitas vezes com base em produtos apreendidos</w:t>
      </w:r>
      <w:r>
        <w:rPr>
          <w:rStyle w:val="FootnoteReference"/>
        </w:rPr>
        <w:footnoteReference w:id="225"/>
      </w:r>
      <w:r>
        <w:t xml:space="preserve">. O fato de uma substância não ser detectável ontem não significa que não o será amanhã – e amostras congeladas podem ser reanalisadas anos depois.</w:t>
      </w:r>
    </w:p>
    <w:p>
      <w:pPr>
        <w:pStyle w:val="BodyText"/>
      </w:pPr>
      <w:r>
        <w:t xml:space="preserve">Situação em 2026, verificar a lista de substâncias proibidas da WADA atualizada.</w:t>
      </w:r>
    </w:p>
    <w:bookmarkEnd w:id="226"/>
    <w:bookmarkStart w:id="227" w:name="responsabilidade-quem-assume-o-risco"/>
    <w:p>
      <w:pPr>
        <w:pStyle w:val="Heading3"/>
      </w:pPr>
      <w:r>
        <w:t xml:space="preserve">Responsabilidade: quem assume o risco?</w:t>
      </w:r>
    </w:p>
    <w:p>
      <w:pPr>
        <w:pStyle w:val="FirstParagraph"/>
      </w:pPr>
      <w:r>
        <w:t xml:space="preserve">No caso de</w:t>
      </w:r>
      <w:r>
        <w:t xml:space="preserve"> </w:t>
      </w:r>
      <w:r>
        <w:rPr>
          <w:bCs/>
          <w:b/>
        </w:rPr>
        <w:t xml:space="preserve">medicamentos aprovados</w:t>
      </w:r>
      <w:r>
        <w:t xml:space="preserve">, fabricantes, farmácias e médicas e médicos prescritores estão integrados a um sistema de responsabilidade e de obrigação de indenizar. Na Alemanha, a Lei de Medicamentos prevê uma responsabilidade especial do fabricante por danos causados por medicamentos aprovados, que independe de culpa; na Áustria, aplicam-se o direito geral de indenização e a Lei de Responsabilidade pelo Produto. Os efeitos colaterais são notificados, analisados e podem levar a advertências ou à retirada do mercado.</w:t>
      </w:r>
    </w:p>
    <w:p>
      <w:pPr>
        <w:pStyle w:val="BodyText"/>
      </w:pPr>
      <w:r>
        <w:t xml:space="preserve">No caso de</w:t>
      </w:r>
      <w:r>
        <w:t xml:space="preserve"> </w:t>
      </w:r>
      <w:r>
        <w:rPr>
          <w:bCs/>
          <w:b/>
        </w:rPr>
        <w:t xml:space="preserve">produtos do mercado cinza</w:t>
      </w:r>
      <w:r>
        <w:t xml:space="preserve">, esse sistema falta em grande parte:</w:t>
      </w:r>
    </w:p>
    <w:p>
      <w:pPr>
        <w:numPr>
          <w:ilvl w:val="0"/>
          <w:numId w:val="1033"/>
        </w:numPr>
        <w:pStyle w:val="Compact"/>
      </w:pPr>
      <w:r>
        <w:t xml:space="preserve">Os vendedores muitas vezes ficam no exterior, mudam com frequência de nome e de site e são praticamente inalcançáveis.</w:t>
      </w:r>
    </w:p>
    <w:p>
      <w:pPr>
        <w:numPr>
          <w:ilvl w:val="0"/>
          <w:numId w:val="1033"/>
        </w:numPr>
        <w:pStyle w:val="Compact"/>
      </w:pPr>
      <w:r>
        <w:t xml:space="preserve">Com o aviso</w:t>
      </w:r>
      <w:r>
        <w:t xml:space="preserve"> </w:t>
      </w:r>
      <w:r>
        <w:t xml:space="preserve">“</w:t>
      </w:r>
      <w:r>
        <w:t xml:space="preserve">não destinado ao uso em seres humanos</w:t>
      </w:r>
      <w:r>
        <w:t xml:space="preserve">”</w:t>
      </w:r>
      <w:r>
        <w:t xml:space="preserve">, tentam se eximir de qualquer responsabilidade.</w:t>
      </w:r>
    </w:p>
    <w:p>
      <w:pPr>
        <w:numPr>
          <w:ilvl w:val="0"/>
          <w:numId w:val="1033"/>
        </w:numPr>
        <w:pStyle w:val="Compact"/>
      </w:pPr>
      <w:r>
        <w:t xml:space="preserve">Quem usa esse produto em si mesmo assume em grande parte sozinho o risco para a saúde e o risco financeiro.</w:t>
      </w:r>
    </w:p>
    <w:p>
      <w:pPr>
        <w:numPr>
          <w:ilvl w:val="0"/>
          <w:numId w:val="1033"/>
        </w:numPr>
        <w:pStyle w:val="Compact"/>
      </w:pPr>
      <w:r>
        <w:t xml:space="preserve">Quem repassa esse produto a outras pessoas ou o aplica nelas – por exemplo, em uma academia, um estúdio de estética ou um centro de bem-estar – pode cometer crime e, conforme as circunstâncias, responde pelos danos.</w:t>
      </w:r>
    </w:p>
    <w:p>
      <w:pPr>
        <w:pStyle w:val="FirstParagraph"/>
      </w:pPr>
      <w:r>
        <w:t xml:space="preserve">Também na</w:t>
      </w:r>
      <w:r>
        <w:t xml:space="preserve"> </w:t>
      </w:r>
      <w:r>
        <w:rPr>
          <w:bCs/>
          <w:b/>
        </w:rPr>
        <w:t xml:space="preserve">aplicação por médicas e médicos</w:t>
      </w:r>
      <w:r>
        <w:t xml:space="preserve"> </w:t>
      </w:r>
      <w:r>
        <w:t xml:space="preserve">valem critérios rigorosos. Quem administra substâncias não aprovadas precisa esclarecer amplamente sobre a incerteza dos dados e responde por erros de tratamento. Consequências no âmbito do direito profissional são possíveis.</w:t>
      </w:r>
    </w:p>
    <w:bookmarkEnd w:id="227"/>
    <w:bookmarkStart w:id="228" w:name="a-situação-legal-em-resumo"/>
    <w:p>
      <w:pPr>
        <w:pStyle w:val="Heading3"/>
      </w:pPr>
      <w:r>
        <w:t xml:space="preserve">A situação legal em resumo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Situação</w:t>
            </w:r>
          </w:p>
        </w:tc>
        <w:tc>
          <w:tcPr/>
          <w:p>
            <w:pPr>
              <w:pStyle w:val="Compact"/>
              <w:jc w:val="left"/>
            </w:pPr>
            <w:r>
              <w:t xml:space="preserve">Enquadramento (simplificado)</w:t>
            </w:r>
          </w:p>
        </w:tc>
      </w:tr>
      <w:tr>
        <w:tc>
          <w:tcPr/>
          <w:p>
            <w:pPr>
              <w:pStyle w:val="Compact"/>
              <w:jc w:val="left"/>
            </w:pPr>
            <w:r>
              <w:t xml:space="preserve">Peptídeo aprovado, com receita, da farmácia</w:t>
            </w:r>
          </w:p>
        </w:tc>
        <w:tc>
          <w:tcPr/>
          <w:p>
            <w:pPr>
              <w:pStyle w:val="Compact"/>
              <w:jc w:val="left"/>
            </w:pPr>
            <w:r>
              <w:t xml:space="preserve">legal, com acompanhamento médico</w:t>
            </w:r>
          </w:p>
        </w:tc>
      </w:tr>
      <w:tr>
        <w:tc>
          <w:tcPr/>
          <w:p>
            <w:pPr>
              <w:pStyle w:val="Compact"/>
              <w:jc w:val="left"/>
            </w:pPr>
            <w:r>
              <w:t xml:space="preserve">Peptídeo aprovado, sem receita, da internet</w:t>
            </w:r>
          </w:p>
        </w:tc>
        <w:tc>
          <w:tcPr/>
          <w:p>
            <w:pPr>
              <w:pStyle w:val="Compact"/>
              <w:jc w:val="left"/>
            </w:pPr>
            <w:r>
              <w:t xml:space="preserve">em regra ilegal, risco de falsificação</w:t>
            </w:r>
          </w:p>
        </w:tc>
      </w:tr>
      <w:tr>
        <w:tc>
          <w:tcPr/>
          <w:p>
            <w:pPr>
              <w:pStyle w:val="Compact"/>
              <w:jc w:val="left"/>
            </w:pPr>
            <w:r>
              <w:t xml:space="preserve">Peptídeo não aprovado como</w:t>
            </w:r>
            <w:r>
              <w:t xml:space="preserve"> </w:t>
            </w:r>
            <w:r>
              <w:t xml:space="preserve">“</w:t>
            </w:r>
            <w:r>
              <w:t xml:space="preserve">produto químico de pesquisa</w:t>
            </w:r>
            <w:r>
              <w:t xml:space="preserve">”</w:t>
            </w:r>
          </w:p>
        </w:tc>
        <w:tc>
          <w:tcPr/>
          <w:p>
            <w:pPr>
              <w:pStyle w:val="Compact"/>
              <w:jc w:val="left"/>
            </w:pPr>
            <w:r>
              <w:t xml:space="preserve">em regra medicamento não comercializável</w:t>
            </w:r>
          </w:p>
        </w:tc>
      </w:tr>
      <w:tr>
        <w:tc>
          <w:tcPr/>
          <w:p>
            <w:pPr>
              <w:pStyle w:val="Compact"/>
              <w:jc w:val="left"/>
            </w:pPr>
            <w:r>
              <w:t xml:space="preserve">Peptídeos de colágeno como alimento</w:t>
            </w:r>
          </w:p>
        </w:tc>
        <w:tc>
          <w:tcPr/>
          <w:p>
            <w:pPr>
              <w:pStyle w:val="Compact"/>
              <w:jc w:val="left"/>
            </w:pPr>
            <w:r>
              <w:t xml:space="preserve">legal, alegações publicitárias restritas</w:t>
            </w:r>
          </w:p>
        </w:tc>
      </w:tr>
      <w:tr>
        <w:tc>
          <w:tcPr/>
          <w:p>
            <w:pPr>
              <w:pStyle w:val="Compact"/>
              <w:jc w:val="left"/>
            </w:pPr>
            <w:r>
              <w:t xml:space="preserve">Creme com peptídeo como cosmético</w:t>
            </w:r>
          </w:p>
        </w:tc>
        <w:tc>
          <w:tcPr/>
          <w:p>
            <w:pPr>
              <w:pStyle w:val="Compact"/>
              <w:jc w:val="left"/>
            </w:pPr>
            <w:r>
              <w:t xml:space="preserve">legal, desde que seguro e não anunciado como remédio</w:t>
            </w:r>
          </w:p>
        </w:tc>
      </w:tr>
      <w:tr>
        <w:tc>
          <w:tcPr/>
          <w:p>
            <w:pPr>
              <w:pStyle w:val="Compact"/>
              <w:jc w:val="left"/>
            </w:pPr>
            <w:r>
              <w:t xml:space="preserve">Peptídeo proibido no esporte controlado</w:t>
            </w:r>
          </w:p>
        </w:tc>
        <w:tc>
          <w:tcPr/>
          <w:p>
            <w:pPr>
              <w:pStyle w:val="Compact"/>
              <w:jc w:val="left"/>
            </w:pPr>
            <w:r>
              <w:t xml:space="preserve">violação antidoping, às vezes crime</w:t>
            </w:r>
          </w:p>
        </w:tc>
      </w:tr>
    </w:tbl>
    <w:bookmarkEnd w:id="228"/>
    <w:bookmarkStart w:id="229" w:name="o-essencial-em-resumo-4"/>
    <w:p>
      <w:pPr>
        <w:pStyle w:val="Heading3"/>
      </w:pPr>
      <w:r>
        <w:t xml:space="preserve">O essencial em resumo</w:t>
      </w:r>
    </w:p>
    <w:p>
      <w:pPr>
        <w:numPr>
          <w:ilvl w:val="0"/>
          <w:numId w:val="1034"/>
        </w:numPr>
        <w:pStyle w:val="Compact"/>
      </w:pPr>
      <w:r>
        <w:t xml:space="preserve">Se um peptídeo é medicamento, alimento ou cosmético depende do efeito, da finalidade e da apresentação. Havendo efeito farmacológico, prevalece o direito dos medicamentos.</w:t>
      </w:r>
    </w:p>
    <w:p>
      <w:pPr>
        <w:numPr>
          <w:ilvl w:val="0"/>
          <w:numId w:val="1034"/>
        </w:numPr>
        <w:pStyle w:val="Compact"/>
      </w:pPr>
      <w:r>
        <w:t xml:space="preserve">Medicamentos precisam de aprovação. A maioria dos medicamentos peptídicos está sujeita a prescrição.</w:t>
      </w:r>
    </w:p>
    <w:p>
      <w:pPr>
        <w:numPr>
          <w:ilvl w:val="0"/>
          <w:numId w:val="1034"/>
        </w:numPr>
        <w:pStyle w:val="Compact"/>
      </w:pPr>
      <w:r>
        <w:t xml:space="preserve">A inscrição</w:t>
      </w:r>
      <w:r>
        <w:t xml:space="preserve"> </w:t>
      </w:r>
      <w:r>
        <w:t xml:space="preserve">“</w:t>
      </w:r>
      <w:r>
        <w:t xml:space="preserve">apenas para fins de pesquisa</w:t>
      </w:r>
      <w:r>
        <w:t xml:space="preserve">”</w:t>
      </w:r>
      <w:r>
        <w:t xml:space="preserve"> </w:t>
      </w:r>
      <w:r>
        <w:t xml:space="preserve">não torna legal a venda a pessoas físicas nem as protege.</w:t>
      </w:r>
    </w:p>
    <w:p>
      <w:pPr>
        <w:numPr>
          <w:ilvl w:val="0"/>
          <w:numId w:val="1034"/>
        </w:numPr>
        <w:pStyle w:val="Compact"/>
      </w:pPr>
      <w:r>
        <w:t xml:space="preserve">Muitos peptídeos do mercado cinza são proibidos no esporte, muitas vezes pelas seções S0 e S2 da lista da WADA.</w:t>
      </w:r>
    </w:p>
    <w:p>
      <w:pPr>
        <w:numPr>
          <w:ilvl w:val="0"/>
          <w:numId w:val="1034"/>
        </w:numPr>
        <w:pStyle w:val="Compact"/>
      </w:pPr>
      <w:r>
        <w:t xml:space="preserve">Com produtos do mercado cinza, quem os usa assume o risco em grande parte sozinho.</w:t>
      </w:r>
    </w:p>
    <w:p>
      <w:pPr>
        <w:pStyle w:val="FirstParagraph"/>
      </w:pPr>
      <w:r>
        <w:t xml:space="preserve">Todas as informações deste capítulo: situação em 2026, não constitui assessoria jurídica, verificar atualização.</w:t>
      </w:r>
    </w:p>
    <w:bookmarkEnd w:id="229"/>
    <w:bookmarkEnd w:id="230"/>
    <w:bookmarkEnd w:id="231"/>
    <w:bookmarkStart w:id="893" w:name="parte-ii-a-metabolismo-e-peso"/>
    <w:p>
      <w:pPr>
        <w:pStyle w:val="Heading1"/>
      </w:pPr>
      <w:r>
        <w:t xml:space="preserve">Parte II · A – Metabolismo e peso</w:t>
      </w:r>
    </w:p>
    <w:p>
      <w:pPr>
        <w:pStyle w:val="FirstParagraph"/>
      </w:pPr>
      <w:r>
        <w:t xml:space="preserve">Nenhum grupo de peptídeos mudou tanto a medicina dos últimos anos quanto as substâncias desta seção. Elas foram desenvolvidas originalmente para o diabetes tipo 2, tornaram-se depois os medicamentos para emagrecer mais eficazes que já existiram e hoje estão sendo estudadas na insuficiência cardíaca, na apneia do sono, na doença hepática gordurosa e em doenças renais. Ao mesmo tempo, poucas áreas são tão afetadas pelo mercado cinza: substâncias que ainda estão em estudo são vendidas na internet como</w:t>
      </w:r>
      <w:r>
        <w:t xml:space="preserve"> </w:t>
      </w:r>
      <w:r>
        <w:t xml:space="preserve">“</w:t>
      </w:r>
      <w:r>
        <w:t xml:space="preserve">Research Peptides</w:t>
      </w:r>
      <w:r>
        <w:t xml:space="preserve">”</w:t>
      </w:r>
      <w:r>
        <w:t xml:space="preserve">.</w:t>
      </w:r>
    </w:p>
    <w:bookmarkStart w:id="232" w:name="Xcd9084bc0aad736485a809606459ce4bf83d59b"/>
    <w:p>
      <w:pPr>
        <w:pStyle w:val="Heading3"/>
      </w:pPr>
      <w:r>
        <w:t xml:space="preserve">O que une essas substâncias: hormônios do intestino e do pâncreas</w:t>
      </w:r>
    </w:p>
    <w:p>
      <w:pPr>
        <w:pStyle w:val="FirstParagraph"/>
      </w:pPr>
      <w:r>
        <w:t xml:space="preserve">Quase todas as substâncias deste grupo imitam hormônios que o corpo libera em torno de uma refeição. Quatro deles você deve conhecer:</w:t>
      </w:r>
    </w:p>
    <w:p>
      <w:pPr>
        <w:numPr>
          <w:ilvl w:val="0"/>
          <w:numId w:val="1035"/>
        </w:numPr>
        <w:pStyle w:val="Compact"/>
      </w:pPr>
      <w:r>
        <w:rPr>
          <w:bCs/>
          <w:b/>
        </w:rPr>
        <w:t xml:space="preserve">GLP-1 (glucagon-like peptide-1)</w:t>
      </w:r>
      <w:r>
        <w:t xml:space="preserve"> </w:t>
      </w:r>
      <w:r>
        <w:t xml:space="preserve">é liberado por células do intestino delgado e do intestino grosso assim que o alimento chega. Ele aumenta a liberação de insulina – mas apenas quando a glicose está elevada –, retarda o esvaziamento do estômago e sinaliza saciedade ao cérebro. O GLP-1 do próprio corpo é degradado em poucos minutos; os medicamentos são modificados para agir de um dia a uma semana.</w:t>
      </w:r>
    </w:p>
    <w:p>
      <w:pPr>
        <w:numPr>
          <w:ilvl w:val="0"/>
          <w:numId w:val="1035"/>
        </w:numPr>
        <w:pStyle w:val="Compact"/>
      </w:pPr>
      <w:r>
        <w:rPr>
          <w:bCs/>
          <w:b/>
        </w:rPr>
        <w:t xml:space="preserve">GIP (polipeptídeo insulinotrópico dependente de glicose)</w:t>
      </w:r>
      <w:r>
        <w:t xml:space="preserve"> </w:t>
      </w:r>
      <w:r>
        <w:t xml:space="preserve">vem da parte superior do intestino delgado e também aumenta a liberação de insulina. Seu papel no apetite e no peso corporal é contraditório: a tirzepatida ativa o receptor de GIP, a maridebarte cafraglutida o bloqueia – e ambas levam à perda de peso.</w:t>
      </w:r>
    </w:p>
    <w:p>
      <w:pPr>
        <w:numPr>
          <w:ilvl w:val="0"/>
          <w:numId w:val="1035"/>
        </w:numPr>
        <w:pStyle w:val="Compact"/>
      </w:pPr>
      <w:r>
        <w:rPr>
          <w:bCs/>
          <w:b/>
        </w:rPr>
        <w:t xml:space="preserve">Glucagon</w:t>
      </w:r>
      <w:r>
        <w:t xml:space="preserve"> </w:t>
      </w:r>
      <w:r>
        <w:t xml:space="preserve">é o hormônio antagonista da insulina, produzido pelo pâncreas. Ele eleva a glicose, mas também aumenta o gasto de energia e a queima de gordura no fígado. Substâncias mais novas exploram de forma direcionada esse segundo lado.</w:t>
      </w:r>
    </w:p>
    <w:p>
      <w:pPr>
        <w:numPr>
          <w:ilvl w:val="0"/>
          <w:numId w:val="1035"/>
        </w:numPr>
        <w:pStyle w:val="Compact"/>
      </w:pPr>
      <w:r>
        <w:rPr>
          <w:bCs/>
          <w:b/>
        </w:rPr>
        <w:t xml:space="preserve">Amilina</w:t>
      </w:r>
      <w:r>
        <w:t xml:space="preserve"> </w:t>
      </w:r>
      <w:r>
        <w:t xml:space="preserve">é liberada junto com a insulina pelas células beta do pâncreas. Ela age no tronco cerebral promovendo saciedade e retarda o esvaziamento do estômago.</w:t>
      </w:r>
    </w:p>
    <w:p>
      <w:pPr>
        <w:pStyle w:val="FirstParagraph"/>
      </w:pPr>
      <w:r>
        <w:t xml:space="preserve">GLP-1 e GIP são chamados de</w:t>
      </w:r>
      <w:r>
        <w:t xml:space="preserve"> </w:t>
      </w:r>
      <w:r>
        <w:rPr>
          <w:bCs/>
          <w:b/>
        </w:rPr>
        <w:t xml:space="preserve">incretinas</w:t>
      </w:r>
      <w:r>
        <w:t xml:space="preserve"> </w:t>
      </w:r>
      <w:r>
        <w:t xml:space="preserve">(derivado do inglês</w:t>
      </w:r>
      <w:r>
        <w:t xml:space="preserve"> </w:t>
      </w:r>
      <w:r>
        <w:t xml:space="preserve">“</w:t>
      </w:r>
      <w:r>
        <w:t xml:space="preserve">INtestinal seCRETion of INsulin</w:t>
      </w:r>
      <w:r>
        <w:t xml:space="preserve">”</w:t>
      </w:r>
      <w:r>
        <w:t xml:space="preserve">, ou seja, liberação de insulina desencadeada pelo intestino): elas explicam por que o açúcar ingerido libera mais insulina do que a mesma quantidade de açúcar aplicada diretamente na veia. A evolução pode ser lida como uma sequência de etapas: primeiro agonistas puros de GLP-1, depois combinações com GIP, glucagon ou amilina em uma só molécula e, por fim, comprimidos que nem são mais peptídeos.</w:t>
      </w:r>
    </w:p>
    <w:p>
      <w:pPr>
        <w:pStyle w:val="BodyText"/>
      </w:pPr>
      <w:r>
        <w:t xml:space="preserve">Duas substâncias deste grupo não se encaixam nesse esquema: a</w:t>
      </w:r>
      <w:r>
        <w:t xml:space="preserve"> </w:t>
      </w:r>
      <w:r>
        <w:rPr>
          <w:bCs/>
          <w:b/>
        </w:rPr>
        <w:t xml:space="preserve">setmelanotida</w:t>
      </w:r>
      <w:r>
        <w:t xml:space="preserve"> </w:t>
      </w:r>
      <w:r>
        <w:t xml:space="preserve">age mais profundamente no cérebro, no receptor de melanocortina-4, e se destina apenas a formas genéticas raras de obesidade. O</w:t>
      </w:r>
      <w:r>
        <w:t xml:space="preserve"> </w:t>
      </w:r>
      <w:r>
        <w:rPr>
          <w:bCs/>
          <w:b/>
        </w:rPr>
        <w:t xml:space="preserve">AOD-9604</w:t>
      </w:r>
      <w:r>
        <w:t xml:space="preserve"> </w:t>
      </w:r>
      <w:r>
        <w:t xml:space="preserve">é um fragmento do hormônio do crescimento comercializado como</w:t>
      </w:r>
      <w:r>
        <w:t xml:space="preserve"> </w:t>
      </w:r>
      <w:r>
        <w:t xml:space="preserve">“</w:t>
      </w:r>
      <w:r>
        <w:t xml:space="preserve">queimador de gordura</w:t>
      </w:r>
      <w:r>
        <w:t xml:space="preserve">”</w:t>
      </w:r>
      <w:r>
        <w:t xml:space="preserve"> </w:t>
      </w:r>
      <w:r>
        <w:t xml:space="preserve">sem que existam estudos em humanos publicados.</w:t>
      </w:r>
    </w:p>
    <w:bookmarkEnd w:id="232"/>
    <w:bookmarkStart w:id="233" w:name="visão-geral"/>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primeiro agonista de GLP-1, do veneno de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diária,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semanal, fusão com anticorpo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injeção e comprimido, proteção cardíaca comprovada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GIP mais GLP-1, referência em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GIP, GLP-1 e glucagon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glucagon mais GLP-1, foco no fígado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só China</w:t>
            </w:r>
          </w:p>
        </w:tc>
        <w:tc>
          <w:tcPr/>
          <w:p>
            <w:pPr>
              <w:pStyle w:val="Compact"/>
              <w:jc w:val="left"/>
            </w:pPr>
            <w:r>
              <w:t xml:space="preserve">glucagon mais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combinada com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amilina e GLP-1 em uma só molécula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bloqueador de GIP, aplicação mensal</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só EUA</w:t>
            </w:r>
          </w:p>
        </w:tc>
        <w:tc>
          <w:tcPr/>
          <w:p>
            <w:pPr>
              <w:pStyle w:val="Compact"/>
              <w:jc w:val="left"/>
            </w:pPr>
            <w:r>
              <w:t xml:space="preserve">primeiro medicamento à base de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EUA</w:t>
            </w:r>
          </w:p>
        </w:tc>
        <w:tc>
          <w:tcPr/>
          <w:p>
            <w:pPr>
              <w:pStyle w:val="Compact"/>
              <w:jc w:val="left"/>
            </w:pPr>
            <w:r>
              <w:t xml:space="preserve">obesidade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w:t>
            </w:r>
          </w:p>
        </w:tc>
        <w:tc>
          <w:tcPr/>
          <w:p>
            <w:pPr>
              <w:pStyle w:val="Compact"/>
              <w:jc w:val="left"/>
            </w:pPr>
            <w:r>
              <w:t xml:space="preserve">fragmento do hormônio do crescimento, mercado cinza</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em aberto</w:t>
            </w:r>
          </w:p>
        </w:tc>
        <w:tc>
          <w:tcPr/>
          <w:p>
            <w:pPr>
              <w:pStyle w:val="Compact"/>
              <w:jc w:val="left"/>
            </w:pPr>
            <w:r>
              <w:t xml:space="preserve">não é peptídeo, comprimido (comparação)</w:t>
            </w:r>
          </w:p>
        </w:tc>
      </w:tr>
    </w:tbl>
    <w:p>
      <w:pPr>
        <w:pStyle w:val="BodyText"/>
      </w:pPr>
      <w:r>
        <w:t xml:space="preserve">Os níveis de evidência são explicados na Parte I. As informações sobre aprovação referem-se à situação em outubro de 2026 e a pelo menos uma indicação; os detalhes estão em cada capítulo. Verifique a situação atual, pois justamente neste grupo as aprovações mudam rapidamente.</w:t>
      </w:r>
    </w:p>
    <w:bookmarkEnd w:id="233"/>
    <w:bookmarkStart w:id="234" w:name="orientação-de-leitura"/>
    <w:p>
      <w:pPr>
        <w:pStyle w:val="Heading3"/>
      </w:pPr>
      <w:r>
        <w:t xml:space="preserve">Orientação de leitura</w:t>
      </w:r>
    </w:p>
    <w:p>
      <w:pPr>
        <w:pStyle w:val="FirstParagraph"/>
      </w:pPr>
      <w:r>
        <w:t xml:space="preserve">Os capítulos seguem, de modo geral, a evolução histórica: dos agonistas de GLP-1 estabelecidos (da exenatida à semaglutida), passando pelas substâncias combinadas (da tirzepatida à maridebarte cafraglutida), aos casos especiais (pranlintida, setmelanotida, AOD-9604) e, por fim, à orforglipron, incluída para comparação por não ser um peptídeo.</w:t>
      </w:r>
    </w:p>
    <w:p>
      <w:pPr>
        <w:pStyle w:val="BodyText"/>
      </w:pPr>
      <w:r>
        <w:t xml:space="preserve">Quem quer ter uma visão geral rápida começa pela semaglutida e pela tirzepatida – todas as outras são medidas por elas. As comparações diretas de perda de peso, redução da glicose, resultados cardiovasculares e efeitos colaterais entre todas as substâncias você encontra na Parte III. Riscos da classe, como problemas na vesícula biliar e no pâncreas, perda muscular e questões sobre a tireoide, são tratados em detalhe na Parte IV.</w:t>
      </w:r>
    </w:p>
    <w:p>
      <w:pPr>
        <w:pStyle w:val="BodyText"/>
      </w:pPr>
      <w:r>
        <w:t xml:space="preserve">Dois princípios valem para todo o grupo: primeiro, os capítulos descrevem resultados de estudos, não instruções de tratamento – para medicamentos aprovados, o que vale são a bula para profissionais e o acompanhamento médico. Segundo, em quase todas as substâncias, grande parte do peso perdido volta quando o tratamento termina. Esses medicamentos agem enquanto são tomados; não são uma cura.</w:t>
      </w:r>
    </w:p>
    <w:bookmarkEnd w:id="234"/>
    <w:bookmarkStart w:id="289" w:name="exenatida"/>
    <w:p>
      <w:pPr>
        <w:pStyle w:val="Heading2"/>
      </w:pPr>
      <w:r>
        <w:t xml:space="preserve">Exenatida</w:t>
      </w:r>
    </w:p>
    <w:bookmarkStart w:id="236" w:name="ficha-técnica"/>
    <w:p>
      <w:pPr>
        <w:pStyle w:val="Heading3"/>
      </w:pPr>
      <w:r>
        <w:t xml:space="preserve">Ficha técnica</w:t>
      </w:r>
    </w:p>
    <w:p>
      <w:pPr>
        <w:numPr>
          <w:ilvl w:val="0"/>
          <w:numId w:val="1036"/>
        </w:numPr>
        <w:pStyle w:val="Compact"/>
      </w:pPr>
      <w:r>
        <w:rPr>
          <w:bCs/>
          <w:b/>
        </w:rPr>
        <w:t xml:space="preserve">Tipo/estrutura:</w:t>
      </w:r>
      <w:r>
        <w:t xml:space="preserve"> </w:t>
      </w:r>
      <w:r>
        <w:t xml:space="preserve">peptídeo de 39 aminoácidos, forma sintética da exendina-4. Cerca de metade da sequência coincide com o hormônio intestinal humano GLP-1.</w:t>
      </w:r>
    </w:p>
    <w:p>
      <w:pPr>
        <w:numPr>
          <w:ilvl w:val="0"/>
          <w:numId w:val="1036"/>
        </w:numPr>
        <w:pStyle w:val="Compact"/>
      </w:pPr>
      <w:r>
        <w:rPr>
          <w:bCs/>
          <w:b/>
        </w:rPr>
        <w:t xml:space="preserve">Origem:</w:t>
      </w:r>
      <w:r>
        <w:t xml:space="preserve"> </w:t>
      </w:r>
      <w:r>
        <w:t xml:space="preserve">a exendina-4 foi isolada em 1992 do veneno do monstro-de-gila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Mecanismo de ação:</w:t>
      </w:r>
      <w:r>
        <w:t xml:space="preserve"> </w:t>
      </w:r>
      <w:r>
        <w:t xml:space="preserve">agonista do receptor de GLP-1. A exenatida imita o hormônio de saciedade e incretina GLP-1, mas é degradada muito mais lentamente.</w:t>
      </w:r>
    </w:p>
    <w:p>
      <w:pPr>
        <w:numPr>
          <w:ilvl w:val="0"/>
          <w:numId w:val="1036"/>
        </w:numPr>
        <w:pStyle w:val="Compact"/>
      </w:pPr>
      <w:r>
        <w:rPr>
          <w:bCs/>
          <w:b/>
        </w:rPr>
        <w:t xml:space="preserve">Formas farmacêuticas:</w:t>
      </w:r>
      <w:r>
        <w:t xml:space="preserve"> </w:t>
      </w:r>
      <w:r>
        <w:t xml:space="preserve">duas vezes ao dia (Byetta) e uma vez por semana como depósito com microesferas (Bydureon, mais tarde como caneta preenchida ou autoinjetor). Em estudos, também: implante de bomba (ITCA 650) e variantes peguiladas (PB-119, NLY01).</w:t>
      </w:r>
    </w:p>
    <w:p>
      <w:pPr>
        <w:numPr>
          <w:ilvl w:val="0"/>
          <w:numId w:val="1036"/>
        </w:numPr>
        <w:pStyle w:val="Compact"/>
      </w:pPr>
      <w:r>
        <w:rPr>
          <w:bCs/>
          <w:b/>
        </w:rPr>
        <w:t xml:space="preserve">Aprovação UE:</w:t>
      </w:r>
      <w:r>
        <w:t xml:space="preserve"> </w:t>
      </w:r>
      <w:r>
        <w:t xml:space="preserve">sim, para o tratamento do diabetes tipo 2 (Byetta, Bydureon). Sem aprovação para redução de peso.</w:t>
      </w:r>
    </w:p>
    <w:p>
      <w:pPr>
        <w:numPr>
          <w:ilvl w:val="0"/>
          <w:numId w:val="1036"/>
        </w:numPr>
        <w:pStyle w:val="Compact"/>
      </w:pPr>
      <w:r>
        <w:rPr>
          <w:bCs/>
          <w:b/>
        </w:rPr>
        <w:t xml:space="preserve">Aprovação EUA:</w:t>
      </w:r>
      <w:r>
        <w:t xml:space="preserve"> </w:t>
      </w:r>
      <w:r>
        <w:t xml:space="preserve">sim, diabetes tipo 2 (Byetta em 2005, como o primeiro agonista do receptor de GLP-1 de todos, Bydureon/Bydureon BCise), a forma semanal também para adolescentes a partir de 10 anos. Hoje também há ali versões genéricas da forma de duas vezes ao dia. A disponibilidade de cada preparação varia – verificar atualização.</w:t>
      </w:r>
    </w:p>
    <w:p>
      <w:pPr>
        <w:numPr>
          <w:ilvl w:val="0"/>
          <w:numId w:val="1036"/>
        </w:numPr>
        <w:pStyle w:val="Compact"/>
      </w:pPr>
      <w:r>
        <w:rPr>
          <w:bCs/>
          <w:b/>
        </w:rPr>
        <w:t xml:space="preserve">WADA:</w:t>
      </w:r>
      <w:r>
        <w:t xml:space="preserve"> </w:t>
      </w:r>
      <w:r>
        <w:t xml:space="preserve">não listada.</w:t>
      </w:r>
    </w:p>
    <w:p>
      <w:pPr>
        <w:numPr>
          <w:ilvl w:val="0"/>
          <w:numId w:val="1036"/>
        </w:numPr>
        <w:pStyle w:val="Compact"/>
      </w:pPr>
      <w:r>
        <w:rPr>
          <w:bCs/>
          <w:b/>
        </w:rPr>
        <w:t xml:space="preserve">Nível de evidência:</w:t>
      </w:r>
      <w:r>
        <w:t xml:space="preserve"> </w:t>
      </w:r>
      <w:r>
        <w:rPr>
          <w:bCs/>
          <w:b/>
        </w:rPr>
        <w:t xml:space="preserve">A</w:t>
      </w:r>
      <w:r>
        <w:t xml:space="preserve"> </w:t>
      </w:r>
      <w:r>
        <w:t xml:space="preserve">– numerosos grandes estudos randomizados, um grande estudo de desfechos cardiovasculares, aprovação desde 2005.</w:t>
      </w:r>
    </w:p>
    <w:bookmarkEnd w:id="236"/>
    <w:bookmarkStart w:id="237" w:name="como-deveria-agir"/>
    <w:p>
      <w:pPr>
        <w:pStyle w:val="Heading3"/>
      </w:pPr>
      <w:r>
        <w:t xml:space="preserve">Como deveria agir</w:t>
      </w:r>
    </w:p>
    <w:p>
      <w:pPr>
        <w:pStyle w:val="FirstParagraph"/>
      </w:pPr>
      <w:r>
        <w:t xml:space="preserve">Depois de uma refeição, o intestino libera o hormônio GLP-1 (glucagon-like peptide-1). Ele sinaliza ao pâncreas que libere mais insulina – mas apenas enquanto a glicose estiver elevada. Ao mesmo tempo, freia o hormônio glucagon, que eleva a glicose, retarda o esvaziamento do estômago e age no cérebro sobre centros que controlam fome e saciedade. Como a liberação de insulina depende da glicose, os agonistas do receptor de GLP-1, sozinhos, raramente causam hipoglicemia.</w:t>
      </w:r>
    </w:p>
    <w:p>
      <w:pPr>
        <w:pStyle w:val="BodyText"/>
      </w:pPr>
      <w:r>
        <w:t xml:space="preserve">O GLP-1 do próprio corpo, no entanto, tem uma desvantagem decisiva: a enzima DPP-4 o decompõe em cerca de dois minutos. Como medicamento, ele é, portanto, inútil. A exendina-4 do veneno do lagarto também se liga ao receptor de GLP-1, mas é amplamente insensível à DPP-4. Essa descoberta casual fez da exenatida a primeira representante de uma classe de substâncias que, duas décadas depois, com a semaglutida e a tirzepatida, mudaria a medicina.</w:t>
      </w:r>
    </w:p>
    <w:p>
      <w:pPr>
        <w:pStyle w:val="BodyText"/>
      </w:pPr>
      <w:r>
        <w:t xml:space="preserve">A forma original age apenas algumas horas e, por isso, precisa ser injetada duas vezes ao dia antes das refeições principais. Ela reduz sobretudo o aumento da glicose depois de comer, entre outros motivos porque retarda bastante o esvaziamento do estômago. A forma semanal acondiciona a mesma substância em microesferas de plástico degradáveis (PLGA), das quais é liberada lentamente. Assim, o nível permanece mais constante; o efeito sobre a glicose de jejum fica mais forte, e o efeito sobre o esvaziamento gástrico se atenua um pouco com o tempo.</w:t>
      </w:r>
    </w:p>
    <w:p>
      <w:pPr>
        <w:pStyle w:val="BodyText"/>
      </w:pPr>
      <w:r>
        <w:t xml:space="preserve">Uma diferença importante em relação às substâncias posteriores: a exenatida é apenas cerca de metade semelhante ao GLP-1 humano. Por isso, o sistema imunológico a reconhece com mais frequência como estranha e forma anticorpos. Na maioria dos tratados isso não tem consequências; em uma pequena parte com níveis altos de anticorpos, o efeito pode diminuir.</w:t>
      </w:r>
    </w:p>
    <w:bookmarkEnd w:id="237"/>
    <w:bookmarkStart w:id="265" w:name="estudos-em-humanos"/>
    <w:p>
      <w:pPr>
        <w:pStyle w:val="Heading3"/>
      </w:pPr>
      <w:r>
        <w:t xml:space="preserve">Estudos em humanos</w:t>
      </w:r>
    </w:p>
    <w:p>
      <w:pPr>
        <w:pStyle w:val="FirstParagraph"/>
      </w:pPr>
      <w:r>
        <w:t xml:space="preserve">Os estudos sobre a exenatida são abundantes. A busca no PubMed analisada para este livro (termo</w:t>
      </w:r>
      <w:r>
        <w:t xml:space="preserve"> </w:t>
      </w:r>
      <w:r>
        <w:t xml:space="preserve">“</w:t>
      </w:r>
      <w:r>
        <w:t xml:space="preserve">exenatide</w:t>
      </w:r>
      <w:r>
        <w:t xml:space="preserve">”</w:t>
      </w:r>
      <w:r>
        <w:t xml:space="preserve"> </w:t>
      </w:r>
      <w:r>
        <w:t xml:space="preserve">no título ou no resumo, data da busca outubro de 2026) resultou em 437 estudos em humanos; no ClinicalTrials.gov constam 379 registros com exenatida. Muitos deles são pequenos estudos de mecanismo ou de combinação. Para a avaliação, pesam sobretudo três grupos: os programas de aprovação AMIGO (forma de duas vezes ao dia) e DURATION (forma semanal), o estudo de desfechos cardiovasculares EXSCEL e uma série de estudos para além do diabetes, especialmente sobre a doença de Parkinson.</w:t>
      </w:r>
    </w:p>
    <w:bookmarkStart w:id="239" w:name="os-estudos-amigo-o-início-da-classe"/>
    <w:p>
      <w:pPr>
        <w:pStyle w:val="Heading4"/>
      </w:pPr>
      <w:r>
        <w:t xml:space="preserve">Os estudos AMIGO: o início da classe</w:t>
      </w:r>
    </w:p>
    <w:p>
      <w:pPr>
        <w:pStyle w:val="FirstParagraph"/>
      </w:pPr>
      <w:r>
        <w:t xml:space="preserve">Três estudos controlados por placebo, de 30 semanas cada, formaram a base da primeira aprovação. Eles testaram a exenatida duas vezes ao dia (5 ou 10 microgramas por aplicação) como acréscimo a comprimidos já em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(braço de 10 µg vs. placebo)</w:t>
            </w:r>
          </w:p>
        </w:tc>
      </w:tr>
      <w:tr>
        <w:tc>
          <w:tcPr/>
          <w:p>
            <w:pPr>
              <w:pStyle w:val="Compact"/>
              <w:jc w:val="left"/>
            </w:pPr>
            <w:r>
              <w:t xml:space="preserve">Buse 2004, PMID 15504997</w:t>
            </w:r>
          </w:p>
        </w:tc>
        <w:tc>
          <w:tcPr/>
          <w:p>
            <w:pPr>
              <w:pStyle w:val="Compact"/>
              <w:jc w:val="left"/>
            </w:pPr>
            <w:r>
              <w:t xml:space="preserve">diabetes tipo 2 em uso de sulfonilureia, ECR contra placebo</w:t>
            </w:r>
          </w:p>
        </w:tc>
        <w:tc>
          <w:tcPr/>
          <w:p>
            <w:pPr>
              <w:pStyle w:val="Compact"/>
              <w:jc w:val="left"/>
            </w:pPr>
            <w:r>
              <w:t xml:space="preserve">30 semanas</w:t>
            </w:r>
          </w:p>
        </w:tc>
        <w:tc>
          <w:tcPr/>
          <w:p>
            <w:pPr>
              <w:pStyle w:val="Compact"/>
              <w:jc w:val="left"/>
            </w:pPr>
            <w:r>
              <w:t xml:space="preserve">HbA1c −0,86 vs. +0,12 ponto percentual; peso −1,6 kg</w:t>
            </w:r>
          </w:p>
        </w:tc>
      </w:tr>
      <w:tr>
        <w:tc>
          <w:tcPr/>
          <w:p>
            <w:pPr>
              <w:pStyle w:val="Compact"/>
              <w:jc w:val="left"/>
            </w:pPr>
            <w:r>
              <w:t xml:space="preserve">DeFronzo 2005, PMID 15855572</w:t>
            </w:r>
          </w:p>
        </w:tc>
        <w:tc>
          <w:tcPr/>
          <w:p>
            <w:pPr>
              <w:pStyle w:val="Compact"/>
              <w:jc w:val="left"/>
            </w:pPr>
            <w:r>
              <w:t xml:space="preserve">diabetes tipo 2 em uso de metformina, ECR contra placebo</w:t>
            </w:r>
          </w:p>
        </w:tc>
        <w:tc>
          <w:tcPr/>
          <w:p>
            <w:pPr>
              <w:pStyle w:val="Compact"/>
              <w:jc w:val="left"/>
            </w:pPr>
            <w:r>
              <w:t xml:space="preserve">30 semanas</w:t>
            </w:r>
          </w:p>
        </w:tc>
        <w:tc>
          <w:tcPr/>
          <w:p>
            <w:pPr>
              <w:pStyle w:val="Compact"/>
              <w:jc w:val="left"/>
            </w:pPr>
            <w:r>
              <w:t xml:space="preserve">HbA1c −0,78 vs. +0,08; peso −2,8 kg; 46% vs. 13% atingiram HbA1c ≤ 7%</w:t>
            </w:r>
          </w:p>
        </w:tc>
      </w:tr>
      <w:tr>
        <w:tc>
          <w:tcPr/>
          <w:p>
            <w:pPr>
              <w:pStyle w:val="Compact"/>
              <w:jc w:val="left"/>
            </w:pPr>
            <w:r>
              <w:t xml:space="preserve">Kendall 2005, PMID 15855571</w:t>
            </w:r>
          </w:p>
        </w:tc>
        <w:tc>
          <w:tcPr/>
          <w:p>
            <w:pPr>
              <w:pStyle w:val="Compact"/>
              <w:jc w:val="left"/>
            </w:pPr>
            <w:r>
              <w:t xml:space="preserve">diabetes tipo 2 em uso de metformina mais sulfonilureia, ECR</w:t>
            </w:r>
          </w:p>
        </w:tc>
        <w:tc>
          <w:tcPr/>
          <w:p>
            <w:pPr>
              <w:pStyle w:val="Compact"/>
              <w:jc w:val="left"/>
            </w:pPr>
            <w:r>
              <w:t xml:space="preserve">30 semanas</w:t>
            </w:r>
          </w:p>
        </w:tc>
        <w:tc>
          <w:tcPr/>
          <w:p>
            <w:pPr>
              <w:pStyle w:val="Compact"/>
              <w:jc w:val="left"/>
            </w:pPr>
            <w:r>
              <w:t xml:space="preserve">HbA1c −0,8 vs. +0,2; hipoglicemias leves 28% vs. 13%</w:t>
            </w:r>
          </w:p>
        </w:tc>
      </w:tr>
      <w:tr>
        <w:tc>
          <w:tcPr/>
          <w:p>
            <w:pPr>
              <w:pStyle w:val="Compact"/>
              <w:jc w:val="left"/>
            </w:pPr>
            <w:r>
              <w:t xml:space="preserve">Heine 2005, PMID 16230722</w:t>
            </w:r>
          </w:p>
        </w:tc>
        <w:tc>
          <w:tcPr/>
          <w:p>
            <w:pPr>
              <w:pStyle w:val="Compact"/>
              <w:jc w:val="left"/>
            </w:pPr>
            <w:r>
              <w:t xml:space="preserve">551 pessoas, comparação aberta com insulina glargina</w:t>
            </w:r>
          </w:p>
        </w:tc>
        <w:tc>
          <w:tcPr/>
          <w:p>
            <w:pPr>
              <w:pStyle w:val="Compact"/>
              <w:jc w:val="left"/>
            </w:pPr>
            <w:r>
              <w:t xml:space="preserve">26 semanas</w:t>
            </w:r>
          </w:p>
        </w:tc>
        <w:tc>
          <w:tcPr/>
          <w:p>
            <w:pPr>
              <w:pStyle w:val="Compact"/>
              <w:jc w:val="left"/>
            </w:pPr>
            <w:r>
              <w:t xml:space="preserve">HbA1c −1,11 em ambos; peso −2,3 kg vs. +1,8 kg</w:t>
            </w:r>
          </w:p>
        </w:tc>
      </w:tr>
    </w:tbl>
    <w:p>
      <w:pPr>
        <w:pStyle w:val="BodyText"/>
      </w:pPr>
      <w:r>
        <w:t xml:space="preserve">A HbA1c (glicose de longo prazo) descreve a fração do pigmento vermelho do sangue</w:t>
      </w:r>
      <w:r>
        <w:t xml:space="preserve"> </w:t>
      </w:r>
      <w:r>
        <w:t xml:space="preserve">“</w:t>
      </w:r>
      <w:r>
        <w:t xml:space="preserve">glicado</w:t>
      </w:r>
      <w:r>
        <w:t xml:space="preserve">”</w:t>
      </w:r>
      <w:r>
        <w:t xml:space="preserve"> </w:t>
      </w:r>
      <w:r>
        <w:t xml:space="preserve">e reflete a glicose dos últimos dois a três meses. Uma redução de 0,8 a 1 ponto percentual era considerada clinicamente relevante na época. A novidade era que o peso não subia, como é comum com insulina ou sulfonilureias, mas caía. O estudo de Kendall, porém, também mostra: em combinação com uma sulfonilureia, que libera insulina independentemente da glicose, as hipoglicemias leves aumentaram.</w:t>
      </w:r>
    </w:p>
    <w:p>
      <w:pPr>
        <w:pStyle w:val="BodyText"/>
      </w:pPr>
      <w:r>
        <w:t xml:space="preserve">Na comparação direta com a insulina glargina</w:t>
      </w:r>
      <w:r>
        <w:rPr>
          <w:rStyle w:val="FootnoteReference"/>
        </w:rPr>
        <w:footnoteReference w:id="238"/>
      </w:r>
      <w:r>
        <w:t xml:space="preserve">, ambos os tratamentos reduziram a HbA1c na mesma medida. A diferença de peso foi de 4,1 kg a favor da exenatida, e as hipoglicemias noturnas foram mais raras (0,9 vs. 2,4 eventos por paciente-ano). O preço: náuseas ocorreram em 57,1% contra 8,6%, vômitos em 17,4% contra 3,7%. 19,4% do grupo da exenatida abandonaram o estudo, contra 9,7% com insulina.</w:t>
      </w:r>
    </w:p>
    <w:bookmarkEnd w:id="239"/>
    <w:bookmarkStart w:id="243" w:name="o-programa-duration-uma-vez-por-semana"/>
    <w:p>
      <w:pPr>
        <w:pStyle w:val="Heading4"/>
      </w:pPr>
      <w:r>
        <w:t xml:space="preserve">O programa DURATION: uma vez por semana</w:t>
      </w:r>
    </w:p>
    <w:p>
      <w:pPr>
        <w:pStyle w:val="FirstParagraph"/>
      </w:pPr>
      <w:r>
        <w:t xml:space="preserve">A forma semanal foi testada em uma série de estudos chamada DURATION – contra a forma de duas vezes ao dia, contra comprimidos, contra insulina e contra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pessoas, aberto: exenatida semanal vs. duas vezes ao dia</w:t>
            </w:r>
          </w:p>
        </w:tc>
        <w:tc>
          <w:tcPr/>
          <w:p>
            <w:pPr>
              <w:pStyle w:val="Compact"/>
              <w:jc w:val="left"/>
            </w:pPr>
            <w:r>
              <w:t xml:space="preserve">30 semanas</w:t>
            </w:r>
          </w:p>
        </w:tc>
        <w:tc>
          <w:tcPr/>
          <w:p>
            <w:pPr>
              <w:pStyle w:val="Compact"/>
              <w:jc w:val="left"/>
            </w:pPr>
            <w:r>
              <w:t xml:space="preserve">HbA1c −1,9 vs. −1,5; meta ≤ 7% em 77% vs. 61%</w:t>
            </w:r>
          </w:p>
        </w:tc>
      </w:tr>
      <w:tr>
        <w:tc>
          <w:tcPr/>
          <w:p>
            <w:pPr>
              <w:pStyle w:val="Compact"/>
              <w:jc w:val="left"/>
            </w:pPr>
            <w:r>
              <w:t xml:space="preserve">DURATION-1, dados de 5 anos (Wysham 2015), PMID 25744115</w:t>
            </w:r>
          </w:p>
        </w:tc>
        <w:tc>
          <w:tcPr/>
          <w:p>
            <w:pPr>
              <w:pStyle w:val="Compact"/>
              <w:jc w:val="left"/>
            </w:pPr>
            <w:r>
              <w:t xml:space="preserve">258 pessoas na extensão, 153 permaneceram 5 anos</w:t>
            </w:r>
          </w:p>
        </w:tc>
        <w:tc>
          <w:tcPr/>
          <w:p>
            <w:pPr>
              <w:pStyle w:val="Compact"/>
              <w:jc w:val="left"/>
            </w:pPr>
            <w:r>
              <w:t xml:space="preserve">5 anos</w:t>
            </w:r>
          </w:p>
        </w:tc>
        <w:tc>
          <w:tcPr/>
          <w:p>
            <w:pPr>
              <w:pStyle w:val="Compact"/>
              <w:jc w:val="left"/>
            </w:pPr>
            <w:r>
              <w:t xml:space="preserve">HbA1c ainda −1,6; peso −3,0 kg</w:t>
            </w:r>
          </w:p>
        </w:tc>
      </w:tr>
      <w:tr>
        <w:tc>
          <w:tcPr/>
          <w:p>
            <w:pPr>
              <w:pStyle w:val="Compact"/>
              <w:jc w:val="left"/>
            </w:pPr>
            <w:r>
              <w:t xml:space="preserve">DURATION-2 (Bergenstal 2010), PMID 20580422</w:t>
            </w:r>
          </w:p>
        </w:tc>
        <w:tc>
          <w:tcPr/>
          <w:p>
            <w:pPr>
              <w:pStyle w:val="Compact"/>
              <w:jc w:val="left"/>
            </w:pPr>
            <w:r>
              <w:t xml:space="preserve">514 pessoas em uso de metformina, vs. sitagliptina ou pioglitazona</w:t>
            </w:r>
          </w:p>
        </w:tc>
        <w:tc>
          <w:tcPr/>
          <w:p>
            <w:pPr>
              <w:pStyle w:val="Compact"/>
              <w:jc w:val="left"/>
            </w:pPr>
            <w:r>
              <w:t xml:space="preserve">26 semanas</w:t>
            </w:r>
          </w:p>
        </w:tc>
        <w:tc>
          <w:tcPr/>
          <w:p>
            <w:pPr>
              <w:pStyle w:val="Compact"/>
              <w:jc w:val="left"/>
            </w:pPr>
            <w:r>
              <w:t xml:space="preserve">HbA1c −1,5 vs. −0,9 e −1,2; peso −2,3 kg</w:t>
            </w:r>
          </w:p>
        </w:tc>
      </w:tr>
      <w:tr>
        <w:tc>
          <w:tcPr/>
          <w:p>
            <w:pPr>
              <w:pStyle w:val="Compact"/>
              <w:jc w:val="left"/>
            </w:pPr>
            <w:r>
              <w:t xml:space="preserve">DURATION-3 (Diamant 2010), PMID 20609969</w:t>
            </w:r>
          </w:p>
        </w:tc>
        <w:tc>
          <w:tcPr/>
          <w:p>
            <w:pPr>
              <w:pStyle w:val="Compact"/>
              <w:jc w:val="left"/>
            </w:pPr>
            <w:r>
              <w:t xml:space="preserve">456 pessoas, aberto vs. insulina glargina</w:t>
            </w:r>
          </w:p>
        </w:tc>
        <w:tc>
          <w:tcPr/>
          <w:p>
            <w:pPr>
              <w:pStyle w:val="Compact"/>
              <w:jc w:val="left"/>
            </w:pPr>
            <w:r>
              <w:t xml:space="preserve">26 semanas</w:t>
            </w:r>
          </w:p>
        </w:tc>
        <w:tc>
          <w:tcPr/>
          <w:p>
            <w:pPr>
              <w:pStyle w:val="Compact"/>
              <w:jc w:val="left"/>
            </w:pPr>
            <w:r>
              <w:t xml:space="preserve">HbA1c −1,5 vs. −1,3; abandono por efeitos colaterais 5% vs. 1%</w:t>
            </w:r>
          </w:p>
        </w:tc>
      </w:tr>
      <w:tr>
        <w:tc>
          <w:tcPr/>
          <w:p>
            <w:pPr>
              <w:pStyle w:val="Compact"/>
              <w:jc w:val="left"/>
            </w:pPr>
            <w:r>
              <w:t xml:space="preserve">DURATION-6 (Buse 2013), PMID 23141817</w:t>
            </w:r>
          </w:p>
        </w:tc>
        <w:tc>
          <w:tcPr/>
          <w:p>
            <w:pPr>
              <w:pStyle w:val="Compact"/>
              <w:jc w:val="left"/>
            </w:pPr>
            <w:r>
              <w:t xml:space="preserve">911 pessoas, aberto vs. liraglutida diária</w:t>
            </w:r>
          </w:p>
        </w:tc>
        <w:tc>
          <w:tcPr/>
          <w:p>
            <w:pPr>
              <w:pStyle w:val="Compact"/>
              <w:jc w:val="left"/>
            </w:pPr>
            <w:r>
              <w:t xml:space="preserve">26 semanas</w:t>
            </w:r>
          </w:p>
        </w:tc>
        <w:tc>
          <w:tcPr/>
          <w:p>
            <w:pPr>
              <w:pStyle w:val="Compact"/>
              <w:jc w:val="left"/>
            </w:pPr>
            <w:r>
              <w:t xml:space="preserve">HbA1c −1,28 vs. −1,48; não inferioridade não alcançada</w:t>
            </w:r>
          </w:p>
        </w:tc>
      </w:tr>
    </w:tbl>
    <w:p>
      <w:pPr>
        <w:pStyle w:val="BodyText"/>
      </w:pPr>
      <w:r>
        <w:t xml:space="preserve">No DURATION-1, a forma semanal reduziu a glicose de longo prazo mais que a forma diária, com perda de peso comparável e sem mais hipoglicemias. Digna de nota é a análise de cinco anos</w:t>
      </w:r>
      <w:r>
        <w:rPr>
          <w:rStyle w:val="FootnoteReference"/>
        </w:rPr>
        <w:footnoteReference w:id="240"/>
      </w:r>
      <w:r>
        <w:t xml:space="preserve">: das 258 pessoas da fase de extensão, 153 (59,3%) permaneceram cinco anos em tratamento. Nelas, a HbA1c continuava 1,6 ponto percentual abaixo do valor inicial, e 43,9% atingiram um valor abaixo de 7%. Essas extensões, porém, têm um viés embutido: quem respondeu mal ou teve efeitos colaterais muitas vezes já não está mais presente.</w:t>
      </w:r>
    </w:p>
    <w:p>
      <w:pPr>
        <w:pStyle w:val="BodyText"/>
      </w:pPr>
      <w:r>
        <w:t xml:space="preserve">No DURATION-2</w:t>
      </w:r>
      <w:r>
        <w:rPr>
          <w:rStyle w:val="FootnoteReference"/>
        </w:rPr>
        <w:footnoteReference w:id="241"/>
      </w:r>
      <w:r>
        <w:t xml:space="preserve">, a forma semanal foi superior a dois comprimidos comuns na época: a diferença em relação à sitagliptina foi de 0,6 ponto percentual, e em relação à pioglitazona, de 0,3 ponto percentual. No peso, a diferença em relação à pioglitazona, que tende a levar ao ganho de peso, foi de 5,1 kg. No DURATION-3</w:t>
      </w:r>
      <w:r>
        <w:rPr>
          <w:rStyle w:val="FootnoteReference"/>
        </w:rPr>
        <w:footnoteReference w:id="242"/>
      </w:r>
      <w:r>
        <w:t xml:space="preserve">, a exenatida semanal foi ligeiramente superior à insulina basal glargina (diferença de −0,16 ponto percentual), mas mais pessoas interromperam o tratamento por efeitos colaterais.</w:t>
      </w:r>
    </w:p>
    <w:bookmarkEnd w:id="243"/>
    <w:bookmarkStart w:id="246" w:name="X6544452fdd053c71a97e82694f0fb6be2e8b887"/>
    <w:p>
      <w:pPr>
        <w:pStyle w:val="Heading4"/>
      </w:pPr>
      <w:r>
        <w:t xml:space="preserve">Comparações diretas dentro da classe GLP-1</w:t>
      </w:r>
    </w:p>
    <w:p>
      <w:pPr>
        <w:pStyle w:val="FirstParagraph"/>
      </w:pPr>
      <w:r>
        <w:t xml:space="preserve">Para situar a exenatida, os estudos frente a frente com substâncias posteriores são especialmente esclarecedores. Eles mostram que a exenatida é eficaz, mas é superada pelas sucessoras.</w:t>
      </w:r>
    </w:p>
    <w:p>
      <w:pPr>
        <w:pStyle w:val="BodyText"/>
      </w:pPr>
      <w:r>
        <w:t xml:space="preserve">No</w:t>
      </w:r>
      <w:r>
        <w:t xml:space="preserve"> </w:t>
      </w:r>
      <w:r>
        <w:rPr>
          <w:bCs/>
          <w:b/>
        </w:rPr>
        <w:t xml:space="preserve">DURATION-6</w:t>
      </w:r>
      <w:r>
        <w:rPr>
          <w:rStyle w:val="FootnoteReference"/>
        </w:rPr>
        <w:footnoteReference w:id="244"/>
      </w:r>
      <w:r>
        <w:t xml:space="preserve">, a forma semanal enfrentou a liraglutida uma vez ao dia. A liraglutida reduziu a HbA1c em 1,48 ponto percentual, a exenatida em 1,28. A diferença de 0,21 ponto percentual não atingiu o limite predefinido para</w:t>
      </w:r>
      <w:r>
        <w:t xml:space="preserve"> </w:t>
      </w:r>
      <w:r>
        <w:t xml:space="preserve">“</w:t>
      </w:r>
      <w:r>
        <w:t xml:space="preserve">não inferior</w:t>
      </w:r>
      <w:r>
        <w:t xml:space="preserve">”</w:t>
      </w:r>
      <w:r>
        <w:t xml:space="preserve">. Em compensação, a exenatida foi mais bem tolerada: náuseas ocorreram em 9% contra 21%, diarreia em 6% contra 13%, vômitos em 4% contra 11%.</w:t>
      </w:r>
    </w:p>
    <w:p>
      <w:pPr>
        <w:pStyle w:val="BodyText"/>
      </w:pPr>
      <w:r>
        <w:t xml:space="preserve">No</w:t>
      </w:r>
      <w:r>
        <w:t xml:space="preserve"> </w:t>
      </w:r>
      <w:r>
        <w:rPr>
          <w:bCs/>
          <w:b/>
        </w:rPr>
        <w:t xml:space="preserve">SUSTAIN 3</w:t>
      </w:r>
      <w:r>
        <w:rPr>
          <w:rStyle w:val="FootnoteReference"/>
        </w:rPr>
        <w:footnoteReference w:id="245"/>
      </w:r>
      <w:r>
        <w:t xml:space="preserve">, a exenatida semanal perdeu claramente para a semaglutida semanal ao longo de 56 semanas. A HbA1c caiu 0,9 contra 1,5 ponto percentual, o peso 1,9 contra 5,6 kg. Uma HbA1c abaixo de 7% foi alcançada por 40% contra 67%. Queixas gastrointestinais foram um pouco mais raras com exenatida (33,3% vs. 41,8%), mas reações no local da injeção foram muito mais frequentes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Comparação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(exenatida semanal vs. comparador)</w:t>
            </w:r>
          </w:p>
        </w:tc>
      </w:tr>
      <w:tr>
        <w:tc>
          <w:tcPr/>
          <w:p>
            <w:pPr>
              <w:pStyle w:val="Compact"/>
              <w:jc w:val="left"/>
            </w:pPr>
            <w:r>
              <w:t xml:space="preserve">DURATION-6 (Buse 2013), PMID 23141817</w:t>
            </w:r>
          </w:p>
        </w:tc>
        <w:tc>
          <w:tcPr/>
          <w:p>
            <w:pPr>
              <w:pStyle w:val="Compact"/>
              <w:jc w:val="left"/>
            </w:pPr>
            <w:r>
              <w:t xml:space="preserve">911 pessoas, aberto vs. liraglutida</w:t>
            </w:r>
          </w:p>
        </w:tc>
        <w:tc>
          <w:tcPr/>
          <w:p>
            <w:pPr>
              <w:pStyle w:val="Compact"/>
              <w:jc w:val="left"/>
            </w:pPr>
            <w:r>
              <w:t xml:space="preserve">26 semanas</w:t>
            </w:r>
          </w:p>
        </w:tc>
        <w:tc>
          <w:tcPr/>
          <w:p>
            <w:pPr>
              <w:pStyle w:val="Compact"/>
              <w:jc w:val="left"/>
            </w:pPr>
            <w:r>
              <w:t xml:space="preserve">HbA1c −1,28 vs. −1,48; náuseas 9% vs. 21%</w:t>
            </w:r>
          </w:p>
        </w:tc>
      </w:tr>
      <w:tr>
        <w:tc>
          <w:tcPr/>
          <w:p>
            <w:pPr>
              <w:pStyle w:val="Compact"/>
              <w:jc w:val="left"/>
            </w:pPr>
            <w:r>
              <w:t xml:space="preserve">SUSTAIN 3 (Ahmann 2018), PMID 29246950</w:t>
            </w:r>
          </w:p>
        </w:tc>
        <w:tc>
          <w:tcPr/>
          <w:p>
            <w:pPr>
              <w:pStyle w:val="Compact"/>
              <w:jc w:val="left"/>
            </w:pPr>
            <w:r>
              <w:t xml:space="preserve">aberto vs. semaglutida semanal</w:t>
            </w:r>
          </w:p>
        </w:tc>
        <w:tc>
          <w:tcPr/>
          <w:p>
            <w:pPr>
              <w:pStyle w:val="Compact"/>
              <w:jc w:val="left"/>
            </w:pPr>
            <w:r>
              <w:t xml:space="preserve">56 semanas</w:t>
            </w:r>
          </w:p>
        </w:tc>
        <w:tc>
          <w:tcPr/>
          <w:p>
            <w:pPr>
              <w:pStyle w:val="Compact"/>
              <w:jc w:val="left"/>
            </w:pPr>
            <w:r>
              <w:t xml:space="preserve">HbA1c −0,9 vs. −1,5; peso −1,9 vs. −5,6 kg</w:t>
            </w:r>
          </w:p>
        </w:tc>
      </w:tr>
    </w:tbl>
    <w:p>
      <w:pPr>
        <w:pStyle w:val="BodyText"/>
      </w:pPr>
      <w:r>
        <w:t xml:space="preserve">A comparação com a dulaglutida e com a liraglutida contra a forma de duas vezes ao dia (os estudos AWARD-1 e LEAD-6) é discutida nos respectivos capítulos.</w:t>
      </w:r>
    </w:p>
    <w:p>
      <w:pPr>
        <w:pStyle w:val="BodyText"/>
      </w:pPr>
      <w:r>
        <w:t xml:space="preserve">Em resumo, a exenatida se situa na faixa intermediária inferior da classe: mais forte que os inibidores da DPP-4 (gliptinas), mais fraca que a liraglutida, a dulaglutida e, sobretudo, a semaglutida.</w:t>
      </w:r>
    </w:p>
    <w:bookmarkEnd w:id="246"/>
    <w:bookmarkStart w:id="250" w:name="exscel-o-estudo-cardiovascular"/>
    <w:p>
      <w:pPr>
        <w:pStyle w:val="Heading4"/>
      </w:pPr>
      <w:r>
        <w:t xml:space="preserve">EXSCEL: o estudo cardiovascular</w:t>
      </w:r>
    </w:p>
    <w:p>
      <w:pPr>
        <w:pStyle w:val="FirstParagraph"/>
      </w:pPr>
      <w:r>
        <w:t xml:space="preserve">Desde 2008, a agência norte-americana de medicamentos FDA exige de novos medicamentos para diabetes a comprovação de que não aumentam o risco cardiovascular. Para a exenatida semanal, foi realizado para isso o EXSCEL – um dos maiores estudos desse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pessoas com diabetes tipo 2, 73,1% com doença cardiovascular prévia, ECR contra placebo</w:t>
            </w:r>
          </w:p>
        </w:tc>
        <w:tc>
          <w:tcPr/>
          <w:p>
            <w:pPr>
              <w:pStyle w:val="Compact"/>
              <w:jc w:val="left"/>
            </w:pPr>
            <w:r>
              <w:t xml:space="preserve">mediana de 3,2 anos</w:t>
            </w:r>
          </w:p>
        </w:tc>
        <w:tc>
          <w:tcPr/>
          <w:p>
            <w:pPr>
              <w:pStyle w:val="Compact"/>
              <w:jc w:val="left"/>
            </w:pPr>
            <w:r>
              <w:t xml:space="preserve">eventos cardiovasculares graves 11,4% vs. 12,2%; HR 0,91 (0,83–1,00), superioridade não alcançada por pouco (p = 0,06)</w:t>
            </w:r>
          </w:p>
        </w:tc>
      </w:tr>
      <w:tr>
        <w:tc>
          <w:tcPr/>
          <w:p>
            <w:pPr>
              <w:pStyle w:val="Compact"/>
              <w:jc w:val="left"/>
            </w:pPr>
            <w:r>
              <w:t xml:space="preserve">FREEDOM-CVO (Ruff 2022), PMID 34873344</w:t>
            </w:r>
          </w:p>
        </w:tc>
        <w:tc>
          <w:tcPr/>
          <w:p>
            <w:pPr>
              <w:pStyle w:val="Compact"/>
              <w:jc w:val="left"/>
            </w:pPr>
            <w:r>
              <w:t xml:space="preserve">4.156 pessoas, implante de bomba de exenatida ITCA 650 vs. placebo</w:t>
            </w:r>
          </w:p>
        </w:tc>
        <w:tc>
          <w:tcPr/>
          <w:p>
            <w:pPr>
              <w:pStyle w:val="Compact"/>
              <w:jc w:val="left"/>
            </w:pPr>
            <w:r>
              <w:t xml:space="preserve">mediana de 16 meses</w:t>
            </w:r>
          </w:p>
        </w:tc>
        <w:tc>
          <w:tcPr/>
          <w:p>
            <w:pPr>
              <w:pStyle w:val="Compact"/>
              <w:jc w:val="left"/>
            </w:pPr>
            <w:r>
              <w:t xml:space="preserve">eventos 4,6% vs. 3,8%; HR 1,21 (0,90–1,63), critério de segurança cumprido</w:t>
            </w:r>
          </w:p>
        </w:tc>
      </w:tr>
    </w:tbl>
    <w:p>
      <w:pPr>
        <w:pStyle w:val="BodyText"/>
      </w:pPr>
      <w:r>
        <w:t xml:space="preserve">O desfecho principal combinado do EXSCEL</w:t>
      </w:r>
      <w:r>
        <w:rPr>
          <w:rStyle w:val="FootnoteReference"/>
        </w:rPr>
        <w:footnoteReference w:id="247"/>
      </w:r>
      <w:r>
        <w:t xml:space="preserve"> </w:t>
      </w:r>
      <w:r>
        <w:t xml:space="preserve">– morte por causa cardiovascular, infarto não fatal ou AVC – ocorreu com exenatida em 839 de 7.356 pessoas (11,4%) e com placebo em 905 de 7.396 (12,2%). Isso corresponde a um hazard ratio (risco relativo ao longo do tempo) de 0,91. A exenatida se mostrou, portanto, segura, mas não comprovadamente protetora. Pancreatite aguda, câncer de pâncreas e carcinoma medular de tireoide não ocorreram com mais frequência do que com placebo.</w:t>
      </w:r>
    </w:p>
    <w:p>
      <w:pPr>
        <w:pStyle w:val="BodyText"/>
      </w:pPr>
      <w:r>
        <w:t xml:space="preserve">Por que a exenatida teve no EXSCEL um desempenho mais fraco que a liraglutida no LEADER ou a dulaglutida no REWIND não está definitivamente esclarecido. Discutem-se um efeito mais fraco da própria molécula, a alta taxa de abandono no estudo e um desenho pragmático com pouco controle. Em uma metanálise conjunta dos sete grandes estudos de desfechos com GLP-1, com um total de 56.004 participantes</w:t>
      </w:r>
      <w:r>
        <w:rPr>
          <w:rStyle w:val="FootnoteReference"/>
        </w:rPr>
        <w:footnoteReference w:id="248"/>
      </w:r>
      <w:r>
        <w:t xml:space="preserve">, a classe reduziu os eventos cardiovasculares graves em 12% (HR 0,88) – sem diferenças relevantes entre os subgrupos. O EXSCEL, portanto, se encaixa no quadro geral, mas fica no limite mais fraco.</w:t>
      </w:r>
    </w:p>
    <w:p>
      <w:pPr>
        <w:pStyle w:val="BodyText"/>
      </w:pPr>
      <w:r>
        <w:t xml:space="preserve">O implante de bomba ITCA 650, um dispositivo do tamanho de um palito de fósforo que deveria liberar exenatida de forma constante durante meses, cumpriu no FREEDOM-CVO</w:t>
      </w:r>
      <w:r>
        <w:rPr>
          <w:rStyle w:val="FootnoteReference"/>
        </w:rPr>
        <w:footnoteReference w:id="249"/>
      </w:r>
      <w:r>
        <w:t xml:space="preserve"> </w:t>
      </w:r>
      <w:r>
        <w:t xml:space="preserve">apenas o generoso limite de segurança de 2008. A estimativa pontual ficou desfavoravelmente acima de 1, e os efeitos colaterais foram mais frequentes do que com placebo (72% vs. 63,9%). O sistema não obteve aprovação.</w:t>
      </w:r>
    </w:p>
    <w:bookmarkEnd w:id="250"/>
    <w:bookmarkStart w:id="254" w:name="peso-sem-diabetes-e-em-adolescentes"/>
    <w:p>
      <w:pPr>
        <w:pStyle w:val="Heading4"/>
      </w:pPr>
      <w:r>
        <w:t xml:space="preserve">Peso sem diabetes e em adolescentes</w:t>
      </w:r>
    </w:p>
    <w:p>
      <w:pPr>
        <w:pStyle w:val="FirstParagraph"/>
      </w:pPr>
      <w:r>
        <w:t xml:space="preserve">A exenatida não é aprovada para redução de peso, mas foi estudada para isso em estudos menores. Em 152 adultos com obesidade sem diabetes, os participantes perderam com exenatida duas vezes ao dia mais programa de estilo de vida 5,1 kg em 24 semanas, contra 1,6 kg com placebo</w:t>
      </w:r>
      <w:r>
        <w:rPr>
          <w:rStyle w:val="FootnoteReference"/>
        </w:rPr>
        <w:footnoteReference w:id="251"/>
      </w:r>
      <w:r>
        <w:t xml:space="preserve">. Uma metanálise de seis pequenos estudos com 362 participantes encontrou uma perda adicional média de 4,47 kg em relação aos controles</w:t>
      </w:r>
      <w:r>
        <w:rPr>
          <w:rStyle w:val="FootnoteReference"/>
        </w:rPr>
        <w:footnoteReference w:id="252"/>
      </w:r>
      <w:r>
        <w:t xml:space="preserve">. Isso é uma fração do que foi alcançado mais tarde com semaglutida ou tirzepatida.</w:t>
      </w:r>
    </w:p>
    <w:p>
      <w:pPr>
        <w:pStyle w:val="BodyText"/>
      </w:pPr>
      <w:r>
        <w:t xml:space="preserve">Em adolescentes com diabetes tipo 2, a forma semanal reduziu a HbA1c, em um estudo com 83 participantes, 0,85 ponto percentual a mais do que o placebo após 24 semanas</w:t>
      </w:r>
      <w:r>
        <w:rPr>
          <w:rStyle w:val="FootnoteReference"/>
        </w:rPr>
        <w:footnoteReference w:id="253"/>
      </w:r>
      <w:r>
        <w:t xml:space="preserve">. Uma diferença de peso de −1,22 kg não foi estatisticamente comprovada. Esse estudo serviu de base para a extensão da aprovação a adolescentes.</w:t>
      </w:r>
    </w:p>
    <w:bookmarkEnd w:id="254"/>
    <w:bookmarkStart w:id="259" w:name="X9171853045ac841991600842d123e5967179960"/>
    <w:p>
      <w:pPr>
        <w:pStyle w:val="Heading4"/>
      </w:pPr>
      <w:r>
        <w:t xml:space="preserve">Parkinson: esperança, desilusão e uma Expression of Concern</w:t>
      </w:r>
    </w:p>
    <w:p>
      <w:pPr>
        <w:pStyle w:val="FirstParagraph"/>
      </w:pPr>
      <w:r>
        <w:t xml:space="preserve">Nenhuma outra área de uso trouxe à exenatida tanta atenção além do diabetes quanto a doença de Parkinson. O ponto de partida foram experimentos em animais e em células nos quais agonistas do receptor de GLP-1 protegeram neurônios.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pessoas com Parkinson moderado, ECR contra placebo</w:t>
            </w:r>
          </w:p>
        </w:tc>
        <w:tc>
          <w:tcPr/>
          <w:p>
            <w:pPr>
              <w:pStyle w:val="Compact"/>
              <w:jc w:val="left"/>
            </w:pPr>
            <w:r>
              <w:t xml:space="preserve">48 semanas + 12 semanas de washout</w:t>
            </w:r>
          </w:p>
        </w:tc>
        <w:tc>
          <w:tcPr/>
          <w:p>
            <w:pPr>
              <w:pStyle w:val="Compact"/>
              <w:jc w:val="left"/>
            </w:pPr>
            <w:r>
              <w:t xml:space="preserve">escore motor 3,5 pontos melhor que placebo (p = 0,0318)</w:t>
            </w:r>
          </w:p>
        </w:tc>
      </w:tr>
      <w:tr>
        <w:tc>
          <w:tcPr/>
          <w:p>
            <w:pPr>
              <w:pStyle w:val="Compact"/>
              <w:jc w:val="left"/>
            </w:pPr>
            <w:r>
              <w:t xml:space="preserve">Exenatide-PD3 (Vijiaratnam 2025), PMID 39919773</w:t>
            </w:r>
          </w:p>
        </w:tc>
        <w:tc>
          <w:tcPr/>
          <w:p>
            <w:pPr>
              <w:pStyle w:val="Compact"/>
              <w:jc w:val="left"/>
            </w:pPr>
            <w:r>
              <w:t xml:space="preserve">194 pessoas, ECR contra placebo, seis centros</w:t>
            </w:r>
          </w:p>
        </w:tc>
        <w:tc>
          <w:tcPr/>
          <w:p>
            <w:pPr>
              <w:pStyle w:val="Compact"/>
              <w:jc w:val="left"/>
            </w:pPr>
            <w:r>
              <w:t xml:space="preserve">96 semanas</w:t>
            </w:r>
          </w:p>
        </w:tc>
        <w:tc>
          <w:tcPr/>
          <w:p>
            <w:pPr>
              <w:pStyle w:val="Compact"/>
              <w:jc w:val="left"/>
            </w:pPr>
            <w:r>
              <w:t xml:space="preserve">nenhuma diferença: piora de +5,7 vs. +4,5 pontos (p = 0,47)</w:t>
            </w:r>
          </w:p>
        </w:tc>
      </w:tr>
      <w:tr>
        <w:tc>
          <w:tcPr/>
          <w:p>
            <w:pPr>
              <w:pStyle w:val="Compact"/>
              <w:jc w:val="left"/>
            </w:pPr>
            <w:r>
              <w:t xml:space="preserve">NLY01 (McGarry 2024), PMID 38101901</w:t>
            </w:r>
          </w:p>
        </w:tc>
        <w:tc>
          <w:tcPr/>
          <w:p>
            <w:pPr>
              <w:pStyle w:val="Compact"/>
              <w:jc w:val="left"/>
            </w:pPr>
            <w:r>
              <w:t xml:space="preserve">255 pessoas com Parkinson inicial não tratado, exenatida peguilada vs. placebo</w:t>
            </w:r>
          </w:p>
        </w:tc>
        <w:tc>
          <w:tcPr/>
          <w:p>
            <w:pPr>
              <w:pStyle w:val="Compact"/>
              <w:jc w:val="left"/>
            </w:pPr>
            <w:r>
              <w:t xml:space="preserve">36 semanas</w:t>
            </w:r>
          </w:p>
        </w:tc>
        <w:tc>
          <w:tcPr/>
          <w:p>
            <w:pPr>
              <w:pStyle w:val="Compact"/>
              <w:jc w:val="left"/>
            </w:pPr>
            <w:r>
              <w:t xml:space="preserve">nenhuma diferença nos dois grupos de dose</w:t>
            </w:r>
          </w:p>
        </w:tc>
      </w:tr>
    </w:tbl>
    <w:p>
      <w:pPr>
        <w:pStyle w:val="BodyText"/>
      </w:pPr>
      <w:r>
        <w:t xml:space="preserve">O pequeno estudo de Athauda 2017</w:t>
      </w:r>
      <w:r>
        <w:rPr>
          <w:rStyle w:val="FootnoteReference"/>
        </w:rPr>
        <w:footnoteReference w:id="255"/>
      </w:r>
      <w:r>
        <w:t xml:space="preserve"> </w:t>
      </w:r>
      <w:r>
        <w:t xml:space="preserve">encontrou após 60 semanas uma diferença de 3,5 pontos na escala de avaliação motora MDS-UPDRS parte III, que persistiu mesmo após a suspensão. Isso foi amplamente interpretado como um possível primeiro indício de um efeito de retardo da doença. Os autores foram cautelosos: não está claro se a exenatida influencia a evolução da doença ou se tem apenas efeitos sintomáticos duradouros.</w:t>
      </w:r>
    </w:p>
    <w:p>
      <w:pPr>
        <w:pStyle w:val="BodyText"/>
      </w:pPr>
      <w:r>
        <w:t xml:space="preserve">O estudo de fase 3 maior, Exenatide-PD3</w:t>
      </w:r>
      <w:r>
        <w:rPr>
          <w:rStyle w:val="FootnoteReference"/>
        </w:rPr>
        <w:footnoteReference w:id="256"/>
      </w:r>
      <w:r>
        <w:t xml:space="preserve">, não conseguiu confirmar isso. Após 96 semanas, o escore motor havia piorado de modo semelhante nos dois grupos. Os pesquisadores concluíram que não há evidência da exenatida como tratamento modificador da doença. Sobre essa publicação, a revista publicou em 2026 uma chamada Expression of Concern (Expression of Concern, The Lancet 2026, PMID 42330995) – um aviso editorial de que questões sobre uma publicação estão sendo examinadas. O registro no PubMed não contém um resumo dos motivos; a avaliação do estudo deve, portanto, ser feita com reservas até o esclarecimento. Também uma variante peguilada da exenatida, de ação mais longa (NLY01), não mostrou benefício no Parkinson inicial</w:t>
      </w:r>
      <w:r>
        <w:rPr>
          <w:rStyle w:val="FootnoteReference"/>
        </w:rPr>
        <w:footnoteReference w:id="257"/>
      </w:r>
      <w:r>
        <w:t xml:space="preserve">.</w:t>
      </w:r>
    </w:p>
    <w:p>
      <w:pPr>
        <w:pStyle w:val="BodyText"/>
      </w:pPr>
      <w:r>
        <w:t xml:space="preserve">Na atrofia de múltiplos sistemas, uma doença rara aparentada, um estudo aberto com 50 participantes encontrou vantagem no desfecho principal, mas nenhuma diferença em medidas objetivas como biomarcadores ou exames de imagem</w:t>
      </w:r>
      <w:r>
        <w:rPr>
          <w:rStyle w:val="FootnoteReference"/>
        </w:rPr>
        <w:footnoteReference w:id="258"/>
      </w:r>
      <w:r>
        <w:t xml:space="preserve">. Os próprios autores consideram possível um efeito placebo ou do observador.</w:t>
      </w:r>
    </w:p>
    <w:bookmarkEnd w:id="259"/>
    <w:bookmarkStart w:id="264" w:name="outras-áreas-de-uso-em-estudos"/>
    <w:p>
      <w:pPr>
        <w:pStyle w:val="Heading4"/>
      </w:pPr>
      <w:r>
        <w:t xml:space="preserve">Outras áreas de uso em estudos</w:t>
      </w:r>
    </w:p>
    <w:p>
      <w:pPr>
        <w:numPr>
          <w:ilvl w:val="0"/>
          <w:numId w:val="1037"/>
        </w:numPr>
        <w:pStyle w:val="Compact"/>
      </w:pPr>
      <w:r>
        <w:rPr>
          <w:bCs/>
          <w:b/>
        </w:rPr>
        <w:t xml:space="preserve">Alzheimer e comprometimento cognitivo leve:</w:t>
      </w:r>
      <w:r>
        <w:t xml:space="preserve"> </w:t>
      </w:r>
      <w:r>
        <w:t xml:space="preserve">um estudo piloto encerrado antecipadamente não encontrou diferenças em medidas de memória ou de imagem</w:t>
      </w:r>
      <w:r>
        <w:rPr>
          <w:rStyle w:val="FootnoteReference"/>
        </w:rPr>
        <w:footnoteReference w:id="260"/>
      </w:r>
      <w:r>
        <w:t xml:space="preserve">. Um estudo de 32 semanas em comprometimento cognitivo leve também não mostrou benefício</w:t>
      </w:r>
      <w:r>
        <w:rPr>
          <w:rStyle w:val="FootnoteReference"/>
        </w:rPr>
        <w:footnoteReference w:id="261"/>
      </w:r>
      <w:r>
        <w:t xml:space="preserve">.</w:t>
      </w:r>
    </w:p>
    <w:p>
      <w:pPr>
        <w:numPr>
          <w:ilvl w:val="0"/>
          <w:numId w:val="1037"/>
        </w:numPr>
        <w:pStyle w:val="Compact"/>
      </w:pPr>
      <w:r>
        <w:rPr>
          <w:bCs/>
          <w:b/>
        </w:rPr>
        <w:t xml:space="preserve">Dependência de álcool:</w:t>
      </w:r>
      <w:r>
        <w:t xml:space="preserve"> </w:t>
      </w:r>
      <w:r>
        <w:t xml:space="preserve">em um estudo com 127 participantes, a exenatida semanal não reduziu significativamente o número de dias de consumo pesado. Em uma análise de subgrupo posterior, em pessoas com obesidade, observou-se um efeito; na ressonância magnética do cérebro, a reação a estímulos relacionados ao álcool estava atenuada</w:t>
      </w:r>
      <w:r>
        <w:rPr>
          <w:rStyle w:val="FootnoteReference"/>
        </w:rPr>
        <w:footnoteReference w:id="262"/>
      </w:r>
      <w:r>
        <w:t xml:space="preserve">. Esses achados de subgrupo são hipóteses, não evidências.</w:t>
      </w:r>
    </w:p>
    <w:p>
      <w:pPr>
        <w:numPr>
          <w:ilvl w:val="0"/>
          <w:numId w:val="1037"/>
        </w:numPr>
        <w:pStyle w:val="Compact"/>
      </w:pPr>
      <w:r>
        <w:rPr>
          <w:bCs/>
          <w:b/>
        </w:rPr>
        <w:t xml:space="preserve">Hipertensão intracraniana idiopática</w:t>
      </w:r>
      <w:r>
        <w:t xml:space="preserve"> </w:t>
      </w:r>
      <w:r>
        <w:t xml:space="preserve">(pressão intracraniana elevada sem causa identificável, geralmente em mulheres jovens com sobrepeso): em 16 mulheres, a exenatida reduziu a pressão intracraniana medida após 24 horas em média 6,4 cm de coluna de água em relação ao placebo</w:t>
      </w:r>
      <w:r>
        <w:rPr>
          <w:rStyle w:val="FootnoteReference"/>
        </w:rPr>
        <w:footnoteReference w:id="263"/>
      </w:r>
      <w:r>
        <w:t xml:space="preserve">. O estudo é muito pequeno; um estudo maior ainda está por vir.</w:t>
      </w:r>
    </w:p>
    <w:bookmarkEnd w:id="264"/>
    <w:bookmarkEnd w:id="265"/>
    <w:bookmarkStart w:id="269" w:name="estudos-em-animais-e-em-laboratório"/>
    <w:p>
      <w:pPr>
        <w:pStyle w:val="Heading3"/>
      </w:pPr>
      <w:r>
        <w:t xml:space="preserve">Estudos em animais e em laboratório</w:t>
      </w:r>
    </w:p>
    <w:p>
      <w:pPr>
        <w:pStyle w:val="FirstParagraph"/>
      </w:pPr>
      <w:r>
        <w:t xml:space="preserve">A exendina-4 não foi originalmente procurada como medicamento para diabetes. Na descrição original de 1992, os pesquisadores estudaram seu efeito em células do pâncreas de cobaias</w:t>
      </w:r>
      <w:r>
        <w:rPr>
          <w:rStyle w:val="FootnoteReference"/>
        </w:rPr>
        <w:footnoteReference w:id="266"/>
      </w:r>
      <w:r>
        <w:t xml:space="preserve">. Só mais tarde se descobriu que ela age no receptor de GLP-1.</w:t>
      </w:r>
    </w:p>
    <w:p>
      <w:pPr>
        <w:pStyle w:val="BodyText"/>
      </w:pPr>
      <w:r>
        <w:t xml:space="preserve">Em seguida surgiu um grande número de estudos em animais. Em ratos dos quais se havia removido parte do pâncreas, a exendina-4 estimulou a formação e a divisão de células beta produtoras de insulina e atenuou o desenvolvimento de diabetes</w:t>
      </w:r>
      <w:r>
        <w:rPr>
          <w:rStyle w:val="FootnoteReference"/>
        </w:rPr>
        <w:footnoteReference w:id="267"/>
      </w:r>
      <w:r>
        <w:t xml:space="preserve">. Se uma regeneração de células beta desse tipo pode ser alcançada em medida relevante também em seres humanos ainda não está comprovado.</w:t>
      </w:r>
    </w:p>
    <w:p>
      <w:pPr>
        <w:pStyle w:val="BodyText"/>
      </w:pPr>
      <w:r>
        <w:t xml:space="preserve">A isso se somaram experimentos em roedores sobre neuroproteção (Parkinson, Alzheimer, AVC), comportamento relacionado ao álcool e a vícios e pressão intracraniana. Esses dados em animais motivaram os estudos em humanos descritos acima – cujos resultados até agora são bem mais modestos. É um exemplo instrutivo de como é difícil transpor resultados de ratos e camundongos para seres humanos.</w:t>
      </w:r>
    </w:p>
    <w:p>
      <w:pPr>
        <w:pStyle w:val="BodyText"/>
      </w:pPr>
      <w:r>
        <w:t xml:space="preserve">Sobre a tireoide: em ratos e camundongos, os agonistas do receptor de GLP-1 provocam uma proliferação das células C da tireoide; em primatas e humanos, por outro lado, essas células quase não têm o receptor</w:t>
      </w:r>
      <w:r>
        <w:rPr>
          <w:rStyle w:val="FootnoteReference"/>
        </w:rPr>
        <w:footnoteReference w:id="268"/>
      </w:r>
      <w:r>
        <w:t xml:space="preserve">. Mais sobre isso no capítulo sobre a liraglutida e na Parte IV.</w:t>
      </w:r>
    </w:p>
    <w:bookmarkEnd w:id="269"/>
    <w:bookmarkStart w:id="279" w:name="riscos-e-efeitos-colaterais"/>
    <w:p>
      <w:pPr>
        <w:pStyle w:val="Heading3"/>
      </w:pPr>
      <w:r>
        <w:t xml:space="preserve">Riscos e efeitos colaterais</w:t>
      </w:r>
    </w:p>
    <w:p>
      <w:pPr>
        <w:pStyle w:val="FirstParagraph"/>
      </w:pPr>
      <w:r>
        <w:rPr>
          <w:bCs/>
          <w:b/>
        </w:rPr>
        <w:t xml:space="preserve">Comprovados em estudos randomizados:</w:t>
      </w:r>
    </w:p>
    <w:p>
      <w:pPr>
        <w:numPr>
          <w:ilvl w:val="0"/>
          <w:numId w:val="1038"/>
        </w:numPr>
        <w:pStyle w:val="Compact"/>
      </w:pPr>
      <w:r>
        <w:rPr>
          <w:bCs/>
          <w:b/>
        </w:rPr>
        <w:t xml:space="preserve">Queixas gastrointestinais</w:t>
      </w:r>
      <w:r>
        <w:t xml:space="preserve"> </w:t>
      </w:r>
      <w:r>
        <w:t xml:space="preserve">são o efeito colateral mais comum. Com a forma de duas vezes ao dia, na comparação com a insulina glargina, náuseas ocorreram em 57,1% dos tratados e vômitos em 17,4%</w:t>
      </w:r>
      <w:r>
        <w:rPr>
          <w:rStyle w:val="FootnoteReference"/>
        </w:rPr>
        <w:footnoteReference w:id="270"/>
      </w:r>
      <w:r>
        <w:t xml:space="preserve">. A forma semanal causa menos náuseas; no DURATION-6, foram 9%</w:t>
      </w:r>
      <w:r>
        <w:rPr>
          <w:rStyle w:val="FootnoteReference"/>
        </w:rPr>
        <w:footnoteReference w:id="271"/>
      </w:r>
      <w:r>
        <w:t xml:space="preserve">. As queixas geralmente diminuem com o tempo.</w:t>
      </w:r>
    </w:p>
    <w:p>
      <w:pPr>
        <w:numPr>
          <w:ilvl w:val="0"/>
          <w:numId w:val="1038"/>
        </w:numPr>
        <w:pStyle w:val="Compact"/>
      </w:pPr>
      <w:r>
        <w:rPr>
          <w:bCs/>
          <w:b/>
        </w:rPr>
        <w:t xml:space="preserve">Hipoglicemia</w:t>
      </w:r>
      <w:r>
        <w:t xml:space="preserve"> </w:t>
      </w:r>
      <w:r>
        <w:t xml:space="preserve">é rara com a substância isolada, mas se torna mais frequente em combinação com sulfonilureias ou insulina</w:t>
      </w:r>
      <w:r>
        <w:rPr>
          <w:rStyle w:val="FootnoteReference"/>
        </w:rPr>
        <w:footnoteReference w:id="272"/>
      </w:r>
      <w:r>
        <w:t xml:space="preserve">.</w:t>
      </w:r>
    </w:p>
    <w:p>
      <w:pPr>
        <w:numPr>
          <w:ilvl w:val="0"/>
          <w:numId w:val="1038"/>
        </w:numPr>
        <w:pStyle w:val="Compact"/>
      </w:pPr>
      <w:r>
        <w:rPr>
          <w:bCs/>
          <w:b/>
        </w:rPr>
        <w:t xml:space="preserve">Reações no local da injeção:</w:t>
      </w:r>
      <w:r>
        <w:t xml:space="preserve"> </w:t>
      </w:r>
      <w:r>
        <w:t xml:space="preserve">com a forma semanal, formam-se com frequência nódulos palpáveis sob a pele, porque as microesferas são degradadas lentamente ali. Na análise de cinco anos do DURATION-1, essas reações se tornaram mais raras com o tempo</w:t>
      </w:r>
      <w:r>
        <w:rPr>
          <w:rStyle w:val="FootnoteReference"/>
        </w:rPr>
        <w:footnoteReference w:id="273"/>
      </w:r>
      <w:r>
        <w:t xml:space="preserve">.</w:t>
      </w:r>
    </w:p>
    <w:p>
      <w:pPr>
        <w:numPr>
          <w:ilvl w:val="0"/>
          <w:numId w:val="1038"/>
        </w:numPr>
        <w:pStyle w:val="Compact"/>
      </w:pPr>
      <w:r>
        <w:rPr>
          <w:bCs/>
          <w:b/>
        </w:rPr>
        <w:t xml:space="preserve">Formação de anticorpos:</w:t>
      </w:r>
      <w:r>
        <w:t xml:space="preserve"> </w:t>
      </w:r>
      <w:r>
        <w:t xml:space="preserve">devido à origem no veneno do lagarto, uma parte dos tratados forma anticorpos. Isso é descrito em mais detalhes na Parte IV.</w:t>
      </w:r>
    </w:p>
    <w:p>
      <w:pPr>
        <w:pStyle w:val="FirstParagraph"/>
      </w:pPr>
      <w:r>
        <w:rPr>
          <w:bCs/>
          <w:b/>
        </w:rPr>
        <w:t xml:space="preserve">Investigados, mas não confirmados ou incertos:</w:t>
      </w:r>
    </w:p>
    <w:p>
      <w:pPr>
        <w:numPr>
          <w:ilvl w:val="0"/>
          <w:numId w:val="1039"/>
        </w:numPr>
        <w:pStyle w:val="Compact"/>
      </w:pPr>
      <w:r>
        <w:rPr>
          <w:bCs/>
          <w:b/>
        </w:rPr>
        <w:t xml:space="preserve">Inflamação aguda do pâncreas (pancreatite):</w:t>
      </w:r>
      <w:r>
        <w:t xml:space="preserve"> </w:t>
      </w:r>
      <w:r>
        <w:t xml:space="preserve">pouco depois do lançamento no mercado, houve notificações espontâneas que levaram a advertências. Em uma análise agrupada de duas bases de dados de seguradoras com 49.956 pessoas em uso de exenatida duas vezes ao dia, o risco não estava aumentado sem correção (risco relativo 1,0) e, após correção para classificação incorreta, estava levemente aumentado (1,3; intervalo de confiança 1,0–1,7)</w:t>
      </w:r>
      <w:r>
        <w:rPr>
          <w:rStyle w:val="FootnoteReference"/>
        </w:rPr>
        <w:footnoteReference w:id="274"/>
      </w:r>
      <w:r>
        <w:t xml:space="preserve">. No EXSCEL, a pancreatite não ocorreu com mais frequência do que com placebo</w:t>
      </w:r>
      <w:r>
        <w:rPr>
          <w:rStyle w:val="FootnoteReference"/>
        </w:rPr>
        <w:footnoteReference w:id="275"/>
      </w:r>
      <w:r>
        <w:t xml:space="preserve">. A pancreatite continua listada na bula para profissionais como efeito colateral raro.</w:t>
      </w:r>
    </w:p>
    <w:p>
      <w:pPr>
        <w:numPr>
          <w:ilvl w:val="0"/>
          <w:numId w:val="1039"/>
        </w:numPr>
        <w:pStyle w:val="Compact"/>
      </w:pPr>
      <w:r>
        <w:rPr>
          <w:bCs/>
          <w:b/>
        </w:rPr>
        <w:t xml:space="preserve">Câncer de pâncreas e de tireoide:</w:t>
      </w:r>
      <w:r>
        <w:t xml:space="preserve"> </w:t>
      </w:r>
      <w:r>
        <w:t xml:space="preserve">em um estudo de coorte norte-americano com 33.629 pessoas em uso de exenatida, o risco de câncer de pâncreas não estava aumentado (HR 0,76); para câncer de tireoide, a estimativa foi de 1,46, com um intervalo de confiança de 0,98 a 2,19, ou seja, sem comprovação estatística</w:t>
      </w:r>
      <w:r>
        <w:rPr>
          <w:rStyle w:val="FootnoteReference"/>
        </w:rPr>
        <w:footnoteReference w:id="276"/>
      </w:r>
      <w:r>
        <w:t xml:space="preserve">. Uma metanálise de 50 estudos randomizados sobre toda a classe GLP-1 não encontrou, no geral, risco aumentado de câncer, mas sim um sinal para câncer de tireoide (odds ratio 1,55) que precisa ser mais investigado</w:t>
      </w:r>
      <w:r>
        <w:rPr>
          <w:rStyle w:val="FootnoteReference"/>
        </w:rPr>
        <w:footnoteReference w:id="277"/>
      </w:r>
      <w:r>
        <w:t xml:space="preserve">. Um estudo europeu de segurança sobre câncer de pâncreas com exenatida está em andamento</w:t>
      </w:r>
      <w:r>
        <w:rPr>
          <w:rStyle w:val="FootnoteReference"/>
        </w:rPr>
        <w:footnoteReference w:id="278"/>
      </w:r>
      <w:r>
        <w:t xml:space="preserve">.</w:t>
      </w:r>
    </w:p>
    <w:p>
      <w:pPr>
        <w:numPr>
          <w:ilvl w:val="0"/>
          <w:numId w:val="1039"/>
        </w:numPr>
        <w:pStyle w:val="Compact"/>
      </w:pPr>
      <w:r>
        <w:rPr>
          <w:bCs/>
          <w:b/>
        </w:rPr>
        <w:t xml:space="preserve">Risco cardiovascular:</w:t>
      </w:r>
      <w:r>
        <w:t xml:space="preserve"> </w:t>
      </w:r>
      <w:r>
        <w:t xml:space="preserve">não aumentado no EXSCEL.</w:t>
      </w:r>
    </w:p>
    <w:p>
      <w:pPr>
        <w:pStyle w:val="FirstParagraph"/>
      </w:pPr>
      <w:r>
        <w:rPr>
          <w:bCs/>
          <w:b/>
        </w:rPr>
        <w:t xml:space="preserve">Observações para a prática:</w:t>
      </w:r>
      <w:r>
        <w:t xml:space="preserve"> </w:t>
      </w:r>
      <w:r>
        <w:t xml:space="preserve">a exenatida é eliminada pelos rins; em caso de função renal muito reduzida, não é recomendada. Como todos os agonistas do receptor de GLP-1, ela retarda o esvaziamento do estômago e pode assim influenciar a absorção de outros medicamentos. Para uso, contraindicações e interações, o que vale é a bula para profissionais atualizada; o tratamento deve ficar nas mãos de um médico.</w:t>
      </w:r>
    </w:p>
    <w:bookmarkEnd w:id="279"/>
    <w:bookmarkStart w:id="280" w:name="situação-legal"/>
    <w:p>
      <w:pPr>
        <w:pStyle w:val="Heading3"/>
      </w:pPr>
      <w:r>
        <w:t xml:space="preserve">Situação legal</w:t>
      </w:r>
    </w:p>
    <w:p>
      <w:pPr>
        <w:numPr>
          <w:ilvl w:val="0"/>
          <w:numId w:val="1040"/>
        </w:numPr>
        <w:pStyle w:val="Compact"/>
      </w:pPr>
      <w:r>
        <w:rPr>
          <w:bCs/>
          <w:b/>
        </w:rPr>
        <w:t xml:space="preserve">UE:</w:t>
      </w:r>
      <w:r>
        <w:t xml:space="preserve"> </w:t>
      </w:r>
      <w:r>
        <w:t xml:space="preserve">a exenatida tem aprovação centralizada como medicamento sujeito a prescrição para o tratamento do diabetes tipo 2 (Byetta desde 2006, Bydureon desde 2011). Não é aprovada para redução de peso.</w:t>
      </w:r>
    </w:p>
    <w:p>
      <w:pPr>
        <w:numPr>
          <w:ilvl w:val="0"/>
          <w:numId w:val="1040"/>
        </w:numPr>
        <w:pStyle w:val="Compact"/>
      </w:pPr>
      <w:r>
        <w:rPr>
          <w:bCs/>
          <w:b/>
        </w:rPr>
        <w:t xml:space="preserve">Alemanha e Áustria:</w:t>
      </w:r>
      <w:r>
        <w:t xml:space="preserve"> </w:t>
      </w:r>
      <w:r>
        <w:t xml:space="preserve">sujeita a prescrição. A prescrição apenas para perder peso seria uso off-label e, em regra, não é coberta pelos seguros de saúde. Algumas formas farmacêuticas não estão permanentemente no mercado em todos os países – verificar atualização.</w:t>
      </w:r>
    </w:p>
    <w:p>
      <w:pPr>
        <w:numPr>
          <w:ilvl w:val="0"/>
          <w:numId w:val="1040"/>
        </w:numPr>
        <w:pStyle w:val="Compact"/>
      </w:pPr>
      <w:r>
        <w:rPr>
          <w:bCs/>
          <w:b/>
        </w:rPr>
        <w:t xml:space="preserve">EUA:</w:t>
      </w:r>
      <w:r>
        <w:t xml:space="preserve"> </w:t>
      </w:r>
      <w:r>
        <w:t xml:space="preserve">aprovada para diabetes tipo 2; a forma semanal também para adolescentes a partir de 10 anos. Para a forma de duas vezes ao dia, há genéricos aprovados.</w:t>
      </w:r>
    </w:p>
    <w:p>
      <w:pPr>
        <w:numPr>
          <w:ilvl w:val="0"/>
          <w:numId w:val="1040"/>
        </w:numPr>
        <w:pStyle w:val="Compact"/>
      </w:pPr>
      <w:r>
        <w:rPr>
          <w:bCs/>
          <w:b/>
        </w:rPr>
        <w:t xml:space="preserve">Esporte (WADA):</w:t>
      </w:r>
      <w:r>
        <w:t xml:space="preserve"> </w:t>
      </w:r>
      <w:r>
        <w:t xml:space="preserve">os agonistas do receptor de GLP-1 não estão na lista de substâncias proibidas (situação em 2026, verificar atualização).</w:t>
      </w:r>
    </w:p>
    <w:p>
      <w:pPr>
        <w:numPr>
          <w:ilvl w:val="0"/>
          <w:numId w:val="1040"/>
        </w:numPr>
        <w:pStyle w:val="Compact"/>
      </w:pPr>
      <w:r>
        <w:rPr>
          <w:bCs/>
          <w:b/>
        </w:rPr>
        <w:t xml:space="preserve">Mercado cinza:</w:t>
      </w:r>
      <w:r>
        <w:t xml:space="preserve"> </w:t>
      </w:r>
      <w:r>
        <w:t xml:space="preserve">a exenatida quase não tem papel no mercado cinza, ao lado da semaglutida e da tirzepatida. Os riscos gerais de vias de obtenção não autorizadas são descritos na Parte I.</w:t>
      </w:r>
    </w:p>
    <w:bookmarkEnd w:id="280"/>
    <w:bookmarkStart w:id="287" w:name="estudos-em-andamento-e-perspectivas"/>
    <w:p>
      <w:pPr>
        <w:pStyle w:val="Heading3"/>
      </w:pPr>
      <w:r>
        <w:t xml:space="preserve">Estudos em andamento e perspectivas</w:t>
      </w:r>
    </w:p>
    <w:p>
      <w:pPr>
        <w:pStyle w:val="FirstParagraph"/>
      </w:pPr>
      <w:r>
        <w:rPr>
          <w:bCs/>
          <w:b/>
        </w:rPr>
        <w:t xml:space="preserve">Confirmado (estudos registrados):</w:t>
      </w:r>
      <w:r>
        <w:t xml:space="preserve"> </w:t>
      </w:r>
      <w:r>
        <w:t xml:space="preserve">como medicamento para diabetes, a exenatida está em grande parte</w:t>
      </w:r>
      <w:r>
        <w:t xml:space="preserve"> </w:t>
      </w:r>
      <w:r>
        <w:t xml:space="preserve">“</w:t>
      </w:r>
      <w:r>
        <w:t xml:space="preserve">esgotada</w:t>
      </w:r>
      <w:r>
        <w:t xml:space="preserve">”</w:t>
      </w:r>
      <w:r>
        <w:t xml:space="preserve"> </w:t>
      </w:r>
      <w:r>
        <w:t xml:space="preserve">como objeto de pesquisa; quase não há novos estudos de aprovação nessa indicação. Os registros atuais referem-se principalmente a:</w:t>
      </w:r>
    </w:p>
    <w:p>
      <w:pPr>
        <w:numPr>
          <w:ilvl w:val="0"/>
          <w:numId w:val="1041"/>
        </w:numPr>
        <w:pStyle w:val="Compact"/>
      </w:pPr>
      <w:r>
        <w:t xml:space="preserve">Modificações da molécula: na China, estão sendo desenvolvidas variantes peguiladas. Para o PB-119, um estudo de fase 2 com 251 participantes reduziu a HbA1c após 12 semanas até 1,18 ponto percentual a mais do que o placebo</w:t>
      </w:r>
      <w:r>
        <w:rPr>
          <w:rStyle w:val="FootnoteReference"/>
        </w:rPr>
        <w:footnoteReference w:id="281"/>
      </w:r>
      <w:r>
        <w:t xml:space="preserve">. Outro candidato, o JY09 – exendina-4 acoplada a um componente de anticorpo (proteína de fusão Fc), injetado a cada duas semanas nos estudos –, está sendo testado em estudos de fase 3 contra placebo e contra dulaglutida</w:t>
      </w:r>
      <w:r>
        <w:rPr>
          <w:rStyle w:val="FootnoteReference"/>
        </w:rPr>
        <w:footnoteReference w:id="282"/>
      </w:r>
      <w:r>
        <w:t xml:space="preserve">.</w:t>
      </w:r>
    </w:p>
    <w:p>
      <w:pPr>
        <w:numPr>
          <w:ilvl w:val="0"/>
          <w:numId w:val="1041"/>
        </w:numPr>
        <w:pStyle w:val="Compact"/>
      </w:pPr>
      <w:r>
        <w:t xml:space="preserve">Neurologia: a variante peguilada NLY01 está sendo estudada na esclerose múltipla em um estudo de fase 2 com 120 participantes</w:t>
      </w:r>
      <w:r>
        <w:rPr>
          <w:rStyle w:val="FootnoteReference"/>
        </w:rPr>
        <w:footnoteReference w:id="283"/>
      </w:r>
      <w:r>
        <w:t xml:space="preserve">.</w:t>
      </w:r>
    </w:p>
    <w:p>
      <w:pPr>
        <w:numPr>
          <w:ilvl w:val="0"/>
          <w:numId w:val="1041"/>
        </w:numPr>
        <w:pStyle w:val="Compact"/>
      </w:pPr>
      <w:r>
        <w:t xml:space="preserve">Segurança: além do estudo europeu sobre câncer de pâncreas</w:t>
      </w:r>
      <w:r>
        <w:rPr>
          <w:rStyle w:val="FootnoteReference"/>
        </w:rPr>
        <w:footnoteReference w:id="284"/>
      </w:r>
      <w:r>
        <w:t xml:space="preserve">, está em andamento um programa de vigilância de longo prazo para carcinomas medulares de tireoide com agonistas do receptor de GLP-1</w:t>
      </w:r>
      <w:r>
        <w:rPr>
          <w:rStyle w:val="FootnoteReference"/>
        </w:rPr>
        <w:footnoteReference w:id="285"/>
      </w:r>
      <w:r>
        <w:t xml:space="preserve">.</w:t>
      </w:r>
    </w:p>
    <w:p>
      <w:pPr>
        <w:numPr>
          <w:ilvl w:val="0"/>
          <w:numId w:val="1041"/>
        </w:numPr>
        <w:pStyle w:val="Compact"/>
      </w:pPr>
      <w:r>
        <w:t xml:space="preserve">Diagnóstico: a exendina-4 marcada radioativamente é usada como traçador em exames de PET de insulinomas (tumores raros produtores de insulina)</w:t>
      </w:r>
      <w:r>
        <w:rPr>
          <w:rStyle w:val="FootnoteReference"/>
        </w:rPr>
        <w:footnoteReference w:id="286"/>
      </w:r>
      <w:r>
        <w:t xml:space="preserve">.</w:t>
      </w:r>
    </w:p>
    <w:p>
      <w:pPr>
        <w:pStyle w:val="FirstParagraph"/>
      </w:pPr>
      <w:r>
        <w:rPr>
          <w:bCs/>
          <w:b/>
        </w:rPr>
        <w:t xml:space="preserve">Avaliação:</w:t>
      </w:r>
      <w:r>
        <w:t xml:space="preserve"> </w:t>
      </w:r>
      <w:r>
        <w:t xml:space="preserve">a exenatida continuará perdendo importância no tratamento do diabetes, porque há sucessoras mais fortes e mais cômodas de usar. Seu papel duradouro é o de pioneira e de ferramenta de pesquisa. Se a hipótese do Parkinson voltará a ganhar força depende de substâncias que cheguem melhor ao cérebro e do esclarecimento sobre o Exenatide-PD3.</w:t>
      </w:r>
    </w:p>
    <w:bookmarkEnd w:id="287"/>
    <w:bookmarkStart w:id="288" w:name="conclusão"/>
    <w:p>
      <w:pPr>
        <w:pStyle w:val="Heading3"/>
      </w:pPr>
      <w:r>
        <w:t xml:space="preserve">Conclusão</w:t>
      </w:r>
    </w:p>
    <w:p>
      <w:pPr>
        <w:pStyle w:val="FirstParagraph"/>
      </w:pPr>
      <w:r>
        <w:t xml:space="preserve">A exenatida foi em 2005 o primeiro agonista do receptor de GLP-1 no mercado e está entre os medicamentos peptídicos mais bem estudados de todos. Em grandes estudos, reduziu a glicose de longo prazo em cerca de 1 a 1,5 ponto percentual e o peso em alguns quilos; no EXSCEL, com 14.752 participantes, sem aumento do risco cardiovascular, mas também sem proteção comprovada. Na comparação direta, perde para a liraglutida e a semaglutida. Os dados inicialmente promissores sobre a doença de Parkinson não se confirmaram no estudo de fase 3 maior. Para pessoas com diabetes tipo 2, a exenatida continua sendo uma opção testada, mas não mais a primeira escolha – a decisão deve ficar nas mãos de um médico.</w:t>
      </w:r>
    </w:p>
    <w:bookmarkEnd w:id="288"/>
    <w:bookmarkEnd w:id="289"/>
    <w:bookmarkStart w:id="342" w:name="liraglutida"/>
    <w:p>
      <w:pPr>
        <w:pStyle w:val="Heading2"/>
      </w:pPr>
      <w:r>
        <w:t xml:space="preserve">Liraglutida</w:t>
      </w:r>
    </w:p>
    <w:bookmarkStart w:id="291" w:name="ficha-técnica-1"/>
    <w:p>
      <w:pPr>
        <w:pStyle w:val="Heading3"/>
      </w:pPr>
      <w:r>
        <w:t xml:space="preserve">Ficha técnica</w:t>
      </w:r>
    </w:p>
    <w:p>
      <w:pPr>
        <w:numPr>
          <w:ilvl w:val="0"/>
          <w:numId w:val="1042"/>
        </w:numPr>
        <w:pStyle w:val="Compact"/>
      </w:pPr>
      <w:r>
        <w:rPr>
          <w:bCs/>
          <w:b/>
        </w:rPr>
        <w:t xml:space="preserve">Tipo/estrutura:</w:t>
      </w:r>
      <w:r>
        <w:t xml:space="preserve"> </w:t>
      </w:r>
      <w:r>
        <w:t xml:space="preserve">GLP-1 humano modificado, com 31 aminoácidos. Coincide em 97% com o hormônio do próprio corpo; em uma posição, um aminoácido foi trocado; em outra, um ácido graxo de 16 átomos de carbono está ligado por meio de um curto conector.</w:t>
      </w:r>
    </w:p>
    <w:p>
      <w:pPr>
        <w:numPr>
          <w:ilvl w:val="0"/>
          <w:numId w:val="1042"/>
        </w:numPr>
        <w:pStyle w:val="Compact"/>
      </w:pPr>
      <w:r>
        <w:rPr>
          <w:bCs/>
          <w:b/>
        </w:rPr>
        <w:t xml:space="preserve">Origem:</w:t>
      </w:r>
      <w:r>
        <w:t xml:space="preserve"> </w:t>
      </w:r>
      <w:r>
        <w:t xml:space="preserve">desenvolvida pela Novo Nordisk</w:t>
      </w:r>
      <w:r>
        <w:rPr>
          <w:rStyle w:val="FootnoteReference"/>
        </w:rPr>
        <w:footnoteReference w:id="290"/>
      </w:r>
      <w:r>
        <w:t xml:space="preserve">, produzida por engenharia genética em levedura.</w:t>
      </w:r>
    </w:p>
    <w:p>
      <w:pPr>
        <w:numPr>
          <w:ilvl w:val="0"/>
          <w:numId w:val="1042"/>
        </w:numPr>
        <w:pStyle w:val="Compact"/>
      </w:pPr>
      <w:r>
        <w:rPr>
          <w:bCs/>
          <w:b/>
        </w:rPr>
        <w:t xml:space="preserve">Mecanismo de ação:</w:t>
      </w:r>
      <w:r>
        <w:t xml:space="preserve"> </w:t>
      </w:r>
      <w:r>
        <w:t xml:space="preserve">agonista do receptor de GLP-1. O ácido graxo faz a molécula se ligar à proteína sanguínea albumina; com isso, basta uma injeção por dia.</w:t>
      </w:r>
    </w:p>
    <w:p>
      <w:pPr>
        <w:numPr>
          <w:ilvl w:val="0"/>
          <w:numId w:val="1042"/>
        </w:numPr>
        <w:pStyle w:val="Compact"/>
      </w:pPr>
      <w:r>
        <w:rPr>
          <w:bCs/>
          <w:b/>
        </w:rPr>
        <w:t xml:space="preserve">Preparações:</w:t>
      </w:r>
      <w:r>
        <w:t xml:space="preserve"> </w:t>
      </w:r>
      <w:r>
        <w:t xml:space="preserve">Victoza (diabetes tipo 2, até 1,8 mg por dia), Saxenda (controle de peso, até 3,0 mg por dia), Xultophy (combinação fixa com insulina degludeca). Desde 2024 existem preparações genéricas.</w:t>
      </w:r>
    </w:p>
    <w:p>
      <w:pPr>
        <w:numPr>
          <w:ilvl w:val="0"/>
          <w:numId w:val="1042"/>
        </w:numPr>
        <w:pStyle w:val="Compact"/>
      </w:pPr>
      <w:r>
        <w:rPr>
          <w:bCs/>
          <w:b/>
        </w:rPr>
        <w:t xml:space="preserve">Aprovação UE:</w:t>
      </w:r>
      <w:r>
        <w:t xml:space="preserve"> </w:t>
      </w:r>
      <w:r>
        <w:t xml:space="preserve">sim – diabetes tipo 2 (desde 2009) e controle de peso (desde 2015), em ambos os casos também para adolescentes.</w:t>
      </w:r>
    </w:p>
    <w:p>
      <w:pPr>
        <w:numPr>
          <w:ilvl w:val="0"/>
          <w:numId w:val="1042"/>
        </w:numPr>
        <w:pStyle w:val="Compact"/>
      </w:pPr>
      <w:r>
        <w:rPr>
          <w:bCs/>
          <w:b/>
        </w:rPr>
        <w:t xml:space="preserve">Aprovação EUA:</w:t>
      </w:r>
      <w:r>
        <w:t xml:space="preserve"> </w:t>
      </w:r>
      <w:r>
        <w:t xml:space="preserve">sim – diabetes tipo 2 (desde 2010, a partir de 10 anos), redução do risco cardiovascular no diabetes tipo 2 e controle de peso (desde 2014, a partir de 12 anos). Há genéricos aprovados para as duas indicações.</w:t>
      </w:r>
    </w:p>
    <w:p>
      <w:pPr>
        <w:numPr>
          <w:ilvl w:val="0"/>
          <w:numId w:val="1042"/>
        </w:numPr>
        <w:pStyle w:val="Compact"/>
      </w:pPr>
      <w:r>
        <w:rPr>
          <w:bCs/>
          <w:b/>
        </w:rPr>
        <w:t xml:space="preserve">WADA:</w:t>
      </w:r>
      <w:r>
        <w:t xml:space="preserve"> </w:t>
      </w:r>
      <w:r>
        <w:t xml:space="preserve">não listada.</w:t>
      </w:r>
    </w:p>
    <w:p>
      <w:pPr>
        <w:numPr>
          <w:ilvl w:val="0"/>
          <w:numId w:val="1042"/>
        </w:numPr>
        <w:pStyle w:val="Compact"/>
      </w:pPr>
      <w:r>
        <w:rPr>
          <w:bCs/>
          <w:b/>
        </w:rPr>
        <w:t xml:space="preserve">Nível de evidência:</w:t>
      </w:r>
      <w:r>
        <w:t xml:space="preserve"> </w:t>
      </w:r>
      <w:r>
        <w:rPr>
          <w:bCs/>
          <w:b/>
        </w:rPr>
        <w:t xml:space="preserve">A</w:t>
      </w:r>
      <w:r>
        <w:t xml:space="preserve"> </w:t>
      </w:r>
      <w:r>
        <w:t xml:space="preserve">– dois grandes programas de aprovação (LEAD, SCALE), um grande estudo de desfechos (LEADER), estudos em crianças e adolescentes.</w:t>
      </w:r>
    </w:p>
    <w:bookmarkEnd w:id="291"/>
    <w:bookmarkStart w:id="294" w:name="como-deveria-agir-1"/>
    <w:p>
      <w:pPr>
        <w:pStyle w:val="Heading3"/>
      </w:pPr>
      <w:r>
        <w:t xml:space="preserve">Como deveria agir</w:t>
      </w:r>
    </w:p>
    <w:p>
      <w:pPr>
        <w:pStyle w:val="FirstParagraph"/>
      </w:pPr>
      <w:r>
        <w:t xml:space="preserve">A liraglutida age como o hormônio intestinal GLP-1 do próprio corpo: aumenta a liberação de insulina dependente da glicose, inibe o glucagon, que eleva a glicose, retarda o esvaziamento do estômago e reduz o apetite no cérebro. O mecanismo básico da classe está descrito no capítulo sobre a exenatida.</w:t>
      </w:r>
    </w:p>
    <w:p>
      <w:pPr>
        <w:pStyle w:val="BodyText"/>
      </w:pPr>
      <w:r>
        <w:t xml:space="preserve">A diferença está na construção. Enquanto a exenatida vem do veneno de um lagarto e só é metade igual ao hormônio humano, a liraglutida é quase idêntica ao GLP-1 do próprio corpo. O truque que a torna duradoura é o ácido graxo ligado. Ele faz com que a molécula se una à albumina no sangue, se agregue em pequenos conjuntos e fique assim protegida da degradação pela enzima DPP-4 e da eliminação pelos rins. Com isso, a meia-vida sobe de poucos minutos para cerca de meio dia.</w:t>
      </w:r>
    </w:p>
    <w:p>
      <w:pPr>
        <w:pStyle w:val="BodyText"/>
      </w:pPr>
      <w:r>
        <w:t xml:space="preserve">Pela perda de peso são responsáveis sobretudo os efeitos no cérebro. Em camundongos e ratos, a liraglutida marcada chega a determinadas regiões do hipotálamo, o centro de controle da fome e da saciedade, e ali ativa neurônios que promovem a sensação de saciedade</w:t>
      </w:r>
      <w:r>
        <w:rPr>
          <w:rStyle w:val="FootnoteReference"/>
        </w:rPr>
        <w:footnoteReference w:id="292"/>
      </w:r>
      <w:r>
        <w:t xml:space="preserve">. Em seres humanos, isso se manifesta como menor ingestão de alimentos; um aumento relevante do gasto de energia não está comprovado.</w:t>
      </w:r>
    </w:p>
    <w:p>
      <w:pPr>
        <w:pStyle w:val="BodyText"/>
      </w:pPr>
      <w:r>
        <w:t xml:space="preserve">Da liraglutida surgiu mais tarde a semaglutida: a mesma ideia básica, mas com uma ligação mais forte à albumina, que permite uma injeção por semana</w:t>
      </w:r>
      <w:r>
        <w:rPr>
          <w:rStyle w:val="FootnoteReference"/>
        </w:rPr>
        <w:footnoteReference w:id="293"/>
      </w:r>
      <w:r>
        <w:t xml:space="preserve">.</w:t>
      </w:r>
    </w:p>
    <w:bookmarkEnd w:id="294"/>
    <w:bookmarkStart w:id="320" w:name="estudos-em-humanos-1"/>
    <w:p>
      <w:pPr>
        <w:pStyle w:val="Heading3"/>
      </w:pPr>
      <w:r>
        <w:t xml:space="preserve">Estudos em humanos</w:t>
      </w:r>
    </w:p>
    <w:p>
      <w:pPr>
        <w:pStyle w:val="FirstParagraph"/>
      </w:pPr>
      <w:r>
        <w:t xml:space="preserve">A liraglutida está entre os medicamentos peptídicos mais bem estudados. A busca no PubMed analisada para este livro (termo</w:t>
      </w:r>
      <w:r>
        <w:t xml:space="preserve"> </w:t>
      </w:r>
      <w:r>
        <w:t xml:space="preserve">“</w:t>
      </w:r>
      <w:r>
        <w:t xml:space="preserve">liraglutide</w:t>
      </w:r>
      <w:r>
        <w:t xml:space="preserve">”</w:t>
      </w:r>
      <w:r>
        <w:t xml:space="preserve"> </w:t>
      </w:r>
      <w:r>
        <w:t xml:space="preserve">no título ou no resumo, data da busca outubro de 2026) resultou em 613 estudos em humanos – mais do que para qualquer outro peptídeo deste livro. O ClinicalTrials.gov registra 517 entradas. A seguir, o foco está nos estudos de aprovação e de desfechos; além deles, há centenas de estudos menores sobre fígado, coração, cérebro, fertilidade e transtornos alimentares.</w:t>
      </w:r>
    </w:p>
    <w:bookmarkStart w:id="297" w:name="diabetes-tipo-2-o-programa-lead"/>
    <w:p>
      <w:pPr>
        <w:pStyle w:val="Heading4"/>
      </w:pPr>
      <w:r>
        <w:t xml:space="preserve">Diabetes tipo 2: o programa LEAD</w:t>
      </w:r>
    </w:p>
    <w:p>
      <w:pPr>
        <w:pStyle w:val="FirstParagraph"/>
      </w:pPr>
      <w:r>
        <w:t xml:space="preserve">Para a aprovação no diabetes, a liraglutida foi testada em seis estudos sob o nome LEAD (Liraglutide Effect and Action in Diabetes), sempre com 1,2 ou 1,8 mg por dia. Dois são especialmente esclarecedores, porque enfrentaram terapias estabelecidas na época. A isso se soma a comparação com o inibidor da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pessoas com diabetes tipo 2 inicial, duplo-cego vs. glimepirida</w:t>
            </w:r>
          </w:p>
        </w:tc>
        <w:tc>
          <w:tcPr/>
          <w:p>
            <w:pPr>
              <w:pStyle w:val="Compact"/>
              <w:jc w:val="left"/>
            </w:pPr>
            <w:r>
              <w:t xml:space="preserve">52 semanas</w:t>
            </w:r>
          </w:p>
        </w:tc>
        <w:tc>
          <w:tcPr/>
          <w:p>
            <w:pPr>
              <w:pStyle w:val="Compact"/>
              <w:jc w:val="left"/>
            </w:pPr>
            <w:r>
              <w:t xml:space="preserve">HbA1c −1,14 (1,8 mg) vs. −0,51 ponto percentual</w:t>
            </w:r>
          </w:p>
        </w:tc>
      </w:tr>
      <w:tr>
        <w:tc>
          <w:tcPr/>
          <w:p>
            <w:pPr>
              <w:pStyle w:val="Compact"/>
              <w:jc w:val="left"/>
            </w:pPr>
            <w:r>
              <w:t xml:space="preserve">LEAD-6 (Buse 2009), PMID 19515413</w:t>
            </w:r>
          </w:p>
        </w:tc>
        <w:tc>
          <w:tcPr/>
          <w:p>
            <w:pPr>
              <w:pStyle w:val="Compact"/>
              <w:jc w:val="left"/>
            </w:pPr>
            <w:r>
              <w:t xml:space="preserve">aberto vs. exenatida duas vezes ao dia</w:t>
            </w:r>
          </w:p>
        </w:tc>
        <w:tc>
          <w:tcPr/>
          <w:p>
            <w:pPr>
              <w:pStyle w:val="Compact"/>
              <w:jc w:val="left"/>
            </w:pPr>
            <w:r>
              <w:t xml:space="preserve">26 semanas</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pessoas em uso de metformina, aberto vs. sitagliptina</w:t>
            </w:r>
          </w:p>
        </w:tc>
        <w:tc>
          <w:tcPr/>
          <w:p>
            <w:pPr>
              <w:pStyle w:val="Compact"/>
              <w:jc w:val="left"/>
            </w:pPr>
            <w:r>
              <w:t xml:space="preserve">26 semanas</w:t>
            </w:r>
          </w:p>
        </w:tc>
        <w:tc>
          <w:tcPr/>
          <w:p>
            <w:pPr>
              <w:pStyle w:val="Compact"/>
              <w:jc w:val="left"/>
            </w:pPr>
            <w:r>
              <w:t xml:space="preserve">HbA1c −1,50 (1,8 mg) vs. −0,90; náuseas 27% vs. 5%</w:t>
            </w:r>
          </w:p>
        </w:tc>
      </w:tr>
    </w:tbl>
    <w:p>
      <w:pPr>
        <w:pStyle w:val="BodyText"/>
      </w:pPr>
      <w:r>
        <w:t xml:space="preserve">A HbA1c, valor de longo prazo da glicose, caiu com liraglutida nesses estudos de 1,1 a 1,5 ponto percentual. No LEAD-3</w:t>
      </w:r>
      <w:r>
        <w:rPr>
          <w:rStyle w:val="FootnoteReference"/>
        </w:rPr>
        <w:footnoteReference w:id="295"/>
      </w:r>
      <w:r>
        <w:t xml:space="preserve">, a liraglutida foi o primeiro medicamento para diabetes superior à sulfonilureia glimepirida, que reduz a glicose independentemente das refeições e leva com mais frequência a hipoglicemias. Contra a sitagliptina</w:t>
      </w:r>
      <w:r>
        <w:rPr>
          <w:rStyle w:val="FootnoteReference"/>
        </w:rPr>
        <w:footnoteReference w:id="296"/>
      </w:r>
      <w:r>
        <w:t xml:space="preserve">, a vantagem foi de 0,6 ponto percentual, porém com bem mais náuseas.</w:t>
      </w:r>
    </w:p>
    <w:bookmarkEnd w:id="297"/>
    <w:bookmarkStart w:id="302" w:name="X2b73cb83d7430f997d352c032ee741500caf14a"/>
    <w:p>
      <w:pPr>
        <w:pStyle w:val="Heading4"/>
      </w:pPr>
      <w:r>
        <w:t xml:space="preserve">Comparações diretas dentro da classe GLP-1</w:t>
      </w:r>
    </w:p>
    <w:p>
      <w:pPr>
        <w:pStyle w:val="FirstParagraph"/>
      </w:pPr>
      <w:r>
        <w:t xml:space="preserve">A liraglutida é o comparador mais usado da classe. Os resultados mostram uma ordem clara: a liraglutida é mais forte que a exenatida, aproximadamente tão forte quanto a dulaglutida e mais fraca que 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(liraglutida vs. comparador)</w:t>
            </w:r>
          </w:p>
        </w:tc>
      </w:tr>
      <w:tr>
        <w:tc>
          <w:tcPr/>
          <w:p>
            <w:pPr>
              <w:pStyle w:val="Compact"/>
              <w:jc w:val="left"/>
            </w:pPr>
            <w:r>
              <w:t xml:space="preserve">LEAD-6 (Buse 2009), PMID 19515413</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−1,12 vs. −0,79; meta &lt; 7% em 54% vs. 43%</w:t>
            </w:r>
          </w:p>
        </w:tc>
      </w:tr>
      <w:tr>
        <w:tc>
          <w:tcPr/>
          <w:p>
            <w:pPr>
              <w:pStyle w:val="Compact"/>
              <w:jc w:val="left"/>
            </w:pPr>
            <w:r>
              <w:t xml:space="preserve">DURATION-6 (Buse 2013), PMID 23141817</w:t>
            </w:r>
          </w:p>
        </w:tc>
        <w:tc>
          <w:tcPr/>
          <w:p>
            <w:pPr>
              <w:pStyle w:val="Compact"/>
              <w:jc w:val="left"/>
            </w:pPr>
            <w:r>
              <w:t xml:space="preserve">911 pessoas, vs. exenatida semanal</w:t>
            </w:r>
          </w:p>
        </w:tc>
        <w:tc>
          <w:tcPr/>
          <w:p>
            <w:pPr>
              <w:pStyle w:val="Compact"/>
              <w:jc w:val="left"/>
            </w:pPr>
            <w:r>
              <w:t xml:space="preserve">26 semanas</w:t>
            </w:r>
          </w:p>
        </w:tc>
        <w:tc>
          <w:tcPr/>
          <w:p>
            <w:pPr>
              <w:pStyle w:val="Compact"/>
              <w:jc w:val="left"/>
            </w:pPr>
            <w:r>
              <w:t xml:space="preserve">HbA1c −1,48 vs. −1,28; náuseas 21% vs. 9%</w:t>
            </w:r>
          </w:p>
        </w:tc>
      </w:tr>
      <w:tr>
        <w:tc>
          <w:tcPr/>
          <w:p>
            <w:pPr>
              <w:pStyle w:val="Compact"/>
              <w:jc w:val="left"/>
            </w:pPr>
            <w:r>
              <w:t xml:space="preserve">AWARD-6 (Dungan 2014), PMID 25018121</w:t>
            </w:r>
          </w:p>
        </w:tc>
        <w:tc>
          <w:tcPr/>
          <w:p>
            <w:pPr>
              <w:pStyle w:val="Compact"/>
              <w:jc w:val="left"/>
            </w:pPr>
            <w:r>
              <w:t xml:space="preserve">599 pessoas, vs. dulaglutida semanal</w:t>
            </w:r>
          </w:p>
        </w:tc>
        <w:tc>
          <w:tcPr/>
          <w:p>
            <w:pPr>
              <w:pStyle w:val="Compact"/>
              <w:jc w:val="left"/>
            </w:pPr>
            <w:r>
              <w:t xml:space="preserve">26 semanas</w:t>
            </w:r>
          </w:p>
        </w:tc>
        <w:tc>
          <w:tcPr/>
          <w:p>
            <w:pPr>
              <w:pStyle w:val="Compact"/>
              <w:jc w:val="left"/>
            </w:pPr>
            <w:r>
              <w:t xml:space="preserve">HbA1c −1,36 vs. −1,42; equivalentes</w:t>
            </w:r>
          </w:p>
        </w:tc>
      </w:tr>
      <w:tr>
        <w:tc>
          <w:tcPr/>
          <w:p>
            <w:pPr>
              <w:pStyle w:val="Compact"/>
              <w:jc w:val="left"/>
            </w:pPr>
            <w:r>
              <w:t xml:space="preserve">PIONEER 4 (Pratley 2019), PMID 31186120</w:t>
            </w:r>
          </w:p>
        </w:tc>
        <w:tc>
          <w:tcPr/>
          <w:p>
            <w:pPr>
              <w:pStyle w:val="Compact"/>
              <w:jc w:val="left"/>
            </w:pPr>
            <w:r>
              <w:t xml:space="preserve">711 pessoas, vs. comprimido de semaglutida e placebo</w:t>
            </w:r>
          </w:p>
        </w:tc>
        <w:tc>
          <w:tcPr/>
          <w:p>
            <w:pPr>
              <w:pStyle w:val="Compact"/>
              <w:jc w:val="left"/>
            </w:pPr>
            <w:r>
              <w:t xml:space="preserve">52 semanas</w:t>
            </w:r>
          </w:p>
        </w:tc>
        <w:tc>
          <w:tcPr/>
          <w:p>
            <w:pPr>
              <w:pStyle w:val="Compact"/>
              <w:jc w:val="left"/>
            </w:pPr>
            <w:r>
              <w:t xml:space="preserve">HbA1c −1,1 vs. −1,2 após 26 semanas; peso −3,1 vs. −4,4 kg</w:t>
            </w:r>
          </w:p>
        </w:tc>
      </w:tr>
      <w:tr>
        <w:tc>
          <w:tcPr/>
          <w:p>
            <w:pPr>
              <w:pStyle w:val="Compact"/>
              <w:jc w:val="left"/>
            </w:pPr>
            <w:r>
              <w:t xml:space="preserve">SUSTAIN 10 (Capehorn 2020), PMID 31539622</w:t>
            </w:r>
          </w:p>
        </w:tc>
        <w:tc>
          <w:tcPr/>
          <w:p>
            <w:pPr>
              <w:pStyle w:val="Compact"/>
              <w:jc w:val="left"/>
            </w:pPr>
            <w:r>
              <w:t xml:space="preserve">liraglutida 1,2 mg vs. semaglutida 1,0 mg semanal</w:t>
            </w:r>
          </w:p>
        </w:tc>
        <w:tc>
          <w:tcPr/>
          <w:p>
            <w:pPr>
              <w:pStyle w:val="Compact"/>
              <w:jc w:val="left"/>
            </w:pPr>
            <w:r>
              <w:t xml:space="preserve">30 semanas</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pessoas com obesidade sem diabetes, liraglutida 3,0 mg vs. semaglutida 2,4 mg</w:t>
            </w:r>
          </w:p>
        </w:tc>
        <w:tc>
          <w:tcPr/>
          <w:p>
            <w:pPr>
              <w:pStyle w:val="Compact"/>
              <w:jc w:val="left"/>
            </w:pPr>
            <w:r>
              <w:t xml:space="preserve">68 semanas</w:t>
            </w:r>
          </w:p>
        </w:tc>
        <w:tc>
          <w:tcPr/>
          <w:p>
            <w:pPr>
              <w:pStyle w:val="Compact"/>
              <w:jc w:val="left"/>
            </w:pPr>
            <w:r>
              <w:t xml:space="preserve">peso −6,4% vs. −15,8%</w:t>
            </w:r>
          </w:p>
        </w:tc>
      </w:tr>
    </w:tbl>
    <w:p>
      <w:pPr>
        <w:pStyle w:val="BodyText"/>
      </w:pPr>
      <w:r>
        <w:t xml:space="preserve">No LEAD-6</w:t>
      </w:r>
      <w:r>
        <w:rPr>
          <w:rStyle w:val="FootnoteReference"/>
        </w:rPr>
        <w:footnoteReference w:id="298"/>
      </w:r>
      <w:r>
        <w:t xml:space="preserve">, a liraglutida reduziu a glicose de jejum de forma bem mais acentuada que a exenatida duas vezes ao dia, mas reduziu menos o aumento da glicose após o café da manhã e o jantar – um indício de que formas de ação curta agem mais pelo esvaziamento gástrico. As náuseas duraram menos com liraglutida, e as hipoglicemias leves foram mais raras (25,5% vs. 33,6% dos participantes).</w:t>
      </w:r>
    </w:p>
    <w:p>
      <w:pPr>
        <w:pStyle w:val="BodyText"/>
      </w:pPr>
      <w:r>
        <w:t xml:space="preserve">Contra a dulaglutida, a liraglutida foi equivalente no AWARD-6</w:t>
      </w:r>
      <w:r>
        <w:rPr>
          <w:rStyle w:val="FootnoteReference"/>
        </w:rPr>
        <w:footnoteReference w:id="299"/>
      </w:r>
      <w:r>
        <w:t xml:space="preserve">, com tolerabilidade semelhante; náuseas ocorreram em 18% contra 20%.</w:t>
      </w:r>
    </w:p>
    <w:p>
      <w:pPr>
        <w:pStyle w:val="BodyText"/>
      </w:pPr>
      <w:r>
        <w:t xml:space="preserve">Contra a semaglutida, a liraglutida perdeu em todas as comparações. Isso foi mais evidente no STEP 8</w:t>
      </w:r>
      <w:r>
        <w:rPr>
          <w:rStyle w:val="FootnoteReference"/>
        </w:rPr>
        <w:footnoteReference w:id="300"/>
      </w:r>
      <w:r>
        <w:t xml:space="preserve">, no peso: com a dose aprovada para obesidade de cada uma, os participantes perderam em média 15,8% com semaglutida e 6,4% com liraglutida (placebo: 1,9%). Uma perda de pelo menos 15% foi alcançada por 55,6% contra 12,0%. Interromperam o tratamento antes do fim 27,6% com liraglutida e 13,5% com semaglutida. Com o comprimido de semaglutida, a diferença no PIONEER 4</w:t>
      </w:r>
      <w:r>
        <w:rPr>
          <w:rStyle w:val="FootnoteReference"/>
        </w:rPr>
        <w:footnoteReference w:id="301"/>
      </w:r>
      <w:r>
        <w:t xml:space="preserve"> </w:t>
      </w:r>
      <w:r>
        <w:t xml:space="preserve">foi menor: na HbA1c, o comprimido não foi inferior segundo o método principal de análise; no peso, foi superior em 1,2 kg. Detalhes sobre esses estudos estão no capítulo sobre a semaglutida.</w:t>
      </w:r>
    </w:p>
    <w:bookmarkEnd w:id="302"/>
    <w:bookmarkStart w:id="306" w:name="leader-coração-circulação-e-rins"/>
    <w:p>
      <w:pPr>
        <w:pStyle w:val="Heading4"/>
      </w:pPr>
      <w:r>
        <w:t xml:space="preserve">LEADER: coração, circulação e rins</w:t>
      </w:r>
    </w:p>
    <w:p>
      <w:pPr>
        <w:pStyle w:val="FirstParagraph"/>
      </w:pPr>
      <w:r>
        <w:t xml:space="preserve">O LEADER foi o primeiro grande estudo a mostrar, para um agonista do receptor de GLP-1, proteção contra eventos cardiovasculares. Ele mudou o papel de toda a classe nas diretrizes de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pessoas com diabetes tipo 2 e alto risco cardiovascular, ECR contra placebo</w:t>
            </w:r>
          </w:p>
        </w:tc>
        <w:tc>
          <w:tcPr/>
          <w:p>
            <w:pPr>
              <w:pStyle w:val="Compact"/>
              <w:jc w:val="left"/>
            </w:pPr>
            <w:r>
              <w:t xml:space="preserve">mediana de 3,8 anos</w:t>
            </w:r>
          </w:p>
        </w:tc>
        <w:tc>
          <w:tcPr/>
          <w:p>
            <w:pPr>
              <w:pStyle w:val="Compact"/>
              <w:jc w:val="left"/>
            </w:pPr>
            <w:r>
              <w:t xml:space="preserve">eventos cardiovasculares graves 13,0% vs. 14,9%; HR 0,87 (0,78–0,97)</w:t>
            </w:r>
          </w:p>
        </w:tc>
      </w:tr>
      <w:tr>
        <w:tc>
          <w:tcPr/>
          <w:p>
            <w:pPr>
              <w:pStyle w:val="Compact"/>
              <w:jc w:val="left"/>
            </w:pPr>
            <w:r>
              <w:t xml:space="preserve">LEADER, análise renal (Mann 2017), PMID 28854085</w:t>
            </w:r>
          </w:p>
        </w:tc>
        <w:tc>
          <w:tcPr/>
          <w:p>
            <w:pPr>
              <w:pStyle w:val="Compact"/>
              <w:jc w:val="left"/>
            </w:pPr>
            <w:r>
              <w:t xml:space="preserve">as mesmas 9.340 pessoas, análise pré-planejada</w:t>
            </w:r>
          </w:p>
        </w:tc>
        <w:tc>
          <w:tcPr/>
          <w:p>
            <w:pPr>
              <w:pStyle w:val="Compact"/>
              <w:jc w:val="left"/>
            </w:pPr>
            <w:r>
              <w:t xml:space="preserve">mediana de 3,84 anos</w:t>
            </w:r>
          </w:p>
        </w:tc>
        <w:tc>
          <w:tcPr/>
          <w:p>
            <w:pPr>
              <w:pStyle w:val="Compact"/>
              <w:jc w:val="left"/>
            </w:pPr>
            <w:r>
              <w:t xml:space="preserve">desfecho renal 268 vs. 337 casos; HR 0,78, sobretudo menos macroalbuminúria nova</w:t>
            </w:r>
          </w:p>
        </w:tc>
      </w:tr>
    </w:tbl>
    <w:p>
      <w:pPr>
        <w:pStyle w:val="BodyText"/>
      </w:pPr>
      <w:r>
        <w:t xml:space="preserve">O desfecho principal – morte por causa cardiovascular, infarto não fatal ou AVC – ocorreu com liraglutida em 608 de 4.668 pessoas (13,0%) e com placebo em 694 de 4.672 (14,9%)</w:t>
      </w:r>
      <w:r>
        <w:rPr>
          <w:rStyle w:val="FootnoteReference"/>
        </w:rPr>
        <w:footnoteReference w:id="303"/>
      </w:r>
      <w:r>
        <w:t xml:space="preserve">. Isso corresponde a uma redução relativa do risco de 13%. O efeito foi sustentado sobretudo por menos mortes cardiovasculares (4,7% vs. 6,0%; HR 0,78). A mortalidade total também foi menor (8,2% vs. 9,6%; HR 0,85). Os componentes individuais infarto, AVC e internação por insuficiência cardíaca, considerados isoladamente, não foram significativamente reduzidos.</w:t>
      </w:r>
    </w:p>
    <w:p>
      <w:pPr>
        <w:pStyle w:val="BodyText"/>
      </w:pPr>
      <w:r>
        <w:t xml:space="preserve">Em números absolutos, isso significa: ao longo de quase quatro anos, cerca de duas em cada cem pessoas tratadas deixaram de ter um evento cardiovascular grave. Para um grupo de alto risco, é um efeito relevante.</w:t>
      </w:r>
    </w:p>
    <w:p>
      <w:pPr>
        <w:pStyle w:val="BodyText"/>
      </w:pPr>
      <w:r>
        <w:t xml:space="preserve">A análise renal</w:t>
      </w:r>
      <w:r>
        <w:rPr>
          <w:rStyle w:val="FootnoteReference"/>
        </w:rPr>
        <w:footnoteReference w:id="304"/>
      </w:r>
      <w:r>
        <w:t xml:space="preserve"> </w:t>
      </w:r>
      <w:r>
        <w:t xml:space="preserve">mostrou menos casos de nova excreção elevada de proteína na urina (macroalbuminúria). Desfechos renais duros, como a necessidade de diálise, foram raros e não diferiram claramente. A insuficiência renal aguda ocorreu com frequência semelhante à do placebo.</w:t>
      </w:r>
    </w:p>
    <w:p>
      <w:pPr>
        <w:pStyle w:val="BodyText"/>
      </w:pPr>
      <w:r>
        <w:t xml:space="preserve">Nem todo grupo cardíaco se beneficia. No estudo FIGHT, com 300 pessoas que pouco antes haviam sido internadas por insuficiência cardíaca grave com função de bombeamento muito reduzida, a liraglutida não melhorou a evolução</w:t>
      </w:r>
      <w:r>
        <w:rPr>
          <w:rStyle w:val="FootnoteReference"/>
        </w:rPr>
        <w:footnoteReference w:id="305"/>
      </w:r>
      <w:r>
        <w:t xml:space="preserve">. Houve até um pouco mais de reinternações por insuficiência cardíaca (41% vs. 34%), sem que a diferença fosse estatisticamente comprovada. Os autores não viram base para o uso nessa situação.</w:t>
      </w:r>
    </w:p>
    <w:bookmarkEnd w:id="306"/>
    <w:bookmarkStart w:id="311" w:name="obesidade-o-programa-scale"/>
    <w:p>
      <w:pPr>
        <w:pStyle w:val="Heading4"/>
      </w:pPr>
      <w:r>
        <w:t xml:space="preserve">Obesidade: o programa SCALE</w:t>
      </w:r>
    </w:p>
    <w:p>
      <w:pPr>
        <w:pStyle w:val="FirstParagraph"/>
      </w:pPr>
      <w:r>
        <w:t xml:space="preserve">Com 3,0 mg por dia – quase o dobro da dose máxima para diabetes –, a liraglutida foi aprovada em 2014/2015 como o primeiro medicamento GLP-1 para redução de peso. A base foi o programa de estudos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com obesidade sem diabetes, ECR contra placebo</w:t>
            </w:r>
          </w:p>
        </w:tc>
        <w:tc>
          <w:tcPr/>
          <w:p>
            <w:pPr>
              <w:pStyle w:val="Compact"/>
              <w:jc w:val="left"/>
            </w:pPr>
            <w:r>
              <w:t xml:space="preserve">56 semanas</w:t>
            </w:r>
          </w:p>
        </w:tc>
        <w:tc>
          <w:tcPr/>
          <w:p>
            <w:pPr>
              <w:pStyle w:val="Compact"/>
              <w:jc w:val="left"/>
            </w:pPr>
            <w:r>
              <w:t xml:space="preserve">−8,4 kg vs. −2,8 kg; perda ≥ 5% em 63,2% vs. 27,1%</w:t>
            </w:r>
          </w:p>
        </w:tc>
      </w:tr>
      <w:tr>
        <w:tc>
          <w:tcPr/>
          <w:p>
            <w:pPr>
              <w:pStyle w:val="Compact"/>
              <w:jc w:val="left"/>
            </w:pPr>
            <w:r>
              <w:t xml:space="preserve">SCALE, parte de 3 anos (le Roux 2017), PMID 28237263</w:t>
            </w:r>
          </w:p>
        </w:tc>
        <w:tc>
          <w:tcPr/>
          <w:p>
            <w:pPr>
              <w:pStyle w:val="Compact"/>
              <w:jc w:val="left"/>
            </w:pPr>
            <w:r>
              <w:t xml:space="preserve">2.254 pessoas com pré-diabetes</w:t>
            </w:r>
          </w:p>
        </w:tc>
        <w:tc>
          <w:tcPr/>
          <w:p>
            <w:pPr>
              <w:pStyle w:val="Compact"/>
              <w:jc w:val="left"/>
            </w:pPr>
            <w:r>
              <w:t xml:space="preserve">160 semanas</w:t>
            </w:r>
          </w:p>
        </w:tc>
        <w:tc>
          <w:tcPr/>
          <w:p>
            <w:pPr>
              <w:pStyle w:val="Compact"/>
              <w:jc w:val="left"/>
            </w:pPr>
            <w:r>
              <w:t xml:space="preserve">diabetes novo em 2% vs. 6%; peso −6,1% vs. −1,9%</w:t>
            </w:r>
          </w:p>
        </w:tc>
      </w:tr>
      <w:tr>
        <w:tc>
          <w:tcPr/>
          <w:p>
            <w:pPr>
              <w:pStyle w:val="Compact"/>
              <w:jc w:val="left"/>
            </w:pPr>
            <w:r>
              <w:t xml:space="preserve">SCALE Diabetes (Davies 2015), PMID 26284720</w:t>
            </w:r>
          </w:p>
        </w:tc>
        <w:tc>
          <w:tcPr/>
          <w:p>
            <w:pPr>
              <w:pStyle w:val="Compact"/>
              <w:jc w:val="left"/>
            </w:pPr>
            <w:r>
              <w:t xml:space="preserve">846 pessoas com diabetes tipo 2 e sobrepeso</w:t>
            </w:r>
          </w:p>
        </w:tc>
        <w:tc>
          <w:tcPr/>
          <w:p>
            <w:pPr>
              <w:pStyle w:val="Compact"/>
              <w:jc w:val="left"/>
            </w:pPr>
            <w:r>
              <w:t xml:space="preserve">56 semanas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pessoas após dieta com perda ≥ 5%</w:t>
            </w:r>
          </w:p>
        </w:tc>
        <w:tc>
          <w:tcPr/>
          <w:p>
            <w:pPr>
              <w:pStyle w:val="Compact"/>
              <w:jc w:val="left"/>
            </w:pPr>
            <w:r>
              <w:t xml:space="preserve">56 semanas</w:t>
            </w:r>
          </w:p>
        </w:tc>
        <w:tc>
          <w:tcPr/>
          <w:p>
            <w:pPr>
              <w:pStyle w:val="Compact"/>
              <w:jc w:val="left"/>
            </w:pPr>
            <w:r>
              <w:t xml:space="preserve">adicional −6,2% vs. −0,2%</w:t>
            </w:r>
          </w:p>
        </w:tc>
      </w:tr>
      <w:tr>
        <w:tc>
          <w:tcPr/>
          <w:p>
            <w:pPr>
              <w:pStyle w:val="Compact"/>
              <w:jc w:val="left"/>
            </w:pPr>
            <w:r>
              <w:t xml:space="preserve">SCALE Sleep Apnea (Blackman 2016), PMID 27005405</w:t>
            </w:r>
          </w:p>
        </w:tc>
        <w:tc>
          <w:tcPr/>
          <w:p>
            <w:pPr>
              <w:pStyle w:val="Compact"/>
              <w:jc w:val="left"/>
            </w:pPr>
            <w:r>
              <w:t xml:space="preserve">adultos com obesidade e apneia do sono moderada a grave</w:t>
            </w:r>
          </w:p>
        </w:tc>
        <w:tc>
          <w:tcPr/>
          <w:p>
            <w:pPr>
              <w:pStyle w:val="Compact"/>
              <w:jc w:val="left"/>
            </w:pPr>
            <w:r>
              <w:t xml:space="preserve">32 semanas</w:t>
            </w:r>
          </w:p>
        </w:tc>
        <w:tc>
          <w:tcPr/>
          <w:p>
            <w:pPr>
              <w:pStyle w:val="Compact"/>
              <w:jc w:val="left"/>
            </w:pPr>
            <w:r>
              <w:t xml:space="preserve">pausas respiratórias −12,2 vs. −6,1 por hora; peso −5,7% vs. −1,6%</w:t>
            </w:r>
          </w:p>
        </w:tc>
      </w:tr>
    </w:tbl>
    <w:p>
      <w:pPr>
        <w:pStyle w:val="BodyText"/>
      </w:pPr>
      <w:r>
        <w:t xml:space="preserve">No maior estudo</w:t>
      </w:r>
      <w:r>
        <w:rPr>
          <w:rStyle w:val="FootnoteReference"/>
        </w:rPr>
        <w:footnoteReference w:id="307"/>
      </w:r>
      <w:r>
        <w:t xml:space="preserve">, os participantes perderam em média 8,4 kg com liraglutida e 2,8 kg com placebo – em ambos os casos com orientação sobre alimentação e atividade física. Um terço (33,1%) perdeu mais de 10% do peso corporal, contra 10,6% com placebo. Eventos adversos graves ocorreram em 6,2% contra 5,0%.</w:t>
      </w:r>
    </w:p>
    <w:p>
      <w:pPr>
        <w:pStyle w:val="BodyText"/>
      </w:pPr>
      <w:r>
        <w:t xml:space="preserve">Os participantes com pré-diabetes (estágio anterior ao diabetes) continuaram sendo tratados por três anos</w:t>
      </w:r>
      <w:r>
        <w:rPr>
          <w:rStyle w:val="FootnoteReference"/>
        </w:rPr>
        <w:footnoteReference w:id="308"/>
      </w:r>
      <w:r>
        <w:t xml:space="preserve">. Com liraglutida, 2% desenvolveram diabetes tipo 2; com placebo, 6%. O estudo, porém, tem uma fraqueza importante: apenas metade dos participantes (50%) permaneceu até o fim, e quem saiu não foi mais acompanhado. Os resultados devem, portanto, ser lidos com cautela.</w:t>
      </w:r>
    </w:p>
    <w:p>
      <w:pPr>
        <w:pStyle w:val="BodyText"/>
      </w:pPr>
      <w:r>
        <w:t xml:space="preserve">Em pessoas com diabetes tipo 2, a perda de peso foi menor</w:t>
      </w:r>
      <w:r>
        <w:rPr>
          <w:rStyle w:val="FootnoteReference"/>
        </w:rPr>
        <w:footnoteReference w:id="309"/>
      </w:r>
      <w:r>
        <w:t xml:space="preserve"> </w:t>
      </w:r>
      <w:r>
        <w:t xml:space="preserve">– um padrão que se repete em todos os medicamentos GLP-1. No SCALE Maintenance</w:t>
      </w:r>
      <w:r>
        <w:rPr>
          <w:rStyle w:val="FootnoteReference"/>
        </w:rPr>
        <w:footnoteReference w:id="310"/>
      </w:r>
      <w:r>
        <w:t xml:space="preserve">, a liraglutida ajudou a manter o peso após uma fase de dieta: 81,4% mantiveram a perda de peso alcançada antes, contra 48,9% com placebo.</w:t>
      </w:r>
    </w:p>
    <w:p>
      <w:pPr>
        <w:pStyle w:val="BodyText"/>
      </w:pPr>
      <w:r>
        <w:t xml:space="preserve">Em retrospecto, o efeito da liraglutida sobre o peso parece modesto, desde que a semaglutida e a tirzepatida alcançam em média de 15 a mais de 20%. Para sua época, foi um avanço: nenhum medicamento aprovado anteriormente havia mostrado valores semelhantes em estudos desse porte.</w:t>
      </w:r>
    </w:p>
    <w:bookmarkEnd w:id="311"/>
    <w:bookmarkStart w:id="315" w:name="crianças-e-adolescentes"/>
    <w:p>
      <w:pPr>
        <w:pStyle w:val="Heading4"/>
      </w:pPr>
      <w:r>
        <w:t xml:space="preserve">Crianças e adolescentes</w:t>
      </w:r>
    </w:p>
    <w:p>
      <w:pPr>
        <w:pStyle w:val="FirstParagraph"/>
      </w:pPr>
      <w:r>
        <w:t xml:space="preserve">A liraglutida é uma das poucas substâncias desta classe estudadas especificamente em crianças e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crianças e adolescentes (10 a menos de 17 anos) com diabetes tipo 2, ECR contra placebo</w:t>
            </w:r>
          </w:p>
        </w:tc>
        <w:tc>
          <w:tcPr/>
          <w:p>
            <w:pPr>
              <w:pStyle w:val="Compact"/>
              <w:jc w:val="left"/>
            </w:pPr>
            <w:r>
              <w:t xml:space="preserve">52 semanas</w:t>
            </w:r>
          </w:p>
        </w:tc>
        <w:tc>
          <w:tcPr/>
          <w:p>
            <w:pPr>
              <w:pStyle w:val="Compact"/>
              <w:jc w:val="left"/>
            </w:pPr>
            <w:r>
              <w:t xml:space="preserve">HbA1c −1,06 ponto percentual em relação ao placebo após 26 semanas, −1,30 após 52 semanas</w:t>
            </w:r>
          </w:p>
        </w:tc>
      </w:tr>
      <w:tr>
        <w:tc>
          <w:tcPr/>
          <w:p>
            <w:pPr>
              <w:pStyle w:val="Compact"/>
              <w:jc w:val="left"/>
            </w:pPr>
            <w:r>
              <w:t xml:space="preserve">SCALE Teens (Kelly 2020), PMID 32233338</w:t>
            </w:r>
          </w:p>
        </w:tc>
        <w:tc>
          <w:tcPr/>
          <w:p>
            <w:pPr>
              <w:pStyle w:val="Compact"/>
              <w:jc w:val="left"/>
            </w:pPr>
            <w:r>
              <w:t xml:space="preserve">251 adolescentes (12 a menos de 18 anos) com obesidade, ECR contra placebo</w:t>
            </w:r>
          </w:p>
        </w:tc>
        <w:tc>
          <w:tcPr/>
          <w:p>
            <w:pPr>
              <w:pStyle w:val="Compact"/>
              <w:jc w:val="left"/>
            </w:pPr>
            <w:r>
              <w:t xml:space="preserve">56 semanas</w:t>
            </w:r>
          </w:p>
        </w:tc>
        <w:tc>
          <w:tcPr/>
          <w:p>
            <w:pPr>
              <w:pStyle w:val="Compact"/>
              <w:jc w:val="left"/>
            </w:pPr>
            <w:r>
              <w:t xml:space="preserve">redução do IMC ≥ 5% em 43,3% vs. 18,7%; peso −4,50 kg em relação ao placebo</w:t>
            </w:r>
          </w:p>
        </w:tc>
      </w:tr>
      <w:tr>
        <w:tc>
          <w:tcPr/>
          <w:p>
            <w:pPr>
              <w:pStyle w:val="Compact"/>
              <w:jc w:val="left"/>
            </w:pPr>
            <w:r>
              <w:t xml:space="preserve">SCALE Kids (Fox 2025), PMID 39258838</w:t>
            </w:r>
          </w:p>
        </w:tc>
        <w:tc>
          <w:tcPr/>
          <w:p>
            <w:pPr>
              <w:pStyle w:val="Compact"/>
              <w:jc w:val="left"/>
            </w:pPr>
            <w:r>
              <w:t xml:space="preserve">82 crianças (6 a menos de 12 anos) com obesidade, ECR contra placebo</w:t>
            </w:r>
          </w:p>
        </w:tc>
        <w:tc>
          <w:tcPr/>
          <w:p>
            <w:pPr>
              <w:pStyle w:val="Compact"/>
              <w:jc w:val="left"/>
            </w:pPr>
            <w:r>
              <w:t xml:space="preserve">56 semanas</w:t>
            </w:r>
          </w:p>
        </w:tc>
        <w:tc>
          <w:tcPr/>
          <w:p>
            <w:pPr>
              <w:pStyle w:val="Compact"/>
              <w:jc w:val="left"/>
            </w:pPr>
            <w:r>
              <w:t xml:space="preserve">IMC −5,8% vs. +1,6%</w:t>
            </w:r>
          </w:p>
        </w:tc>
      </w:tr>
    </w:tbl>
    <w:p>
      <w:pPr>
        <w:pStyle w:val="BodyText"/>
      </w:pPr>
      <w:r>
        <w:t xml:space="preserve">No SCALE Teens</w:t>
      </w:r>
      <w:r>
        <w:rPr>
          <w:rStyle w:val="FootnoteReference"/>
        </w:rPr>
        <w:footnoteReference w:id="312"/>
      </w:r>
      <w:r>
        <w:t xml:space="preserve">, após a suspensão houve um novo aumento do IMC, maior do que com placebo. Queixas gastrointestinais afetaram 64,8% contra 36,5%; 10,4% interromperam o tratamento por efeitos colaterais. No grupo da liraglutida houve um suicídio, que os investigadores classificaram como provavelmente não relacionado ao tratamento.</w:t>
      </w:r>
    </w:p>
    <w:p>
      <w:pPr>
        <w:pStyle w:val="BodyText"/>
      </w:pPr>
      <w:r>
        <w:t xml:space="preserve">No SCALE Kids</w:t>
      </w:r>
      <w:r>
        <w:rPr>
          <w:rStyle w:val="FootnoteReference"/>
        </w:rPr>
        <w:footnoteReference w:id="313"/>
      </w:r>
      <w:r>
        <w:t xml:space="preserve">, o peso corporal das crianças em crescimento aumentou em média 1,6% com liraglutida e 10,0% com placebo. Queixas gastrointestinais ocorreram em 80% contra 54%, e eventos adversos graves em 12% contra 8%. Em crianças, coloca-se de modo especial a questão de quanto tempo esse tratamento deve durar e quais efeitos de longo prazo existem sobre o crescimento e os ossos. Sobre isso, está em andamento, entre outros, um estudo sobre o metabolismo ósseo em jovens de 12 a 21 anos em terapia com GLP-1</w:t>
      </w:r>
      <w:r>
        <w:rPr>
          <w:rStyle w:val="FootnoteReference"/>
        </w:rPr>
        <w:footnoteReference w:id="314"/>
      </w:r>
      <w:r>
        <w:t xml:space="preserve">.</w:t>
      </w:r>
    </w:p>
    <w:bookmarkEnd w:id="315"/>
    <w:bookmarkStart w:id="319" w:name="outras-áreas-de-uso-em-estudos-1"/>
    <w:p>
      <w:pPr>
        <w:pStyle w:val="Heading4"/>
      </w:pPr>
      <w:r>
        <w:t xml:space="preserve">Outras áreas de uso em estudos</w:t>
      </w:r>
    </w:p>
    <w:p>
      <w:pPr>
        <w:numPr>
          <w:ilvl w:val="0"/>
          <w:numId w:val="1043"/>
        </w:numPr>
        <w:pStyle w:val="Compact"/>
      </w:pPr>
      <w:r>
        <w:rPr>
          <w:bCs/>
          <w:b/>
        </w:rPr>
        <w:t xml:space="preserve">Esteato-hepatite (NASH/MASH):</w:t>
      </w:r>
      <w:r>
        <w:t xml:space="preserve"> </w:t>
      </w:r>
      <w:r>
        <w:t xml:space="preserve">no pequeno estudo de fase 2 LEAN, com 52 participantes, a inflamação regrediu na biópsia hepática em 39% com liraglutida e em 9% com placebo; uma progressão da cicatrização (fibrose) foi mais rara (9% vs. 36%)</w:t>
      </w:r>
      <w:r>
        <w:rPr>
          <w:rStyle w:val="FootnoteReference"/>
        </w:rPr>
        <w:footnoteReference w:id="316"/>
      </w:r>
      <w:r>
        <w:t xml:space="preserve">. Estudos maiores foram feitos mais tarde com semaglutida.</w:t>
      </w:r>
    </w:p>
    <w:p>
      <w:pPr>
        <w:numPr>
          <w:ilvl w:val="0"/>
          <w:numId w:val="1043"/>
        </w:numPr>
        <w:pStyle w:val="Compact"/>
      </w:pPr>
      <w:r>
        <w:rPr>
          <w:bCs/>
          <w:b/>
        </w:rPr>
        <w:t xml:space="preserve">Doença de Alzheimer:</w:t>
      </w:r>
      <w:r>
        <w:t xml:space="preserve"> </w:t>
      </w:r>
      <w:r>
        <w:t xml:space="preserve">no estudo de fase 2b ELAD, com 204 pessoas sem diabetes, o desfecho principal, o metabolismo da glicose no cérebro, não se alterou</w:t>
      </w:r>
      <w:r>
        <w:rPr>
          <w:rStyle w:val="FootnoteReference"/>
        </w:rPr>
        <w:footnoteReference w:id="317"/>
      </w:r>
      <w:r>
        <w:t xml:space="preserve">. Em um desfecho secundário sobre funções executivas, a liraglutida teve resultado melhor; em habilidades da vida diária e gravidade da demência, não. Desfechos secundários sem correção para testes múltiplos são apenas indícios.</w:t>
      </w:r>
    </w:p>
    <w:p>
      <w:pPr>
        <w:numPr>
          <w:ilvl w:val="0"/>
          <w:numId w:val="1043"/>
        </w:numPr>
        <w:pStyle w:val="Compact"/>
      </w:pPr>
      <w:r>
        <w:rPr>
          <w:bCs/>
          <w:b/>
        </w:rPr>
        <w:t xml:space="preserve">Álcool e outros vícios:</w:t>
      </w:r>
      <w:r>
        <w:t xml:space="preserve"> </w:t>
      </w:r>
      <w:r>
        <w:t xml:space="preserve">em um estudo de registro sueco com 227.866 pessoas com dependência de álcool, o uso de liraglutida esteve associado a um risco 28% menor de internações relacionadas ao álcool</w:t>
      </w:r>
      <w:r>
        <w:rPr>
          <w:rStyle w:val="FootnoteReference"/>
        </w:rPr>
        <w:footnoteReference w:id="318"/>
      </w:r>
      <w:r>
        <w:t xml:space="preserve">. Dados observacionais desse tipo mostram associações, não relações de causa e efeito.</w:t>
      </w:r>
    </w:p>
    <w:bookmarkEnd w:id="319"/>
    <w:bookmarkEnd w:id="320"/>
    <w:bookmarkStart w:id="323" w:name="estudos-em-animais-e-em-laboratório-1"/>
    <w:p>
      <w:pPr>
        <w:pStyle w:val="Heading3"/>
      </w:pPr>
      <w:r>
        <w:t xml:space="preserve">Estudos em animais e em laboratório</w:t>
      </w:r>
    </w:p>
    <w:p>
      <w:pPr>
        <w:pStyle w:val="FirstParagraph"/>
      </w:pPr>
      <w:r>
        <w:t xml:space="preserve">Grande parte da compreensão atual do efeito do GLP-1 no cérebro vem de experimentos em animais com liraglutida. Em ratos e camundongos, mostrou-se que a molécula, apesar de seu tamanho, alcança determinadas regiões cerebrais sem barreira hematoencefálica densa e ali estimula neurônios que inibem o apetite</w:t>
      </w:r>
      <w:r>
        <w:rPr>
          <w:rStyle w:val="FootnoteReference"/>
        </w:rPr>
        <w:footnoteReference w:id="321"/>
      </w:r>
      <w:r>
        <w:t xml:space="preserve">.</w:t>
      </w:r>
    </w:p>
    <w:p>
      <w:pPr>
        <w:pStyle w:val="BodyText"/>
      </w:pPr>
      <w:r>
        <w:t xml:space="preserve">Particularmente cheios de consequências foram os achados sobre a tireoide. Em experimentos de longo prazo com ratos e camundongos, a liraglutida levou a uma proliferação das células C (que produzem o hormônio calcitonina) e a tumores de células C. A investigação do mecanismo revelou que as células C dos roedores têm muitos receptores de GLP-1, ao passo que as de humanos e macacos quase não têm</w:t>
      </w:r>
      <w:r>
        <w:rPr>
          <w:rStyle w:val="FootnoteReference"/>
        </w:rPr>
        <w:footnoteReference w:id="322"/>
      </w:r>
      <w:r>
        <w:t xml:space="preserve">. Em macacos cinomolgos, 20 meses de liraglutida com uma exposição mais de 60 vezes maior que a humana não levaram a proliferação de células C. Ainda assim, desde então consta para toda a classe uma advertência sobre o carcinoma medular de tireoide na bula para profissionais, especialmente nos EUA.</w:t>
      </w:r>
    </w:p>
    <w:p>
      <w:pPr>
        <w:pStyle w:val="BodyText"/>
      </w:pPr>
      <w:r>
        <w:t xml:space="preserve">Outros estudos em animais trataram de proteção cardíaca, neuroproteção (modelos de Alzheimer e Parkinson), esteatose hepática e danos renais. A transposição para seres humanos, como no caso da exenatida, é limitada: o estudo de Alzheimer ELAD, por exemplo, não atingiu seu desfecho principal, embora os dados em animais fossem positivos.</w:t>
      </w:r>
    </w:p>
    <w:bookmarkEnd w:id="323"/>
    <w:bookmarkStart w:id="333" w:name="riscos-e-efeitos-colaterais-1"/>
    <w:p>
      <w:pPr>
        <w:pStyle w:val="Heading3"/>
      </w:pPr>
      <w:r>
        <w:t xml:space="preserve">Riscos e efeitos colaterais</w:t>
      </w:r>
    </w:p>
    <w:p>
      <w:pPr>
        <w:pStyle w:val="FirstParagraph"/>
      </w:pPr>
      <w:r>
        <w:rPr>
          <w:bCs/>
          <w:b/>
        </w:rPr>
        <w:t xml:space="preserve">Comprovados em estudos randomizados:</w:t>
      </w:r>
    </w:p>
    <w:p>
      <w:pPr>
        <w:numPr>
          <w:ilvl w:val="0"/>
          <w:numId w:val="1044"/>
        </w:numPr>
        <w:pStyle w:val="Compact"/>
      </w:pPr>
      <w:r>
        <w:rPr>
          <w:bCs/>
          <w:b/>
        </w:rPr>
        <w:t xml:space="preserve">Queixas gastrointestinais:</w:t>
      </w:r>
      <w:r>
        <w:t xml:space="preserve"> </w:t>
      </w:r>
      <w:r>
        <w:t xml:space="preserve">náuseas, diarreia, vômitos e prisão de ventre são os efeitos colaterais mais comuns e geralmente o motivo de interrupção do tratamento</w:t>
      </w:r>
      <w:r>
        <w:rPr>
          <w:rStyle w:val="FootnoteReference"/>
        </w:rPr>
        <w:footnoteReference w:id="324"/>
      </w:r>
      <w:r>
        <w:t xml:space="preserve">. Ocorrem sobretudo no início e após aumentos de dose. Com a dose mais alta para obesidade, são mais frequentes do que com a dose para diabetes</w:t>
      </w:r>
      <w:r>
        <w:rPr>
          <w:rStyle w:val="FootnoteReference"/>
        </w:rPr>
        <w:footnoteReference w:id="325"/>
      </w:r>
      <w:r>
        <w:t xml:space="preserve">.</w:t>
      </w:r>
    </w:p>
    <w:p>
      <w:pPr>
        <w:numPr>
          <w:ilvl w:val="0"/>
          <w:numId w:val="1044"/>
        </w:numPr>
        <w:pStyle w:val="Compact"/>
      </w:pPr>
      <w:r>
        <w:rPr>
          <w:bCs/>
          <w:b/>
        </w:rPr>
        <w:t xml:space="preserve">Vesícula biliar:</w:t>
      </w:r>
      <w:r>
        <w:t xml:space="preserve"> </w:t>
      </w:r>
      <w:r>
        <w:t xml:space="preserve">uma metanálise de 76 estudos randomizados com 103.371 participantes encontrou, para a classe GLP-1, um risco relativo 37% maior de doenças da vesícula e das vias biliares, como cálculos biliares e inflamação da vesícula</w:t>
      </w:r>
      <w:r>
        <w:rPr>
          <w:rStyle w:val="FootnoteReference"/>
        </w:rPr>
        <w:footnoteReference w:id="326"/>
      </w:r>
      <w:r>
        <w:t xml:space="preserve">. O risco era maior com doses mais altas, uso mais prolongado e em estudos de perda de peso (risco relativo 2,29). Parte disso deve estar ligada à própria perda de peso rápida.</w:t>
      </w:r>
    </w:p>
    <w:p>
      <w:pPr>
        <w:numPr>
          <w:ilvl w:val="0"/>
          <w:numId w:val="1044"/>
        </w:numPr>
        <w:pStyle w:val="Compact"/>
      </w:pPr>
      <w:r>
        <w:rPr>
          <w:bCs/>
          <w:b/>
        </w:rPr>
        <w:t xml:space="preserve">Hipoglicemia:</w:t>
      </w:r>
      <w:r>
        <w:t xml:space="preserve"> </w:t>
      </w:r>
      <w:r>
        <w:t xml:space="preserve">rara com a substância isolada, mais frequente em combinação com sulfonilureias ou insulina.</w:t>
      </w:r>
    </w:p>
    <w:p>
      <w:pPr>
        <w:numPr>
          <w:ilvl w:val="0"/>
          <w:numId w:val="1044"/>
        </w:numPr>
        <w:pStyle w:val="Compact"/>
      </w:pPr>
      <w:r>
        <w:rPr>
          <w:bCs/>
          <w:b/>
        </w:rPr>
        <w:t xml:space="preserve">Frequência cardíaca:</w:t>
      </w:r>
      <w:r>
        <w:t xml:space="preserve"> </w:t>
      </w:r>
      <w:r>
        <w:t xml:space="preserve">a liraglutida aumenta levemente o pulso em repouso, em alguns batimentos por minuto; a relevância clínica é considerada pequena diante dos resultados do LEADER.</w:t>
      </w:r>
    </w:p>
    <w:p>
      <w:pPr>
        <w:pStyle w:val="FirstParagraph"/>
      </w:pPr>
      <w:r>
        <w:rPr>
          <w:bCs/>
          <w:b/>
        </w:rPr>
        <w:t xml:space="preserve">Investigados, mas incertos ou não confirmados:</w:t>
      </w:r>
    </w:p>
    <w:p>
      <w:pPr>
        <w:numPr>
          <w:ilvl w:val="0"/>
          <w:numId w:val="1045"/>
        </w:numPr>
        <w:pStyle w:val="Compact"/>
      </w:pPr>
      <w:r>
        <w:rPr>
          <w:bCs/>
          <w:b/>
        </w:rPr>
        <w:t xml:space="preserve">Pancreatite:</w:t>
      </w:r>
      <w:r>
        <w:t xml:space="preserve"> </w:t>
      </w:r>
      <w:r>
        <w:t xml:space="preserve">no LEADER, não ocorreu com mais frequência com liraglutida do que com placebo</w:t>
      </w:r>
      <w:r>
        <w:rPr>
          <w:rStyle w:val="FootnoteReference"/>
        </w:rPr>
        <w:footnoteReference w:id="327"/>
      </w:r>
      <w:r>
        <w:t xml:space="preserve">. Uma metanálise mais antiga também não encontrou risco aumentado</w:t>
      </w:r>
      <w:r>
        <w:rPr>
          <w:rStyle w:val="FootnoteReference"/>
        </w:rPr>
        <w:footnoteReference w:id="328"/>
      </w:r>
      <w:r>
        <w:t xml:space="preserve">. A bula para profissionais ainda a lista como efeito colateral raro; em caso de dor abdominal forte e persistente, é necessária avaliação médica.</w:t>
      </w:r>
    </w:p>
    <w:p>
      <w:pPr>
        <w:numPr>
          <w:ilvl w:val="0"/>
          <w:numId w:val="1045"/>
        </w:numPr>
        <w:pStyle w:val="Compact"/>
      </w:pPr>
      <w:r>
        <w:rPr>
          <w:bCs/>
          <w:b/>
        </w:rPr>
        <w:t xml:space="preserve">Câncer de tireoide:</w:t>
      </w:r>
      <w:r>
        <w:t xml:space="preserve"> </w:t>
      </w:r>
      <w:r>
        <w:t xml:space="preserve">os achados em animais estão descritos acima. Em seres humanos, os dados são contraditórios. Um estudo caso-controle francês com 2.562 casos encontrou, após um a três anos de terapia com GLP-1, um risco aumentado de câncer de tireoide no geral (HR 1,58) e do raro carcinoma medular (HR 1,78)</w:t>
      </w:r>
      <w:r>
        <w:rPr>
          <w:rStyle w:val="FootnoteReference"/>
        </w:rPr>
        <w:footnoteReference w:id="329"/>
      </w:r>
      <w:r>
        <w:t xml:space="preserve">. Uma metanálise de 50 estudos randomizados também mostrou um sinal (odds ratio 1,55)</w:t>
      </w:r>
      <w:r>
        <w:rPr>
          <w:rStyle w:val="FootnoteReference"/>
        </w:rPr>
        <w:footnoteReference w:id="330"/>
      </w:r>
      <w:r>
        <w:t xml:space="preserve">. Discute-se se parte disso se deve a exames mais frequentes nas pessoas tratadas. Pessoas com histórico pessoal ou familiar de carcinoma medular de tireoide não devem usar agonistas do receptor de GLP-1, segundo a bula para profissionais.</w:t>
      </w:r>
    </w:p>
    <w:p>
      <w:pPr>
        <w:numPr>
          <w:ilvl w:val="0"/>
          <w:numId w:val="1045"/>
        </w:numPr>
        <w:pStyle w:val="Compact"/>
      </w:pPr>
      <w:r>
        <w:rPr>
          <w:bCs/>
          <w:b/>
        </w:rPr>
        <w:t xml:space="preserve">Efeitos colaterais psíquicos e pensamentos suicidas:</w:t>
      </w:r>
      <w:r>
        <w:t xml:space="preserve"> </w:t>
      </w:r>
      <w:r>
        <w:t xml:space="preserve">após notificações isoladas, as autoridades europeia e norte-americana examinaram em 2023/2024 uma possível relação e não encontraram evidência de relação causal. Em um estudo de coorte escandinavo com 124.517 pessoas em uso de agonistas do receptor de GLP-1, o risco de suicídio não estava aumentado em comparação com os inibidores de SGLT2 (HR 1,25; intervalo de confiança 0,83–1,88)</w:t>
      </w:r>
      <w:r>
        <w:rPr>
          <w:rStyle w:val="FootnoteReference"/>
        </w:rPr>
        <w:footnoteReference w:id="331"/>
      </w:r>
      <w:r>
        <w:t xml:space="preserve">. Uma metanálise de 2026 também não encontrou relação em estudos randomizados</w:t>
      </w:r>
      <w:r>
        <w:rPr>
          <w:rStyle w:val="FootnoteReference"/>
        </w:rPr>
        <w:footnoteReference w:id="332"/>
      </w:r>
      <w:r>
        <w:t xml:space="preserve">. A observação continua sujeita a monitoramento.</w:t>
      </w:r>
    </w:p>
    <w:p>
      <w:pPr>
        <w:pStyle w:val="FirstParagraph"/>
      </w:pPr>
      <w:r>
        <w:rPr>
          <w:bCs/>
          <w:b/>
        </w:rPr>
        <w:t xml:space="preserve">Observações para a prática:</w:t>
      </w:r>
      <w:r>
        <w:t xml:space="preserve"> </w:t>
      </w:r>
      <w:r>
        <w:t xml:space="preserve">a liraglutida não é indicada na gravidez. Como todos os agonistas do receptor de GLP-1, retarda o esvaziamento do estômago, o que pode ter importância em anestesias e na absorção de outros medicamentos. O que vale são a bula para profissionais e o acompanhamento médico, também para o aumento gradual da dose.</w:t>
      </w:r>
    </w:p>
    <w:bookmarkEnd w:id="333"/>
    <w:bookmarkStart w:id="334" w:name="situação-legal-1"/>
    <w:p>
      <w:pPr>
        <w:pStyle w:val="Heading3"/>
      </w:pPr>
      <w:r>
        <w:t xml:space="preserve">Situação legal</w:t>
      </w:r>
    </w:p>
    <w:p>
      <w:pPr>
        <w:numPr>
          <w:ilvl w:val="0"/>
          <w:numId w:val="1046"/>
        </w:numPr>
        <w:pStyle w:val="Compact"/>
      </w:pPr>
      <w:r>
        <w:rPr>
          <w:bCs/>
          <w:b/>
        </w:rPr>
        <w:t xml:space="preserve">UE:</w:t>
      </w:r>
      <w:r>
        <w:t xml:space="preserve"> </w:t>
      </w:r>
      <w:r>
        <w:t xml:space="preserve">o Victoza é aprovado desde 2009 para o tratamento do diabetes tipo 2, e o Saxenda desde 2015 para o controle de peso em adultos e adolescentes. Ambos estão sujeitos a prescrição.</w:t>
      </w:r>
    </w:p>
    <w:p>
      <w:pPr>
        <w:numPr>
          <w:ilvl w:val="0"/>
          <w:numId w:val="1046"/>
        </w:numPr>
        <w:pStyle w:val="Compact"/>
      </w:pPr>
      <w:r>
        <w:rPr>
          <w:bCs/>
          <w:b/>
        </w:rPr>
        <w:t xml:space="preserve">Alemanha:</w:t>
      </w:r>
      <w:r>
        <w:t xml:space="preserve"> </w:t>
      </w:r>
      <w:r>
        <w:t xml:space="preserve">no diabetes, os seguros de saúde públicos reembolsam a liraglutida. Já os medicamentos para redução de peso são, pelo § 34 do SGB V, em princípio excluídos do reembolso; o Saxenda, em regra, precisa ser pago pelos próprios segurados.</w:t>
      </w:r>
    </w:p>
    <w:p>
      <w:pPr>
        <w:numPr>
          <w:ilvl w:val="0"/>
          <w:numId w:val="1046"/>
        </w:numPr>
        <w:pStyle w:val="Compact"/>
      </w:pPr>
      <w:r>
        <w:rPr>
          <w:bCs/>
          <w:b/>
        </w:rPr>
        <w:t xml:space="preserve">Áustria:</w:t>
      </w:r>
      <w:r>
        <w:t xml:space="preserve"> </w:t>
      </w:r>
      <w:r>
        <w:t xml:space="preserve">sujeita a prescrição; a cobertura de custos para o controle de peso é restrita e sujeita a condições (verificar atualização).</w:t>
      </w:r>
    </w:p>
    <w:p>
      <w:pPr>
        <w:numPr>
          <w:ilvl w:val="0"/>
          <w:numId w:val="1046"/>
        </w:numPr>
        <w:pStyle w:val="Compact"/>
      </w:pPr>
      <w:r>
        <w:rPr>
          <w:bCs/>
          <w:b/>
        </w:rPr>
        <w:t xml:space="preserve">EUA:</w:t>
      </w:r>
      <w:r>
        <w:t xml:space="preserve"> </w:t>
      </w:r>
      <w:r>
        <w:t xml:space="preserve">Victoza e Saxenda aprovados, o Victoza também para redução do risco cardiovascular. Desde 2024 há genéricos da forma para diabetes no mercado, e desde 2025 também da forma para obesidade.</w:t>
      </w:r>
    </w:p>
    <w:p>
      <w:pPr>
        <w:numPr>
          <w:ilvl w:val="0"/>
          <w:numId w:val="1046"/>
        </w:numPr>
        <w:pStyle w:val="Compact"/>
      </w:pPr>
      <w:r>
        <w:rPr>
          <w:bCs/>
          <w:b/>
        </w:rPr>
        <w:t xml:space="preserve">Genéricos na Europa:</w:t>
      </w:r>
      <w:r>
        <w:t xml:space="preserve"> </w:t>
      </w:r>
      <w:r>
        <w:t xml:space="preserve">como a liraglutida é um peptídeo que pode ser produzido por síntese ou por engenharia genética e cuja proteção de patente expirou, preparações genéricas também chegam ao mercado na Europa. A situação varia de país para país; verificar atualização.</w:t>
      </w:r>
    </w:p>
    <w:p>
      <w:pPr>
        <w:numPr>
          <w:ilvl w:val="0"/>
          <w:numId w:val="1046"/>
        </w:numPr>
        <w:pStyle w:val="Compact"/>
      </w:pPr>
      <w:r>
        <w:rPr>
          <w:bCs/>
          <w:b/>
        </w:rPr>
        <w:t xml:space="preserve">Esporte (WADA):</w:t>
      </w:r>
      <w:r>
        <w:t xml:space="preserve"> </w:t>
      </w:r>
      <w:r>
        <w:t xml:space="preserve">não listada (situação em 2026, verificar atualização).</w:t>
      </w:r>
    </w:p>
    <w:p>
      <w:pPr>
        <w:pStyle w:val="FirstParagraph"/>
      </w:pPr>
      <w:r>
        <w:t xml:space="preserve">Os genéricos tornam a liraglutida um caso especial da classe: é a primeira substância GLP-1 com benefício cardiovascular comprovado que pode ficar bem mais barata. Isso é importante sobretudo em países com orçamentos de saúde limitados, ainda que a injeção diária e o efeito menor em comparação com a semaglutida continuem sendo desvantagens. Mais sobre vencimento de patentes e preços na Parte V.</w:t>
      </w:r>
    </w:p>
    <w:bookmarkEnd w:id="334"/>
    <w:bookmarkStart w:id="340" w:name="estudos-em-andamento-e-perspectivas-1"/>
    <w:p>
      <w:pPr>
        <w:pStyle w:val="Heading3"/>
      </w:pPr>
      <w:r>
        <w:t xml:space="preserve">Estudos em andamento e perspectivas</w:t>
      </w:r>
    </w:p>
    <w:p>
      <w:pPr>
        <w:pStyle w:val="FirstParagraph"/>
      </w:pPr>
      <w:r>
        <w:rPr>
          <w:bCs/>
          <w:b/>
        </w:rPr>
        <w:t xml:space="preserve">Confirmado (estudos registrados):</w:t>
      </w:r>
      <w:r>
        <w:t xml:space="preserve"> </w:t>
      </w:r>
      <w:r>
        <w:t xml:space="preserve">quase não há mais novos estudos de aprovação da Novo Nordisk; a pesquisa é conduzida principalmente por clínicas e universidades. Exemplos:</w:t>
      </w:r>
    </w:p>
    <w:p>
      <w:pPr>
        <w:numPr>
          <w:ilvl w:val="0"/>
          <w:numId w:val="1047"/>
        </w:numPr>
        <w:pStyle w:val="Compact"/>
      </w:pPr>
      <w:r>
        <w:t xml:space="preserve">Um estudo com 890 mulheres com obesidade, desejo de engravidar não realizado e síndrome dos ovários policísticos (SOP) testa a liraglutida antes de um tratamento de fertilidade</w:t>
      </w:r>
      <w:r>
        <w:rPr>
          <w:rStyle w:val="FootnoteReference"/>
        </w:rPr>
        <w:footnoteReference w:id="335"/>
      </w:r>
      <w:r>
        <w:t xml:space="preserve">.</w:t>
      </w:r>
    </w:p>
    <w:p>
      <w:pPr>
        <w:numPr>
          <w:ilvl w:val="0"/>
          <w:numId w:val="1047"/>
        </w:numPr>
        <w:pStyle w:val="Compact"/>
      </w:pPr>
      <w:r>
        <w:t xml:space="preserve">Um estudo de fase 3 com 260 pessoas idosas com diabetes investiga se a liraglutida pode prevenir delirium após cirurgias cardíacas</w:t>
      </w:r>
      <w:r>
        <w:rPr>
          <w:rStyle w:val="FootnoteReference"/>
        </w:rPr>
        <w:footnoteReference w:id="336"/>
      </w:r>
      <w:r>
        <w:t xml:space="preserve">.</w:t>
      </w:r>
    </w:p>
    <w:p>
      <w:pPr>
        <w:numPr>
          <w:ilvl w:val="0"/>
          <w:numId w:val="1047"/>
        </w:numPr>
        <w:pStyle w:val="Compact"/>
      </w:pPr>
      <w:r>
        <w:t xml:space="preserve">Em uma forma hereditária de diabetes (MODY), a liraglutida está sendo estudada em um estudo de fase 2</w:t>
      </w:r>
      <w:r>
        <w:rPr>
          <w:rStyle w:val="FootnoteReference"/>
        </w:rPr>
        <w:footnoteReference w:id="337"/>
      </w:r>
      <w:r>
        <w:t xml:space="preserve">.</w:t>
      </w:r>
    </w:p>
    <w:p>
      <w:pPr>
        <w:numPr>
          <w:ilvl w:val="0"/>
          <w:numId w:val="1047"/>
        </w:numPr>
        <w:pStyle w:val="Compact"/>
      </w:pPr>
      <w:r>
        <w:t xml:space="preserve">Um grande estudo pragmático com 6.000 participantes compara estratégias de tratamento para prevenir doenças cardíacas e renais no diabetes tipo 2</w:t>
      </w:r>
      <w:r>
        <w:rPr>
          <w:rStyle w:val="FootnoteReference"/>
        </w:rPr>
        <w:footnoteReference w:id="338"/>
      </w:r>
      <w:r>
        <w:t xml:space="preserve">.</w:t>
      </w:r>
    </w:p>
    <w:p>
      <w:pPr>
        <w:numPr>
          <w:ilvl w:val="0"/>
          <w:numId w:val="1047"/>
        </w:numPr>
        <w:pStyle w:val="Compact"/>
      </w:pPr>
      <w:r>
        <w:t xml:space="preserve">O acompanhamento de longo prazo dos participantes do SCALE Kids continua</w:t>
      </w:r>
      <w:r>
        <w:rPr>
          <w:rStyle w:val="FootnoteReference"/>
        </w:rPr>
        <w:footnoteReference w:id="339"/>
      </w:r>
      <w:r>
        <w:t xml:space="preserve">.</w:t>
      </w:r>
    </w:p>
    <w:p>
      <w:pPr>
        <w:pStyle w:val="FirstParagraph"/>
      </w:pPr>
      <w:r>
        <w:rPr>
          <w:bCs/>
          <w:b/>
        </w:rPr>
        <w:t xml:space="preserve">Avaliação:</w:t>
      </w:r>
      <w:r>
        <w:t xml:space="preserve"> </w:t>
      </w:r>
      <w:r>
        <w:t xml:space="preserve">nos países ricos, a liraglutida vem sendo cada vez mais substituída por substâncias semanais, como semaglutida e tirzepatida. Com os genéricos, porém, ela deve viver uma segunda carreira como alternativa de baixo custo – sobretudo onde os medicamentos mais novos não são acessíveis ou não estão disponíveis. Cientificamente, continua sendo um importante padrão de comparação.</w:t>
      </w:r>
    </w:p>
    <w:bookmarkEnd w:id="340"/>
    <w:bookmarkStart w:id="341" w:name="conclusão-1"/>
    <w:p>
      <w:pPr>
        <w:pStyle w:val="Heading3"/>
      </w:pPr>
      <w:r>
        <w:t xml:space="preserve">Conclusão</w:t>
      </w:r>
    </w:p>
    <w:p>
      <w:pPr>
        <w:pStyle w:val="FirstParagraph"/>
      </w:pPr>
      <w:r>
        <w:t xml:space="preserve">A liraglutida foi a primeira substância GLP-1 quase idêntica à humana e a primeira para a qual um grande estudo mostrou proteção contra eventos cardiovasculares (LEADER, 9.340 participantes, redução relativa do risco de 13%). Como Saxenda, foi o primeiro medicamento GLP-1 para redução de peso; em média, participantes sem diabetes perderam cerca de 8 kg em um ano. Na comparação direta, é superior à exenatida, equivalente à dulaglutida e claramente inferior à semaglutida. Os efeitos colaterais mais comuns são queixas gastrointestinais, além de um risco aumentado na vesícula biliar; a questão do câncer de tireoide não está definitivamente esclarecida. Com o vencimento da proteção de patente, ela se torna a primeira opção de baixo custo da classe – o tratamento, ainda assim, deve ficar nas mãos de um médico.</w:t>
      </w:r>
    </w:p>
    <w:bookmarkEnd w:id="341"/>
    <w:bookmarkEnd w:id="342"/>
    <w:bookmarkStart w:id="402" w:name="dulaglutida"/>
    <w:p>
      <w:pPr>
        <w:pStyle w:val="Heading2"/>
      </w:pPr>
      <w:r>
        <w:t xml:space="preserve">Dulaglutida</w:t>
      </w:r>
    </w:p>
    <w:bookmarkStart w:id="344" w:name="ficha-técnica-2"/>
    <w:p>
      <w:pPr>
        <w:pStyle w:val="Heading3"/>
      </w:pPr>
      <w:r>
        <w:t xml:space="preserve">Ficha técnica</w:t>
      </w:r>
    </w:p>
    <w:p>
      <w:pPr>
        <w:numPr>
          <w:ilvl w:val="0"/>
          <w:numId w:val="1048"/>
        </w:numPr>
        <w:pStyle w:val="Compact"/>
      </w:pPr>
      <w:r>
        <w:rPr>
          <w:bCs/>
          <w:b/>
        </w:rPr>
        <w:t xml:space="preserve">Tipo/estrutura:</w:t>
      </w:r>
      <w:r>
        <w:t xml:space="preserve"> </w:t>
      </w:r>
      <w:r>
        <w:t xml:space="preserve">proteína de fusão. Duas cadeias de GLP-1 levemente modificadas estão acopladas, por meio de um curto conector, à parte constante (porção Fc) de um anticorpo humano do tipo IgG4. A dulaglutida é, portanto, muitas vezes maior que a liraglutida – a rigor, mais uma proteína do que um pequeno peptídeo.</w:t>
      </w:r>
    </w:p>
    <w:p>
      <w:pPr>
        <w:numPr>
          <w:ilvl w:val="0"/>
          <w:numId w:val="1048"/>
        </w:numPr>
        <w:pStyle w:val="Compact"/>
      </w:pPr>
      <w:r>
        <w:rPr>
          <w:bCs/>
          <w:b/>
        </w:rPr>
        <w:t xml:space="preserve">Origem:</w:t>
      </w:r>
      <w:r>
        <w:t xml:space="preserve"> </w:t>
      </w:r>
      <w:r>
        <w:t xml:space="preserve">desenvolvida pela Eli Lilly, produzida por engenharia genética em células de mamíferos</w:t>
      </w:r>
      <w:r>
        <w:rPr>
          <w:rStyle w:val="FootnoteReference"/>
        </w:rPr>
        <w:footnoteReference w:id="343"/>
      </w:r>
      <w:r>
        <w:t xml:space="preserve">.</w:t>
      </w:r>
    </w:p>
    <w:p>
      <w:pPr>
        <w:numPr>
          <w:ilvl w:val="0"/>
          <w:numId w:val="1048"/>
        </w:numPr>
        <w:pStyle w:val="Compact"/>
      </w:pPr>
      <w:r>
        <w:rPr>
          <w:bCs/>
          <w:b/>
        </w:rPr>
        <w:t xml:space="preserve">Mecanismo de ação:</w:t>
      </w:r>
      <w:r>
        <w:t xml:space="preserve"> </w:t>
      </w:r>
      <w:r>
        <w:t xml:space="preserve">agonista do receptor de GLP-1. A parte de anticorpo protege contra a degradação e a eliminação pelos rins; basta uma injeção por semana.</w:t>
      </w:r>
    </w:p>
    <w:p>
      <w:pPr>
        <w:numPr>
          <w:ilvl w:val="0"/>
          <w:numId w:val="1048"/>
        </w:numPr>
        <w:pStyle w:val="Compact"/>
      </w:pPr>
      <w:r>
        <w:rPr>
          <w:bCs/>
          <w:b/>
        </w:rPr>
        <w:t xml:space="preserve">Preparação:</w:t>
      </w:r>
      <w:r>
        <w:t xml:space="preserve"> </w:t>
      </w:r>
      <w:r>
        <w:t xml:space="preserve">Trulicity (caneta preenchida, semanal; concentrações aprovadas até 4,5 mg).</w:t>
      </w:r>
    </w:p>
    <w:p>
      <w:pPr>
        <w:numPr>
          <w:ilvl w:val="0"/>
          <w:numId w:val="1048"/>
        </w:numPr>
        <w:pStyle w:val="Compact"/>
      </w:pPr>
      <w:r>
        <w:rPr>
          <w:bCs/>
          <w:b/>
        </w:rPr>
        <w:t xml:space="preserve">Aprovação UE:</w:t>
      </w:r>
      <w:r>
        <w:t xml:space="preserve"> </w:t>
      </w:r>
      <w:r>
        <w:t xml:space="preserve">sim, diabetes tipo 2 em adultos e adolescentes a partir de 10 anos. Sem aprovação para redução de peso.</w:t>
      </w:r>
    </w:p>
    <w:p>
      <w:pPr>
        <w:numPr>
          <w:ilvl w:val="0"/>
          <w:numId w:val="1048"/>
        </w:numPr>
        <w:pStyle w:val="Compact"/>
      </w:pPr>
      <w:r>
        <w:rPr>
          <w:bCs/>
          <w:b/>
        </w:rPr>
        <w:t xml:space="preserve">Aprovação EUA:</w:t>
      </w:r>
      <w:r>
        <w:t xml:space="preserve"> </w:t>
      </w:r>
      <w:r>
        <w:t xml:space="preserve">sim, diabetes tipo 2 a partir de 10 anos e redução do risco cardiovascular em adultos com diabetes tipo 2.</w:t>
      </w:r>
    </w:p>
    <w:p>
      <w:pPr>
        <w:numPr>
          <w:ilvl w:val="0"/>
          <w:numId w:val="1048"/>
        </w:numPr>
        <w:pStyle w:val="Compact"/>
      </w:pPr>
      <w:r>
        <w:rPr>
          <w:bCs/>
          <w:b/>
        </w:rPr>
        <w:t xml:space="preserve">WADA:</w:t>
      </w:r>
      <w:r>
        <w:t xml:space="preserve"> </w:t>
      </w:r>
      <w:r>
        <w:t xml:space="preserve">não listada.</w:t>
      </w:r>
    </w:p>
    <w:p>
      <w:pPr>
        <w:numPr>
          <w:ilvl w:val="0"/>
          <w:numId w:val="1048"/>
        </w:numPr>
        <w:pStyle w:val="Compact"/>
      </w:pPr>
      <w:r>
        <w:rPr>
          <w:bCs/>
          <w:b/>
        </w:rPr>
        <w:t xml:space="preserve">Nível de evidência:</w:t>
      </w:r>
      <w:r>
        <w:t xml:space="preserve"> </w:t>
      </w:r>
      <w:r>
        <w:rPr>
          <w:bCs/>
          <w:b/>
        </w:rPr>
        <w:t xml:space="preserve">A</w:t>
      </w:r>
      <w:r>
        <w:t xml:space="preserve"> </w:t>
      </w:r>
      <w:r>
        <w:t xml:space="preserve">– programa de estudos AWARD com mais de dez estudos randomizados de fase 3, estudo de desfechos REWIND, estudo em adolescentes.</w:t>
      </w:r>
    </w:p>
    <w:bookmarkEnd w:id="344"/>
    <w:bookmarkStart w:id="347" w:name="como-deveria-agir-2"/>
    <w:p>
      <w:pPr>
        <w:pStyle w:val="Heading3"/>
      </w:pPr>
      <w:r>
        <w:t xml:space="preserve">Como deveria agir</w:t>
      </w:r>
    </w:p>
    <w:p>
      <w:pPr>
        <w:pStyle w:val="FirstParagraph"/>
      </w:pPr>
      <w:r>
        <w:t xml:space="preserve">A dulaglutida age no receptor de GLP-1 como a exenatida, a liraglutida e a semaglutida: aumenta a liberação de insulina dependente da glicose, freia o hormônio glucagon, retarda o esvaziamento do estômago e reduz o apetite. O mecanismo básico está explicado no capítulo sobre a exenatida.</w:t>
      </w:r>
    </w:p>
    <w:p>
      <w:pPr>
        <w:pStyle w:val="BodyText"/>
      </w:pPr>
      <w:r>
        <w:t xml:space="preserve">A diferença está na</w:t>
      </w:r>
      <w:r>
        <w:t xml:space="preserve"> </w:t>
      </w:r>
      <w:r>
        <w:t xml:space="preserve">“</w:t>
      </w:r>
      <w:r>
        <w:t xml:space="preserve">embalagem</w:t>
      </w:r>
      <w:r>
        <w:t xml:space="preserve">”</w:t>
      </w:r>
      <w:r>
        <w:t xml:space="preserve">. A liraglutida e a semaglutida se ligam a proteínas do sangue por meio de um ácido graxo ligado. A Lilly seguiu outro caminho e acoplou o hormônio à porção Fc de um anticorpo. Esse componente é conhecido da biotecnologia: ele torna as moléculas tão grandes que os rins não conseguem mais filtrá-las e aproveita uma via de reciclagem do próprio corpo, pela qual os anticorpos são protegidos da degradação. Em ratos e macacos cinomolgos, a meia-vida da substância foi de 1,5 a 2 dias; em humanos, é mais longa e permite a aplicação semanal</w:t>
      </w:r>
      <w:r>
        <w:rPr>
          <w:rStyle w:val="FootnoteReference"/>
        </w:rPr>
        <w:footnoteReference w:id="345"/>
      </w:r>
      <w:r>
        <w:t xml:space="preserve">.</w:t>
      </w:r>
    </w:p>
    <w:p>
      <w:pPr>
        <w:pStyle w:val="BodyText"/>
      </w:pPr>
      <w:r>
        <w:t xml:space="preserve">Nas próprias cadeias de GLP-1, alguns aminoácidos foram trocados – em parte para impedir a degradação pela enzima DPP-4, em parte para reduzir a formação de anticorpos contra a substância. De fato, em nove estudos, apenas 1,6% dos tratados com dulaglutida formaram anticorpos contra o medicamento</w:t>
      </w:r>
      <w:r>
        <w:rPr>
          <w:rStyle w:val="FootnoteReference"/>
        </w:rPr>
        <w:footnoteReference w:id="346"/>
      </w:r>
      <w:r>
        <w:t xml:space="preserve"> </w:t>
      </w:r>
      <w:r>
        <w:t xml:space="preserve">– bem menos do que com a exenatida.</w:t>
      </w:r>
    </w:p>
    <w:p>
      <w:pPr>
        <w:pStyle w:val="BodyText"/>
      </w:pPr>
      <w:r>
        <w:t xml:space="preserve">Uma desvantagem do tamanho: a molécula provavelmente chega com mais dificuldade às regiões do cérebro que controlam o apetite. Isso poderia explicar por que a dulaglutida, com redução da glicose comparável, provoca menos perda de peso que a semaglutida. Essa explicação é plausível, mas não está comprovada.</w:t>
      </w:r>
    </w:p>
    <w:bookmarkEnd w:id="347"/>
    <w:bookmarkStart w:id="379" w:name="estudos-em-humanos-2"/>
    <w:p>
      <w:pPr>
        <w:pStyle w:val="Heading3"/>
      </w:pPr>
      <w:r>
        <w:t xml:space="preserve">Estudos em humanos</w:t>
      </w:r>
    </w:p>
    <w:p>
      <w:pPr>
        <w:pStyle w:val="FirstParagraph"/>
      </w:pPr>
      <w:r>
        <w:t xml:space="preserve">A busca no PubMed analisada para este livro (termo</w:t>
      </w:r>
      <w:r>
        <w:t xml:space="preserve"> </w:t>
      </w:r>
      <w:r>
        <w:t xml:space="preserve">“</w:t>
      </w:r>
      <w:r>
        <w:t xml:space="preserve">dulaglutide</w:t>
      </w:r>
      <w:r>
        <w:t xml:space="preserve">”</w:t>
      </w:r>
      <w:r>
        <w:t xml:space="preserve"> </w:t>
      </w:r>
      <w:r>
        <w:t xml:space="preserve">no título ou no resumo, data da busca outubro de 2026) resultou em 158 estudos em humanos; o ClinicalTrials.gov registra 143 entradas. O número é menor que o da liraglutida ou da semaglutida, mas os estudos foram planejados de forma especialmente sistemática: o programa AWARD (Assessment of Weekly AdministRation of LY2189265 in Diabetes) testou a dulaglutida contra quase todas as terapias comuns para diabetes. Chama a atenção, além disso, a frequência com que a própria dulaglutida serve de comparador para substâncias mais novas – da semaglutida à tirzepatida e a novos desenvolvimentos chineses.</w:t>
      </w:r>
    </w:p>
    <w:bookmarkStart w:id="352" w:name="o-programa-award"/>
    <w:p>
      <w:pPr>
        <w:pStyle w:val="Heading4"/>
      </w:pPr>
      <w:r>
        <w:t xml:space="preserve">O programa AWARD</w:t>
      </w:r>
    </w:p>
    <w:p>
      <w:pPr>
        <w:pStyle w:val="FirstParagraph"/>
      </w:pPr>
      <w:r>
        <w:t xml:space="preserve">Na maioria dos estudos AWARD foram testadas as doses de 0,75 e 1,5 mg por semana. A tabela mostra, em cada caso, o resultado da dose mais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 (dulaglutida 1,5 mg vs. comparador)</w:t>
            </w:r>
          </w:p>
        </w:tc>
      </w:tr>
      <w:tr>
        <w:tc>
          <w:tcPr/>
          <w:p>
            <w:pPr>
              <w:pStyle w:val="Compact"/>
              <w:jc w:val="left"/>
            </w:pPr>
            <w:r>
              <w:t xml:space="preserve">AWARD-1 (Wysham 2014), PMID 24879836</w:t>
            </w:r>
          </w:p>
        </w:tc>
        <w:tc>
          <w:tcPr/>
          <w:p>
            <w:pPr>
              <w:pStyle w:val="Compact"/>
              <w:jc w:val="left"/>
            </w:pPr>
            <w:r>
              <w:t xml:space="preserve">diabetes tipo 2 em uso de metformina e pioglitazona; vs. exenatida duas vezes ao dia e placebo</w:t>
            </w:r>
          </w:p>
        </w:tc>
        <w:tc>
          <w:tcPr/>
          <w:p>
            <w:pPr>
              <w:pStyle w:val="Compact"/>
              <w:jc w:val="left"/>
            </w:pPr>
            <w:r>
              <w:t xml:space="preserve">52 semanas (desfecho principal em 26)</w:t>
            </w:r>
          </w:p>
        </w:tc>
        <w:tc>
          <w:tcPr/>
          <w:p>
            <w:pPr>
              <w:pStyle w:val="Compact"/>
              <w:jc w:val="left"/>
            </w:pPr>
            <w:r>
              <w:t xml:space="preserve">HbA1c −1,51 vs. −0,99 (exenatida) vs. −0,46 (placebo)</w:t>
            </w:r>
          </w:p>
        </w:tc>
      </w:tr>
      <w:tr>
        <w:tc>
          <w:tcPr/>
          <w:p>
            <w:pPr>
              <w:pStyle w:val="Compact"/>
              <w:jc w:val="left"/>
            </w:pPr>
            <w:r>
              <w:t xml:space="preserve">AWARD-2 (Giorgino 2015), PMID 26089386</w:t>
            </w:r>
          </w:p>
        </w:tc>
        <w:tc>
          <w:tcPr/>
          <w:p>
            <w:pPr>
              <w:pStyle w:val="Compact"/>
              <w:jc w:val="left"/>
            </w:pPr>
            <w:r>
              <w:t xml:space="preserve">810 pessoas em uso de metformina e glimepirida; aberto vs. insulina glargina</w:t>
            </w:r>
          </w:p>
        </w:tc>
        <w:tc>
          <w:tcPr/>
          <w:p>
            <w:pPr>
              <w:pStyle w:val="Compact"/>
              <w:jc w:val="left"/>
            </w:pPr>
            <w:r>
              <w:t xml:space="preserve">78 semanas</w:t>
            </w:r>
          </w:p>
        </w:tc>
        <w:tc>
          <w:tcPr/>
          <w:p>
            <w:pPr>
              <w:pStyle w:val="Compact"/>
              <w:jc w:val="left"/>
            </w:pPr>
            <w:r>
              <w:t xml:space="preserve">HbA1c −1,08 vs. −0,63; peso caiu vs. subiu</w:t>
            </w:r>
          </w:p>
        </w:tc>
      </w:tr>
      <w:tr>
        <w:tc>
          <w:tcPr/>
          <w:p>
            <w:pPr>
              <w:pStyle w:val="Compact"/>
              <w:jc w:val="left"/>
            </w:pPr>
            <w:r>
              <w:t xml:space="preserve">AWARD-3 (Umpierrez 2014), PMID 24842985</w:t>
            </w:r>
          </w:p>
        </w:tc>
        <w:tc>
          <w:tcPr/>
          <w:p>
            <w:pPr>
              <w:pStyle w:val="Compact"/>
              <w:jc w:val="left"/>
            </w:pPr>
            <w:r>
              <w:t xml:space="preserve">diabetes tipo 2 inicial, monoterapia; duplo-cego vs. metformina</w:t>
            </w:r>
          </w:p>
        </w:tc>
        <w:tc>
          <w:tcPr/>
          <w:p>
            <w:pPr>
              <w:pStyle w:val="Compact"/>
              <w:jc w:val="left"/>
            </w:pPr>
            <w:r>
              <w:t xml:space="preserve">52 semanas (desfecho principal em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pessoas com insulina prandial; aberto vs. insulina glargina</w:t>
            </w:r>
          </w:p>
        </w:tc>
        <w:tc>
          <w:tcPr/>
          <w:p>
            <w:pPr>
              <w:pStyle w:val="Compact"/>
              <w:jc w:val="left"/>
            </w:pPr>
            <w:r>
              <w:t xml:space="preserve">52 semanas (desfecho principal em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pessoas em uso de metformina; vs. sitagliptina</w:t>
            </w:r>
          </w:p>
        </w:tc>
        <w:tc>
          <w:tcPr/>
          <w:p>
            <w:pPr>
              <w:pStyle w:val="Compact"/>
              <w:jc w:val="left"/>
            </w:pPr>
            <w:r>
              <w:t xml:space="preserve">52 semanas</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pessoas em uso de metformina; aberto vs. liraglutida</w:t>
            </w:r>
          </w:p>
        </w:tc>
        <w:tc>
          <w:tcPr/>
          <w:p>
            <w:pPr>
              <w:pStyle w:val="Compact"/>
              <w:jc w:val="left"/>
            </w:pPr>
            <w:r>
              <w:t xml:space="preserve">26 semanas</w:t>
            </w:r>
          </w:p>
        </w:tc>
        <w:tc>
          <w:tcPr/>
          <w:p>
            <w:pPr>
              <w:pStyle w:val="Compact"/>
              <w:jc w:val="left"/>
            </w:pPr>
            <w:r>
              <w:t xml:space="preserve">HbA1c −1,42 vs. −1,36; equivalentes</w:t>
            </w:r>
          </w:p>
        </w:tc>
      </w:tr>
      <w:tr>
        <w:tc>
          <w:tcPr/>
          <w:p>
            <w:pPr>
              <w:pStyle w:val="Compact"/>
              <w:jc w:val="left"/>
            </w:pPr>
            <w:r>
              <w:t xml:space="preserve">AWARD-7 (Tuttle 2018), PMID 29910024</w:t>
            </w:r>
          </w:p>
        </w:tc>
        <w:tc>
          <w:tcPr/>
          <w:p>
            <w:pPr>
              <w:pStyle w:val="Compact"/>
              <w:jc w:val="left"/>
            </w:pPr>
            <w:r>
              <w:t xml:space="preserve">577 pessoas com doença renal crônica moderada a grave; vs. insulina glargina</w:t>
            </w:r>
          </w:p>
        </w:tc>
        <w:tc>
          <w:tcPr/>
          <w:p>
            <w:pPr>
              <w:pStyle w:val="Compact"/>
              <w:jc w:val="left"/>
            </w:pPr>
            <w:r>
              <w:t xml:space="preserve">52 semanas</w:t>
            </w:r>
          </w:p>
        </w:tc>
        <w:tc>
          <w:tcPr/>
          <w:p>
            <w:pPr>
              <w:pStyle w:val="Compact"/>
              <w:jc w:val="left"/>
            </w:pPr>
            <w:r>
              <w:t xml:space="preserve">HbA1c −1,2 vs. −1,1; função renal mais preservada após 52 semanas</w:t>
            </w:r>
          </w:p>
        </w:tc>
      </w:tr>
      <w:tr>
        <w:tc>
          <w:tcPr/>
          <w:p>
            <w:pPr>
              <w:pStyle w:val="Compact"/>
              <w:jc w:val="left"/>
            </w:pPr>
            <w:r>
              <w:t xml:space="preserve">AWARD-8 (Dungan 2016), PMID 26799540</w:t>
            </w:r>
          </w:p>
        </w:tc>
        <w:tc>
          <w:tcPr/>
          <w:p>
            <w:pPr>
              <w:pStyle w:val="Compact"/>
              <w:jc w:val="left"/>
            </w:pPr>
            <w:r>
              <w:t xml:space="preserve">diabetes tipo 2 em uso de glimepirida; vs. placebo</w:t>
            </w:r>
          </w:p>
        </w:tc>
        <w:tc>
          <w:tcPr/>
          <w:p>
            <w:pPr>
              <w:pStyle w:val="Compact"/>
              <w:jc w:val="left"/>
            </w:pPr>
            <w:r>
              <w:t xml:space="preserve">24 semanas</w:t>
            </w:r>
          </w:p>
        </w:tc>
        <w:tc>
          <w:tcPr/>
          <w:p>
            <w:pPr>
              <w:pStyle w:val="Compact"/>
              <w:jc w:val="left"/>
            </w:pPr>
            <w:r>
              <w:t xml:space="preserve">diferença de HbA1c −1,3 ponto percentual; mais hipoglicemias</w:t>
            </w:r>
          </w:p>
        </w:tc>
      </w:tr>
      <w:tr>
        <w:tc>
          <w:tcPr/>
          <w:p>
            <w:pPr>
              <w:pStyle w:val="Compact"/>
              <w:jc w:val="left"/>
            </w:pPr>
            <w:r>
              <w:t xml:space="preserve">AWARD-10 (Ludvik 2018), PMID 29483060</w:t>
            </w:r>
          </w:p>
        </w:tc>
        <w:tc>
          <w:tcPr/>
          <w:p>
            <w:pPr>
              <w:pStyle w:val="Compact"/>
              <w:jc w:val="left"/>
            </w:pPr>
            <w:r>
              <w:t xml:space="preserve">424 pessoas em uso de inibidor de SGLT2; vs. placebo</w:t>
            </w:r>
          </w:p>
        </w:tc>
        <w:tc>
          <w:tcPr/>
          <w:p>
            <w:pPr>
              <w:pStyle w:val="Compact"/>
              <w:jc w:val="left"/>
            </w:pPr>
            <w:r>
              <w:t xml:space="preserve">24 semanas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pessoas em uso de metformina; 4,5 e 3,0 mg vs. 1,5 mg</w:t>
            </w:r>
          </w:p>
        </w:tc>
        <w:tc>
          <w:tcPr/>
          <w:p>
            <w:pPr>
              <w:pStyle w:val="Compact"/>
              <w:jc w:val="left"/>
            </w:pPr>
            <w:r>
              <w:t xml:space="preserve">36 semanas</w:t>
            </w:r>
          </w:p>
        </w:tc>
        <w:tc>
          <w:tcPr/>
          <w:p>
            <w:pPr>
              <w:pStyle w:val="Compact"/>
              <w:jc w:val="left"/>
            </w:pPr>
            <w:r>
              <w:t xml:space="preserve">HbA1c −1,77 (4,5 mg) vs. −1,54; peso −4,6 vs. −3,0 kg</w:t>
            </w:r>
          </w:p>
        </w:tc>
      </w:tr>
    </w:tbl>
    <w:p>
      <w:pPr>
        <w:pStyle w:val="BodyText"/>
      </w:pPr>
      <w:r>
        <w:t xml:space="preserve">Alguns resultados merecem explicação:</w:t>
      </w:r>
    </w:p>
    <w:p>
      <w:pPr>
        <w:pStyle w:val="BodyText"/>
      </w:pPr>
      <w:r>
        <w:rPr>
          <w:bCs/>
          <w:b/>
        </w:rPr>
        <w:t xml:space="preserve">Contra a insulina</w:t>
      </w:r>
      <w:r>
        <w:t xml:space="preserve"> </w:t>
      </w:r>
      <w:r>
        <w:t xml:space="preserve">(AWARD-2 e AWARD-4), a dulaglutida reduziu a glicose de longo prazo um pouco mais, com menos hipoglicemias e sem ganho de peso</w:t>
      </w:r>
      <w:r>
        <w:rPr>
          <w:rStyle w:val="FootnoteReference"/>
        </w:rPr>
        <w:footnoteReference w:id="348"/>
      </w:r>
      <w:r>
        <w:t xml:space="preserve">. No AWARD-2, porém, a dose de insulina não foi aumentada de forma consistente; a dose final média foi de 29 unidades. Uma insulina titulada de forma mais decidida talvez tivesse se saído melhor. Náuseas ocorreram com dulaglutida 1,5 mg em 15,4% e com insulina em 1,5%.</w:t>
      </w:r>
    </w:p>
    <w:p>
      <w:pPr>
        <w:pStyle w:val="BodyText"/>
      </w:pPr>
      <w:r>
        <w:rPr>
          <w:bCs/>
          <w:b/>
        </w:rPr>
        <w:t xml:space="preserve">Na doença renal</w:t>
      </w:r>
      <w:r>
        <w:t xml:space="preserve"> </w:t>
      </w:r>
      <w:r>
        <w:t xml:space="preserve">(AWARD-7), o resultado é especialmente interessante: a glicose caiu na mesma medida que com a insulina, mas a função renal estimada (TFGe) após 52 semanas era maior com dulaglutida – 34,0 contra 31,3 ml/min por 1,73 m²</w:t>
      </w:r>
      <w:r>
        <w:rPr>
          <w:rStyle w:val="FootnoteReference"/>
        </w:rPr>
        <w:footnoteReference w:id="349"/>
      </w:r>
      <w:r>
        <w:t xml:space="preserve">. A excreção de proteína na urina não diferiu significativamente. Isso é um indício, mas não uma prova, de proteção renal.</w:t>
      </w:r>
    </w:p>
    <w:p>
      <w:pPr>
        <w:pStyle w:val="BodyText"/>
      </w:pPr>
      <w:r>
        <w:rPr>
          <w:bCs/>
          <w:b/>
        </w:rPr>
        <w:t xml:space="preserve">Com uma sulfonilureia</w:t>
      </w:r>
      <w:r>
        <w:t xml:space="preserve"> </w:t>
      </w:r>
      <w:r>
        <w:t xml:space="preserve">(AWARD-8), aparece o outro lado: a dulaglutida reduziu a HbA1c 1,3 ponto percentual a mais que o placebo, e 55,3% contra 18,9% atingiram um valor abaixo de 7%. As hipoglicemias, porém, foram bem mais frequentes (2,37 contra 0,07 evento por pessoa por ano), porque a sulfonilureia libera insulina independentemente da glicose</w:t>
      </w:r>
      <w:r>
        <w:rPr>
          <w:rStyle w:val="FootnoteReference"/>
        </w:rPr>
        <w:footnoteReference w:id="350"/>
      </w:r>
      <w:r>
        <w:t xml:space="preserve">. Não ocorreram hipoglicemias graves.</w:t>
      </w:r>
    </w:p>
    <w:p>
      <w:pPr>
        <w:pStyle w:val="BodyText"/>
      </w:pPr>
      <w:r>
        <w:rPr>
          <w:bCs/>
          <w:b/>
        </w:rPr>
        <w:t xml:space="preserve">Doses mais altas</w:t>
      </w:r>
      <w:r>
        <w:t xml:space="preserve"> </w:t>
      </w:r>
      <w:r>
        <w:t xml:space="preserve">(AWARD-11): para acompanhar a semaglutida, a Lilly testou 3,0 e 4,5 mg. A dose mais alta reduziu a HbA1c em mais 0,24 ponto percentual e o peso em mais 1,6 kg em comparação com 1,5 mg</w:t>
      </w:r>
      <w:r>
        <w:rPr>
          <w:rStyle w:val="FootnoteReference"/>
        </w:rPr>
        <w:footnoteReference w:id="351"/>
      </w:r>
      <w:r>
        <w:t xml:space="preserve">. As náuseas aumentaram levemente (16,4% vs. 13,4%), assim como os vômitos (9,3% vs. 5,6%). O ganho é mensurável, mas limitado.</w:t>
      </w:r>
    </w:p>
    <w:bookmarkEnd w:id="352"/>
    <w:bookmarkStart w:id="356" w:name="X46711aa0006d1a1a197e74c5050095e5c0ee424"/>
    <w:p>
      <w:pPr>
        <w:pStyle w:val="Heading4"/>
      </w:pPr>
      <w:r>
        <w:t xml:space="preserve">Comparações diretas dentro da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(dulaglutida vs. comparador)</w:t>
            </w:r>
          </w:p>
        </w:tc>
      </w:tr>
      <w:tr>
        <w:tc>
          <w:tcPr/>
          <w:p>
            <w:pPr>
              <w:pStyle w:val="Compact"/>
              <w:jc w:val="left"/>
            </w:pPr>
            <w:r>
              <w:t xml:space="preserve">AWARD-1 (Wysham 2014), PMID 24879836</w:t>
            </w:r>
          </w:p>
        </w:tc>
        <w:tc>
          <w:tcPr/>
          <w:p>
            <w:pPr>
              <w:pStyle w:val="Compact"/>
              <w:jc w:val="left"/>
            </w:pPr>
            <w:r>
              <w:t xml:space="preserve">vs. exenatida duas vezes ao dia</w:t>
            </w:r>
          </w:p>
        </w:tc>
        <w:tc>
          <w:tcPr/>
          <w:p>
            <w:pPr>
              <w:pStyle w:val="Compact"/>
              <w:jc w:val="left"/>
            </w:pPr>
            <w:r>
              <w:t xml:space="preserve">26 semanas</w:t>
            </w:r>
          </w:p>
        </w:tc>
        <w:tc>
          <w:tcPr/>
          <w:p>
            <w:pPr>
              <w:pStyle w:val="Compact"/>
              <w:jc w:val="left"/>
            </w:pPr>
            <w:r>
              <w:t xml:space="preserve">HbA1c −1,51 vs. −0,99; menos hipoglicemias</w:t>
            </w:r>
          </w:p>
        </w:tc>
      </w:tr>
      <w:tr>
        <w:tc>
          <w:tcPr/>
          <w:p>
            <w:pPr>
              <w:pStyle w:val="Compact"/>
              <w:jc w:val="left"/>
            </w:pPr>
            <w:r>
              <w:t xml:space="preserve">AWARD-6 (Dungan 2014), PMID 25018121</w:t>
            </w:r>
          </w:p>
        </w:tc>
        <w:tc>
          <w:tcPr/>
          <w:p>
            <w:pPr>
              <w:pStyle w:val="Compact"/>
              <w:jc w:val="left"/>
            </w:pPr>
            <w:r>
              <w:t xml:space="preserve">599 pessoas, vs. liraglutida 1,8 mg diária</w:t>
            </w:r>
          </w:p>
        </w:tc>
        <w:tc>
          <w:tcPr/>
          <w:p>
            <w:pPr>
              <w:pStyle w:val="Compact"/>
              <w:jc w:val="left"/>
            </w:pPr>
            <w:r>
              <w:t xml:space="preserve">26 semanas</w:t>
            </w:r>
          </w:p>
        </w:tc>
        <w:tc>
          <w:tcPr/>
          <w:p>
            <w:pPr>
              <w:pStyle w:val="Compact"/>
              <w:jc w:val="left"/>
            </w:pPr>
            <w:r>
              <w:t xml:space="preserve">HbA1c −1,42 vs. −1,36; náuseas 20% vs. 18%</w:t>
            </w:r>
          </w:p>
        </w:tc>
      </w:tr>
      <w:tr>
        <w:tc>
          <w:tcPr/>
          <w:p>
            <w:pPr>
              <w:pStyle w:val="Compact"/>
              <w:jc w:val="left"/>
            </w:pPr>
            <w:r>
              <w:t xml:space="preserve">SUSTAIN 7 (Pratley 2018), PMID 29397376</w:t>
            </w:r>
          </w:p>
        </w:tc>
        <w:tc>
          <w:tcPr/>
          <w:p>
            <w:pPr>
              <w:pStyle w:val="Compact"/>
              <w:jc w:val="left"/>
            </w:pPr>
            <w:r>
              <w:t xml:space="preserve">1.201 pessoas, dulaglutida 0,75/1,5 mg vs. semaglutida 0,5/1,0 mg</w:t>
            </w:r>
          </w:p>
        </w:tc>
        <w:tc>
          <w:tcPr/>
          <w:p>
            <w:pPr>
              <w:pStyle w:val="Compact"/>
              <w:jc w:val="left"/>
            </w:pPr>
            <w:r>
              <w:t xml:space="preserve">40 semanas</w:t>
            </w:r>
          </w:p>
        </w:tc>
        <w:tc>
          <w:tcPr/>
          <w:p>
            <w:pPr>
              <w:pStyle w:val="Compact"/>
              <w:jc w:val="left"/>
            </w:pPr>
            <w:r>
              <w:t xml:space="preserve">HbA1c −1,4 vs. −1,8 (doses altas); peso −3,0 vs. −6,5 kg</w:t>
            </w:r>
          </w:p>
        </w:tc>
      </w:tr>
    </w:tbl>
    <w:p>
      <w:pPr>
        <w:pStyle w:val="BodyText"/>
      </w:pPr>
      <w:r>
        <w:t xml:space="preserve">A ordem é clara. A dulaglutida foi nitidamente superior à exenatida duas vezes ao dia</w:t>
      </w:r>
      <w:r>
        <w:rPr>
          <w:rStyle w:val="FootnoteReference"/>
        </w:rPr>
        <w:footnoteReference w:id="353"/>
      </w:r>
      <w:r>
        <w:t xml:space="preserve"> </w:t>
      </w:r>
      <w:r>
        <w:t xml:space="preserve">e equivalente à liraglutida</w:t>
      </w:r>
      <w:r>
        <w:rPr>
          <w:rStyle w:val="FootnoteReference"/>
        </w:rPr>
        <w:footnoteReference w:id="354"/>
      </w:r>
      <w:r>
        <w:t xml:space="preserve">. No AWARD-6, ela foi assim o primeiro agonista semanal do receptor de GLP-1 a se igualar, em comparação direta, ao padrão da época, a liraglutida – com bem menos injeções.</w:t>
      </w:r>
    </w:p>
    <w:p>
      <w:pPr>
        <w:pStyle w:val="BodyText"/>
      </w:pPr>
      <w:r>
        <w:t xml:space="preserve">Contra a semaglutida, a dulaglutida perdeu no SUSTAIN 7</w:t>
      </w:r>
      <w:r>
        <w:rPr>
          <w:rStyle w:val="FootnoteReference"/>
        </w:rPr>
        <w:footnoteReference w:id="355"/>
      </w:r>
      <w:r>
        <w:t xml:space="preserve"> </w:t>
      </w:r>
      <w:r>
        <w:t xml:space="preserve">nos dois níveis de dose. Nas doses altas, a HbA1c caiu 1,4 contra 1,8 ponto percentual, e o peso 3,0 contra 6,5 kg. As queixas gastrointestinais tiveram frequência semelhante (48% com dulaglutida 1,5 mg, 44% com semaglutida 1,0 mg). Uma crítica feita mais tarde foi que, no SUSTAIN 7, a dulaglutida só foi dosada até 1,5 mg; as doses mais altas do AWARD-11 ainda não estavam disponíveis na época. Mesmo com 4,5 mg, porém, a diferença de peso provavelmente continuaria existindo.</w:t>
      </w:r>
    </w:p>
    <w:bookmarkEnd w:id="356"/>
    <w:bookmarkStart w:id="361" w:name="rewind-o-estudo-cardiovascular"/>
    <w:p>
      <w:pPr>
        <w:pStyle w:val="Heading4"/>
      </w:pPr>
      <w:r>
        <w:t xml:space="preserve">REWIND: o estudo cardiovascular</w:t>
      </w:r>
    </w:p>
    <w:p>
      <w:pPr>
        <w:pStyle w:val="FirstParagraph"/>
      </w:pPr>
      <w:r>
        <w:t xml:space="preserve">O REWIND era diferente de outros estudos de desfechos com GLP-1: durou mais, incluiu pessoas mais velhas com glicose relativamente bem controlada (HbA1c mediana de 7,2%) e admitiu também muitas pessoas sem doença cardiovascular prévia, que tinham apenas fatores de risco. Com isso, a população do estudo se parece mais com o dia a dia dos consultórios de clínica geral do que em outros estudos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pessoas com diabetes tipo 2, idade média de 66,2 anos, 46,3% mulheres; ECR contra placebo</w:t>
            </w:r>
          </w:p>
        </w:tc>
        <w:tc>
          <w:tcPr/>
          <w:p>
            <w:pPr>
              <w:pStyle w:val="Compact"/>
              <w:jc w:val="left"/>
            </w:pPr>
            <w:r>
              <w:t xml:space="preserve">mediana de 5,4 anos</w:t>
            </w:r>
          </w:p>
        </w:tc>
        <w:tc>
          <w:tcPr/>
          <w:p>
            <w:pPr>
              <w:pStyle w:val="Compact"/>
              <w:jc w:val="left"/>
            </w:pPr>
            <w:r>
              <w:t xml:space="preserve">eventos cardiovasculares graves 12,0% vs. 13,4%; HR 0,88 (0,79–0,99)</w:t>
            </w:r>
          </w:p>
        </w:tc>
      </w:tr>
      <w:tr>
        <w:tc>
          <w:tcPr/>
          <w:p>
            <w:pPr>
              <w:pStyle w:val="Compact"/>
              <w:jc w:val="left"/>
            </w:pPr>
            <w:r>
              <w:t xml:space="preserve">REWIND, rins (Gerstein 2019), PMID 31189509</w:t>
            </w:r>
          </w:p>
        </w:tc>
        <w:tc>
          <w:tcPr/>
          <w:p>
            <w:pPr>
              <w:pStyle w:val="Compact"/>
              <w:jc w:val="left"/>
            </w:pPr>
            <w:r>
              <w:t xml:space="preserve">o mesmo estudo, análise exploratória</w:t>
            </w:r>
          </w:p>
        </w:tc>
        <w:tc>
          <w:tcPr/>
          <w:p>
            <w:pPr>
              <w:pStyle w:val="Compact"/>
              <w:jc w:val="left"/>
            </w:pPr>
            <w:r>
              <w:t xml:space="preserve">mediana de 5,4 anos</w:t>
            </w:r>
          </w:p>
        </w:tc>
        <w:tc>
          <w:tcPr/>
          <w:p>
            <w:pPr>
              <w:pStyle w:val="Compact"/>
              <w:jc w:val="left"/>
            </w:pPr>
            <w:r>
              <w:t xml:space="preserve">desfecho renal 17,1% vs. 19,6%; HR 0,85, sobretudo menos macroalbuminúria nova</w:t>
            </w:r>
          </w:p>
        </w:tc>
      </w:tr>
      <w:tr>
        <w:tc>
          <w:tcPr/>
          <w:p>
            <w:pPr>
              <w:pStyle w:val="Compact"/>
              <w:jc w:val="left"/>
            </w:pPr>
            <w:r>
              <w:t xml:space="preserve">REWIND, cognição (Cukierman-Yaffe 2020), PMID 32562683</w:t>
            </w:r>
          </w:p>
        </w:tc>
        <w:tc>
          <w:tcPr/>
          <w:p>
            <w:pPr>
              <w:pStyle w:val="Compact"/>
              <w:jc w:val="left"/>
            </w:pPr>
            <w:r>
              <w:t xml:space="preserve">8.828 pessoas com testes de memória</w:t>
            </w:r>
          </w:p>
        </w:tc>
        <w:tc>
          <w:tcPr/>
          <w:p>
            <w:pPr>
              <w:pStyle w:val="Compact"/>
              <w:jc w:val="left"/>
            </w:pPr>
            <w:r>
              <w:t xml:space="preserve">mediana de 5,4 anos</w:t>
            </w:r>
          </w:p>
        </w:tc>
        <w:tc>
          <w:tcPr/>
          <w:p>
            <w:pPr>
              <w:pStyle w:val="Compact"/>
              <w:jc w:val="left"/>
            </w:pPr>
            <w:r>
              <w:t xml:space="preserve">HR 0,93 (não significativo); após ajuste posterior, HR 0,86</w:t>
            </w:r>
          </w:p>
        </w:tc>
      </w:tr>
    </w:tbl>
    <w:p>
      <w:pPr>
        <w:pStyle w:val="BodyText"/>
      </w:pPr>
      <w:r>
        <w:t xml:space="preserve">O desfecho principal – morte por causa cardiovascular, infarto não fatal ou AVC – ocorreu com dulaglutida em 594 de 4.949 pessoas (12,0%) e com placebo em 663 de 4.952 (13,4%)</w:t>
      </w:r>
      <w:r>
        <w:rPr>
          <w:rStyle w:val="FootnoteReference"/>
        </w:rPr>
        <w:footnoteReference w:id="357"/>
      </w:r>
      <w:r>
        <w:t xml:space="preserve">. Isso corresponde a uma redução relativa de 12%. A mortalidade total não diferiu significativamente (10,8% vs. 12,0%; HR 0,90). Efeitos colaterais gastrointestinais foram relatados por 47,4% contra 34,1%.</w:t>
      </w:r>
    </w:p>
    <w:p>
      <w:pPr>
        <w:pStyle w:val="BodyText"/>
      </w:pPr>
      <w:r>
        <w:t xml:space="preserve">Na análise renal</w:t>
      </w:r>
      <w:r>
        <w:rPr>
          <w:rStyle w:val="FootnoteReference"/>
        </w:rPr>
        <w:footnoteReference w:id="358"/>
      </w:r>
      <w:r>
        <w:t xml:space="preserve">, o efeito se deveu sobretudo a uma macroalbuminúria nova (HR 0,77). Para uma queda persistente da função renal de pelo menos 30%, a estimativa foi de 0,89; para diálise ou transplante renal, de 0,75 – ambas sem comprovação estatística.</w:t>
      </w:r>
    </w:p>
    <w:p>
      <w:pPr>
        <w:pStyle w:val="BodyText"/>
      </w:pPr>
      <w:r>
        <w:t xml:space="preserve">A análise sobre o desempenho cognitivo</w:t>
      </w:r>
      <w:r>
        <w:rPr>
          <w:rStyle w:val="FootnoteReference"/>
        </w:rPr>
        <w:footnoteReference w:id="359"/>
      </w:r>
      <w:r>
        <w:t xml:space="preserve"> </w:t>
      </w:r>
      <w:r>
        <w:t xml:space="preserve">é às vezes citada como evidência de proteção contra demência. Isso é ir longe demais: a comparação definida previamente não foi significativa. Só após um ajuste estatístico posterior resultou um risco relativo 14% menor de piora acentuada do desempenho cognitivo (hazard ratio 0,86). Os próprios autores falam de uma análise exploratória que justifica novos estudos.</w:t>
      </w:r>
    </w:p>
    <w:p>
      <w:pPr>
        <w:pStyle w:val="BodyText"/>
      </w:pPr>
      <w:r>
        <w:t xml:space="preserve">Em uma metanálise de todos os grandes estudos de desfechos com GLP-1, o REWIND se encaixou bem no quadro geral, segundo o qual a classe reduz os eventos cardiovasculares graves em cerca de 12%</w:t>
      </w:r>
      <w:r>
        <w:rPr>
          <w:rStyle w:val="FootnoteReference"/>
        </w:rPr>
        <w:footnoteReference w:id="360"/>
      </w:r>
      <w:r>
        <w:t xml:space="preserve">.</w:t>
      </w:r>
    </w:p>
    <w:bookmarkEnd w:id="361"/>
    <w:bookmarkStart w:id="366" w:name="X4876d8ef6087ed61ee3743be2b74b95fad3715b"/>
    <w:p>
      <w:pPr>
        <w:pStyle w:val="Heading4"/>
      </w:pPr>
      <w:r>
        <w:t xml:space="preserve">O que explica o benefício – e o que não explica?</w:t>
      </w:r>
    </w:p>
    <w:p>
      <w:pPr>
        <w:pStyle w:val="FirstParagraph"/>
      </w:pPr>
      <w:r>
        <w:t xml:space="preserve">Várias análises posteriores do REWIND tentaram entender melhor o efeito cardiovascular. Em uma análise parcial com 9.543 pessoas sem fibrilação atrial no início do estudo, 31% já tinham uma doença cardiovascular e as demais</w:t>
      </w:r>
      <w:r>
        <w:t xml:space="preserve"> </w:t>
      </w:r>
      <w:r>
        <w:t xml:space="preserve">“</w:t>
      </w:r>
      <w:r>
        <w:t xml:space="preserve">apenas</w:t>
      </w:r>
      <w:r>
        <w:t xml:space="preserve">”</w:t>
      </w:r>
      <w:r>
        <w:t xml:space="preserve"> </w:t>
      </w:r>
      <w:r>
        <w:t xml:space="preserve">fatores de risco</w:t>
      </w:r>
      <w:r>
        <w:rPr>
          <w:rStyle w:val="FootnoteReference"/>
        </w:rPr>
        <w:footnoteReference w:id="362"/>
      </w:r>
      <w:r>
        <w:t xml:space="preserve">. Isso reforça que o REWIND, muito mais que outros estudos de desfechos, investigou pessoas no contexto da prevenção.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Análise</w:t>
            </w:r>
          </w:p>
        </w:tc>
        <w:tc>
          <w:tcPr/>
          <w:p>
            <w:pPr>
              <w:pStyle w:val="Compact"/>
              <w:jc w:val="left"/>
            </w:pPr>
            <w:r>
              <w:t xml:space="preserve">Pergunta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Que mudanças explicam o benefício?</w:t>
            </w:r>
          </w:p>
        </w:tc>
        <w:tc>
          <w:tcPr/>
          <w:p>
            <w:pPr>
              <w:pStyle w:val="Compact"/>
              <w:jc w:val="left"/>
            </w:pPr>
            <w:r>
              <w:t xml:space="preserve">em parte a redução da HbA1c e da excreção de proteína na urina, não o peso, a pressão arterial ou o colesterol LDL</w:t>
            </w:r>
          </w:p>
        </w:tc>
      </w:tr>
      <w:tr>
        <w:tc>
          <w:tcPr/>
          <w:p>
            <w:pPr>
              <w:pStyle w:val="Compact"/>
              <w:jc w:val="left"/>
            </w:pPr>
            <w:r>
              <w:t xml:space="preserve">Branch 2022, PMID 36073143</w:t>
            </w:r>
          </w:p>
        </w:tc>
        <w:tc>
          <w:tcPr/>
          <w:p>
            <w:pPr>
              <w:pStyle w:val="Compact"/>
              <w:jc w:val="left"/>
            </w:pPr>
            <w:r>
              <w:t xml:space="preserve">Eventos de insuficiência cardíaca</w:t>
            </w:r>
          </w:p>
        </w:tc>
        <w:tc>
          <w:tcPr/>
          <w:p>
            <w:pPr>
              <w:pStyle w:val="Compact"/>
              <w:jc w:val="left"/>
            </w:pPr>
            <w:r>
              <w:t xml:space="preserve">4,3% vs. 4,6%; HR 0,93, sem diferença significativa</w:t>
            </w:r>
          </w:p>
        </w:tc>
      </w:tr>
      <w:tr>
        <w:tc>
          <w:tcPr/>
          <w:p>
            <w:pPr>
              <w:pStyle w:val="Compact"/>
              <w:jc w:val="left"/>
            </w:pPr>
            <w:r>
              <w:t xml:space="preserve">Raubenheimer 2022, PMID 34984808</w:t>
            </w:r>
          </w:p>
        </w:tc>
        <w:tc>
          <w:tcPr/>
          <w:p>
            <w:pPr>
              <w:pStyle w:val="Compact"/>
              <w:jc w:val="left"/>
            </w:pPr>
            <w:r>
              <w:t xml:space="preserve">Fibrilação ou flutter atrial novos</w:t>
            </w:r>
          </w:p>
        </w:tc>
        <w:tc>
          <w:tcPr/>
          <w:p>
            <w:pPr>
              <w:pStyle w:val="Compact"/>
              <w:jc w:val="left"/>
            </w:pPr>
            <w:r>
              <w:t xml:space="preserve">5,6% vs. 5,3%; nenhuma diferença</w:t>
            </w:r>
          </w:p>
        </w:tc>
      </w:tr>
    </w:tbl>
    <w:p>
      <w:pPr>
        <w:pStyle w:val="BodyText"/>
      </w:pPr>
      <w:r>
        <w:t xml:space="preserve">Segundo a análise de Konig 2021</w:t>
      </w:r>
      <w:r>
        <w:rPr>
          <w:rStyle w:val="FootnoteReference"/>
        </w:rPr>
        <w:footnoteReference w:id="363"/>
      </w:r>
      <w:r>
        <w:t xml:space="preserve">, parte do efeito pôde ser explicada estatisticamente pelo melhor controle da glicose e pela menor excreção de proteína na urina; outra parte ficou sem explicação. A perda de peso não teve papel mensurável nessa análise. Isso combina com a suposição difundida de que os agonistas do receptor de GLP-1 também têm efeitos diretos sobre os vasos e os processos inflamatórios – em seres humanos, porém, isso não está comprovado.</w:t>
      </w:r>
    </w:p>
    <w:p>
      <w:pPr>
        <w:pStyle w:val="BodyText"/>
      </w:pPr>
      <w:r>
        <w:t xml:space="preserve">A dulaglutida não mostrou proteção contra eventos de insuficiência cardíaca</w:t>
      </w:r>
      <w:r>
        <w:rPr>
          <w:rStyle w:val="FootnoteReference"/>
        </w:rPr>
        <w:footnoteReference w:id="364"/>
      </w:r>
      <w:r>
        <w:t xml:space="preserve"> </w:t>
      </w:r>
      <w:r>
        <w:t xml:space="preserve">nem contra fibrilação atrial nova</w:t>
      </w:r>
      <w:r>
        <w:rPr>
          <w:rStyle w:val="FootnoteReference"/>
        </w:rPr>
        <w:footnoteReference w:id="365"/>
      </w:r>
      <w:r>
        <w:t xml:space="preserve">. Também entre os 853 participantes que já tinham insuficiência cardíaca no início do estudo, o quadro não foi diferente. Para a insuficiência cardíaca com fração de ejeção preservada na obesidade, há hoje dados sobre semaglutida e tirzepatida; para a dulaglutida, eles faltam.</w:t>
      </w:r>
    </w:p>
    <w:bookmarkEnd w:id="366"/>
    <w:bookmarkStart w:id="369" w:name="Xd9c62d8f04a8adf6561029b81ae79220580578e"/>
    <w:p>
      <w:pPr>
        <w:pStyle w:val="Heading4"/>
      </w:pPr>
      <w:r>
        <w:t xml:space="preserve">A dulaglutida como padrão de comparação para novas substâncias</w:t>
      </w:r>
    </w:p>
    <w:p>
      <w:pPr>
        <w:pStyle w:val="FirstParagraph"/>
      </w:pPr>
      <w:r>
        <w:t xml:space="preserve">Como a dulaglutida é amplamente usada no mundo todo, bem tolerada e tem benefício cardiovascular comprovado, os fabricantes a escolhem com frequência como comparador ativo. Os resultados desses estudos pertencem, em termos de conteúdo, aos capítulos das respectivas substâncias novas; aqui, apenas a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pessoas com diabetes tipo 2 e doença vascular; tirzepatida vs. dulaglutida</w:t>
            </w:r>
          </w:p>
        </w:tc>
        <w:tc>
          <w:tcPr/>
          <w:p>
            <w:pPr>
              <w:pStyle w:val="Compact"/>
              <w:jc w:val="left"/>
            </w:pPr>
            <w:r>
              <w:t xml:space="preserve">vários anos</w:t>
            </w:r>
          </w:p>
        </w:tc>
        <w:tc>
          <w:tcPr/>
          <w:p>
            <w:pPr>
              <w:pStyle w:val="Compact"/>
              <w:jc w:val="left"/>
            </w:pPr>
            <w:r>
              <w:t xml:space="preserve">eventos cardiovasculares graves 12,2% vs. 13,1%; HR 0,92, não inferior, superioridade não demonstrada</w:t>
            </w:r>
          </w:p>
        </w:tc>
      </w:tr>
      <w:tr>
        <w:tc>
          <w:tcPr/>
          <w:p>
            <w:pPr>
              <w:pStyle w:val="Compact"/>
              <w:jc w:val="left"/>
            </w:pPr>
            <w:r>
              <w:t xml:space="preserve">SURPASS J-mono (Inagaki 2022), PMID 35914543</w:t>
            </w:r>
          </w:p>
        </w:tc>
        <w:tc>
          <w:tcPr/>
          <w:p>
            <w:pPr>
              <w:pStyle w:val="Compact"/>
              <w:jc w:val="left"/>
            </w:pPr>
            <w:r>
              <w:t xml:space="preserve">636 pessoas no Japão; tirzepatida vs. dulaglutida 0,75 mg</w:t>
            </w:r>
          </w:p>
        </w:tc>
        <w:tc>
          <w:tcPr/>
          <w:p>
            <w:pPr>
              <w:pStyle w:val="Compact"/>
              <w:jc w:val="left"/>
            </w:pPr>
            <w:r>
              <w:t xml:space="preserve">52 semanas</w:t>
            </w:r>
          </w:p>
        </w:tc>
        <w:tc>
          <w:tcPr/>
          <w:p>
            <w:pPr>
              <w:pStyle w:val="Compact"/>
              <w:jc w:val="left"/>
            </w:pPr>
            <w:r>
              <w:t xml:space="preserve">HbA1c −2,4 a −2,8 vs. −1,3</w:t>
            </w:r>
          </w:p>
        </w:tc>
      </w:tr>
      <w:tr>
        <w:tc>
          <w:tcPr/>
          <w:p>
            <w:pPr>
              <w:pStyle w:val="Compact"/>
              <w:jc w:val="left"/>
            </w:pPr>
            <w:r>
              <w:t xml:space="preserve">Guo 2026, PMID 41407860</w:t>
            </w:r>
          </w:p>
        </w:tc>
        <w:tc>
          <w:tcPr/>
          <w:p>
            <w:pPr>
              <w:pStyle w:val="Compact"/>
              <w:jc w:val="left"/>
            </w:pPr>
            <w:r>
              <w:t xml:space="preserve">731 pessoas na China; mazdutida vs. dulaglutida 1,5 mg</w:t>
            </w:r>
          </w:p>
        </w:tc>
        <w:tc>
          <w:tcPr/>
          <w:p>
            <w:pPr>
              <w:pStyle w:val="Compact"/>
              <w:jc w:val="left"/>
            </w:pPr>
            <w:r>
              <w:t xml:space="preserve">28 semanas</w:t>
            </w:r>
          </w:p>
        </w:tc>
        <w:tc>
          <w:tcPr/>
          <w:p>
            <w:pPr>
              <w:pStyle w:val="Compact"/>
              <w:jc w:val="left"/>
            </w:pPr>
            <w:r>
              <w:t xml:space="preserve">diferença de HbA1c de −0,24 e −0,30 ponto percentual a favor da mazdutida</w:t>
            </w:r>
          </w:p>
        </w:tc>
      </w:tr>
      <w:tr>
        <w:tc>
          <w:tcPr/>
          <w:p>
            <w:pPr>
              <w:pStyle w:val="Compact"/>
              <w:jc w:val="left"/>
            </w:pPr>
            <w:r>
              <w:t xml:space="preserve">EECOH-2 (He 2025), PMID 40854315</w:t>
            </w:r>
          </w:p>
        </w:tc>
        <w:tc>
          <w:tcPr/>
          <w:p>
            <w:pPr>
              <w:pStyle w:val="Compact"/>
              <w:jc w:val="left"/>
            </w:pPr>
            <w:r>
              <w:t xml:space="preserve">621 pessoas na China; ecnoglutida vs. dulaglutida 1,5 mg</w:t>
            </w:r>
          </w:p>
        </w:tc>
        <w:tc>
          <w:tcPr/>
          <w:p>
            <w:pPr>
              <w:pStyle w:val="Compact"/>
              <w:jc w:val="left"/>
            </w:pPr>
            <w:r>
              <w:t xml:space="preserve">52 semanas (desfecho principal em 32)</w:t>
            </w:r>
          </w:p>
        </w:tc>
        <w:tc>
          <w:tcPr/>
          <w:p>
            <w:pPr>
              <w:pStyle w:val="Compact"/>
              <w:jc w:val="left"/>
            </w:pPr>
            <w:r>
              <w:t xml:space="preserve">HbA1c −1,89 a −1,91 vs. −1,65</w:t>
            </w:r>
          </w:p>
        </w:tc>
      </w:tr>
    </w:tbl>
    <w:p>
      <w:pPr>
        <w:pStyle w:val="BodyText"/>
      </w:pPr>
      <w:r>
        <w:t xml:space="preserve">Particularmente esclarecedor é o SURPASS-CVOT</w:t>
      </w:r>
      <w:r>
        <w:rPr>
          <w:rStyle w:val="FootnoteReference"/>
        </w:rPr>
        <w:footnoteReference w:id="367"/>
      </w:r>
      <w:r>
        <w:t xml:space="preserve">, o primeiro grande estudo de desfechos em que dois medicamentos à base de incretinas se enfrentaram diretamente. A tirzepatida não foi inferior, mas também não comprovadamente superior à dulaglutida. Como a própria dulaglutida havia reduzido o risco no REWIND, um</w:t>
      </w:r>
      <w:r>
        <w:t xml:space="preserve"> </w:t>
      </w:r>
      <w:r>
        <w:t xml:space="preserve">“</w:t>
      </w:r>
      <w:r>
        <w:t xml:space="preserve">empate</w:t>
      </w:r>
      <w:r>
        <w:t xml:space="preserve">”</w:t>
      </w:r>
      <w:r>
        <w:t xml:space="preserve"> </w:t>
      </w:r>
      <w:r>
        <w:t xml:space="preserve">contra a dulaglutida é um resultado forte para ambas as substâncias. Uma análise posterior com um desfecho cardiorrenal mais amplo encontrou vantagem para a tirzepatida (23,7% vs. 27,4%; HR 0,84)</w:t>
      </w:r>
      <w:r>
        <w:rPr>
          <w:rStyle w:val="FootnoteReference"/>
        </w:rPr>
        <w:footnoteReference w:id="368"/>
      </w:r>
      <w:r>
        <w:t xml:space="preserve">. Análises posteriores, porém, são menos sólidas que o desfecho principal definido previamente.</w:t>
      </w:r>
    </w:p>
    <w:bookmarkEnd w:id="369"/>
    <w:bookmarkStart w:id="372" w:name="manuseio-a-caneta-preenchida"/>
    <w:p>
      <w:pPr>
        <w:pStyle w:val="Heading4"/>
      </w:pPr>
      <w:r>
        <w:t xml:space="preserve">Manuseio: a caneta preenchida</w:t>
      </w:r>
    </w:p>
    <w:p>
      <w:pPr>
        <w:pStyle w:val="FirstParagraph"/>
      </w:pPr>
      <w:r>
        <w:t xml:space="preserve">Um ponto prático raramente valorizado nos estudos é a aplicação. A dulaglutida é fornecida em uma caneta preenchida descartável, na qual não é preciso encaixar agulha nem ajustar dose. Em um estudo com 211 pessoas com diabetes tipo 2 que nunca haviam se injetado, a injeção foi bem-sucedida ao final em 99,1% dos casos; o medo de injeção diminuiu</w:t>
      </w:r>
      <w:r>
        <w:rPr>
          <w:rStyle w:val="FootnoteReference"/>
        </w:rPr>
        <w:footnoteReference w:id="370"/>
      </w:r>
      <w:r>
        <w:t xml:space="preserve">. Em um estudo comparativo financiado pelo fabricante, com 310 participantes, 84,2% preferiram a caneta de dulaglutida à caneta de semaglutida da época</w:t>
      </w:r>
      <w:r>
        <w:rPr>
          <w:rStyle w:val="FootnoteReference"/>
        </w:rPr>
        <w:footnoteReference w:id="371"/>
      </w:r>
      <w:r>
        <w:t xml:space="preserve">. Esses estudos de preferência não dizem nada sobre a eficácia, mas podem explicar por que a dulaglutida é difundida justamente entre pessoas idosas.</w:t>
      </w:r>
    </w:p>
    <w:bookmarkEnd w:id="372"/>
    <w:bookmarkStart w:id="374" w:name="crianças-e-adolescentes-1"/>
    <w:p>
      <w:pPr>
        <w:pStyle w:val="Heading4"/>
      </w:pPr>
      <w:r>
        <w:t xml:space="preserve">Crianças e adolescentes</w:t>
      </w:r>
    </w:p>
    <w:p>
      <w:pPr>
        <w:pStyle w:val="FirstParagraph"/>
      </w:pPr>
      <w:r>
        <w:t xml:space="preserve">No AWARD-PEDS, com 154 adolescentes com diabetes tipo 2, a HbA1c subiu 0,6 ponto percentual com placebo após 26 semanas e caiu com dulaglutida 0,6 (0,75 mg) e 0,9 ponto percentual (1,5 mg)</w:t>
      </w:r>
      <w:r>
        <w:rPr>
          <w:rStyle w:val="FootnoteReference"/>
        </w:rPr>
        <w:footnoteReference w:id="373"/>
      </w:r>
      <w:r>
        <w:t xml:space="preserve">. Uma HbA1c abaixo de 7% foi alcançada por 51% contra 14%. Sobre o índice de massa corporal, a dulaglutida não teve influência nessa faixa etária. Esse estudo foi a base para a aprovação a partir de 10 anos.</w:t>
      </w:r>
    </w:p>
    <w:bookmarkEnd w:id="374"/>
    <w:bookmarkStart w:id="378" w:name="outras-áreas-de-uso-em-estudos-2"/>
    <w:p>
      <w:pPr>
        <w:pStyle w:val="Heading4"/>
      </w:pPr>
      <w:r>
        <w:t xml:space="preserve">Outras áreas de uso em estudos</w:t>
      </w:r>
    </w:p>
    <w:p>
      <w:pPr>
        <w:numPr>
          <w:ilvl w:val="0"/>
          <w:numId w:val="1049"/>
        </w:numPr>
        <w:pStyle w:val="Compact"/>
      </w:pPr>
      <w:r>
        <w:rPr>
          <w:bCs/>
          <w:b/>
        </w:rPr>
        <w:t xml:space="preserve">Parar de fumar:</w:t>
      </w:r>
      <w:r>
        <w:t xml:space="preserve"> </w:t>
      </w:r>
      <w:r>
        <w:t xml:space="preserve">em um estudo com 255 pessoas, a dulaglutida não melhorou a taxa de abstinência; após 52 semanas, 32% estavam sem fumar nos dois grupos</w:t>
      </w:r>
      <w:r>
        <w:rPr>
          <w:rStyle w:val="FootnoteReference"/>
        </w:rPr>
        <w:footnoteReference w:id="375"/>
      </w:r>
      <w:r>
        <w:t xml:space="preserve">. O ganho de peso habitual após parar de fumar foi evitado nas primeiras 12 semanas; após um ano, a diferença havia desaparecido.</w:t>
      </w:r>
    </w:p>
    <w:p>
      <w:pPr>
        <w:numPr>
          <w:ilvl w:val="0"/>
          <w:numId w:val="1049"/>
        </w:numPr>
        <w:pStyle w:val="Compact"/>
      </w:pPr>
      <w:r>
        <w:rPr>
          <w:bCs/>
          <w:b/>
        </w:rPr>
        <w:t xml:space="preserve">Álcool:</w:t>
      </w:r>
      <w:r>
        <w:t xml:space="preserve"> </w:t>
      </w:r>
      <w:r>
        <w:t xml:space="preserve">em uma análise adicional pré-planejada do mesmo estudo, os participantes com dulaglutida beberam após 12 semanas 29% menos álcool do que com placebo</w:t>
      </w:r>
      <w:r>
        <w:rPr>
          <w:rStyle w:val="FootnoteReference"/>
        </w:rPr>
        <w:footnoteReference w:id="376"/>
      </w:r>
      <w:r>
        <w:t xml:space="preserve">. O estudo não foi desenhado para essa questão.</w:t>
      </w:r>
    </w:p>
    <w:p>
      <w:pPr>
        <w:numPr>
          <w:ilvl w:val="0"/>
          <w:numId w:val="1049"/>
        </w:numPr>
        <w:pStyle w:val="Compact"/>
      </w:pPr>
      <w:r>
        <w:rPr>
          <w:bCs/>
          <w:b/>
        </w:rPr>
        <w:t xml:space="preserve">Polidipsia primária</w:t>
      </w:r>
      <w:r>
        <w:t xml:space="preserve"> </w:t>
      </w:r>
      <w:r>
        <w:t xml:space="preserve">(aumento patológico da ingestão de líquidos): em um estudo cruzado com 34 pessoas, a dulaglutida reduziu a quantidade ingerida durante um teste de oito horas em 490 ml, o que corresponde a 17%</w:t>
      </w:r>
      <w:r>
        <w:rPr>
          <w:rStyle w:val="FootnoteReference"/>
        </w:rPr>
        <w:footnoteReference w:id="377"/>
      </w:r>
      <w:r>
        <w:t xml:space="preserve">. Um indício de que o GLP-1 também influencia a sensação de sede.</w:t>
      </w:r>
    </w:p>
    <w:bookmarkEnd w:id="378"/>
    <w:bookmarkEnd w:id="379"/>
    <w:bookmarkStart w:id="382" w:name="estudos-em-animais-e-em-laboratório-2"/>
    <w:p>
      <w:pPr>
        <w:pStyle w:val="Heading3"/>
      </w:pPr>
      <w:r>
        <w:t xml:space="preserve">Estudos em animais e em laboratório</w:t>
      </w:r>
    </w:p>
    <w:p>
      <w:pPr>
        <w:pStyle w:val="FirstParagraph"/>
      </w:pPr>
      <w:r>
        <w:t xml:space="preserve">A caracterização pré-clínica da dulaglutida (então LY2189265) foi feita em células, ratos, camundongos e macacos cinomolgos</w:t>
      </w:r>
      <w:r>
        <w:rPr>
          <w:rStyle w:val="FootnoteReference"/>
        </w:rPr>
        <w:footnoteReference w:id="380"/>
      </w:r>
      <w:r>
        <w:t xml:space="preserve">. Em experimentos de laboratório, a proteína de fusão manteve o efeito completo no receptor de GLP-1. Em camundongos diabéticos, uma única aplicação melhorou a tolerância à glicose; aplicações duas vezes por semana durante quatro semanas reduziram o peso e retardaram o aumento da glicose. Em macacos, o efeito sobre a liberação de insulina após uma dose durou até uma semana.</w:t>
      </w:r>
    </w:p>
    <w:p>
      <w:pPr>
        <w:pStyle w:val="BodyText"/>
      </w:pPr>
      <w:r>
        <w:t xml:space="preserve">Como com todos os agonistas do receptor de GLP-1, em estudos de longo prazo com roedores ocorreram alterações nas células C da tireoide; o mecanismo e sua transposição limitada para seres humanos estão descritos no capítulo sobre a liraglutida</w:t>
      </w:r>
      <w:r>
        <w:rPr>
          <w:rStyle w:val="FootnoteReference"/>
        </w:rPr>
        <w:footnoteReference w:id="381"/>
      </w:r>
      <w:r>
        <w:t xml:space="preserve">.</w:t>
      </w:r>
    </w:p>
    <w:bookmarkEnd w:id="382"/>
    <w:bookmarkStart w:id="392" w:name="riscos-e-efeitos-colaterais-2"/>
    <w:p>
      <w:pPr>
        <w:pStyle w:val="Heading3"/>
      </w:pPr>
      <w:r>
        <w:t xml:space="preserve">Riscos e efeitos colaterais</w:t>
      </w:r>
    </w:p>
    <w:p>
      <w:pPr>
        <w:pStyle w:val="FirstParagraph"/>
      </w:pPr>
      <w:r>
        <w:rPr>
          <w:bCs/>
          <w:b/>
        </w:rPr>
        <w:t xml:space="preserve">Comprovados em estudos randomizados:</w:t>
      </w:r>
    </w:p>
    <w:p>
      <w:pPr>
        <w:numPr>
          <w:ilvl w:val="0"/>
          <w:numId w:val="1050"/>
        </w:numPr>
        <w:pStyle w:val="Compact"/>
      </w:pPr>
      <w:r>
        <w:rPr>
          <w:bCs/>
          <w:b/>
        </w:rPr>
        <w:t xml:space="preserve">Queixas gastrointestinais:</w:t>
      </w:r>
      <w:r>
        <w:t xml:space="preserve"> </w:t>
      </w:r>
      <w:r>
        <w:t xml:space="preserve">náuseas, diarreia e vômitos são os efeitos colaterais mais comuns. No REWIND, 47,4% dos tratados relataram queixas gastrointestinais, contra 34,1% com placebo</w:t>
      </w:r>
      <w:r>
        <w:rPr>
          <w:rStyle w:val="FootnoteReference"/>
        </w:rPr>
        <w:footnoteReference w:id="383"/>
      </w:r>
      <w:r>
        <w:t xml:space="preserve">. Com doses mais altas, elas aumentam</w:t>
      </w:r>
      <w:r>
        <w:rPr>
          <w:rStyle w:val="FootnoteReference"/>
        </w:rPr>
        <w:footnoteReference w:id="384"/>
      </w:r>
      <w:r>
        <w:t xml:space="preserve">.</w:t>
      </w:r>
    </w:p>
    <w:p>
      <w:pPr>
        <w:numPr>
          <w:ilvl w:val="0"/>
          <w:numId w:val="1050"/>
        </w:numPr>
        <w:pStyle w:val="Compact"/>
      </w:pPr>
      <w:r>
        <w:rPr>
          <w:bCs/>
          <w:b/>
        </w:rPr>
        <w:t xml:space="preserve">Hipoglicemia:</w:t>
      </w:r>
      <w:r>
        <w:t xml:space="preserve"> </w:t>
      </w:r>
      <w:r>
        <w:t xml:space="preserve">rara com a substância isolada; mais frequente em combinação com insulina ou sulfonilureias, mas menos frequente do que com insulina isolada</w:t>
      </w:r>
      <w:r>
        <w:rPr>
          <w:rStyle w:val="FootnoteReference"/>
        </w:rPr>
        <w:footnoteReference w:id="385"/>
      </w:r>
      <w:r>
        <w:t xml:space="preserve">.</w:t>
      </w:r>
    </w:p>
    <w:p>
      <w:pPr>
        <w:numPr>
          <w:ilvl w:val="0"/>
          <w:numId w:val="1050"/>
        </w:numPr>
        <w:pStyle w:val="Compact"/>
      </w:pPr>
      <w:r>
        <w:rPr>
          <w:bCs/>
          <w:b/>
        </w:rPr>
        <w:t xml:space="preserve">Enzimas pancreáticas:</w:t>
      </w:r>
      <w:r>
        <w:t xml:space="preserve"> </w:t>
      </w:r>
      <w:r>
        <w:t xml:space="preserve">no AWARD-2, as enzimas do pâncreas aumentaram com dulaglutida</w:t>
      </w:r>
      <w:r>
        <w:rPr>
          <w:rStyle w:val="FootnoteReference"/>
        </w:rPr>
        <w:footnoteReference w:id="386"/>
      </w:r>
      <w:r>
        <w:t xml:space="preserve">. A relevância clínica desses aumentos sem sintomas não está clara.</w:t>
      </w:r>
    </w:p>
    <w:p>
      <w:pPr>
        <w:numPr>
          <w:ilvl w:val="0"/>
          <w:numId w:val="1050"/>
        </w:numPr>
        <w:pStyle w:val="Compact"/>
      </w:pPr>
      <w:r>
        <w:rPr>
          <w:bCs/>
          <w:b/>
        </w:rPr>
        <w:t xml:space="preserve">Anticorpos:</w:t>
      </w:r>
      <w:r>
        <w:t xml:space="preserve"> </w:t>
      </w:r>
      <w:r>
        <w:t xml:space="preserve">raros (1,6% dos tratados), sem acúmulo de reações de hipersensibilidade</w:t>
      </w:r>
      <w:r>
        <w:rPr>
          <w:rStyle w:val="FootnoteReference"/>
        </w:rPr>
        <w:footnoteReference w:id="387"/>
      </w:r>
      <w:r>
        <w:t xml:space="preserve">.</w:t>
      </w:r>
    </w:p>
    <w:p>
      <w:pPr>
        <w:numPr>
          <w:ilvl w:val="0"/>
          <w:numId w:val="1050"/>
        </w:numPr>
        <w:pStyle w:val="Compact"/>
      </w:pPr>
      <w:r>
        <w:rPr>
          <w:bCs/>
          <w:b/>
        </w:rPr>
        <w:t xml:space="preserve">Vesícula biliar:</w:t>
      </w:r>
      <w:r>
        <w:t xml:space="preserve"> </w:t>
      </w:r>
      <w:r>
        <w:t xml:space="preserve">para toda a classe, está comprovado um risco aumentado de cálculos biliares e inflamação da vesícula</w:t>
      </w:r>
      <w:r>
        <w:rPr>
          <w:rStyle w:val="FootnoteReference"/>
        </w:rPr>
        <w:footnoteReference w:id="388"/>
      </w:r>
      <w:r>
        <w:t xml:space="preserve">; detalhes no capítulo sobre a liraglutida.</w:t>
      </w:r>
    </w:p>
    <w:p>
      <w:pPr>
        <w:pStyle w:val="FirstParagraph"/>
      </w:pPr>
      <w:r>
        <w:rPr>
          <w:bCs/>
          <w:b/>
        </w:rPr>
        <w:t xml:space="preserve">Investigados, mas incertos:</w:t>
      </w:r>
    </w:p>
    <w:p>
      <w:pPr>
        <w:numPr>
          <w:ilvl w:val="0"/>
          <w:numId w:val="1051"/>
        </w:numPr>
        <w:pStyle w:val="Compact"/>
      </w:pPr>
      <w:r>
        <w:rPr>
          <w:bCs/>
          <w:b/>
        </w:rPr>
        <w:t xml:space="preserve">Pancreatite e câncer de pâncreas:</w:t>
      </w:r>
      <w:r>
        <w:t xml:space="preserve"> </w:t>
      </w:r>
      <w:r>
        <w:t xml:space="preserve">na metanálise dos estudos de desfechos, sem risco aumentado para a classe</w:t>
      </w:r>
      <w:r>
        <w:rPr>
          <w:rStyle w:val="FootnoteReference"/>
        </w:rPr>
        <w:footnoteReference w:id="389"/>
      </w:r>
      <w:r>
        <w:t xml:space="preserve">. A pancreatite, ainda assim, consta da bula para profissionais como efeito colateral raro.</w:t>
      </w:r>
    </w:p>
    <w:p>
      <w:pPr>
        <w:numPr>
          <w:ilvl w:val="0"/>
          <w:numId w:val="1051"/>
        </w:numPr>
        <w:pStyle w:val="Compact"/>
      </w:pPr>
      <w:r>
        <w:rPr>
          <w:bCs/>
          <w:b/>
        </w:rPr>
        <w:t xml:space="preserve">Câncer de tireoide:</w:t>
      </w:r>
      <w:r>
        <w:t xml:space="preserve"> </w:t>
      </w:r>
      <w:r>
        <w:t xml:space="preserve">sinal em estudos observacionais e metanálises para toda a classe</w:t>
      </w:r>
      <w:r>
        <w:rPr>
          <w:rStyle w:val="FootnoteReference"/>
        </w:rPr>
        <w:footnoteReference w:id="390"/>
      </w:r>
      <w:r>
        <w:t xml:space="preserve">, não específico da dulaglutida; ver o capítulo sobre a liraglutida e a Parte IV.</w:t>
      </w:r>
    </w:p>
    <w:p>
      <w:pPr>
        <w:pStyle w:val="FirstParagraph"/>
      </w:pPr>
      <w:r>
        <w:rPr>
          <w:bCs/>
          <w:b/>
        </w:rPr>
        <w:t xml:space="preserve">Observações para a prática:</w:t>
      </w:r>
      <w:r>
        <w:t xml:space="preserve"> </w:t>
      </w:r>
      <w:r>
        <w:t xml:space="preserve">a dulaglutida retarda o esvaziamento do estômago, o que tem importância em anestesias e endoscopias digestivas; sobre isso, está em andamento um grande estudo sobre se os agonistas do receptor de GLP-1 devem ser suspensos antes de uma endoscopia</w:t>
      </w:r>
      <w:r>
        <w:rPr>
          <w:rStyle w:val="FootnoteReference"/>
        </w:rPr>
        <w:footnoteReference w:id="391"/>
      </w:r>
      <w:r>
        <w:t xml:space="preserve">. O que vale são a bula para profissionais e o acompanhamento médico.</w:t>
      </w:r>
    </w:p>
    <w:bookmarkEnd w:id="392"/>
    <w:bookmarkStart w:id="393" w:name="situação-legal-2"/>
    <w:p>
      <w:pPr>
        <w:pStyle w:val="Heading3"/>
      </w:pPr>
      <w:r>
        <w:t xml:space="preserve">Situação legal</w:t>
      </w:r>
    </w:p>
    <w:p>
      <w:pPr>
        <w:numPr>
          <w:ilvl w:val="0"/>
          <w:numId w:val="1052"/>
        </w:numPr>
        <w:pStyle w:val="Compact"/>
      </w:pPr>
      <w:r>
        <w:rPr>
          <w:bCs/>
          <w:b/>
        </w:rPr>
        <w:t xml:space="preserve">UE:</w:t>
      </w:r>
      <w:r>
        <w:t xml:space="preserve"> </w:t>
      </w:r>
      <w:r>
        <w:t xml:space="preserve">o Trulicity tem aprovação centralizada desde 2014 para o tratamento do diabetes tipo 2, hoje também para adolescentes a partir de 10 anos. Sujeito a prescrição. Sem aprovação para redução de peso.</w:t>
      </w:r>
    </w:p>
    <w:p>
      <w:pPr>
        <w:numPr>
          <w:ilvl w:val="0"/>
          <w:numId w:val="1052"/>
        </w:numPr>
        <w:pStyle w:val="Compact"/>
      </w:pPr>
      <w:r>
        <w:rPr>
          <w:bCs/>
          <w:b/>
        </w:rPr>
        <w:t xml:space="preserve">Alemanha e Áustria:</w:t>
      </w:r>
      <w:r>
        <w:t xml:space="preserve"> </w:t>
      </w:r>
      <w:r>
        <w:t xml:space="preserve">sujeita a prescrição; reembolsável no diabetes tipo 2. A partir de 2022, como com outras preparações de GLP-1, houve períodos de falta de produto (verificar atualização).</w:t>
      </w:r>
    </w:p>
    <w:p>
      <w:pPr>
        <w:numPr>
          <w:ilvl w:val="0"/>
          <w:numId w:val="1052"/>
        </w:numPr>
        <w:pStyle w:val="Compact"/>
      </w:pPr>
      <w:r>
        <w:rPr>
          <w:bCs/>
          <w:b/>
        </w:rPr>
        <w:t xml:space="preserve">EUA:</w:t>
      </w:r>
      <w:r>
        <w:t xml:space="preserve"> </w:t>
      </w:r>
      <w:r>
        <w:t xml:space="preserve">aprovada para diabetes tipo 2 a partir de 10 anos e para redução do risco cardiovascular.</w:t>
      </w:r>
    </w:p>
    <w:p>
      <w:pPr>
        <w:numPr>
          <w:ilvl w:val="0"/>
          <w:numId w:val="1052"/>
        </w:numPr>
        <w:pStyle w:val="Compact"/>
      </w:pPr>
      <w:r>
        <w:rPr>
          <w:bCs/>
          <w:b/>
        </w:rPr>
        <w:t xml:space="preserve">Genéricos:</w:t>
      </w:r>
      <w:r>
        <w:t xml:space="preserve"> </w:t>
      </w:r>
      <w:r>
        <w:t xml:space="preserve">como a dulaglutida é uma proteína de fusão produzida por engenharia genética, as versões de imitação seriam biossimilares, com processo de aprovação mais complexo do que para a liraglutida ou a semaglutida. No momento da publicação, até onde se sabe, não há biossimilar no mercado da UE (verificar atualização).</w:t>
      </w:r>
    </w:p>
    <w:p>
      <w:pPr>
        <w:numPr>
          <w:ilvl w:val="0"/>
          <w:numId w:val="1052"/>
        </w:numPr>
        <w:pStyle w:val="Compact"/>
      </w:pPr>
      <w:r>
        <w:rPr>
          <w:bCs/>
          <w:b/>
        </w:rPr>
        <w:t xml:space="preserve">Esporte (WADA):</w:t>
      </w:r>
      <w:r>
        <w:t xml:space="preserve"> </w:t>
      </w:r>
      <w:r>
        <w:t xml:space="preserve">não listada (situação em 2026, verificar atualização).</w:t>
      </w:r>
    </w:p>
    <w:p>
      <w:pPr>
        <w:numPr>
          <w:ilvl w:val="0"/>
          <w:numId w:val="1052"/>
        </w:numPr>
        <w:pStyle w:val="Compact"/>
      </w:pPr>
      <w:r>
        <w:rPr>
          <w:bCs/>
          <w:b/>
        </w:rPr>
        <w:t xml:space="preserve">Mercado cinza:</w:t>
      </w:r>
      <w:r>
        <w:t xml:space="preserve"> </w:t>
      </w:r>
      <w:r>
        <w:t xml:space="preserve">a dulaglutida praticamente não tem papel no mercado cinza, porque uma grande proteína de fusão não pode ser produzida sinteticamente como os peptídeos pequenos.</w:t>
      </w:r>
    </w:p>
    <w:bookmarkEnd w:id="393"/>
    <w:bookmarkStart w:id="400" w:name="estudos-em-andamento-e-perspectivas-2"/>
    <w:p>
      <w:pPr>
        <w:pStyle w:val="Heading3"/>
      </w:pPr>
      <w:r>
        <w:t xml:space="preserve">Estudos em andamento e perspectivas</w:t>
      </w:r>
    </w:p>
    <w:p>
      <w:pPr>
        <w:pStyle w:val="FirstParagraph"/>
      </w:pPr>
      <w:r>
        <w:rPr>
          <w:bCs/>
          <w:b/>
        </w:rPr>
        <w:t xml:space="preserve">Confirmado (estudos registrados):</w:t>
      </w:r>
    </w:p>
    <w:p>
      <w:pPr>
        <w:numPr>
          <w:ilvl w:val="0"/>
          <w:numId w:val="1053"/>
        </w:numPr>
        <w:pStyle w:val="Compact"/>
      </w:pPr>
      <w:r>
        <w:rPr>
          <w:bCs/>
          <w:b/>
        </w:rPr>
        <w:t xml:space="preserve">Crianças e adolescentes:</w:t>
      </w:r>
      <w:r>
        <w:t xml:space="preserve"> </w:t>
      </w:r>
      <w:r>
        <w:t xml:space="preserve">a Lilly testa as doses mais altas de 3,0 e 4,5 mg em adolescentes com diabetes tipo 2</w:t>
      </w:r>
      <w:r>
        <w:rPr>
          <w:rStyle w:val="FootnoteReference"/>
        </w:rPr>
        <w:footnoteReference w:id="394"/>
      </w:r>
      <w:r>
        <w:t xml:space="preserve"> </w:t>
      </w:r>
      <w:r>
        <w:t xml:space="preserve">e compara o comprimido de orforglipron com a dulaglutida nessa faixa etária</w:t>
      </w:r>
      <w:r>
        <w:rPr>
          <w:rStyle w:val="FootnoteReference"/>
        </w:rPr>
        <w:footnoteReference w:id="395"/>
      </w:r>
      <w:r>
        <w:t xml:space="preserve">.</w:t>
      </w:r>
    </w:p>
    <w:p>
      <w:pPr>
        <w:numPr>
          <w:ilvl w:val="0"/>
          <w:numId w:val="1053"/>
        </w:numPr>
        <w:pStyle w:val="Compact"/>
      </w:pPr>
      <w:r>
        <w:rPr>
          <w:bCs/>
          <w:b/>
        </w:rPr>
        <w:t xml:space="preserve">Vasos e cirurgias:</w:t>
      </w:r>
      <w:r>
        <w:t xml:space="preserve"> </w:t>
      </w:r>
      <w:r>
        <w:t xml:space="preserve">um estudo investiga a dulaglutida no estreitamento grave dos vasos cerebrais</w:t>
      </w:r>
      <w:r>
        <w:rPr>
          <w:rStyle w:val="FootnoteReference"/>
        </w:rPr>
        <w:footnoteReference w:id="396"/>
      </w:r>
      <w:r>
        <w:t xml:space="preserve">, e outro, se ela reduz danos ao músculo cardíaco após cirurgias não cardíacas</w:t>
      </w:r>
      <w:r>
        <w:rPr>
          <w:rStyle w:val="FootnoteReference"/>
        </w:rPr>
        <w:footnoteReference w:id="397"/>
      </w:r>
      <w:r>
        <w:t xml:space="preserve">.</w:t>
      </w:r>
    </w:p>
    <w:p>
      <w:pPr>
        <w:numPr>
          <w:ilvl w:val="0"/>
          <w:numId w:val="1053"/>
        </w:numPr>
        <w:pStyle w:val="Compact"/>
      </w:pPr>
      <w:r>
        <w:rPr>
          <w:bCs/>
          <w:b/>
        </w:rPr>
        <w:t xml:space="preserve">Fibrose cística:</w:t>
      </w:r>
      <w:r>
        <w:t xml:space="preserve"> </w:t>
      </w:r>
      <w:r>
        <w:t xml:space="preserve">um pequeno estudo de fase 2 investiga a dulaglutida no distúrbio do aproveitamento da glicose decorrente da doença</w:t>
      </w:r>
      <w:r>
        <w:rPr>
          <w:rStyle w:val="FootnoteReference"/>
        </w:rPr>
        <w:footnoteReference w:id="398"/>
      </w:r>
      <w:r>
        <w:t xml:space="preserve">.</w:t>
      </w:r>
    </w:p>
    <w:p>
      <w:pPr>
        <w:numPr>
          <w:ilvl w:val="0"/>
          <w:numId w:val="1053"/>
        </w:numPr>
        <w:pStyle w:val="Compact"/>
      </w:pPr>
      <w:r>
        <w:rPr>
          <w:bCs/>
          <w:b/>
        </w:rPr>
        <w:t xml:space="preserve">Como comparador:</w:t>
      </w:r>
      <w:r>
        <w:t xml:space="preserve"> </w:t>
      </w:r>
      <w:r>
        <w:t xml:space="preserve">numerosas substâncias novas estão sendo testadas em estudos de fase 3 contra a dulaglutida, entre elas a proteína de fusão de exendina-4 JY09</w:t>
      </w:r>
      <w:r>
        <w:rPr>
          <w:rStyle w:val="FootnoteReference"/>
        </w:rPr>
        <w:footnoteReference w:id="399"/>
      </w:r>
      <w:r>
        <w:t xml:space="preserve">.</w:t>
      </w:r>
    </w:p>
    <w:p>
      <w:pPr>
        <w:pStyle w:val="FirstParagraph"/>
      </w:pPr>
      <w:r>
        <w:rPr>
          <w:bCs/>
          <w:b/>
        </w:rPr>
        <w:t xml:space="preserve">Avaliação:</w:t>
      </w:r>
      <w:r>
        <w:t xml:space="preserve"> </w:t>
      </w:r>
      <w:r>
        <w:t xml:space="preserve">a dulaglutida é uma substância sólida e bem estudada, com benefício cardiovascular comprovado, mas superada pela semaglutida e pela tirzepatida na glicose e no peso. Seu papel deve se deslocar cada vez mais para o de padrão de comparação em estudos. Como a Lilly oferece sucessoras próprias, a tirzepatida e a orforglipron, um desenvolvimento adicional da dulaglutida para novas indicações é pouco provável.</w:t>
      </w:r>
    </w:p>
    <w:bookmarkEnd w:id="400"/>
    <w:bookmarkStart w:id="401" w:name="conclusão-2"/>
    <w:p>
      <w:pPr>
        <w:pStyle w:val="Heading3"/>
      </w:pPr>
      <w:r>
        <w:t xml:space="preserve">Conclusão</w:t>
      </w:r>
    </w:p>
    <w:p>
      <w:pPr>
        <w:pStyle w:val="FirstParagraph"/>
      </w:pPr>
      <w:r>
        <w:t xml:space="preserve">A dulaglutida é uma proteína de fusão de GLP-1 injetada semanalmente, testada no programa AWARD contra quase todos os medicamentos comuns para diabetes. Ela reduziu a glicose de longo prazo mais ou menos tanto quanto a liraglutida e mais que a exenatida, a sitagliptina ou a metformina, mas perdeu para a semaglutida no SUSTAIN 7, sobretudo no peso. No REWIND, com 9.901 participantes, entre eles muitos sem doença cardiovascular conhecida, reduziu os eventos cardiovasculares graves em 12%. Os efeitos colaterais correspondem aos da classe; anticorpos são raros. Ela não é aprovada para redução de peso, e o tratamento deve ficar nas mãos de um médico.</w:t>
      </w:r>
    </w:p>
    <w:bookmarkEnd w:id="401"/>
    <w:bookmarkEnd w:id="402"/>
    <w:bookmarkStart w:id="477" w:name="semaglutida"/>
    <w:p>
      <w:pPr>
        <w:pStyle w:val="Heading2"/>
      </w:pPr>
      <w:r>
        <w:t xml:space="preserve">Semaglutida</w:t>
      </w:r>
    </w:p>
    <w:bookmarkStart w:id="404" w:name="ficha-técnica-3"/>
    <w:p>
      <w:pPr>
        <w:pStyle w:val="Heading3"/>
      </w:pPr>
      <w:r>
        <w:t xml:space="preserve">Ficha técnica</w:t>
      </w:r>
    </w:p>
    <w:p>
      <w:pPr>
        <w:numPr>
          <w:ilvl w:val="0"/>
          <w:numId w:val="1054"/>
        </w:numPr>
        <w:pStyle w:val="Compact"/>
      </w:pPr>
      <w:r>
        <w:rPr>
          <w:bCs/>
          <w:b/>
        </w:rPr>
        <w:t xml:space="preserve">Tipo/estrutura:</w:t>
      </w:r>
      <w:r>
        <w:t xml:space="preserve"> </w:t>
      </w:r>
      <w:r>
        <w:t xml:space="preserve">GLP-1 humano modificado, com 31 aminoácidos. Em relação ao hormônio do próprio corpo, dois aminoácidos foram trocados; em uma terceira posição, uma cadeia de ácido graxo está ligada por meio de um conector, o que faz a molécula se ligar fortemente à proteína sanguínea albumina</w:t>
      </w:r>
      <w:r>
        <w:rPr>
          <w:rStyle w:val="FootnoteReference"/>
        </w:rPr>
        <w:footnoteReference w:id="403"/>
      </w:r>
      <w:r>
        <w:t xml:space="preserve">.</w:t>
      </w:r>
    </w:p>
    <w:p>
      <w:pPr>
        <w:numPr>
          <w:ilvl w:val="0"/>
          <w:numId w:val="1054"/>
        </w:numPr>
        <w:pStyle w:val="Compact"/>
      </w:pPr>
      <w:r>
        <w:rPr>
          <w:bCs/>
          <w:b/>
        </w:rPr>
        <w:t xml:space="preserve">Origem:</w:t>
      </w:r>
      <w:r>
        <w:t xml:space="preserve"> </w:t>
      </w:r>
      <w:r>
        <w:t xml:space="preserve">desenvolvida pela Novo Nordisk como evolução da liraglutida.</w:t>
      </w:r>
    </w:p>
    <w:p>
      <w:pPr>
        <w:numPr>
          <w:ilvl w:val="0"/>
          <w:numId w:val="1054"/>
        </w:numPr>
        <w:pStyle w:val="Compact"/>
      </w:pPr>
      <w:r>
        <w:rPr>
          <w:bCs/>
          <w:b/>
        </w:rPr>
        <w:t xml:space="preserve">Mecanismo de ação:</w:t>
      </w:r>
      <w:r>
        <w:t xml:space="preserve"> </w:t>
      </w:r>
      <w:r>
        <w:t xml:space="preserve">agonista do receptor de GLP-1 com duração de ação muito longa – uma injeção por semana ou um comprimido por dia.</w:t>
      </w:r>
    </w:p>
    <w:p>
      <w:pPr>
        <w:numPr>
          <w:ilvl w:val="0"/>
          <w:numId w:val="1054"/>
        </w:numPr>
        <w:pStyle w:val="Compact"/>
      </w:pPr>
      <w:r>
        <w:rPr>
          <w:bCs/>
          <w:b/>
        </w:rPr>
        <w:t xml:space="preserve">Preparações:</w:t>
      </w:r>
      <w:r>
        <w:t xml:space="preserve"> </w:t>
      </w:r>
      <w:r>
        <w:t xml:space="preserve">Ozempic (injeção, diabetes tipo 2), Wegovy (injeção, controle de peso e redução do risco cardiovascular), Rybelsus (comprimido, diabetes tipo 2). Nos EUA, desde o fim de 2025, também está aprovado um comprimido de Wegovy para controle de peso (verificar atualização).</w:t>
      </w:r>
    </w:p>
    <w:p>
      <w:pPr>
        <w:numPr>
          <w:ilvl w:val="0"/>
          <w:numId w:val="1054"/>
        </w:numPr>
        <w:pStyle w:val="Compact"/>
      </w:pPr>
      <w:r>
        <w:rPr>
          <w:bCs/>
          <w:b/>
        </w:rPr>
        <w:t xml:space="preserve">Aprovação UE:</w:t>
      </w:r>
      <w:r>
        <w:t xml:space="preserve"> </w:t>
      </w:r>
      <w:r>
        <w:t xml:space="preserve">sim – diabetes tipo 2 (injeção desde 2018, comprimido desde 2020), controle de peso (desde 2022, também para adolescentes a partir de 12 anos).</w:t>
      </w:r>
    </w:p>
    <w:p>
      <w:pPr>
        <w:numPr>
          <w:ilvl w:val="0"/>
          <w:numId w:val="1054"/>
        </w:numPr>
        <w:pStyle w:val="Compact"/>
      </w:pPr>
      <w:r>
        <w:rPr>
          <w:bCs/>
          <w:b/>
        </w:rPr>
        <w:t xml:space="preserve">Aprovação EUA:</w:t>
      </w:r>
      <w:r>
        <w:t xml:space="preserve"> </w:t>
      </w:r>
      <w:r>
        <w:t xml:space="preserve">sim – diabetes tipo 2, controle de peso, redução do risco cardiovascular no sobrepeso com doença cardiovascular, proteção renal no diabetes tipo 2 com doença renal crônica e esteato-hepatite (MASH) com fibrose.</w:t>
      </w:r>
    </w:p>
    <w:p>
      <w:pPr>
        <w:numPr>
          <w:ilvl w:val="0"/>
          <w:numId w:val="1054"/>
        </w:numPr>
        <w:pStyle w:val="Compact"/>
      </w:pPr>
      <w:r>
        <w:rPr>
          <w:bCs/>
          <w:b/>
        </w:rPr>
        <w:t xml:space="preserve">WADA:</w:t>
      </w:r>
      <w:r>
        <w:t xml:space="preserve"> </w:t>
      </w:r>
      <w:r>
        <w:t xml:space="preserve">não listada.</w:t>
      </w:r>
    </w:p>
    <w:p>
      <w:pPr>
        <w:numPr>
          <w:ilvl w:val="0"/>
          <w:numId w:val="1054"/>
        </w:numPr>
        <w:pStyle w:val="Compact"/>
      </w:pPr>
      <w:r>
        <w:rPr>
          <w:bCs/>
          <w:b/>
        </w:rPr>
        <w:t xml:space="preserve">Nível de evidência:</w:t>
      </w:r>
      <w:r>
        <w:t xml:space="preserve"> </w:t>
      </w:r>
      <w:r>
        <w:rPr>
          <w:bCs/>
          <w:b/>
        </w:rPr>
        <w:t xml:space="preserve">A</w:t>
      </w:r>
      <w:r>
        <w:t xml:space="preserve"> </w:t>
      </w:r>
      <w:r>
        <w:t xml:space="preserve">– quatro grandes programas de aprovação (SUSTAIN, PIONEER, STEP, OASIS), vários estudos de desfechos com, ao todo, mais de 40.000 participantes.</w:t>
      </w:r>
    </w:p>
    <w:bookmarkEnd w:id="404"/>
    <w:bookmarkStart w:id="407" w:name="como-deveria-agir-3"/>
    <w:p>
      <w:pPr>
        <w:pStyle w:val="Heading3"/>
      </w:pPr>
      <w:r>
        <w:t xml:space="preserve">Como deveria agir</w:t>
      </w:r>
    </w:p>
    <w:p>
      <w:pPr>
        <w:pStyle w:val="FirstParagraph"/>
      </w:pPr>
      <w:r>
        <w:t xml:space="preserve">A semaglutida age como o hormônio intestinal GLP-1: aumenta a liberação de insulina dependente da glicose, inibe o glucagon, que eleva a glicose, retarda o esvaziamento do estômago e reduz no cérebro a fome e o desejo de comer. O mecanismo básico da classe está explicado no capítulo sobre a exenatida.</w:t>
      </w:r>
    </w:p>
    <w:p>
      <w:pPr>
        <w:pStyle w:val="BodyText"/>
      </w:pPr>
      <w:r>
        <w:t xml:space="preserve">A novidade da semaglutida é a durabilidade. Os desenvolvedores partiram da liraglutida e alteraram duas coisas</w:t>
      </w:r>
      <w:r>
        <w:rPr>
          <w:rStyle w:val="FootnoteReference"/>
        </w:rPr>
        <w:footnoteReference w:id="405"/>
      </w:r>
      <w:r>
        <w:t xml:space="preserve">: uma troca de aminoácido na posição 8 torna a molécula completamente insensível à enzima degradadora DPP-4. E uma cadeia de ácido graxo mais longa, com outro conector, se liga muito mais firmemente à albumina. Com isso, a semaglutida é liberada e eliminada apenas lentamente. Em minipigs, a meia-vida após aplicação na veia foi de 46,1 horas; em humanos, é ainda mais longa e permite uma injeção por semana.</w:t>
      </w:r>
    </w:p>
    <w:p>
      <w:pPr>
        <w:pStyle w:val="BodyText"/>
      </w:pPr>
      <w:r>
        <w:t xml:space="preserve">Para a perda de peso, são decisivos sobretudo os efeitos no cérebro. A semaglutida reduz a ingestão de alimentos, a sensação de fome e a vontade de comer alimentos especialmente ricos em gordura e açúcar. Um gasto de energia relevantemente maior não está comprovado.</w:t>
      </w:r>
    </w:p>
    <w:p>
      <w:pPr>
        <w:pStyle w:val="BodyText"/>
      </w:pPr>
      <w:r>
        <w:rPr>
          <w:bCs/>
          <w:b/>
        </w:rPr>
        <w:t xml:space="preserve">O comprimido:</w:t>
      </w:r>
      <w:r>
        <w:t xml:space="preserve"> </w:t>
      </w:r>
      <w:r>
        <w:t xml:space="preserve">normalmente, os peptídeos são digeridos no estômago e quase não são absorvidos. No Rybelsus, a semaglutida é combinada com o excipiente SNAC. Ele tampona o ácido gástrico diretamente na superfície do comprimido, protege assim contra a degradação e facilita por pouco tempo a absorção pela mucosa gástrica – em estudos com humanos e cães, exclusivamente no estômago, não no intestino</w:t>
      </w:r>
      <w:r>
        <w:rPr>
          <w:rStyle w:val="FootnoteReference"/>
        </w:rPr>
        <w:footnoteReference w:id="406"/>
      </w:r>
      <w:r>
        <w:t xml:space="preserve">. Mesmo assim, apenas uma fração muito pequena da substância chega ao sangue. Por isso, o comprimido contém um múltiplo da dose da injeção e precisa ser tomado em jejum com pouca água; a bula para profissionais regula os detalhes.</w:t>
      </w:r>
    </w:p>
    <w:bookmarkEnd w:id="407"/>
    <w:bookmarkStart w:id="448" w:name="estudos-em-humanos-3"/>
    <w:p>
      <w:pPr>
        <w:pStyle w:val="Heading3"/>
      </w:pPr>
      <w:r>
        <w:t xml:space="preserve">Estudos em humanos</w:t>
      </w:r>
    </w:p>
    <w:p>
      <w:pPr>
        <w:pStyle w:val="FirstParagraph"/>
      </w:pPr>
      <w:r>
        <w:t xml:space="preserve">A semaglutida é atualmente a substância mais estudada de sua classe. A busca no PubMed analisada para este livro (termo</w:t>
      </w:r>
      <w:r>
        <w:t xml:space="preserve"> </w:t>
      </w:r>
      <w:r>
        <w:t xml:space="preserve">“</w:t>
      </w:r>
      <w:r>
        <w:t xml:space="preserve">semaglutide</w:t>
      </w:r>
      <w:r>
        <w:t xml:space="preserve">”</w:t>
      </w:r>
      <w:r>
        <w:t xml:space="preserve"> </w:t>
      </w:r>
      <w:r>
        <w:t xml:space="preserve">no título ou no resumo, data da busca outubro de 2026) resultou em 342 estudos em humanos. Esse número subestima o volume real de pesquisa, porque muitas análises de grandes estudos são publicadas sob o nome deles. No ClinicalTrials.gov constam 793 registros – mais do que para qualquer outro peptídeo deste livro.</w:t>
      </w:r>
    </w:p>
    <w:p>
      <w:pPr>
        <w:pStyle w:val="BodyText"/>
      </w:pPr>
      <w:r>
        <w:t xml:space="preserve">Os estudos podem ser agrupados em quatro programas: SUSTAIN (injeção no diabetes tipo 2), PIONEER (comprimido no diabetes tipo 2), STEP (injeção na obesidade) e OASIS (comprimido na obesidade). A isso se somam grandes estudos de desfechos sobre coração (SUSTAIN 6, PIONEER 6, SOUL, SELECT), rins (FLOW), fígado (ESSENCE), insuficiência cardíaca, articulações e cérebro (evoke).</w:t>
      </w:r>
    </w:p>
    <w:bookmarkStart w:id="411" w:name="diabetes-tipo-2-com-a-injeção-sustain"/>
    <w:p>
      <w:pPr>
        <w:pStyle w:val="Heading4"/>
      </w:pPr>
      <w:r>
        <w:t xml:space="preserve">Diabetes tipo 2 com a injeção: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pessoas, monoterapia vs. placebo</w:t>
            </w:r>
          </w:p>
        </w:tc>
        <w:tc>
          <w:tcPr/>
          <w:p>
            <w:pPr>
              <w:pStyle w:val="Compact"/>
              <w:jc w:val="left"/>
            </w:pPr>
            <w:r>
              <w:t xml:space="preserve">30 semanas</w:t>
            </w:r>
          </w:p>
        </w:tc>
        <w:tc>
          <w:tcPr/>
          <w:p>
            <w:pPr>
              <w:pStyle w:val="Compact"/>
              <w:jc w:val="left"/>
            </w:pPr>
            <w:r>
              <w:t xml:space="preserve">HbA1c −1,55 (1,0 mg) vs. −0,02 ponto percentual; peso −4,53 vs. −0,98 kg</w:t>
            </w:r>
          </w:p>
        </w:tc>
      </w:tr>
      <w:tr>
        <w:tc>
          <w:tcPr/>
          <w:p>
            <w:pPr>
              <w:pStyle w:val="Compact"/>
              <w:jc w:val="left"/>
            </w:pPr>
            <w:r>
              <w:t xml:space="preserve">SUSTAIN FORTE (Frías 2021), PMID 34293304</w:t>
            </w:r>
          </w:p>
        </w:tc>
        <w:tc>
          <w:tcPr/>
          <w:p>
            <w:pPr>
              <w:pStyle w:val="Compact"/>
              <w:jc w:val="left"/>
            </w:pPr>
            <w:r>
              <w:t xml:space="preserve">961 pessoas; 2,0 mg vs. 1,0 mg</w:t>
            </w:r>
          </w:p>
        </w:tc>
        <w:tc>
          <w:tcPr/>
          <w:p>
            <w:pPr>
              <w:pStyle w:val="Compact"/>
              <w:jc w:val="left"/>
            </w:pPr>
            <w:r>
              <w:t xml:space="preserve">40 semanas</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pessoas com alto risco cardiovascular, vs. placebo</w:t>
            </w:r>
          </w:p>
        </w:tc>
        <w:tc>
          <w:tcPr/>
          <w:p>
            <w:pPr>
              <w:pStyle w:val="Compact"/>
              <w:jc w:val="left"/>
            </w:pPr>
            <w:r>
              <w:t xml:space="preserve">104 semanas</w:t>
            </w:r>
          </w:p>
        </w:tc>
        <w:tc>
          <w:tcPr/>
          <w:p>
            <w:pPr>
              <w:pStyle w:val="Compact"/>
              <w:jc w:val="left"/>
            </w:pPr>
            <w:r>
              <w:t xml:space="preserve">eventos cardiovasculares graves 6,6% vs. 8,9%; HR 0,74</w:t>
            </w:r>
          </w:p>
        </w:tc>
      </w:tr>
    </w:tbl>
    <w:p>
      <w:pPr>
        <w:pStyle w:val="BodyText"/>
      </w:pPr>
      <w:r>
        <w:t xml:space="preserve">Já o estudo de monoterapia SUSTAIN 1</w:t>
      </w:r>
      <w:r>
        <w:rPr>
          <w:rStyle w:val="FootnoteReference"/>
        </w:rPr>
        <w:footnoteReference w:id="408"/>
      </w:r>
      <w:r>
        <w:t xml:space="preserve"> </w:t>
      </w:r>
      <w:r>
        <w:t xml:space="preserve">mostrou que a semaglutida reduz a HbA1c, a glicose de longo prazo, em cerca de 1,5 ponto percentual. Em estudos posteriores, com participantes que tinham valores iniciais mais altos, a redução foi maior; com a dose de 2,0 mg, chegou a 2,2 pontos percentuais no SUSTAIN FORTE</w:t>
      </w:r>
      <w:r>
        <w:rPr>
          <w:rStyle w:val="FootnoteReference"/>
        </w:rPr>
        <w:footnoteReference w:id="409"/>
      </w:r>
      <w:r>
        <w:t xml:space="preserve">.</w:t>
      </w:r>
    </w:p>
    <w:p>
      <w:pPr>
        <w:pStyle w:val="BodyText"/>
      </w:pPr>
      <w:r>
        <w:t xml:space="preserve">O</w:t>
      </w:r>
      <w:r>
        <w:t xml:space="preserve"> </w:t>
      </w:r>
      <w:r>
        <w:rPr>
          <w:bCs/>
          <w:b/>
        </w:rPr>
        <w:t xml:space="preserve">SUSTAIN 6</w:t>
      </w:r>
      <w:r>
        <w:rPr>
          <w:rStyle w:val="FootnoteReference"/>
        </w:rPr>
        <w:footnoteReference w:id="410"/>
      </w:r>
      <w:r>
        <w:t xml:space="preserve"> </w:t>
      </w:r>
      <w:r>
        <w:t xml:space="preserve">foi planejado como estudo de segurança, mas mostrou uma vantagem clara: morte por causa cardiovascular, infarto não fatal ou AVC ocorreram em 108 de 1.648 pessoas com semaglutida (6,6%), contra 146 de 1.649 com placebo (8,9%). Os AVCs foram significativamente mais raros (1,6% vs. 2,7%). Ao mesmo tempo, surgiu um sinal de alerta: complicações da doença diabética da retina (retinopatia) – como hemorragias vítreas ou achados que exigiam tratamento – foram mais frequentes com semaglutida (HR 1,76). Esse sinal é discutido na seção de riscos.</w:t>
      </w:r>
    </w:p>
    <w:bookmarkEnd w:id="411"/>
    <w:bookmarkStart w:id="417" w:name="X7e2cfe3b96d1db07a3b3f5f25ea6ae0847ec6fa"/>
    <w:p>
      <w:pPr>
        <w:pStyle w:val="Heading4"/>
      </w:pPr>
      <w:r>
        <w:t xml:space="preserve">Comparações diretas dentro da classe GLP-1</w:t>
      </w:r>
    </w:p>
    <w:p>
      <w:pPr>
        <w:pStyle w:val="FirstParagraph"/>
      </w:pPr>
      <w:r>
        <w:t xml:space="preserve">Em estudos de comparação direta, a semaglutida enfrentou todos os agonistas do receptor de GLP-1 mais antigos e superou cada um deles.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Duração</w:t>
            </w:r>
          </w:p>
        </w:tc>
        <w:tc>
          <w:tcPr/>
          <w:p>
            <w:pPr>
              <w:pStyle w:val="Compact"/>
              <w:jc w:val="left"/>
            </w:pPr>
            <w:r>
              <w:t xml:space="preserve">Resultado (semaglutida vs. comparador)</w:t>
            </w:r>
          </w:p>
        </w:tc>
      </w:tr>
      <w:tr>
        <w:tc>
          <w:tcPr/>
          <w:p>
            <w:pPr>
              <w:pStyle w:val="Compact"/>
              <w:jc w:val="left"/>
            </w:pPr>
            <w:r>
              <w:t xml:space="preserve">SUSTAIN 3 (Ahmann 2018), PMID 29246950</w:t>
            </w:r>
          </w:p>
        </w:tc>
        <w:tc>
          <w:tcPr/>
          <w:p>
            <w:pPr>
              <w:pStyle w:val="Compact"/>
              <w:jc w:val="left"/>
            </w:pPr>
            <w:r>
              <w:t xml:space="preserve">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pessoas; 0,5/1,0 mg vs. dulaglutida 0,75/1,5 mg</w:t>
            </w:r>
          </w:p>
        </w:tc>
        <w:tc>
          <w:tcPr/>
          <w:p>
            <w:pPr>
              <w:pStyle w:val="Compact"/>
              <w:jc w:val="left"/>
            </w:pPr>
            <w:r>
              <w:t xml:space="preserve">40 semanas</w:t>
            </w:r>
          </w:p>
        </w:tc>
        <w:tc>
          <w:tcPr/>
          <w:p>
            <w:pPr>
              <w:pStyle w:val="Compact"/>
              <w:jc w:val="left"/>
            </w:pPr>
            <w:r>
              <w:t xml:space="preserve">HbA1c −1,8 vs. −1,4; peso −6,5 vs. −3,0 kg (doses altas)</w:t>
            </w:r>
          </w:p>
        </w:tc>
      </w:tr>
      <w:tr>
        <w:tc>
          <w:tcPr/>
          <w:p>
            <w:pPr>
              <w:pStyle w:val="Compact"/>
              <w:jc w:val="left"/>
            </w:pPr>
            <w:r>
              <w:t xml:space="preserve">SUSTAIN 10 (Capehorn 2020), PMID 31539622</w:t>
            </w:r>
          </w:p>
        </w:tc>
        <w:tc>
          <w:tcPr/>
          <w:p>
            <w:pPr>
              <w:pStyle w:val="Compact"/>
              <w:jc w:val="left"/>
            </w:pPr>
            <w:r>
              <w:t xml:space="preserve">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pessoas; comprimido de 14 mg vs. injeção de liraglutida 1,8 mg vs. placebo</w:t>
            </w:r>
          </w:p>
        </w:tc>
        <w:tc>
          <w:tcPr/>
          <w:p>
            <w:pPr>
              <w:pStyle w:val="Compact"/>
              <w:jc w:val="left"/>
            </w:pPr>
            <w:r>
              <w:t xml:space="preserve">52 semanas (análise principal após 26 semanas)</w:t>
            </w:r>
          </w:p>
        </w:tc>
        <w:tc>
          <w:tcPr/>
          <w:p>
            <w:pPr>
              <w:pStyle w:val="Compact"/>
              <w:jc w:val="left"/>
            </w:pPr>
            <w:r>
              <w:t xml:space="preserve">HbA1c −1,2 vs. −1,1 (não inferior); peso −4,4 vs. −3,1 kg</w:t>
            </w:r>
          </w:p>
        </w:tc>
      </w:tr>
      <w:tr>
        <w:tc>
          <w:tcPr/>
          <w:p>
            <w:pPr>
              <w:pStyle w:val="Compact"/>
              <w:jc w:val="left"/>
            </w:pPr>
            <w:r>
              <w:t xml:space="preserve">STEP 8 (Rubino 2022), PMID 35015037</w:t>
            </w:r>
          </w:p>
        </w:tc>
        <w:tc>
          <w:tcPr/>
          <w:p>
            <w:pPr>
              <w:pStyle w:val="Compact"/>
              <w:jc w:val="left"/>
            </w:pPr>
            <w:r>
              <w:t xml:space="preserve">338 pessoas com obesidade sem diabetes; 2,4 mg vs. liraglutida 3,0 mg</w:t>
            </w:r>
          </w:p>
        </w:tc>
        <w:tc>
          <w:tcPr/>
          <w:p>
            <w:pPr>
              <w:pStyle w:val="Compact"/>
              <w:jc w:val="left"/>
            </w:pPr>
            <w:r>
              <w:t xml:space="preserve">68 semanas</w:t>
            </w:r>
          </w:p>
        </w:tc>
        <w:tc>
          <w:tcPr/>
          <w:p>
            <w:pPr>
              <w:pStyle w:val="Compact"/>
              <w:jc w:val="left"/>
            </w:pPr>
            <w:r>
              <w:t xml:space="preserve">peso −15,8% vs. −6,4%</w:t>
            </w:r>
          </w:p>
        </w:tc>
      </w:tr>
    </w:tbl>
    <w:p>
      <w:pPr>
        <w:pStyle w:val="BodyText"/>
      </w:pPr>
      <w:r>
        <w:t xml:space="preserve">As diferenças na glicose de longo prazo ficam entre 0,1 e 0,7 ponto percentual a favor da semaglutida e, no peso, entre 1,2 e cerca de 4 kg no diabetes. A distância foi maior na obesidade: no STEP 8</w:t>
      </w:r>
      <w:r>
        <w:rPr>
          <w:rStyle w:val="FootnoteReference"/>
        </w:rPr>
        <w:footnoteReference w:id="412"/>
      </w:r>
      <w:r>
        <w:t xml:space="preserve">, 38,5% perderam com semaglutida pelo menos 20% do peso, contra 6,0% com liraglutida. O preço, em algumas comparações, é uma taxa um pouco maior de queixas gastrointestinais: no SUSTAIN 10, 11,4% contra 6,6% interromperam o tratamento por efeitos colaterais</w:t>
      </w:r>
      <w:r>
        <w:rPr>
          <w:rStyle w:val="FootnoteReference"/>
        </w:rPr>
        <w:footnoteReference w:id="413"/>
      </w:r>
      <w:r>
        <w:t xml:space="preserve">. Já no SUSTAIN 3, as reações no local da injeção foram muito mais frequentes com exenatida (22,0% vs. 1,2%)</w:t>
      </w:r>
      <w:r>
        <w:rPr>
          <w:rStyle w:val="FootnoteReference"/>
        </w:rPr>
        <w:footnoteReference w:id="414"/>
      </w:r>
      <w:r>
        <w:t xml:space="preserve">.</w:t>
      </w:r>
    </w:p>
    <w:p>
      <w:pPr>
        <w:pStyle w:val="BodyText"/>
      </w:pPr>
      <w:r>
        <w:t xml:space="preserve">O PIONEER 4</w:t>
      </w:r>
      <w:r>
        <w:rPr>
          <w:rStyle w:val="FootnoteReference"/>
        </w:rPr>
        <w:footnoteReference w:id="415"/>
      </w:r>
      <w:r>
        <w:t xml:space="preserve"> </w:t>
      </w:r>
      <w:r>
        <w:t xml:space="preserve">é notável porque nele um comprimido enfrentou uma injeção: na HbA1c, o comprimido de semaglutida não foi inferior à injeção de liraglutida e, no peso, foi superior em 1,2 kg.</w:t>
      </w:r>
    </w:p>
    <w:p>
      <w:pPr>
        <w:pStyle w:val="BodyText"/>
      </w:pPr>
      <w:r>
        <w:t xml:space="preserve">Fora da classe GLP-1, a semaglutida, por sua vez, foi superada: na comparação direta com o agonista duplo GIP/GLP-1 tirzepatida em 751 pessoas com obesidade, a perda de peso após 72 semanas foi de −13,7% contra −20,2%</w:t>
      </w:r>
      <w:r>
        <w:rPr>
          <w:rStyle w:val="FootnoteReference"/>
        </w:rPr>
        <w:footnoteReference w:id="416"/>
      </w:r>
      <w:r>
        <w:t xml:space="preserve">. Os detalhes estão no capítulo sobre a tirzepatida.</w:t>
      </w:r>
    </w:p>
    <w:bookmarkEnd w:id="417"/>
    <w:bookmarkStart w:id="421" w:name="X8579dde799517b6713d02f5118a99e70a6db83e"/>
    <w:p>
      <w:pPr>
        <w:pStyle w:val="Heading4"/>
      </w:pPr>
      <w:r>
        <w:t xml:space="preserve">Diabetes tipo 2 com o comprimido: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pessoas, monoterapia; 3/7/14 mg vs. placebo</w:t>
            </w:r>
          </w:p>
        </w:tc>
        <w:tc>
          <w:tcPr/>
          <w:p>
            <w:pPr>
              <w:pStyle w:val="Compact"/>
              <w:jc w:val="left"/>
            </w:pPr>
            <w:r>
              <w:t xml:space="preserve">26 semanas</w:t>
            </w:r>
          </w:p>
        </w:tc>
        <w:tc>
          <w:tcPr/>
          <w:p>
            <w:pPr>
              <w:pStyle w:val="Compact"/>
              <w:jc w:val="left"/>
            </w:pPr>
            <w:r>
              <w:t xml:space="preserve">HbA1c −1,1 ponto percentual (14 mg) em relação ao placebo; peso −2,3 kg em relação ao placebo</w:t>
            </w:r>
          </w:p>
        </w:tc>
      </w:tr>
      <w:tr>
        <w:tc>
          <w:tcPr/>
          <w:p>
            <w:pPr>
              <w:pStyle w:val="Compact"/>
              <w:jc w:val="left"/>
            </w:pPr>
            <w:r>
              <w:t xml:space="preserve">PIONEER 6 (Husain 2019), PMID 31185157</w:t>
            </w:r>
          </w:p>
        </w:tc>
        <w:tc>
          <w:tcPr/>
          <w:p>
            <w:pPr>
              <w:pStyle w:val="Compact"/>
              <w:jc w:val="left"/>
            </w:pPr>
            <w:r>
              <w:t xml:space="preserve">3.183 pessoas de alto risco; vs. placebo</w:t>
            </w:r>
          </w:p>
        </w:tc>
        <w:tc>
          <w:tcPr/>
          <w:p>
            <w:pPr>
              <w:pStyle w:val="Compact"/>
              <w:jc w:val="left"/>
            </w:pPr>
            <w:r>
              <w:t xml:space="preserve">mediana de 15,9 meses</w:t>
            </w:r>
          </w:p>
        </w:tc>
        <w:tc>
          <w:tcPr/>
          <w:p>
            <w:pPr>
              <w:pStyle w:val="Compact"/>
              <w:jc w:val="left"/>
            </w:pPr>
            <w:r>
              <w:t xml:space="preserve">eventos 3,8% vs. 4,8%; HR 0,79, não inferior</w:t>
            </w:r>
          </w:p>
        </w:tc>
      </w:tr>
      <w:tr>
        <w:tc>
          <w:tcPr/>
          <w:p>
            <w:pPr>
              <w:pStyle w:val="Compact"/>
              <w:jc w:val="left"/>
            </w:pPr>
            <w:r>
              <w:t xml:space="preserve">PIONEER PLUS (Aroda 2023), PMID 37385279</w:t>
            </w:r>
          </w:p>
        </w:tc>
        <w:tc>
          <w:tcPr/>
          <w:p>
            <w:pPr>
              <w:pStyle w:val="Compact"/>
              <w:jc w:val="left"/>
            </w:pPr>
            <w:r>
              <w:t xml:space="preserve">1.606 pessoas; 25 e 50 mg vs. 14 mg</w:t>
            </w:r>
          </w:p>
        </w:tc>
        <w:tc>
          <w:tcPr/>
          <w:p>
            <w:pPr>
              <w:pStyle w:val="Compact"/>
              <w:jc w:val="left"/>
            </w:pPr>
            <w:r>
              <w:t xml:space="preserve">52 semanas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pessoas com doença vascular e/ou renal; vs. placebo</w:t>
            </w:r>
          </w:p>
        </w:tc>
        <w:tc>
          <w:tcPr/>
          <w:p>
            <w:pPr>
              <w:pStyle w:val="Compact"/>
              <w:jc w:val="left"/>
            </w:pPr>
            <w:r>
              <w:t xml:space="preserve">mediana de 49,5 meses</w:t>
            </w:r>
          </w:p>
        </w:tc>
        <w:tc>
          <w:tcPr/>
          <w:p>
            <w:pPr>
              <w:pStyle w:val="Compact"/>
              <w:jc w:val="left"/>
            </w:pPr>
            <w:r>
              <w:t xml:space="preserve">eventos 12,0% vs. 13,8%; HR 0,86 (0,77–0,96)</w:t>
            </w:r>
          </w:p>
        </w:tc>
      </w:tr>
    </w:tbl>
    <w:p>
      <w:pPr>
        <w:pStyle w:val="BodyText"/>
      </w:pPr>
      <w:r>
        <w:t xml:space="preserve">Na dose padrão de 14 mg, o comprimido age um pouco menos que a injeção. O PIONEER PLUS</w:t>
      </w:r>
      <w:r>
        <w:rPr>
          <w:rStyle w:val="FootnoteReference"/>
        </w:rPr>
        <w:footnoteReference w:id="418"/>
      </w:r>
      <w:r>
        <w:t xml:space="preserve"> </w:t>
      </w:r>
      <w:r>
        <w:t xml:space="preserve">mostrou que doses mais altas do comprimido reduzem a diferença. O PIONEER 6</w:t>
      </w:r>
      <w:r>
        <w:rPr>
          <w:rStyle w:val="FootnoteReference"/>
        </w:rPr>
        <w:footnoteReference w:id="419"/>
      </w:r>
      <w:r>
        <w:t xml:space="preserve"> </w:t>
      </w:r>
      <w:r>
        <w:t xml:space="preserve">foi um estudo curto de segurança; provou que o comprimido não aumenta o risco cardiovascular, mas era pequeno demais para comprovar benefício.</w:t>
      </w:r>
    </w:p>
    <w:p>
      <w:pPr>
        <w:pStyle w:val="BodyText"/>
      </w:pPr>
      <w:r>
        <w:t xml:space="preserve">Essa comprovação veio com o</w:t>
      </w:r>
      <w:r>
        <w:t xml:space="preserve"> </w:t>
      </w:r>
      <w:r>
        <w:rPr>
          <w:bCs/>
          <w:b/>
        </w:rPr>
        <w:t xml:space="preserve">SOUL</w:t>
      </w:r>
      <w:r>
        <w:rPr>
          <w:rStyle w:val="FootnoteReference"/>
        </w:rPr>
        <w:footnoteReference w:id="420"/>
      </w:r>
      <w:r>
        <w:t xml:space="preserve">: em 9.650 pessoas com diabetes tipo 2 e doença vascular ou renal, o comprimido de semaglutida reduziu os eventos cardiovasculares graves em 14% ao longo de cerca de quatro anos. Os desfechos secundários confirmatórios, entre eles resultados renais, não diferiram significativamente. Eventos adversos graves não foram mais frequentes com semaglutida (47,9% vs. 50,3%).</w:t>
      </w:r>
    </w:p>
    <w:bookmarkEnd w:id="421"/>
    <w:bookmarkStart w:id="427" w:name="obesidade-com-a-injeção-step"/>
    <w:p>
      <w:pPr>
        <w:pStyle w:val="Heading4"/>
      </w:pPr>
      <w:r>
        <w:t xml:space="preserve">Obesidade com a injeção: STEP</w:t>
      </w:r>
    </w:p>
    <w:p>
      <w:pPr>
        <w:pStyle w:val="FirstParagraph"/>
      </w:pPr>
      <w:r>
        <w:t xml:space="preserve">Com a dose de 2,4 mg por semana, a semaglutida, como Wegovy, tornou-se o primeiro medicamento com o qual pessoas com obesidade perderam em grandes estudos, em média, cerca de 15% do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com obesidade sem diabetes, ECR contra placebo</w:t>
            </w:r>
          </w:p>
        </w:tc>
        <w:tc>
          <w:tcPr/>
          <w:p>
            <w:pPr>
              <w:pStyle w:val="Compact"/>
              <w:jc w:val="left"/>
            </w:pPr>
            <w:r>
              <w:t xml:space="preserve">68 semanas</w:t>
            </w:r>
          </w:p>
        </w:tc>
        <w:tc>
          <w:tcPr/>
          <w:p>
            <w:pPr>
              <w:pStyle w:val="Compact"/>
              <w:jc w:val="left"/>
            </w:pPr>
            <w:r>
              <w:t xml:space="preserve">−14,9% do peso corporal vs. −2,4%</w:t>
            </w:r>
          </w:p>
        </w:tc>
      </w:tr>
      <w:tr>
        <w:tc>
          <w:tcPr/>
          <w:p>
            <w:pPr>
              <w:pStyle w:val="Compact"/>
              <w:jc w:val="left"/>
            </w:pPr>
            <w:r>
              <w:t xml:space="preserve">STEP 2 (Davies 2021), PMID 33667417</w:t>
            </w:r>
          </w:p>
        </w:tc>
        <w:tc>
          <w:tcPr/>
          <w:p>
            <w:pPr>
              <w:pStyle w:val="Compact"/>
              <w:jc w:val="left"/>
            </w:pPr>
            <w:r>
              <w:t xml:space="preserve">1.210 pessoas com sobrepeso e diabetes tipo 2</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pessoas, com terapia comportamental intensiva adicional</w:t>
            </w:r>
          </w:p>
        </w:tc>
        <w:tc>
          <w:tcPr/>
          <w:p>
            <w:pPr>
              <w:pStyle w:val="Compact"/>
              <w:jc w:val="left"/>
            </w:pPr>
            <w:r>
              <w:t xml:space="preserve">68 semanas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pessoas após 20 semanas de semaglutida: continuar ou trocar para placebo</w:t>
            </w:r>
          </w:p>
        </w:tc>
        <w:tc>
          <w:tcPr/>
          <w:p>
            <w:pPr>
              <w:pStyle w:val="Compact"/>
              <w:jc w:val="left"/>
            </w:pPr>
            <w:r>
              <w:t xml:space="preserve">48 semanas</w:t>
            </w:r>
          </w:p>
        </w:tc>
        <w:tc>
          <w:tcPr/>
          <w:p>
            <w:pPr>
              <w:pStyle w:val="Compact"/>
              <w:jc w:val="left"/>
            </w:pPr>
            <w:r>
              <w:t xml:space="preserve">−7,9% (continuou) vs. +6,9% (suspendeu)</w:t>
            </w:r>
          </w:p>
        </w:tc>
      </w:tr>
      <w:tr>
        <w:tc>
          <w:tcPr/>
          <w:p>
            <w:pPr>
              <w:pStyle w:val="Compact"/>
              <w:jc w:val="left"/>
            </w:pPr>
            <w:r>
              <w:t xml:space="preserve">STEP 5 (Garvey 2022), PMID 36216945</w:t>
            </w:r>
          </w:p>
        </w:tc>
        <w:tc>
          <w:tcPr/>
          <w:p>
            <w:pPr>
              <w:pStyle w:val="Compact"/>
              <w:jc w:val="left"/>
            </w:pPr>
            <w:r>
              <w:t xml:space="preserve">304 pessoas</w:t>
            </w:r>
          </w:p>
        </w:tc>
        <w:tc>
          <w:tcPr/>
          <w:p>
            <w:pPr>
              <w:pStyle w:val="Compact"/>
              <w:jc w:val="left"/>
            </w:pPr>
            <w:r>
              <w:t xml:space="preserve">104 semanas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pessoas no Leste Asiático</w:t>
            </w:r>
          </w:p>
        </w:tc>
        <w:tc>
          <w:tcPr/>
          <w:p>
            <w:pPr>
              <w:pStyle w:val="Compact"/>
              <w:jc w:val="left"/>
            </w:pPr>
            <w:r>
              <w:t xml:space="preserve">68 semanas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pessoas; 7,2 mg vs. 2,4 mg vs. placebo</w:t>
            </w:r>
          </w:p>
        </w:tc>
        <w:tc>
          <w:tcPr/>
          <w:p>
            <w:pPr>
              <w:pStyle w:val="Compact"/>
              <w:jc w:val="left"/>
            </w:pPr>
            <w:r>
              <w:t xml:space="preserve">72 semanas</w:t>
            </w:r>
          </w:p>
        </w:tc>
        <w:tc>
          <w:tcPr/>
          <w:p>
            <w:pPr>
              <w:pStyle w:val="Compact"/>
              <w:jc w:val="left"/>
            </w:pPr>
            <w:r>
              <w:t xml:space="preserve">−18,7% vs. −15,6% vs. −3,9%</w:t>
            </w:r>
          </w:p>
        </w:tc>
      </w:tr>
    </w:tbl>
    <w:p>
      <w:pPr>
        <w:pStyle w:val="BodyText"/>
      </w:pPr>
      <w:r>
        <w:t xml:space="preserve">No</w:t>
      </w:r>
      <w:r>
        <w:t xml:space="preserve"> </w:t>
      </w:r>
      <w:r>
        <w:rPr>
          <w:bCs/>
          <w:b/>
        </w:rPr>
        <w:t xml:space="preserve">STEP 1</w:t>
      </w:r>
      <w:r>
        <w:rPr>
          <w:rStyle w:val="FootnoteReference"/>
        </w:rPr>
        <w:footnoteReference w:id="422"/>
      </w:r>
      <w:r>
        <w:t xml:space="preserve">, os participantes perderam em média 15,3 kg, contra 2,6 kg com placebo. Metade (50,5%) perdeu pelo menos 15% do peso. Por queixas gastrointestinais, 4,5% interromperam o tratamento, contra 0,8% com placebo.</w:t>
      </w:r>
    </w:p>
    <w:p>
      <w:pPr>
        <w:pStyle w:val="BodyText"/>
      </w:pPr>
      <w:r>
        <w:t xml:space="preserve">Em pessoas com diabetes tipo 2, a perda foi menor (STEP 2, Davies 2021, PMID 33667417) – um padrão que ocorre em todas as substâncias desta classe. No</w:t>
      </w:r>
      <w:r>
        <w:t xml:space="preserve"> </w:t>
      </w:r>
      <w:r>
        <w:rPr>
          <w:bCs/>
          <w:b/>
        </w:rPr>
        <w:t xml:space="preserve">STEP 5</w:t>
      </w:r>
      <w:r>
        <w:rPr>
          <w:rStyle w:val="FootnoteReference"/>
        </w:rPr>
        <w:footnoteReference w:id="423"/>
      </w:r>
      <w:r>
        <w:t xml:space="preserve">, o efeito permaneceu estável ao longo de dois anos.</w:t>
      </w:r>
    </w:p>
    <w:p>
      <w:pPr>
        <w:pStyle w:val="BodyText"/>
      </w:pPr>
      <w:r>
        <w:rPr>
          <w:bCs/>
          <w:b/>
        </w:rPr>
        <w:t xml:space="preserve">O que acontece após a suspensão?</w:t>
      </w:r>
      <w:r>
        <w:t xml:space="preserve"> </w:t>
      </w:r>
      <w:r>
        <w:t xml:space="preserve">Essa pergunta é central para a prática. No STEP 4</w:t>
      </w:r>
      <w:r>
        <w:rPr>
          <w:rStyle w:val="FootnoteReference"/>
        </w:rPr>
        <w:footnoteReference w:id="424"/>
      </w:r>
      <w:r>
        <w:t xml:space="preserve">, todos os participantes receberam primeiro 20 semanas de semaglutida e haviam perdido nesse período, em média, 10,6%. Quem depois trocou para placebo voltou a ganhar 6,9% nas 48 semanas seguintes; quem continuou o tratamento perdeu mais 7,9%. Na extensão do STEP 1</w:t>
      </w:r>
      <w:r>
        <w:rPr>
          <w:rStyle w:val="FootnoteReference"/>
        </w:rPr>
        <w:footnoteReference w:id="425"/>
      </w:r>
      <w:r>
        <w:t xml:space="preserve">, um ano após a suspensão, os participantes haviam recuperado cerca de dois terços do peso perdido; também a pressão arterial, os lipídios no sangue e a glicose voltaram a se aproximar dos valores iniciais. Os autores concluem que a obesidade é uma doença crônica e que o tratamento provavelmente precisa ser permanente.</w:t>
      </w:r>
    </w:p>
    <w:p>
      <w:pPr>
        <w:pStyle w:val="BodyText"/>
      </w:pPr>
      <w:r>
        <w:rPr>
          <w:bCs/>
          <w:b/>
        </w:rPr>
        <w:t xml:space="preserve">Dose mais alta:</w:t>
      </w:r>
      <w:r>
        <w:t xml:space="preserve"> </w:t>
      </w:r>
      <w:r>
        <w:t xml:space="preserve">no STEP UP</w:t>
      </w:r>
      <w:r>
        <w:rPr>
          <w:rStyle w:val="FootnoteReference"/>
        </w:rPr>
        <w:footnoteReference w:id="426"/>
      </w:r>
      <w:r>
        <w:t xml:space="preserve">, a dose triplicada de 7,2 mg levou a 18,7% de perda de peso. As queixas gastrointestinais foram mais frequentes (70,8% vs. 61,2% com 2,4 mg), e 22,9% relataram sensações anormais na pele (disestesia), contra 6,0% com 2,4 mg.</w:t>
      </w:r>
    </w:p>
    <w:bookmarkEnd w:id="427"/>
    <w:bookmarkStart w:id="429" w:name="obesidade-com-o-comprimido-oasis"/>
    <w:p>
      <w:pPr>
        <w:pStyle w:val="Heading4"/>
      </w:pPr>
      <w:r>
        <w:t xml:space="preserve">Obesidade com o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pessoas com obesidade sem diabetes; 50 mg por dia vs. placebo</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pessoas; 25 mg por dia vs. placebo</w:t>
            </w:r>
          </w:p>
        </w:tc>
        <w:tc>
          <w:tcPr/>
          <w:p>
            <w:pPr>
              <w:pStyle w:val="Compact"/>
              <w:jc w:val="left"/>
            </w:pPr>
            <w:r>
              <w:t xml:space="preserve">64 semanas</w:t>
            </w:r>
          </w:p>
        </w:tc>
        <w:tc>
          <w:tcPr/>
          <w:p>
            <w:pPr>
              <w:pStyle w:val="Compact"/>
              <w:jc w:val="left"/>
            </w:pPr>
            <w:r>
              <w:t xml:space="preserve">−13,6% vs. −2,2%</w:t>
            </w:r>
          </w:p>
        </w:tc>
      </w:tr>
    </w:tbl>
    <w:p>
      <w:pPr>
        <w:pStyle w:val="BodyText"/>
      </w:pPr>
      <w:r>
        <w:t xml:space="preserve">Os comprimidos alcançaram nesses estudos valores semelhantes aos da injeção no STEP 1</w:t>
      </w:r>
      <w:r>
        <w:rPr>
          <w:rStyle w:val="FootnoteReference"/>
        </w:rPr>
        <w:footnoteReference w:id="428"/>
      </w:r>
      <w:r>
        <w:t xml:space="preserve">. Queixas gastrointestinais ocorreram em 74% a 80%. O comprimido de 25 mg do OASIS 4 é a base do comprimido de Wegovy aprovado nos EUA. Uma comparação direta com a injeção em um grande estudo ainda não existe.</w:t>
      </w:r>
    </w:p>
    <w:bookmarkEnd w:id="429"/>
    <w:bookmarkStart w:id="432" w:name="crianças-e-adolescentes-2"/>
    <w:p>
      <w:pPr>
        <w:pStyle w:val="Heading4"/>
      </w:pPr>
      <w:r>
        <w:t xml:space="preserve">Crianças e adolescentes</w:t>
      </w:r>
    </w:p>
    <w:p>
      <w:pPr>
        <w:pStyle w:val="FirstParagraph"/>
      </w:pPr>
      <w:r>
        <w:t xml:space="preserve">No</w:t>
      </w:r>
      <w:r>
        <w:t xml:space="preserve"> </w:t>
      </w:r>
      <w:r>
        <w:rPr>
          <w:bCs/>
          <w:b/>
        </w:rPr>
        <w:t xml:space="preserve">STEP TEENS</w:t>
      </w:r>
      <w:r>
        <w:t xml:space="preserve">, com 201 adolescentes com obesidade, o índice de massa corporal (IMC) caiu 16,1% após 68 semanas, enquanto com placebo subiu 0,6%</w:t>
      </w:r>
      <w:r>
        <w:rPr>
          <w:rStyle w:val="FootnoteReference"/>
        </w:rPr>
        <w:footnoteReference w:id="430"/>
      </w:r>
      <w:r>
        <w:t xml:space="preserve">. 73% perderam pelo menos 5% do peso, contra 18% com placebo. Cinco adolescentes (4%) com semaglutida desenvolveram cálculos biliares, e nenhum com placebo. Um estudo com crianças a partir de 6 anos está em andamento</w:t>
      </w:r>
      <w:r>
        <w:rPr>
          <w:rStyle w:val="FootnoteReference"/>
        </w:rPr>
        <w:footnoteReference w:id="431"/>
      </w:r>
      <w:r>
        <w:t xml:space="preserve">.</w:t>
      </w:r>
    </w:p>
    <w:bookmarkEnd w:id="432"/>
    <w:bookmarkStart w:id="434" w:name="Xbb79f13992184f68f3f1de2962950897fec96c8"/>
    <w:p>
      <w:pPr>
        <w:pStyle w:val="Heading4"/>
      </w:pPr>
      <w:r>
        <w:t xml:space="preserve">SELECT: proteção cardíaca também sem diabetes</w:t>
      </w:r>
    </w:p>
    <w:p>
      <w:pPr>
        <w:pStyle w:val="FirstParagraph"/>
      </w:pPr>
      <w:r>
        <w:t xml:space="preserve">O SELECT foi um marco, porque mostrou pela primeira vez que um medicamento para redução de peso diminui infartos, AVCs e mortes cardiovasculares em pessoas sem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pessoas com sobrepeso ou obesidade e doença cardiovascular, sem diabetes; 2,4 mg vs. placebo</w:t>
            </w:r>
          </w:p>
        </w:tc>
        <w:tc>
          <w:tcPr/>
          <w:p>
            <w:pPr>
              <w:pStyle w:val="Compact"/>
              <w:jc w:val="left"/>
            </w:pPr>
            <w:r>
              <w:t xml:space="preserve">acompanhamento médio de 39,8 meses</w:t>
            </w:r>
          </w:p>
        </w:tc>
        <w:tc>
          <w:tcPr/>
          <w:p>
            <w:pPr>
              <w:pStyle w:val="Compact"/>
              <w:jc w:val="left"/>
            </w:pPr>
            <w:r>
              <w:t xml:space="preserve">eventos cardiovasculares graves 6,5% vs. 8,0%; HR 0,80 (0,72–0,90)</w:t>
            </w:r>
          </w:p>
        </w:tc>
      </w:tr>
    </w:tbl>
    <w:p>
      <w:pPr>
        <w:pStyle w:val="BodyText"/>
      </w:pPr>
      <w:r>
        <w:t xml:space="preserve">A redução relativa do risco foi de 20%</w:t>
      </w:r>
      <w:r>
        <w:rPr>
          <w:rStyle w:val="FootnoteReference"/>
        </w:rPr>
        <w:footnoteReference w:id="433"/>
      </w:r>
      <w:r>
        <w:t xml:space="preserve">. Em números absolutos, ao longo de pouco mais de três anos, cerca de 1,5 em cada cem tratados deixou de ter um evento desse tipo. Chamou a atenção a alta taxa de abandono: 16,6% encerraram o tratamento definitivamente por efeitos colaterais, contra 8,2% com placebo. Se o benefício se deve apenas à perda de peso ou também a efeitos diretos sobre os vasos e a inflamação não está definitivamente esclarecido.</w:t>
      </w:r>
    </w:p>
    <w:bookmarkEnd w:id="434"/>
    <w:bookmarkStart w:id="436" w:name="flow-proteção-dos-rins"/>
    <w:p>
      <w:pPr>
        <w:pStyle w:val="Heading4"/>
      </w:pPr>
      <w:r>
        <w:t xml:space="preserve">FLOW: proteção dos rins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pessoas com diabetes tipo 2 e doença renal crônica; 1,0 mg vs. placebo</w:t>
            </w:r>
          </w:p>
        </w:tc>
        <w:tc>
          <w:tcPr/>
          <w:p>
            <w:pPr>
              <w:pStyle w:val="Compact"/>
              <w:jc w:val="left"/>
            </w:pPr>
            <w:r>
              <w:t xml:space="preserve">mediana de 3,4 anos (encerrado antecipadamente por eficácia)</w:t>
            </w:r>
          </w:p>
        </w:tc>
        <w:tc>
          <w:tcPr/>
          <w:p>
            <w:pPr>
              <w:pStyle w:val="Compact"/>
              <w:jc w:val="left"/>
            </w:pPr>
            <w:r>
              <w:t xml:space="preserve">desfecho renal 331 vs. 410 eventos; HR 0,76; mortalidade total HR 0,80</w:t>
            </w:r>
          </w:p>
        </w:tc>
      </w:tr>
    </w:tbl>
    <w:p>
      <w:pPr>
        <w:pStyle w:val="BodyText"/>
      </w:pPr>
      <w:r>
        <w:t xml:space="preserve">O FLOW</w:t>
      </w:r>
      <w:r>
        <w:rPr>
          <w:rStyle w:val="FootnoteReference"/>
        </w:rPr>
        <w:footnoteReference w:id="435"/>
      </w:r>
      <w:r>
        <w:t xml:space="preserve"> </w:t>
      </w:r>
      <w:r>
        <w:t xml:space="preserve">foi o primeiro grande estudo com um agonista do receptor de GLP-1 em que um desfecho renal duro – insuficiência renal, perda acentuada de função ou morte por causa renal ou cardiovascular – foi o objetivo principal. Ele foi encerrado antecipadamente após uma análise interina por eficácia clara. A perda anual de função renal (TFGe) foi 1,16 ml/min por 1,73 m² menor com semaglutida. Também os eventos cardiovasculares (HR 0,82) e a mortalidade total (HR 0,80) foram reduzidos.</w:t>
      </w:r>
    </w:p>
    <w:bookmarkEnd w:id="436"/>
    <w:bookmarkStart w:id="442" w:name="X27cf382b15f19a5160f7a1e9a5a19587a45411f"/>
    <w:p>
      <w:pPr>
        <w:pStyle w:val="Heading4"/>
      </w:pPr>
      <w:r>
        <w:t xml:space="preserve">Outros órgãos: fígado, insuficiência cardíaca, vasos, articulações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pessoas com esteato-hepatite (MASH) e fibrose estágio 2–3; análise interina dos primeiros 800</w:t>
            </w:r>
          </w:p>
        </w:tc>
        <w:tc>
          <w:tcPr/>
          <w:p>
            <w:pPr>
              <w:pStyle w:val="Compact"/>
              <w:jc w:val="left"/>
            </w:pPr>
            <w:r>
              <w:t xml:space="preserve">72 semanas (primeira parte)</w:t>
            </w:r>
          </w:p>
        </w:tc>
        <w:tc>
          <w:tcPr/>
          <w:p>
            <w:pPr>
              <w:pStyle w:val="Compact"/>
              <w:jc w:val="left"/>
            </w:pPr>
            <w:r>
              <w:t xml:space="preserve">resolução da inflamação 62,9% vs. 34,3%; menos fibrose 36,8% vs. 22,4%</w:t>
            </w:r>
          </w:p>
        </w:tc>
      </w:tr>
      <w:tr>
        <w:tc>
          <w:tcPr/>
          <w:p>
            <w:pPr>
              <w:pStyle w:val="Compact"/>
              <w:jc w:val="left"/>
            </w:pPr>
            <w:r>
              <w:t xml:space="preserve">STEP-HFpEF (Kosiborod 2023), PMID 37622681</w:t>
            </w:r>
          </w:p>
        </w:tc>
        <w:tc>
          <w:tcPr/>
          <w:p>
            <w:pPr>
              <w:pStyle w:val="Compact"/>
              <w:jc w:val="left"/>
            </w:pPr>
            <w:r>
              <w:t xml:space="preserve">529 pessoas com insuficiência cardíaca com fração de ejeção preservada e obesidade; 2,4 mg vs. placebo</w:t>
            </w:r>
          </w:p>
        </w:tc>
        <w:tc>
          <w:tcPr/>
          <w:p>
            <w:pPr>
              <w:pStyle w:val="Compact"/>
              <w:jc w:val="left"/>
            </w:pPr>
            <w:r>
              <w:t xml:space="preserve">52 semanas</w:t>
            </w:r>
          </w:p>
        </w:tc>
        <w:tc>
          <w:tcPr/>
          <w:p>
            <w:pPr>
              <w:pStyle w:val="Compact"/>
              <w:jc w:val="left"/>
            </w:pPr>
            <w:r>
              <w:t xml:space="preserve">escore de sintomas +16,6 vs. +8,7 pontos; distância de caminhada +21,5 vs. +1,2 m</w:t>
            </w:r>
          </w:p>
        </w:tc>
      </w:tr>
      <w:tr>
        <w:tc>
          <w:tcPr/>
          <w:p>
            <w:pPr>
              <w:pStyle w:val="Compact"/>
              <w:jc w:val="left"/>
            </w:pPr>
            <w:r>
              <w:t xml:space="preserve">STRIDE (Bonaca 2025), PMID 40169145</w:t>
            </w:r>
          </w:p>
        </w:tc>
        <w:tc>
          <w:tcPr/>
          <w:p>
            <w:pPr>
              <w:pStyle w:val="Compact"/>
              <w:jc w:val="left"/>
            </w:pPr>
            <w:r>
              <w:t xml:space="preserve">792 pessoas com doença arterial periférica e diabetes tipo 2; 1,0 mg vs. placebo</w:t>
            </w:r>
          </w:p>
        </w:tc>
        <w:tc>
          <w:tcPr/>
          <w:p>
            <w:pPr>
              <w:pStyle w:val="Compact"/>
              <w:jc w:val="left"/>
            </w:pPr>
            <w:r>
              <w:t xml:space="preserve">52 semanas</w:t>
            </w:r>
          </w:p>
        </w:tc>
        <w:tc>
          <w:tcPr/>
          <w:p>
            <w:pPr>
              <w:pStyle w:val="Compact"/>
              <w:jc w:val="left"/>
            </w:pPr>
            <w:r>
              <w:t xml:space="preserve">distância máxima de caminhada com melhora 13% maior</w:t>
            </w:r>
          </w:p>
        </w:tc>
      </w:tr>
      <w:tr>
        <w:tc>
          <w:tcPr/>
          <w:p>
            <w:pPr>
              <w:pStyle w:val="Compact"/>
              <w:jc w:val="left"/>
            </w:pPr>
            <w:r>
              <w:t xml:space="preserve">STEP 9 (Bliddal 2024), PMID 39476339</w:t>
            </w:r>
          </w:p>
        </w:tc>
        <w:tc>
          <w:tcPr/>
          <w:p>
            <w:pPr>
              <w:pStyle w:val="Compact"/>
              <w:jc w:val="left"/>
            </w:pPr>
            <w:r>
              <w:t xml:space="preserve">407 pessoas com obesidade e artrose de joelho</w:t>
            </w:r>
          </w:p>
        </w:tc>
        <w:tc>
          <w:tcPr/>
          <w:p>
            <w:pPr>
              <w:pStyle w:val="Compact"/>
              <w:jc w:val="left"/>
            </w:pPr>
            <w:r>
              <w:t xml:space="preserve">68 semanas</w:t>
            </w:r>
          </w:p>
        </w:tc>
        <w:tc>
          <w:tcPr/>
          <w:p>
            <w:pPr>
              <w:pStyle w:val="Compact"/>
              <w:jc w:val="left"/>
            </w:pPr>
            <w:r>
              <w:t xml:space="preserve">escore de dor −41,7 vs. −27,5 pontos; peso −13,7% vs. −3,2%</w:t>
            </w:r>
          </w:p>
        </w:tc>
      </w:tr>
    </w:tbl>
    <w:p>
      <w:pPr>
        <w:pStyle w:val="BodyText"/>
      </w:pPr>
      <w:r>
        <w:rPr>
          <w:bCs/>
          <w:b/>
        </w:rPr>
        <w:t xml:space="preserve">Fígado:</w:t>
      </w:r>
      <w:r>
        <w:t xml:space="preserve"> </w:t>
      </w:r>
      <w:r>
        <w:t xml:space="preserve">no ESSENCE</w:t>
      </w:r>
      <w:r>
        <w:rPr>
          <w:rStyle w:val="FootnoteReference"/>
        </w:rPr>
        <w:footnoteReference w:id="437"/>
      </w:r>
      <w:r>
        <w:t xml:space="preserve">, a esteato-hepatite regrediu na amostra de tecido em quase dois terços dos tratados, sem aumento da cicatrização. Uma redução da fibrose – o objetivo clinicamente mais importante – foi alcançada por 36,8% contra 22,4%. A segunda parte do estudo, com desfechos hepáticos duros como a cirrose, vai até 2029</w:t>
      </w:r>
      <w:r>
        <w:rPr>
          <w:rStyle w:val="FootnoteReference"/>
        </w:rPr>
        <w:footnoteReference w:id="438"/>
      </w:r>
      <w:r>
        <w:t xml:space="preserve">.</w:t>
      </w:r>
    </w:p>
    <w:p>
      <w:pPr>
        <w:pStyle w:val="BodyText"/>
      </w:pPr>
      <w:r>
        <w:rPr>
          <w:bCs/>
          <w:b/>
        </w:rPr>
        <w:t xml:space="preserve">Insuficiência cardíaca:</w:t>
      </w:r>
      <w:r>
        <w:t xml:space="preserve"> </w:t>
      </w:r>
      <w:r>
        <w:t xml:space="preserve">na insuficiência cardíaca com fração de ejeção preservada e obesidade, os sintomas e a capacidade de esforço melhoraram claramente</w:t>
      </w:r>
      <w:r>
        <w:rPr>
          <w:rStyle w:val="FootnoteReference"/>
        </w:rPr>
        <w:footnoteReference w:id="439"/>
      </w:r>
      <w:r>
        <w:t xml:space="preserve">. Eventos adversos graves foram mais raros com semaglutida (13,3% vs. 26,7%). Se a semaglutida também reduz internações ou mortes por insuficiência cardíaca não era o objetivo principal desse estudo.</w:t>
      </w:r>
    </w:p>
    <w:p>
      <w:pPr>
        <w:pStyle w:val="BodyText"/>
      </w:pPr>
      <w:r>
        <w:rPr>
          <w:bCs/>
          <w:b/>
        </w:rPr>
        <w:t xml:space="preserve">Doença arterial periférica:</w:t>
      </w:r>
      <w:r>
        <w:t xml:space="preserve"> </w:t>
      </w:r>
      <w:r>
        <w:t xml:space="preserve">na doença arterial obstrutiva periférica, a semaglutida aumentou a distância máxima de caminhada</w:t>
      </w:r>
      <w:r>
        <w:rPr>
          <w:rStyle w:val="FootnoteReference"/>
        </w:rPr>
        <w:footnoteReference w:id="440"/>
      </w:r>
      <w:r>
        <w:t xml:space="preserve">.</w:t>
      </w:r>
    </w:p>
    <w:p>
      <w:pPr>
        <w:pStyle w:val="BodyText"/>
      </w:pPr>
      <w:r>
        <w:rPr>
          <w:bCs/>
          <w:b/>
        </w:rPr>
        <w:t xml:space="preserve">Artrose de joelho:</w:t>
      </w:r>
      <w:r>
        <w:t xml:space="preserve"> </w:t>
      </w:r>
      <w:r>
        <w:t xml:space="preserve">no STEP 9</w:t>
      </w:r>
      <w:r>
        <w:rPr>
          <w:rStyle w:val="FootnoteReference"/>
        </w:rPr>
        <w:footnoteReference w:id="441"/>
      </w:r>
      <w:r>
        <w:t xml:space="preserve">, a dor no joelho diminuiu mais do que com placebo. Se isso se deve apenas à perda de peso, o estudo deixa em aberto.</w:t>
      </w:r>
    </w:p>
    <w:bookmarkEnd w:id="442"/>
    <w:bookmarkStart w:id="447" w:name="cérebro-e-vícios"/>
    <w:p>
      <w:pPr>
        <w:pStyle w:val="Heading4"/>
      </w:pPr>
      <w:r>
        <w:t xml:space="preserve">Cérebro e vícios</w:t>
      </w:r>
    </w:p>
    <w:p>
      <w:pPr>
        <w:pStyle w:val="FirstParagraph"/>
      </w:pPr>
      <w:r>
        <w:rPr>
          <w:bCs/>
          <w:b/>
        </w:rPr>
        <w:t xml:space="preserve">Doença de Alzheimer:</w:t>
      </w:r>
      <w:r>
        <w:t xml:space="preserve"> </w:t>
      </w:r>
      <w:r>
        <w:t xml:space="preserve">a esperança de que os agonistas do receptor de GLP-1 pudessem frear o declínio cognitivo se apoiava em experimentos com animais e dados observacionais. A Novo Nordisk testou isso em dois grandes estudos de fase 3, evoke e evoke+, com um total de 3.808 pessoas com doença de Alzheimer inicial, que receberam durante 104 semanas comprimidos diários de semaglutida ou placebo</w:t>
      </w:r>
      <w:r>
        <w:rPr>
          <w:rStyle w:val="FootnoteReference"/>
        </w:rPr>
        <w:footnoteReference w:id="443"/>
      </w:r>
      <w:r>
        <w:t xml:space="preserve">. O resultado foi claramente negativo: a doença progrediu na mesma velocidade nos dois grupos (diferença na escala de demência CDR-SB de −0,08 e +0,10 ponto, não significativa). Com isso, a semaglutida, pelo conhecimento atual, fracassou como medicamento para Alzheimer; um comentário na mesma revista discute as consequências para o campo de pesquisa</w:t>
      </w:r>
      <w:r>
        <w:rPr>
          <w:rStyle w:val="FootnoteReference"/>
        </w:rPr>
        <w:footnoteReference w:id="444"/>
      </w:r>
      <w:r>
        <w:t xml:space="preserve">.</w:t>
      </w:r>
    </w:p>
    <w:p>
      <w:pPr>
        <w:pStyle w:val="BodyText"/>
      </w:pPr>
      <w:r>
        <w:rPr>
          <w:bCs/>
          <w:b/>
        </w:rPr>
        <w:t xml:space="preserve">Álcool:</w:t>
      </w:r>
      <w:r>
        <w:t xml:space="preserve"> </w:t>
      </w:r>
      <w:r>
        <w:t xml:space="preserve">em um pequeno estudo randomizado com 48 pessoas com transtorno por uso de álcool, a semaglutida em dose baixa reduziu a quantidade de álcool bebida em um teste de laboratório, o desejo por álcool e o número de doses nos dias de consumo; o número de dias de consumo não se alterou</w:t>
      </w:r>
      <w:r>
        <w:rPr>
          <w:rStyle w:val="FootnoteReference"/>
        </w:rPr>
        <w:footnoteReference w:id="445"/>
      </w:r>
      <w:r>
        <w:t xml:space="preserve">. Em um estudo de registro sueco, a semaglutida esteve associada a um risco 36% menor de internações relacionadas ao álcool</w:t>
      </w:r>
      <w:r>
        <w:rPr>
          <w:rStyle w:val="FootnoteReference"/>
        </w:rPr>
        <w:footnoteReference w:id="446"/>
      </w:r>
      <w:r>
        <w:t xml:space="preserve">. Estudos randomizados maiores estão em andamento.</w:t>
      </w:r>
    </w:p>
    <w:bookmarkEnd w:id="447"/>
    <w:bookmarkEnd w:id="448"/>
    <w:bookmarkStart w:id="452" w:name="estudos-em-animais-e-em-laboratório-3"/>
    <w:p>
      <w:pPr>
        <w:pStyle w:val="Heading3"/>
      </w:pPr>
      <w:r>
        <w:t xml:space="preserve">Estudos em animais e em laboratório</w:t>
      </w:r>
    </w:p>
    <w:p>
      <w:pPr>
        <w:pStyle w:val="FirstParagraph"/>
      </w:pPr>
      <w:r>
        <w:t xml:space="preserve">A semaglutida foi desenhada de forma planejada na prancheta: entre numerosas variantes, os desenvolvedores escolheram aquela com a melhor combinação de ligação à albumina, ação no receptor e estabilidade</w:t>
      </w:r>
      <w:r>
        <w:rPr>
          <w:rStyle w:val="FootnoteReference"/>
        </w:rPr>
        <w:footnoteReference w:id="449"/>
      </w:r>
      <w:r>
        <w:t xml:space="preserve">. A meia-vida foi determinada primeiro em minipigs. A absorção do comprimido pela mucosa gástrica foi estudada em cães e em seres humanos</w:t>
      </w:r>
      <w:r>
        <w:rPr>
          <w:rStyle w:val="FootnoteReference"/>
        </w:rPr>
        <w:footnoteReference w:id="450"/>
      </w:r>
      <w:r>
        <w:t xml:space="preserve">.</w:t>
      </w:r>
    </w:p>
    <w:p>
      <w:pPr>
        <w:pStyle w:val="BodyText"/>
      </w:pPr>
      <w:r>
        <w:t xml:space="preserve">Como com a liraglutida, experimentos de longo prazo em roedores levaram a tumores de células C da tireoide; a transposição para humanos é considerada questionável devido à baixa densidade de receptores nas células C humanas</w:t>
      </w:r>
      <w:r>
        <w:rPr>
          <w:rStyle w:val="FootnoteReference"/>
        </w:rPr>
        <w:footnoteReference w:id="451"/>
      </w:r>
      <w:r>
        <w:t xml:space="preserve">. Experimentos em animais sobre neuroproteção, vícios e inflamação formaram a base dos estudos em humanos descritos acima – com resultado misto, como mostra o fracasso do evoke.</w:t>
      </w:r>
    </w:p>
    <w:bookmarkEnd w:id="452"/>
    <w:bookmarkStart w:id="464" w:name="riscos-e-efeitos-colaterais-3"/>
    <w:p>
      <w:pPr>
        <w:pStyle w:val="Heading3"/>
      </w:pPr>
      <w:r>
        <w:t xml:space="preserve">Riscos e efeitos colaterais</w:t>
      </w:r>
    </w:p>
    <w:p>
      <w:pPr>
        <w:pStyle w:val="FirstParagraph"/>
      </w:pPr>
      <w:r>
        <w:rPr>
          <w:bCs/>
          <w:b/>
        </w:rPr>
        <w:t xml:space="preserve">Comprovados em estudos randomizados:</w:t>
      </w:r>
    </w:p>
    <w:p>
      <w:pPr>
        <w:numPr>
          <w:ilvl w:val="0"/>
          <w:numId w:val="1055"/>
        </w:numPr>
        <w:pStyle w:val="Compact"/>
      </w:pPr>
      <w:r>
        <w:rPr>
          <w:bCs/>
          <w:b/>
        </w:rPr>
        <w:t xml:space="preserve">Queixas gastrointestinais:</w:t>
      </w:r>
      <w:r>
        <w:t xml:space="preserve"> </w:t>
      </w:r>
      <w:r>
        <w:t xml:space="preserve">náuseas, diarreia, vômitos e prisão de ventre afetam, nos estudos de obesidade, a maioria dos tratados, em geral de forma leve a moderada e passageira, sobretudo durante o aumento da dose</w:t>
      </w:r>
      <w:r>
        <w:rPr>
          <w:rStyle w:val="FootnoteReference"/>
        </w:rPr>
        <w:footnoteReference w:id="453"/>
      </w:r>
      <w:r>
        <w:t xml:space="preserve">. São o motivo mais comum de interrupção do tratamento.</w:t>
      </w:r>
    </w:p>
    <w:p>
      <w:pPr>
        <w:numPr>
          <w:ilvl w:val="0"/>
          <w:numId w:val="1055"/>
        </w:numPr>
        <w:pStyle w:val="Compact"/>
      </w:pPr>
      <w:r>
        <w:rPr>
          <w:bCs/>
          <w:b/>
        </w:rPr>
        <w:t xml:space="preserve">Cálculos biliares e inflamação da vesícula:</w:t>
      </w:r>
      <w:r>
        <w:t xml:space="preserve"> </w:t>
      </w:r>
      <w:r>
        <w:t xml:space="preserve">aumentados na classe como um todo, especialmente com doses altas e na redução de peso</w:t>
      </w:r>
      <w:r>
        <w:rPr>
          <w:rStyle w:val="FootnoteReference"/>
        </w:rPr>
        <w:footnoteReference w:id="454"/>
      </w:r>
      <w:r>
        <w:t xml:space="preserve">; no STEP TEENS, em 4% dos adolescentes</w:t>
      </w:r>
      <w:r>
        <w:rPr>
          <w:rStyle w:val="FootnoteReference"/>
        </w:rPr>
        <w:footnoteReference w:id="455"/>
      </w:r>
      <w:r>
        <w:t xml:space="preserve">.</w:t>
      </w:r>
    </w:p>
    <w:p>
      <w:pPr>
        <w:numPr>
          <w:ilvl w:val="0"/>
          <w:numId w:val="1055"/>
        </w:numPr>
        <w:pStyle w:val="Compact"/>
      </w:pPr>
      <w:r>
        <w:rPr>
          <w:bCs/>
          <w:b/>
        </w:rPr>
        <w:t xml:space="preserve">Piora da doença diabética da retina:</w:t>
      </w:r>
      <w:r>
        <w:t xml:space="preserve"> </w:t>
      </w:r>
      <w:r>
        <w:t xml:space="preserve">mais frequente no SUSTAIN 6 (HR 1,76)</w:t>
      </w:r>
      <w:r>
        <w:rPr>
          <w:rStyle w:val="FootnoteReference"/>
        </w:rPr>
        <w:footnoteReference w:id="456"/>
      </w:r>
      <w:r>
        <w:t xml:space="preserve">. Supõe-se que uma redução muito rápida da glicose, quando já existe retinopatia, cause dano temporário – um efeito também conhecido com a insulina. Um estudo próprio, com 1.500 participantes, sobre essa questão está em andamento</w:t>
      </w:r>
      <w:r>
        <w:rPr>
          <w:rStyle w:val="FootnoteReference"/>
        </w:rPr>
        <w:footnoteReference w:id="457"/>
      </w:r>
      <w:r>
        <w:t xml:space="preserve">. Pessoas com retinopatia devem ter acompanhamento oftalmológico.</w:t>
      </w:r>
    </w:p>
    <w:p>
      <w:pPr>
        <w:numPr>
          <w:ilvl w:val="0"/>
          <w:numId w:val="1055"/>
        </w:numPr>
        <w:pStyle w:val="Compact"/>
      </w:pPr>
      <w:r>
        <w:rPr>
          <w:bCs/>
          <w:b/>
        </w:rPr>
        <w:t xml:space="preserve">Perda de massa muscular:</w:t>
      </w:r>
      <w:r>
        <w:t xml:space="preserve"> </w:t>
      </w:r>
      <w:r>
        <w:t xml:space="preserve">em toda perda de peso acentuada perde-se também massa magra. O quanto isso é relevante com semaglutida, especialmente em pessoas idosas, ainda está sendo investigado; a Parte IV trata disso.</w:t>
      </w:r>
    </w:p>
    <w:p>
      <w:pPr>
        <w:pStyle w:val="FirstParagraph"/>
      </w:pPr>
      <w:r>
        <w:rPr>
          <w:bCs/>
          <w:b/>
        </w:rPr>
        <w:t xml:space="preserve">Dados observacionais e sinais:</w:t>
      </w:r>
    </w:p>
    <w:p>
      <w:pPr>
        <w:numPr>
          <w:ilvl w:val="0"/>
          <w:numId w:val="1056"/>
        </w:numPr>
        <w:pStyle w:val="Compact"/>
      </w:pPr>
      <w:r>
        <w:rPr>
          <w:bCs/>
          <w:b/>
        </w:rPr>
        <w:t xml:space="preserve">NAION (distúrbio de irrigação do nervo óptico):</w:t>
      </w:r>
      <w:r>
        <w:t xml:space="preserve"> </w:t>
      </w:r>
      <w:r>
        <w:t xml:space="preserve">em 2024, um estudo norte-americano de uma clínica oftalmológica relatou um risco muito aumentado de neuropatia óptica isquêmica anterior não arterítica, uma perda súbita de visão, geralmente indolor, em um olho</w:t>
      </w:r>
      <w:r>
        <w:rPr>
          <w:rStyle w:val="FootnoteReference"/>
        </w:rPr>
        <w:footnoteReference w:id="458"/>
      </w:r>
      <w:r>
        <w:t xml:space="preserve">. Nesse estudo, o hazard ratio foi de 4,28 (diabetes) e 7,64 (obesidade), porém com números de casos muito pequenos. Um estudo de registro dinamarquês-norueguês com mais de 60.000 pessoas com diabetes tipo 2 confirmou um risco relativo aumentado (HR 2,81), com risco absoluto baixo: cerca de 1,4 caso adicional por 10.000 pessoas-ano</w:t>
      </w:r>
      <w:r>
        <w:rPr>
          <w:rStyle w:val="FootnoteReference"/>
        </w:rPr>
        <w:footnoteReference w:id="459"/>
      </w:r>
      <w:r>
        <w:t xml:space="preserve">. Uma metanálise de 2026 encontrou o sinal apenas em estudos observacionais no diabetes (HR 1,85), não em estudos randomizados nem na obesidade</w:t>
      </w:r>
      <w:r>
        <w:rPr>
          <w:rStyle w:val="FootnoteReference"/>
        </w:rPr>
        <w:footnoteReference w:id="460"/>
      </w:r>
      <w:r>
        <w:t xml:space="preserve">. A Agência Europeia de Medicamentos incluiu em 2025 a NAION como efeito colateral muito raro na bula para profissionais. Quem, usando semaglutida, passar a enxergar pior de repente deve procurar ajuda médica imediatamente.</w:t>
      </w:r>
    </w:p>
    <w:p>
      <w:pPr>
        <w:numPr>
          <w:ilvl w:val="0"/>
          <w:numId w:val="1056"/>
        </w:numPr>
        <w:pStyle w:val="Compact"/>
      </w:pPr>
      <w:r>
        <w:rPr>
          <w:bCs/>
          <w:b/>
        </w:rPr>
        <w:t xml:space="preserve">Pancreatite e obstrução intestinal:</w:t>
      </w:r>
      <w:r>
        <w:t xml:space="preserve"> </w:t>
      </w:r>
      <w:r>
        <w:t xml:space="preserve">uma análise de dados de seguradoras encontrou, com agonistas do receptor de GLP-1 para perda de peso, um risco aumentado de pancreatite, obstrução intestinal e gastroparesia</w:t>
      </w:r>
      <w:r>
        <w:rPr>
          <w:rStyle w:val="FootnoteReference"/>
        </w:rPr>
        <w:footnoteReference w:id="461"/>
      </w:r>
      <w:r>
        <w:t xml:space="preserve">. Nos grandes estudos randomizados, a pancreatite foi rara. A bula para profissionais a cita como possível efeito colateral.</w:t>
      </w:r>
    </w:p>
    <w:p>
      <w:pPr>
        <w:numPr>
          <w:ilvl w:val="0"/>
          <w:numId w:val="1056"/>
        </w:numPr>
        <w:pStyle w:val="Compact"/>
      </w:pPr>
      <w:r>
        <w:rPr>
          <w:bCs/>
          <w:b/>
        </w:rPr>
        <w:t xml:space="preserve">Câncer de tireoide:</w:t>
      </w:r>
      <w:r>
        <w:t xml:space="preserve"> </w:t>
      </w:r>
      <w:r>
        <w:t xml:space="preserve">sinal em estudos observacionais e metanálises para a classe</w:t>
      </w:r>
      <w:r>
        <w:rPr>
          <w:rStyle w:val="FootnoteReference"/>
        </w:rPr>
        <w:footnoteReference w:id="462"/>
      </w:r>
      <w:r>
        <w:t xml:space="preserve">; ver o capítulo sobre a liraglutida.</w:t>
      </w:r>
    </w:p>
    <w:p>
      <w:pPr>
        <w:numPr>
          <w:ilvl w:val="0"/>
          <w:numId w:val="1056"/>
        </w:numPr>
        <w:pStyle w:val="Compact"/>
      </w:pPr>
      <w:r>
        <w:rPr>
          <w:bCs/>
          <w:b/>
        </w:rPr>
        <w:t xml:space="preserve">Efeitos colaterais psíquicos:</w:t>
      </w:r>
      <w:r>
        <w:t xml:space="preserve"> </w:t>
      </w:r>
      <w:r>
        <w:t xml:space="preserve">após notificações de pensamentos suicidas, as autoridades examinaram a questão em 2023/2024 e não encontraram evidência de relação causal. Em uma grande coorte norte-americana com 240.618 pessoas com sobrepeso, a semaglutida esteve até associada a menos pensamentos suicidas novos do que outros medicamentos para redução de peso</w:t>
      </w:r>
      <w:r>
        <w:rPr>
          <w:rStyle w:val="FootnoteReference"/>
        </w:rPr>
        <w:footnoteReference w:id="463"/>
      </w:r>
      <w:r>
        <w:t xml:space="preserve">. Dados observacionais não conseguem excluir vieses com segurança.</w:t>
      </w:r>
    </w:p>
    <w:p>
      <w:pPr>
        <w:pStyle w:val="FirstParagraph"/>
      </w:pPr>
      <w:r>
        <w:rPr>
          <w:bCs/>
          <w:b/>
        </w:rPr>
        <w:t xml:space="preserve">Observações para a prática:</w:t>
      </w:r>
      <w:r>
        <w:t xml:space="preserve"> </w:t>
      </w:r>
      <w:r>
        <w:t xml:space="preserve">a semaglutida não é indicada na gravidez; a bula para profissionais recomenda suspendê-la com antecedência antes de uma gravidez planejada. Devido ao esvaziamento gástrico retardado, pode haver em anestesias um risco maior de o conteúdo do estômago chegar aos pulmões; as pessoas tratadas devem informar isso antes de cirurgias e endoscopias digestivas. Sobre uso, aumento de dose e contraindicações, o que vale são a bula para profissionais e o acompanhamento médico.</w:t>
      </w:r>
    </w:p>
    <w:bookmarkEnd w:id="464"/>
    <w:bookmarkStart w:id="468" w:name="Xa5465430dc88522217e3a1f49569866d57ed9ba"/>
    <w:p>
      <w:pPr>
        <w:pStyle w:val="Heading3"/>
      </w:pPr>
      <w:r>
        <w:t xml:space="preserve">Mercado cinza, compounding e falsificações</w:t>
      </w:r>
    </w:p>
    <w:p>
      <w:pPr>
        <w:pStyle w:val="FirstParagraph"/>
      </w:pPr>
      <w:r>
        <w:t xml:space="preserve">Nenhum outro peptídeo deste livro é obtido com tanta frequência fora das vias regulares quanto a semaglutida. A partir de 2022, a demanda superou a oferta durante anos. Há três problemas a distinguir.</w:t>
      </w:r>
    </w:p>
    <w:p>
      <w:pPr>
        <w:pStyle w:val="BodyText"/>
      </w:pPr>
      <w:r>
        <w:rPr>
          <w:bCs/>
          <w:b/>
        </w:rPr>
        <w:t xml:space="preserve">Compounding (EUA):</w:t>
      </w:r>
      <w:r>
        <w:t xml:space="preserve"> </w:t>
      </w:r>
      <w:r>
        <w:t xml:space="preserve">durante a falta oficial de produto, farmácias norte-americanas puderam manipular semaglutida elas mesmas (</w:t>
      </w:r>
      <w:r>
        <w:t xml:space="preserve">“</w:t>
      </w:r>
      <w:r>
        <w:t xml:space="preserve">compounding</w:t>
      </w:r>
      <w:r>
        <w:t xml:space="preserve">”</w:t>
      </w:r>
      <w:r>
        <w:t xml:space="preserve">), muitas vezes como pó ou solução em frascos, às vezes com outras formas de sal da substância. Com o fim da falta, a FDA restringiu fortemente essa prática. Uma série de casos de um centro de informação toxicológica descreveu superdosagens de dez vezes, porque pacientes lidavam com seringas e frascos em vez de canetas preenchidas e confundiam mililitros, unidades e miligramas</w:t>
      </w:r>
      <w:r>
        <w:rPr>
          <w:rStyle w:val="FootnoteReference"/>
        </w:rPr>
        <w:footnoteReference w:id="465"/>
      </w:r>
      <w:r>
        <w:t xml:space="preserve">. Em uma análise da base norte-americana de notificações de efeitos colaterais, as notificações de erros de fabricação, contaminação e internações hospitalares foram desproporcionalmente frequentes para produtos manipulados</w:t>
      </w:r>
      <w:r>
        <w:rPr>
          <w:rStyle w:val="FootnoteReference"/>
        </w:rPr>
        <w:footnoteReference w:id="466"/>
      </w:r>
      <w:r>
        <w:t xml:space="preserve">.</w:t>
      </w:r>
    </w:p>
    <w:p>
      <w:pPr>
        <w:pStyle w:val="BodyText"/>
      </w:pPr>
      <w:r>
        <w:rPr>
          <w:bCs/>
          <w:b/>
        </w:rPr>
        <w:t xml:space="preserve">Lojas on-line ilegais:</w:t>
      </w:r>
      <w:r>
        <w:t xml:space="preserve"> </w:t>
      </w:r>
      <w:r>
        <w:t xml:space="preserve">em uma pesquisa de mercado, 42,3% dos links de farmácias on-line encontrados levavam a vendedores ilegais que vendiam semaglutida sem receita</w:t>
      </w:r>
      <w:r>
        <w:rPr>
          <w:rStyle w:val="FootnoteReference"/>
        </w:rPr>
        <w:footnoteReference w:id="467"/>
      </w:r>
      <w:r>
        <w:t xml:space="preserve">. Nas compras de teste, canetas de Ozempic encomendadas nem chegaram. Os frascos entregues continham semaglutida, mas a pureza era de apenas 7,7% a 14,37%, em vez dos 99% declarados, e em todas as amostras foram detectadas endotoxinas (componentes de bactérias que podem provocar febre e inflamações).</w:t>
      </w:r>
    </w:p>
    <w:p>
      <w:pPr>
        <w:pStyle w:val="BodyText"/>
      </w:pPr>
      <w:r>
        <w:rPr>
          <w:bCs/>
          <w:b/>
        </w:rPr>
        <w:t xml:space="preserve">Falsificações:</w:t>
      </w:r>
      <w:r>
        <w:t xml:space="preserve"> </w:t>
      </w:r>
      <w:r>
        <w:t xml:space="preserve">canetas de Ozempic falsificadas apareceram na Europa e nos EUA, às vezes contendo insulina ou sem substância ativa; as agências reguladoras e a Organização Mundial da Saúde emitiram vários alertas. Informações gerais sobre produtos do mercado cinza você encontra na Parte I e na Parte IV. Seguro é apenas o caminho regular: prescrição médica e dispensação na farmácia.</w:t>
      </w:r>
    </w:p>
    <w:bookmarkEnd w:id="468"/>
    <w:bookmarkStart w:id="469" w:name="situação-legal-3"/>
    <w:p>
      <w:pPr>
        <w:pStyle w:val="Heading3"/>
      </w:pPr>
      <w:r>
        <w:t xml:space="preserve">Situação legal</w:t>
      </w:r>
    </w:p>
    <w:p>
      <w:pPr>
        <w:numPr>
          <w:ilvl w:val="0"/>
          <w:numId w:val="1057"/>
        </w:numPr>
        <w:pStyle w:val="Compact"/>
      </w:pPr>
      <w:r>
        <w:rPr>
          <w:bCs/>
          <w:b/>
        </w:rPr>
        <w:t xml:space="preserve">UE:</w:t>
      </w:r>
      <w:r>
        <w:t xml:space="preserve"> </w:t>
      </w:r>
      <w:r>
        <w:t xml:space="preserve">Ozempic (2018), Rybelsus (2020) e Wegovy (2022) têm aprovação centralizada e estão sujeitos a prescrição. O Wegovy é aprovado para controle de peso em adultos e adolescentes a partir de 12 anos; a bula para profissionais contém hoje também informações sobre a redução do risco cardiovascular a partir do SELECT.</w:t>
      </w:r>
    </w:p>
    <w:p>
      <w:pPr>
        <w:numPr>
          <w:ilvl w:val="0"/>
          <w:numId w:val="1057"/>
        </w:numPr>
        <w:pStyle w:val="Compact"/>
      </w:pPr>
      <w:r>
        <w:rPr>
          <w:bCs/>
          <w:b/>
        </w:rPr>
        <w:t xml:space="preserve">Alemanha:</w:t>
      </w:r>
      <w:r>
        <w:t xml:space="preserve"> </w:t>
      </w:r>
      <w:r>
        <w:t xml:space="preserve">Ozempic e Rybelsus são reembolsados no diabetes tipo 2. O Wegovy é considerado medicamento para redução de peso e, pelo § 34 do SGB V, está em princípio excluído do reembolso pelo seguro de saúde público; uma mudança está em discussão política. A prescrição de Ozempic apenas para perder peso é uso off-label e foi expressamente criticada pelas autoridades durante a falta de produto.</w:t>
      </w:r>
    </w:p>
    <w:p>
      <w:pPr>
        <w:numPr>
          <w:ilvl w:val="0"/>
          <w:numId w:val="1057"/>
        </w:numPr>
        <w:pStyle w:val="Compact"/>
      </w:pPr>
      <w:r>
        <w:rPr>
          <w:bCs/>
          <w:b/>
        </w:rPr>
        <w:t xml:space="preserve">Áustria:</w:t>
      </w:r>
      <w:r>
        <w:t xml:space="preserve"> </w:t>
      </w:r>
      <w:r>
        <w:t xml:space="preserve">sujeita a prescrição; cobertura de custos para controle de peso apenas limitada (verificar atualização).</w:t>
      </w:r>
    </w:p>
    <w:p>
      <w:pPr>
        <w:numPr>
          <w:ilvl w:val="0"/>
          <w:numId w:val="1057"/>
        </w:numPr>
        <w:pStyle w:val="Compact"/>
      </w:pPr>
      <w:r>
        <w:rPr>
          <w:bCs/>
          <w:b/>
        </w:rPr>
        <w:t xml:space="preserve">EUA:</w:t>
      </w:r>
      <w:r>
        <w:t xml:space="preserve"> </w:t>
      </w:r>
      <w:r>
        <w:t xml:space="preserve">Ozempic, Rybelsus e Wegovy (injeção e comprimido) aprovados, com indicações ampliadas para coração, rins e MASH.</w:t>
      </w:r>
    </w:p>
    <w:p>
      <w:pPr>
        <w:numPr>
          <w:ilvl w:val="0"/>
          <w:numId w:val="1057"/>
        </w:numPr>
        <w:pStyle w:val="Compact"/>
      </w:pPr>
      <w:r>
        <w:rPr>
          <w:bCs/>
          <w:b/>
        </w:rPr>
        <w:t xml:space="preserve">Patentes e genéricos:</w:t>
      </w:r>
      <w:r>
        <w:t xml:space="preserve"> </w:t>
      </w:r>
      <w:r>
        <w:t xml:space="preserve">em vários grandes mercados fora da UE e dos EUA – entre eles Canadá, China, Índia e Brasil – a proteção de patente da semaglutida expira em 2026; as primeiras preparações genéricas foram anunciadas ou já estão no mercado nesses países. Na UE e nos EUA, os genéricos só são esperados por volta de 2031/2032. Mais sobre isso na Parte V.</w:t>
      </w:r>
    </w:p>
    <w:p>
      <w:pPr>
        <w:numPr>
          <w:ilvl w:val="0"/>
          <w:numId w:val="1057"/>
        </w:numPr>
        <w:pStyle w:val="Compact"/>
      </w:pPr>
      <w:r>
        <w:rPr>
          <w:bCs/>
          <w:b/>
        </w:rPr>
        <w:t xml:space="preserve">Esporte (WADA):</w:t>
      </w:r>
      <w:r>
        <w:t xml:space="preserve"> </w:t>
      </w:r>
      <w:r>
        <w:t xml:space="preserve">não listada (situação em 2026, verificar atualização).</w:t>
      </w:r>
    </w:p>
    <w:bookmarkEnd w:id="469"/>
    <w:bookmarkStart w:id="475" w:name="estudos-em-andamento-e-perspectivas-3"/>
    <w:p>
      <w:pPr>
        <w:pStyle w:val="Heading3"/>
      </w:pPr>
      <w:r>
        <w:t xml:space="preserve">Estudos em andamento e perspectivas</w:t>
      </w:r>
    </w:p>
    <w:p>
      <w:pPr>
        <w:pStyle w:val="FirstParagraph"/>
      </w:pPr>
      <w:r>
        <w:rPr>
          <w:bCs/>
          <w:b/>
        </w:rPr>
        <w:t xml:space="preserve">Confirmado (estudos registrados):</w:t>
      </w:r>
      <w:r>
        <w:t xml:space="preserve"> </w:t>
      </w:r>
      <w:r>
        <w:t xml:space="preserve">dos 793 registros, grande parte se refere a combinações e sucessoras. Exemplos:</w:t>
      </w:r>
    </w:p>
    <w:p>
      <w:pPr>
        <w:numPr>
          <w:ilvl w:val="0"/>
          <w:numId w:val="1058"/>
        </w:numPr>
        <w:pStyle w:val="Compact"/>
      </w:pPr>
      <w:r>
        <w:rPr>
          <w:bCs/>
          <w:b/>
        </w:rPr>
        <w:t xml:space="preserve">Olhos:</w:t>
      </w:r>
      <w:r>
        <w:t xml:space="preserve"> </w:t>
      </w:r>
      <w:r>
        <w:t xml:space="preserve">um estudo com 1.500 participantes investiga especificamente o efeito sobre a retinopatia diabética</w:t>
      </w:r>
      <w:r>
        <w:rPr>
          <w:rStyle w:val="FootnoteReference"/>
        </w:rPr>
        <w:footnoteReference w:id="470"/>
      </w:r>
      <w:r>
        <w:t xml:space="preserve">.</w:t>
      </w:r>
    </w:p>
    <w:p>
      <w:pPr>
        <w:numPr>
          <w:ilvl w:val="0"/>
          <w:numId w:val="1058"/>
        </w:numPr>
        <w:pStyle w:val="Compact"/>
      </w:pPr>
      <w:r>
        <w:rPr>
          <w:bCs/>
          <w:b/>
        </w:rPr>
        <w:t xml:space="preserve">Fígado:</w:t>
      </w:r>
      <w:r>
        <w:t xml:space="preserve"> </w:t>
      </w:r>
      <w:r>
        <w:t xml:space="preserve">a segunda parte do ESSENCE, com 1.205 participantes, deve esclarecer se a semaglutida previne cirrose hepática e complicações hepáticas</w:t>
      </w:r>
      <w:r>
        <w:rPr>
          <w:rStyle w:val="FootnoteReference"/>
        </w:rPr>
        <w:footnoteReference w:id="471"/>
      </w:r>
      <w:r>
        <w:t xml:space="preserve">.</w:t>
      </w:r>
    </w:p>
    <w:p>
      <w:pPr>
        <w:numPr>
          <w:ilvl w:val="0"/>
          <w:numId w:val="1058"/>
        </w:numPr>
        <w:pStyle w:val="Compact"/>
      </w:pPr>
      <w:r>
        <w:rPr>
          <w:bCs/>
          <w:b/>
        </w:rPr>
        <w:t xml:space="preserve">Crianças:</w:t>
      </w:r>
      <w:r>
        <w:t xml:space="preserve"> </w:t>
      </w:r>
      <w:r>
        <w:t xml:space="preserve">um estudo com 212 crianças e adolescentes está em andamento</w:t>
      </w:r>
      <w:r>
        <w:rPr>
          <w:rStyle w:val="FootnoteReference"/>
        </w:rPr>
        <w:footnoteReference w:id="472"/>
      </w:r>
      <w:r>
        <w:t xml:space="preserve">.</w:t>
      </w:r>
    </w:p>
    <w:p>
      <w:pPr>
        <w:numPr>
          <w:ilvl w:val="0"/>
          <w:numId w:val="1058"/>
        </w:numPr>
        <w:pStyle w:val="Compact"/>
      </w:pPr>
      <w:r>
        <w:rPr>
          <w:bCs/>
          <w:b/>
        </w:rPr>
        <w:t xml:space="preserve">Comprimido:</w:t>
      </w:r>
      <w:r>
        <w:t xml:space="preserve"> </w:t>
      </w:r>
      <w:r>
        <w:t xml:space="preserve">outros estudos de fase 3 com o comprimido na obesidade foram iniciados</w:t>
      </w:r>
      <w:r>
        <w:rPr>
          <w:rStyle w:val="FootnoteReference"/>
        </w:rPr>
        <w:footnoteReference w:id="473"/>
      </w:r>
      <w:r>
        <w:t xml:space="preserve">.</w:t>
      </w:r>
    </w:p>
    <w:p>
      <w:pPr>
        <w:numPr>
          <w:ilvl w:val="0"/>
          <w:numId w:val="1058"/>
        </w:numPr>
        <w:pStyle w:val="Compact"/>
      </w:pPr>
      <w:r>
        <w:rPr>
          <w:bCs/>
          <w:b/>
        </w:rPr>
        <w:t xml:space="preserve">Combinação CagriSema:</w:t>
      </w:r>
      <w:r>
        <w:t xml:space="preserve"> </w:t>
      </w:r>
      <w:r>
        <w:t xml:space="preserve">a semaglutida em combinação fixa com o análogo de amilina cagrilintida está sendo testada em um estudo cardiovascular com 7.101 participantes</w:t>
      </w:r>
      <w:r>
        <w:rPr>
          <w:rStyle w:val="FootnoteReference"/>
        </w:rPr>
        <w:footnoteReference w:id="474"/>
      </w:r>
      <w:r>
        <w:t xml:space="preserve">; detalhes no capítulo sobre a cagrilintida e o CagriSema.</w:t>
      </w:r>
    </w:p>
    <w:p>
      <w:pPr>
        <w:pStyle w:val="FirstParagraph"/>
      </w:pPr>
      <w:r>
        <w:rPr>
          <w:bCs/>
          <w:b/>
        </w:rPr>
        <w:t xml:space="preserve">Avaliação:</w:t>
      </w:r>
      <w:r>
        <w:t xml:space="preserve"> </w:t>
      </w:r>
      <w:r>
        <w:t xml:space="preserve">nos próximos anos, a semaglutida sofrerá pressão de dois lados – de sucessoras mais eficazes, como a tirzepatida, o CagriSema ou a retatrutida, e de genéricos em grandes mercados. Ao mesmo tempo, é a substância com a base de evidências mais ampla para desfechos duros (coração, rins, fígado). A forma em comprimido pode ampliar consideravelmente o acesso. Os estudos fracassados em Alzheimer mostram que nem toda esperança vinda de experimentos com animais e de dados observacionais se sustenta.</w:t>
      </w:r>
    </w:p>
    <w:bookmarkEnd w:id="475"/>
    <w:bookmarkStart w:id="476" w:name="conclusão-3"/>
    <w:p>
      <w:pPr>
        <w:pStyle w:val="Heading3"/>
      </w:pPr>
      <w:r>
        <w:t xml:space="preserve">Conclusão</w:t>
      </w:r>
    </w:p>
    <w:p>
      <w:pPr>
        <w:pStyle w:val="FirstParagraph"/>
      </w:pPr>
      <w:r>
        <w:t xml:space="preserve">A semaglutida é o agonista do receptor de GLP-1 mais amplamente estudado e superou, em comparações diretas, a exenatida, a liraglutida e a dulaglutida. Na dose de 2,4 mg por semana, pessoas com obesidade perderam no STEP 1, em média, 14,9% do peso; após a suspensão, a maior parte do peso volta. Grandes estudos de desfechos mostraram redução dos eventos cardiovasculares graves – também sem diabetes (SELECT, 20%) –, além de proteção dos rins (FLOW) e melhoras na esteato-hepatite. Efeitos colaterais frequentes afetam o trato gastrointestinal e a vesícula biliar; sinais raros, como a NAION, continuam sendo monitorados, enquanto os estudos em Alzheimer não mostraram benefício. Produtos do mercado cinza envolvem riscos consideráveis – o tratamento deve ficar nas mãos de um médico e passar pela farmácia.</w:t>
      </w:r>
    </w:p>
    <w:bookmarkEnd w:id="476"/>
    <w:bookmarkEnd w:id="477"/>
    <w:bookmarkStart w:id="537" w:name="tirzepatida"/>
    <w:p>
      <w:pPr>
        <w:pStyle w:val="Heading2"/>
      </w:pPr>
      <w:r>
        <w:t xml:space="preserve">Tirzepatida</w:t>
      </w:r>
    </w:p>
    <w:bookmarkStart w:id="478" w:name="ficha-técnica-4"/>
    <w:p>
      <w:pPr>
        <w:pStyle w:val="Heading3"/>
      </w:pPr>
      <w:r>
        <w:t xml:space="preserve">Ficha técnica</w:t>
      </w:r>
    </w:p>
    <w:p>
      <w:pPr>
        <w:numPr>
          <w:ilvl w:val="0"/>
          <w:numId w:val="1059"/>
        </w:numPr>
        <w:pStyle w:val="Compact"/>
      </w:pPr>
      <w:r>
        <w:rPr>
          <w:bCs/>
          <w:b/>
        </w:rPr>
        <w:t xml:space="preserve">Tipo/estrutura:</w:t>
      </w:r>
      <w:r>
        <w:t xml:space="preserve"> </w:t>
      </w:r>
      <w:r>
        <w:t xml:space="preserve">peptídeo sintético cuja estrutura básica foi inspirada no hormônio intestinal GIP do próprio corpo; uma cadeia de ácido graxo ligada o une à albumina no sangue e prolonga a duração de ação a ponto de bastar uma injeção por semana.</w:t>
      </w:r>
    </w:p>
    <w:p>
      <w:pPr>
        <w:numPr>
          <w:ilvl w:val="0"/>
          <w:numId w:val="1059"/>
        </w:numPr>
        <w:pStyle w:val="Compact"/>
      </w:pPr>
      <w:r>
        <w:rPr>
          <w:bCs/>
          <w:b/>
        </w:rPr>
        <w:t xml:space="preserve">Origem:</w:t>
      </w:r>
      <w:r>
        <w:t xml:space="preserve"> </w:t>
      </w:r>
      <w:r>
        <w:t xml:space="preserve">desenvolvida pela Eli Lilly, identificada nos primeiros estudos pelo código LY3298176.</w:t>
      </w:r>
    </w:p>
    <w:p>
      <w:pPr>
        <w:numPr>
          <w:ilvl w:val="0"/>
          <w:numId w:val="1059"/>
        </w:numPr>
        <w:pStyle w:val="Compact"/>
      </w:pPr>
      <w:r>
        <w:rPr>
          <w:bCs/>
          <w:b/>
        </w:rPr>
        <w:t xml:space="preserve">Mecanismo de ação:</w:t>
      </w:r>
      <w:r>
        <w:t xml:space="preserve"> </w:t>
      </w:r>
      <w:r>
        <w:t xml:space="preserve">agonista (ativador) duplo de dois receptores: o receptor de GIP e o receptor de GLP-1. Por isso também é chamada de</w:t>
      </w:r>
      <w:r>
        <w:t xml:space="preserve"> </w:t>
      </w:r>
      <w:r>
        <w:t xml:space="preserve">“</w:t>
      </w:r>
      <w:r>
        <w:t xml:space="preserve">twincretina</w:t>
      </w:r>
      <w:r>
        <w:t xml:space="preserve">”</w:t>
      </w:r>
      <w:r>
        <w:t xml:space="preserve"> </w:t>
      </w:r>
      <w:r>
        <w:t xml:space="preserve">ou</w:t>
      </w:r>
      <w:r>
        <w:t xml:space="preserve"> </w:t>
      </w:r>
      <w:r>
        <w:t xml:space="preserve">“</w:t>
      </w:r>
      <w:r>
        <w:t xml:space="preserve">agonista duplo de incretinas</w:t>
      </w:r>
      <w:r>
        <w:t xml:space="preserve">”</w:t>
      </w:r>
      <w:r>
        <w:t xml:space="preserve">.</w:t>
      </w:r>
    </w:p>
    <w:p>
      <w:pPr>
        <w:numPr>
          <w:ilvl w:val="0"/>
          <w:numId w:val="1059"/>
        </w:numPr>
        <w:pStyle w:val="Compact"/>
      </w:pPr>
      <w:r>
        <w:rPr>
          <w:bCs/>
          <w:b/>
        </w:rPr>
        <w:t xml:space="preserve">Aprovação UE:</w:t>
      </w:r>
      <w:r>
        <w:t xml:space="preserve"> </w:t>
      </w:r>
      <w:r>
        <w:t xml:space="preserve">sim (Mounjaro) para diabetes tipo 2 e para controle de peso na obesidade e no sobrepeso com comorbidades.</w:t>
      </w:r>
    </w:p>
    <w:p>
      <w:pPr>
        <w:numPr>
          <w:ilvl w:val="0"/>
          <w:numId w:val="1059"/>
        </w:numPr>
        <w:pStyle w:val="Compact"/>
      </w:pPr>
      <w:r>
        <w:rPr>
          <w:bCs/>
          <w:b/>
        </w:rPr>
        <w:t xml:space="preserve">Aprovação EUA:</w:t>
      </w:r>
      <w:r>
        <w:t xml:space="preserve"> </w:t>
      </w:r>
      <w:r>
        <w:t xml:space="preserve">sim (Mounjaro para diabetes tipo 2; Zepbound para obesidade e para apneia obstrutiva do sono moderada a grave na obesidade).</w:t>
      </w:r>
    </w:p>
    <w:p>
      <w:pPr>
        <w:numPr>
          <w:ilvl w:val="0"/>
          <w:numId w:val="1059"/>
        </w:numPr>
        <w:pStyle w:val="Compact"/>
      </w:pPr>
      <w:r>
        <w:rPr>
          <w:bCs/>
          <w:b/>
        </w:rPr>
        <w:t xml:space="preserve">WADA:</w:t>
      </w:r>
      <w:r>
        <w:t xml:space="preserve"> </w:t>
      </w:r>
      <w:r>
        <w:t xml:space="preserve">não está na lista de substâncias proibidas.</w:t>
      </w:r>
    </w:p>
    <w:p>
      <w:pPr>
        <w:numPr>
          <w:ilvl w:val="0"/>
          <w:numId w:val="1059"/>
        </w:numPr>
        <w:pStyle w:val="Compact"/>
      </w:pPr>
      <w:r>
        <w:rPr>
          <w:bCs/>
          <w:b/>
        </w:rPr>
        <w:t xml:space="preserve">Nível de evidência:</w:t>
      </w:r>
      <w:r>
        <w:t xml:space="preserve"> </w:t>
      </w:r>
      <w:r>
        <w:rPr>
          <w:bCs/>
          <w:b/>
        </w:rPr>
        <w:t xml:space="preserve">A</w:t>
      </w:r>
      <w:r>
        <w:t xml:space="preserve"> </w:t>
      </w:r>
      <w:r>
        <w:t xml:space="preserve">– numerosos grandes estudos randomizados, estudos de desfechos sobre coração e insuficiência cardíaca, aprovação em muitos países.</w:t>
      </w:r>
    </w:p>
    <w:bookmarkEnd w:id="478"/>
    <w:bookmarkStart w:id="482" w:name="como-deveria-agir-4"/>
    <w:p>
      <w:pPr>
        <w:pStyle w:val="Heading3"/>
      </w:pPr>
      <w:r>
        <w:t xml:space="preserve">Como deveria agir</w:t>
      </w:r>
    </w:p>
    <w:p>
      <w:pPr>
        <w:pStyle w:val="FirstParagraph"/>
      </w:pPr>
      <w:r>
        <w:t xml:space="preserve">Depois de uma refeição, o intestino libera dois hormônios chamados incretinas: GLP-1 (glucagon-like peptide-1) e GIP (polipeptídeo insulinotrópico dependente de glicose). Ambos avisam o pâncreas de que</w:t>
      </w:r>
      <w:r>
        <w:t xml:space="preserve"> </w:t>
      </w:r>
      <w:r>
        <w:t xml:space="preserve">“</w:t>
      </w:r>
      <w:r>
        <w:t xml:space="preserve">vem comida</w:t>
      </w:r>
      <w:r>
        <w:t xml:space="preserve">”</w:t>
      </w:r>
      <w:r>
        <w:t xml:space="preserve"> </w:t>
      </w:r>
      <w:r>
        <w:t xml:space="preserve">e aumentam a liberação de insulina – mas apenas enquanto a glicose estiver elevada. É por isso que os medicamentos à base de incretinas, sozinhos, raramente provocam hipoglicemias. O GLP-1, além disso, freia o esvaziamento do estômago e age no cérebro sobre os centros de saciedade. O papel do GIP no apetite é menos claro e foi por muito tempo controverso; em alguns trabalhos mais antigos, o GIP chegou a ser considerado um</w:t>
      </w:r>
      <w:r>
        <w:t xml:space="preserve"> </w:t>
      </w:r>
      <w:r>
        <w:t xml:space="preserve">“</w:t>
      </w:r>
      <w:r>
        <w:t xml:space="preserve">hormônio que engorda</w:t>
      </w:r>
      <w:r>
        <w:t xml:space="preserve">”</w:t>
      </w:r>
      <w:r>
        <w:t xml:space="preserve">.</w:t>
      </w:r>
    </w:p>
    <w:p>
      <w:pPr>
        <w:pStyle w:val="BodyText"/>
      </w:pPr>
      <w:r>
        <w:t xml:space="preserve">A tirzepatida combina os dois sinais em uma única molécula. Análises de laboratório em linhagens celulares mostraram duas particularidades</w:t>
      </w:r>
      <w:r>
        <w:rPr>
          <w:rStyle w:val="FootnoteReference"/>
        </w:rPr>
        <w:footnoteReference w:id="479"/>
      </w:r>
      <w:r>
        <w:t xml:space="preserve">: primeiro, a tirzepatida é</w:t>
      </w:r>
      <w:r>
        <w:t xml:space="preserve"> </w:t>
      </w:r>
      <w:r>
        <w:t xml:space="preserve">“</w:t>
      </w:r>
      <w:r>
        <w:t xml:space="preserve">desequilibrada</w:t>
      </w:r>
      <w:r>
        <w:t xml:space="preserve">”</w:t>
      </w:r>
      <w:r>
        <w:t xml:space="preserve"> </w:t>
      </w:r>
      <w:r>
        <w:t xml:space="preserve">– nas concentrações alcançadas com as doses de tratamento, ela ocupa mais o receptor de GIP do que o receptor de GLP-1. Segundo, no receptor de GLP-1, ela ativa preferencialmente uma determinada via de sinalização (cAMP) e provoca menos a internalização do receptor, processo em que o receptor é puxado para o interior da célula e, assim, temporariamente desligado. Se essa sinalização</w:t>
      </w:r>
      <w:r>
        <w:t xml:space="preserve"> </w:t>
      </w:r>
      <w:r>
        <w:t xml:space="preserve">“</w:t>
      </w:r>
      <w:r>
        <w:t xml:space="preserve">enviesada</w:t>
      </w:r>
      <w:r>
        <w:t xml:space="preserve">”</w:t>
      </w:r>
      <w:r>
        <w:t xml:space="preserve"> </w:t>
      </w:r>
      <w:r>
        <w:t xml:space="preserve">tem papel em seres humanos é uma hipótese baseada em dados de laboratório.</w:t>
      </w:r>
    </w:p>
    <w:p>
      <w:pPr>
        <w:pStyle w:val="BodyText"/>
      </w:pPr>
      <w:r>
        <w:t xml:space="preserve">Em camundongos com sobrepeso, a tirzepatida melhorou a sensibilidade à insulina mais do que um agonista puro de GLP-1, e em parte independentemente da perda de peso – por meio do receptor de GIP e de uma melhor captação de glicose no tecido adiposo</w:t>
      </w:r>
      <w:r>
        <w:rPr>
          <w:rStyle w:val="FootnoteReference"/>
        </w:rPr>
        <w:footnoteReference w:id="480"/>
      </w:r>
      <w:r>
        <w:t xml:space="preserve">. Em seres humanos, com tirzepatida cai sobretudo a ingestão de alimentos; em um estudo com 117 pessoas com diabetes tipo 2, o apetite, a ingestão de energia e a massa gorda diminuíram com tirzepatida em relação ao placebo. No apetite, porém, ela não se diferenciou de forma mensurável da semaglutida, embora a perda de peso tenha sido maior – por isso os autores consideram possíveis outros mecanismos</w:t>
      </w:r>
      <w:r>
        <w:rPr>
          <w:rStyle w:val="FootnoteReference"/>
        </w:rPr>
        <w:footnoteReference w:id="481"/>
      </w:r>
      <w:r>
        <w:t xml:space="preserve">.</w:t>
      </w:r>
    </w:p>
    <w:p>
      <w:pPr>
        <w:pStyle w:val="BodyText"/>
      </w:pPr>
      <w:r>
        <w:t xml:space="preserve">Em termos simples: a tirzepatida age como um medicamento GLP-1 com um</w:t>
      </w:r>
      <w:r>
        <w:t xml:space="preserve"> </w:t>
      </w:r>
      <w:r>
        <w:t xml:space="preserve">“</w:t>
      </w:r>
      <w:r>
        <w:t xml:space="preserve">amplificador</w:t>
      </w:r>
      <w:r>
        <w:t xml:space="preserve">”</w:t>
      </w:r>
      <w:r>
        <w:t xml:space="preserve"> </w:t>
      </w:r>
      <w:r>
        <w:t xml:space="preserve">adicional de GIP. Os estudos mostram que esse pacote produz mais efeito no peso e na glicose do que os agonistas puros de GLP-1 disponíveis até então – por que exatamente ainda não está totalmente compreendido.</w:t>
      </w:r>
    </w:p>
    <w:bookmarkEnd w:id="482"/>
    <w:bookmarkStart w:id="515" w:name="estudos-em-humanos-4"/>
    <w:p>
      <w:pPr>
        <w:pStyle w:val="Heading3"/>
      </w:pPr>
      <w:r>
        <w:t xml:space="preserve">Estudos em humanos</w:t>
      </w:r>
    </w:p>
    <w:p>
      <w:pPr>
        <w:pStyle w:val="FirstParagraph"/>
      </w:pPr>
      <w:r>
        <w:rPr>
          <w:bCs/>
          <w:b/>
        </w:rPr>
        <w:t xml:space="preserve">Dimensão dos estudos:</w:t>
      </w:r>
      <w:r>
        <w:t xml:space="preserve"> </w:t>
      </w:r>
      <w:r>
        <w:t xml:space="preserve">a busca automatizada no PubMed (outubro de 2026) resultou em 144 publicações classificadas como estudos em humanos com</w:t>
      </w:r>
      <w:r>
        <w:t xml:space="preserve"> </w:t>
      </w:r>
      <w:r>
        <w:t xml:space="preserve">“</w:t>
      </w:r>
      <w:r>
        <w:t xml:space="preserve">tirzepatide</w:t>
      </w:r>
      <w:r>
        <w:t xml:space="preserve">”</w:t>
      </w:r>
      <w:r>
        <w:t xml:space="preserve"> </w:t>
      </w:r>
      <w:r>
        <w:t xml:space="preserve">no título ou no resumo, além de muitíssimos artigos de revisão e metanálises. No ClinicalTrials.gov havia 307 estudos registrados, dos quais mais de 100 ainda em fase de recrutamento (um registro de exemplo claramente fictício, de um patrocinador desconhecido, não foi contado). A tirzepatida está, assim, entre as substâncias mais bem estudadas deste livro. O peso principal está em dois programas de aprovação:</w:t>
      </w:r>
      <w:r>
        <w:t xml:space="preserve"> </w:t>
      </w:r>
      <w:r>
        <w:rPr>
          <w:bCs/>
          <w:b/>
        </w:rPr>
        <w:t xml:space="preserve">SURPASS</w:t>
      </w:r>
      <w:r>
        <w:t xml:space="preserve"> </w:t>
      </w:r>
      <w:r>
        <w:t xml:space="preserve">(diabetes tipo 2) e</w:t>
      </w:r>
      <w:r>
        <w:t xml:space="preserve"> </w:t>
      </w:r>
      <w:r>
        <w:rPr>
          <w:bCs/>
          <w:b/>
        </w:rPr>
        <w:t xml:space="preserve">SURMOUNT</w:t>
      </w:r>
      <w:r>
        <w:t xml:space="preserve"> </w:t>
      </w:r>
      <w:r>
        <w:t xml:space="preserve">(obesidade), complementados por estudos sobre insuficiência cardíaca, apneia do sono e doença hepática gordurosa.</w:t>
      </w:r>
    </w:p>
    <w:bookmarkStart w:id="485" w:name="do-laboratório-à-clínica-fases-1-e-2"/>
    <w:p>
      <w:pPr>
        <w:pStyle w:val="Heading4"/>
      </w:pPr>
      <w:r>
        <w:t xml:space="preserve">Do laboratório à clínica: fases 1 e 2</w:t>
      </w:r>
    </w:p>
    <w:p>
      <w:pPr>
        <w:pStyle w:val="FirstParagraph"/>
      </w:pPr>
      <w:r>
        <w:t xml:space="preserve">Os primeiros dados em humanos vêm de um estudo combinado de fase 1 com 142 pessoas, que receberam tirzepatida, dulaglutida ou placebo. Em pessoas com diabetes tipo 2, doses mais altas reduziram claramente a glicose de jejum após quatro semanas; os efeitos colaterais mais comuns afetaram o trato gastrointestinal</w:t>
      </w:r>
      <w:r>
        <w:rPr>
          <w:rStyle w:val="FootnoteReference"/>
        </w:rPr>
        <w:footnoteReference w:id="483"/>
      </w:r>
      <w:r>
        <w:t xml:space="preserve">.</w:t>
      </w:r>
    </w:p>
    <w:p>
      <w:pPr>
        <w:pStyle w:val="BodyText"/>
      </w:pPr>
      <w:r>
        <w:t xml:space="preserve">No estudo de fase 2, 318 pessoas com diabetes tipo 2 receberam durante 26 semanas uma de quatro doses de tirzepatida, dulaglutida ou placebo. A HbA1c, valor de longo prazo da glicose, caiu de modo dependente da dose em até 1,94 ponto percentual (dulaglutida: −1,21; placebo: −0,06). O peso corporal variou com tirzepatida de −0,9 a −11,3 kg e com dulaglutida −2,7 kg</w:t>
      </w:r>
      <w:r>
        <w:rPr>
          <w:rStyle w:val="FootnoteReference"/>
        </w:rPr>
        <w:footnoteReference w:id="484"/>
      </w:r>
      <w:r>
        <w:t xml:space="preserve">. Essa ordem de grandeza da perda de peso – em um estudo de diabetes – foi o motivo do grande programa de obesidade.</w:t>
      </w:r>
    </w:p>
    <w:bookmarkEnd w:id="485"/>
    <w:bookmarkStart w:id="491" w:name="surpass-diabetes-tipo-2"/>
    <w:p>
      <w:pPr>
        <w:pStyle w:val="Heading4"/>
      </w:pPr>
      <w:r>
        <w:t xml:space="preserve">SURPASS: diabetes tipo 2</w:t>
      </w:r>
    </w:p>
    <w:p>
      <w:pPr>
        <w:pStyle w:val="FirstParagraph"/>
      </w:pPr>
      <w:r>
        <w:t xml:space="preserve">O programa SURPASS testou a tirzepatida em três doses (5, 10 e 15 mg por semana) contra placebo, contra semaglutida e contra insulinas. A HbA1c reflete a glicose média dos últimos dois a três meses; um valor abaixo de 7% é considerado meta terapêutica para muitas pessoas com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apenas dieta/atividade física, contra placebo</w:t>
            </w:r>
          </w:p>
        </w:tc>
        <w:tc>
          <w:tcPr/>
          <w:p>
            <w:pPr>
              <w:pStyle w:val="Compact"/>
              <w:jc w:val="left"/>
            </w:pPr>
            <w:r>
              <w:t xml:space="preserve">40 semanas</w:t>
            </w:r>
          </w:p>
        </w:tc>
        <w:tc>
          <w:tcPr/>
          <w:p>
            <w:pPr>
              <w:pStyle w:val="Compact"/>
              <w:jc w:val="left"/>
            </w:pPr>
            <w:r>
              <w:t xml:space="preserve">HbA1c −1,87 a −2,07 ponto vs. +0,04; peso −7,0 a −9,5 kg</w:t>
            </w:r>
          </w:p>
        </w:tc>
      </w:tr>
      <w:tr>
        <w:tc>
          <w:tcPr/>
          <w:p>
            <w:pPr>
              <w:pStyle w:val="Compact"/>
              <w:jc w:val="left"/>
            </w:pPr>
            <w:r>
              <w:t xml:space="preserve">SURPASS-2 (Frías 2021), PMID 34170647</w:t>
            </w:r>
          </w:p>
        </w:tc>
        <w:tc>
          <w:tcPr/>
          <w:p>
            <w:pPr>
              <w:pStyle w:val="Compact"/>
              <w:jc w:val="left"/>
            </w:pPr>
            <w:r>
              <w:t xml:space="preserve">1.879 adultos em uso de metformina, aberto contra semaglutida 1 mg</w:t>
            </w:r>
          </w:p>
        </w:tc>
        <w:tc>
          <w:tcPr/>
          <w:p>
            <w:pPr>
              <w:pStyle w:val="Compact"/>
              <w:jc w:val="left"/>
            </w:pPr>
            <w:r>
              <w:t xml:space="preserve">40 semanas</w:t>
            </w:r>
          </w:p>
        </w:tc>
        <w:tc>
          <w:tcPr/>
          <w:p>
            <w:pPr>
              <w:pStyle w:val="Compact"/>
              <w:jc w:val="left"/>
            </w:pPr>
            <w:r>
              <w:t xml:space="preserve">HbA1c −2,01 a −2,30 vs. −1,86; peso adicional de −1,9 a −5,5 kg</w:t>
            </w:r>
          </w:p>
        </w:tc>
      </w:tr>
      <w:tr>
        <w:tc>
          <w:tcPr/>
          <w:p>
            <w:pPr>
              <w:pStyle w:val="Compact"/>
              <w:jc w:val="left"/>
            </w:pPr>
            <w:r>
              <w:t xml:space="preserve">SURPASS-3 (Ludvik 2021), PMID 34370970</w:t>
            </w:r>
          </w:p>
        </w:tc>
        <w:tc>
          <w:tcPr/>
          <w:p>
            <w:pPr>
              <w:pStyle w:val="Compact"/>
              <w:jc w:val="left"/>
            </w:pPr>
            <w:r>
              <w:t xml:space="preserve">1.444 adultos, aberto contra insulina degludeca</w:t>
            </w:r>
          </w:p>
        </w:tc>
        <w:tc>
          <w:tcPr/>
          <w:p>
            <w:pPr>
              <w:pStyle w:val="Compact"/>
              <w:jc w:val="left"/>
            </w:pPr>
            <w:r>
              <w:t xml:space="preserve">52 semanas</w:t>
            </w:r>
          </w:p>
        </w:tc>
        <w:tc>
          <w:tcPr/>
          <w:p>
            <w:pPr>
              <w:pStyle w:val="Compact"/>
              <w:jc w:val="left"/>
            </w:pPr>
            <w:r>
              <w:t xml:space="preserve">HbA1c −1,93 a −2,37 vs. −1,34; peso −7,5 a −12,9 kg vs. +2,3 kg</w:t>
            </w:r>
          </w:p>
        </w:tc>
      </w:tr>
      <w:tr>
        <w:tc>
          <w:tcPr/>
          <w:p>
            <w:pPr>
              <w:pStyle w:val="Compact"/>
              <w:jc w:val="left"/>
            </w:pPr>
            <w:r>
              <w:t xml:space="preserve">SURPASS-4 (Del Prato 2021), PMID 34672967</w:t>
            </w:r>
          </w:p>
        </w:tc>
        <w:tc>
          <w:tcPr/>
          <w:p>
            <w:pPr>
              <w:pStyle w:val="Compact"/>
              <w:jc w:val="left"/>
            </w:pPr>
            <w:r>
              <w:t xml:space="preserve">2.002 adultos com alto risco cardiovascular, aberto contra insulina glargina</w:t>
            </w:r>
          </w:p>
        </w:tc>
        <w:tc>
          <w:tcPr/>
          <w:p>
            <w:pPr>
              <w:pStyle w:val="Compact"/>
              <w:jc w:val="left"/>
            </w:pPr>
            <w:r>
              <w:t xml:space="preserve">52 a 104 semanas</w:t>
            </w:r>
          </w:p>
        </w:tc>
        <w:tc>
          <w:tcPr/>
          <w:p>
            <w:pPr>
              <w:pStyle w:val="Compact"/>
              <w:jc w:val="left"/>
            </w:pPr>
            <w:r>
              <w:t xml:space="preserve">HbA1c −2,43/−2,58 vs. −1,44; MACE-4 não aumentado (HR 0,74)</w:t>
            </w:r>
          </w:p>
        </w:tc>
      </w:tr>
      <w:tr>
        <w:tc>
          <w:tcPr/>
          <w:p>
            <w:pPr>
              <w:pStyle w:val="Compact"/>
              <w:jc w:val="left"/>
            </w:pPr>
            <w:r>
              <w:t xml:space="preserve">SURPASS-5 (Dahl 2022), PMID 35133415</w:t>
            </w:r>
          </w:p>
        </w:tc>
        <w:tc>
          <w:tcPr/>
          <w:p>
            <w:pPr>
              <w:pStyle w:val="Compact"/>
              <w:jc w:val="left"/>
            </w:pPr>
            <w:r>
              <w:t xml:space="preserve">475 adultos em uso de insulina glargina, contra placebo</w:t>
            </w:r>
          </w:p>
        </w:tc>
        <w:tc>
          <w:tcPr/>
          <w:p>
            <w:pPr>
              <w:pStyle w:val="Compact"/>
              <w:jc w:val="left"/>
            </w:pPr>
            <w:r>
              <w:t xml:space="preserve">40 semanas</w:t>
            </w:r>
          </w:p>
        </w:tc>
        <w:tc>
          <w:tcPr/>
          <w:p>
            <w:pPr>
              <w:pStyle w:val="Compact"/>
              <w:jc w:val="left"/>
            </w:pPr>
            <w:r>
              <w:t xml:space="preserve">HbA1c −2,11 a −2,40 vs. −0,86; peso −5,4 a −8,8 kg vs. +1,6 kg</w:t>
            </w:r>
          </w:p>
        </w:tc>
      </w:tr>
      <w:tr>
        <w:tc>
          <w:tcPr/>
          <w:p>
            <w:pPr>
              <w:pStyle w:val="Compact"/>
              <w:jc w:val="left"/>
            </w:pPr>
            <w:r>
              <w:t xml:space="preserve">SURPASS-PEDS (Hannon 2025), PMID 40975112</w:t>
            </w:r>
          </w:p>
        </w:tc>
        <w:tc>
          <w:tcPr/>
          <w:p>
            <w:pPr>
              <w:pStyle w:val="Compact"/>
              <w:jc w:val="left"/>
            </w:pPr>
            <w:r>
              <w:t xml:space="preserve">99 adolescentes (10–17 anos) com diabetes tipo 2, contra placebo</w:t>
            </w:r>
          </w:p>
        </w:tc>
        <w:tc>
          <w:tcPr/>
          <w:p>
            <w:pPr>
              <w:pStyle w:val="Compact"/>
              <w:jc w:val="left"/>
            </w:pPr>
            <w:r>
              <w:t xml:space="preserve">30 semanas (+22 abertas)</w:t>
            </w:r>
          </w:p>
        </w:tc>
        <w:tc>
          <w:tcPr/>
          <w:p>
            <w:pPr>
              <w:pStyle w:val="Compact"/>
              <w:jc w:val="left"/>
            </w:pPr>
            <w:r>
              <w:t xml:space="preserve">HbA1c −2,23 vs. +0,05; IMC −7,4 a −11,2%</w:t>
            </w:r>
          </w:p>
        </w:tc>
      </w:tr>
    </w:tbl>
    <w:p>
      <w:pPr>
        <w:pStyle w:val="BodyText"/>
      </w:pPr>
      <w:r>
        <w:t xml:space="preserve">Alguns pontos merecem destaque:</w:t>
      </w:r>
    </w:p>
    <w:p>
      <w:pPr>
        <w:numPr>
          <w:ilvl w:val="0"/>
          <w:numId w:val="1060"/>
        </w:numPr>
        <w:pStyle w:val="Compact"/>
      </w:pPr>
      <w:r>
        <w:rPr>
          <w:bCs/>
          <w:b/>
        </w:rPr>
        <w:t xml:space="preserve">Na comparação direta com a semaglutida</w:t>
      </w:r>
      <w:r>
        <w:t xml:space="preserve"> </w:t>
      </w:r>
      <w:r>
        <w:t xml:space="preserve">(SURPASS-2), a tirzepatida, nas três doses, foi não inferior e superior na HbA1c. O estudo, porém, usou a semaglutida na dose de 1 mg; a dose mais alta para diabetes, aprovada depois, não foi o comparador. A frequência de náuseas (17–22% vs. 18%) e vômitos (6–10% vs. 8%) foi semelhante; eventos adversos graves ocorreram com tirzepatida em 5–7%, contra 3% com semaglutida</w:t>
      </w:r>
      <w:r>
        <w:rPr>
          <w:rStyle w:val="FootnoteReference"/>
        </w:rPr>
        <w:footnoteReference w:id="486"/>
      </w:r>
      <w:r>
        <w:t xml:space="preserve">.</w:t>
      </w:r>
    </w:p>
    <w:p>
      <w:pPr>
        <w:numPr>
          <w:ilvl w:val="0"/>
          <w:numId w:val="1060"/>
        </w:numPr>
        <w:pStyle w:val="Compact"/>
      </w:pPr>
      <w:r>
        <w:rPr>
          <w:bCs/>
          <w:b/>
        </w:rPr>
        <w:t xml:space="preserve">Em comparação com a insulina</w:t>
      </w:r>
      <w:r>
        <w:t xml:space="preserve">, a tirzepatida levou a maior redução da glicose e, ao mesmo tempo, a perda de peso em vez de ganho. As hipoglicemias (abaixo de 54 mg/dl ou graves) foram muito mais raras no SURPASS-3: 1–2% contra 7% com insulina degludeca</w:t>
      </w:r>
      <w:r>
        <w:rPr>
          <w:rStyle w:val="FootnoteReference"/>
        </w:rPr>
        <w:footnoteReference w:id="487"/>
      </w:r>
      <w:r>
        <w:t xml:space="preserve">.</w:t>
      </w:r>
    </w:p>
    <w:p>
      <w:pPr>
        <w:numPr>
          <w:ilvl w:val="0"/>
          <w:numId w:val="1060"/>
        </w:numPr>
        <w:pStyle w:val="Compact"/>
      </w:pPr>
      <w:r>
        <w:rPr>
          <w:bCs/>
          <w:b/>
        </w:rPr>
        <w:t xml:space="preserve">Crianças e adolescentes:</w:t>
      </w:r>
      <w:r>
        <w:t xml:space="preserve"> </w:t>
      </w:r>
      <w:r>
        <w:t xml:space="preserve">o SURPASS-PEDS é um dos poucos estudos com incretinas no diabetes tipo 2 juvenil. O efeito se manteve na extensão aberta até a semana 52; o perfil de efeitos colaterais correspondeu ao dos adultos</w:t>
      </w:r>
      <w:r>
        <w:rPr>
          <w:rStyle w:val="FootnoteReference"/>
        </w:rPr>
        <w:footnoteReference w:id="488"/>
      </w:r>
      <w:r>
        <w:t xml:space="preserve">.</w:t>
      </w:r>
    </w:p>
    <w:p>
      <w:pPr>
        <w:numPr>
          <w:ilvl w:val="0"/>
          <w:numId w:val="1060"/>
        </w:numPr>
        <w:pStyle w:val="Compact"/>
      </w:pPr>
      <w:r>
        <w:rPr>
          <w:bCs/>
          <w:b/>
        </w:rPr>
        <w:t xml:space="preserve">Diabetes tipo 1:</w:t>
      </w:r>
      <w:r>
        <w:t xml:space="preserve"> </w:t>
      </w:r>
      <w:r>
        <w:t xml:space="preserve">um pequeno estudo de fase 2 com 24 adultos com diabetes tipo 1 e obesidade mostrou após doze semanas uma perda de peso de 10,3 kg contra 0,7 kg com placebo e uma necessidade de insulina 35% menor</w:t>
      </w:r>
      <w:r>
        <w:rPr>
          <w:rStyle w:val="FootnoteReference"/>
        </w:rPr>
        <w:footnoteReference w:id="489"/>
      </w:r>
      <w:r>
        <w:t xml:space="preserve">. A tirzepatida não é aprovada para diabetes tipo 1; estudos maiores estão em andamento (ver perspectivas).</w:t>
      </w:r>
    </w:p>
    <w:p>
      <w:pPr>
        <w:pStyle w:val="FirstParagraph"/>
      </w:pPr>
      <w:r>
        <w:t xml:space="preserve">Uma metanálise pré-planejada de todos os sete estudos SURPASS com pelo menos 26 semanas de duração (4.887 pessoas com tirzepatida, 2.328 nos grupos controle) não encontrou aumento do risco de eventos cardiovasculares graves (MACE-4, hazard ratio 0,80; intervalo de confiança de 95% 0,57–1,11)</w:t>
      </w:r>
      <w:r>
        <w:rPr>
          <w:rStyle w:val="FootnoteReference"/>
        </w:rPr>
        <w:footnoteReference w:id="490"/>
      </w:r>
      <w:r>
        <w:t xml:space="preserve">. Trata-se de uma afirmação de segurança, não de benefício – para isso foi necessário o estudo de desfechos SURPASS-CVOT.</w:t>
      </w:r>
    </w:p>
    <w:bookmarkEnd w:id="491"/>
    <w:bookmarkStart w:id="495" w:name="surpass-cvot-desfechos-cardiovasculares"/>
    <w:p>
      <w:pPr>
        <w:pStyle w:val="Heading4"/>
      </w:pPr>
      <w:r>
        <w:t xml:space="preserve">SURPASS-CVOT: desfechos cardiovasculares</w:t>
      </w:r>
    </w:p>
    <w:p>
      <w:pPr>
        <w:pStyle w:val="FirstParagraph"/>
      </w:pPr>
      <w:r>
        <w:t xml:space="preserve">No caso dos medicamentos para diabetes, as autoridades exigem a comprovação de que não colocam o coração em risco. O SURPASS-CVOT foi um passo além: em vez de enfrentar o placebo, a tirzepatida enfrentou a dulaglutida, um medicamento GLP-1 que no estudo REWIND havia ele próprio reduzido eventos cardiovasculares. Foram randomizadas 13.299 pessoas com diabetes tipo 2 e doença aterosclerótica estabelecida; foram analisadas 13.165</w:t>
      </w:r>
      <w:r>
        <w:rPr>
          <w:rStyle w:val="FootnoteReference"/>
        </w:rPr>
        <w:footnoteReference w:id="492"/>
      </w:r>
      <w:r>
        <w:t xml:space="preserve">.</w:t>
      </w:r>
    </w:p>
    <w:p>
      <w:pPr>
        <w:pStyle w:val="BodyText"/>
      </w:pPr>
      <w:r>
        <w:t xml:space="preserve">O desfecho principal – morte cardiovascular, infarto ou AVC – ocorreu em 801 pessoas (12,2%) com tirzepatida e em 862 (13,1%) com dulaglutida (hazard ratio 0,92; IC de 95,3% 0,83–1,01). A tirzepatida foi, portanto,</w:t>
      </w:r>
      <w:r>
        <w:t xml:space="preserve"> </w:t>
      </w:r>
      <w:r>
        <w:rPr>
          <w:bCs/>
          <w:b/>
        </w:rPr>
        <w:t xml:space="preserve">não inferior</w:t>
      </w:r>
      <w:r>
        <w:t xml:space="preserve">; a superioridade formal não foi alcançada por pouco (p = 0,09). Efeitos colaterais gastrointestinais foram mais frequentes com tirzepatida.</w:t>
      </w:r>
    </w:p>
    <w:p>
      <w:pPr>
        <w:pStyle w:val="BodyText"/>
      </w:pPr>
      <w:r>
        <w:t xml:space="preserve">Uma análise posterior (post hoc) com um desfecho mais amplo de seis componentes – morte por qualquer causa, infarto, AVC, revascularização, internação por insuficiência cardíaca e eventos renais – encontrou, após uma duração mediana de tratamento de quase quatro anos, eventos em 23,7% contra 27,4% (hazard ratio 0,84; IC de 95% 0,79–0,90)</w:t>
      </w:r>
      <w:r>
        <w:rPr>
          <w:rStyle w:val="FootnoteReference"/>
        </w:rPr>
        <w:footnoteReference w:id="493"/>
      </w:r>
      <w:r>
        <w:t xml:space="preserve">. Análises post hoc servem para gerar hipóteses; elas não podem substituir uma análise principal definida previamente.</w:t>
      </w:r>
    </w:p>
    <w:p>
      <w:pPr>
        <w:pStyle w:val="BodyText"/>
      </w:pPr>
      <w:r>
        <w:t xml:space="preserve">Qual seria o tamanho do benefício em comparação com</w:t>
      </w:r>
      <w:r>
        <w:t xml:space="preserve"> </w:t>
      </w:r>
      <w:r>
        <w:rPr>
          <w:iCs/>
          <w:i/>
        </w:rPr>
        <w:t xml:space="preserve">nenhum</w:t>
      </w:r>
      <w:r>
        <w:t xml:space="preserve"> </w:t>
      </w:r>
      <w:r>
        <w:t xml:space="preserve">tratamento não pode ser lido diretamente de uma comparação contra um medicamento eficaz. Uma análise pré-planejada, mas indireta, calculou um</w:t>
      </w:r>
      <w:r>
        <w:t xml:space="preserve"> </w:t>
      </w:r>
      <w:r>
        <w:t xml:space="preserve">“</w:t>
      </w:r>
      <w:r>
        <w:t xml:space="preserve">braço placebo</w:t>
      </w:r>
      <w:r>
        <w:t xml:space="preserve">”</w:t>
      </w:r>
      <w:r>
        <w:t xml:space="preserve"> </w:t>
      </w:r>
      <w:r>
        <w:t xml:space="preserve">a partir dos dados do estudo REWIND e chegou, para a tirzepatida em relação a esse placebo calculado, a um hazard ratio de 0,72 (IC de 95% 0,55–0,94) para morte cardiovascular, infarto ou AVC</w:t>
      </w:r>
      <w:r>
        <w:rPr>
          <w:rStyle w:val="FootnoteReference"/>
        </w:rPr>
        <w:footnoteReference w:id="494"/>
      </w:r>
      <w:r>
        <w:t xml:space="preserve">. Cálculos de modelagem como esse se baseiam em suposições e não substituem uma comparação real com placebo.</w:t>
      </w:r>
    </w:p>
    <w:bookmarkEnd w:id="495"/>
    <w:bookmarkStart w:id="501" w:name="surmount-obesidade"/>
    <w:p>
      <w:pPr>
        <w:pStyle w:val="Heading4"/>
      </w:pPr>
      <w:r>
        <w:t xml:space="preserve">SURMOUNT: obesidade</w:t>
      </w:r>
    </w:p>
    <w:p>
      <w:pPr>
        <w:pStyle w:val="FirstParagraph"/>
      </w:pPr>
      <w:r>
        <w:t xml:space="preserve">No programa de obesidade, a tirzepatida foi estudada em pessoas com índice de massa corporal (IMC) a partir de 30, ou a partir de 27 mais uma comorbidade, sempre em acréscimo a orientação sobre alimentação e atividade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sem diabetes, contra placebo</w:t>
            </w:r>
          </w:p>
        </w:tc>
        <w:tc>
          <w:tcPr/>
          <w:p>
            <w:pPr>
              <w:pStyle w:val="Compact"/>
              <w:jc w:val="left"/>
            </w:pPr>
            <w:r>
              <w:t xml:space="preserve">72 semanas</w:t>
            </w:r>
          </w:p>
        </w:tc>
        <w:tc>
          <w:tcPr/>
          <w:p>
            <w:pPr>
              <w:pStyle w:val="Compact"/>
              <w:jc w:val="left"/>
            </w:pPr>
            <w:r>
              <w:t xml:space="preserve">−15,0 / −19,5 / −20,9% do peso (5/10/15 mg) vs. −3,1%</w:t>
            </w:r>
          </w:p>
        </w:tc>
      </w:tr>
      <w:tr>
        <w:tc>
          <w:tcPr/>
          <w:p>
            <w:pPr>
              <w:pStyle w:val="Compact"/>
              <w:jc w:val="left"/>
            </w:pPr>
            <w:r>
              <w:t xml:space="preserve">SURMOUNT-2 (Garvey 2023), PMID 37385275</w:t>
            </w:r>
          </w:p>
        </w:tc>
        <w:tc>
          <w:tcPr/>
          <w:p>
            <w:pPr>
              <w:pStyle w:val="Compact"/>
              <w:jc w:val="left"/>
            </w:pPr>
            <w:r>
              <w:t xml:space="preserve">938 adultos com diabetes tipo 2, contra placebo</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adultos após intervenção bem-sucedida de 12 semanas no estilo de vida</w:t>
            </w:r>
          </w:p>
        </w:tc>
        <w:tc>
          <w:tcPr/>
          <w:p>
            <w:pPr>
              <w:pStyle w:val="Compact"/>
              <w:jc w:val="left"/>
            </w:pPr>
            <w:r>
              <w:t xml:space="preserve">72 semanas</w:t>
            </w:r>
          </w:p>
        </w:tc>
        <w:tc>
          <w:tcPr/>
          <w:p>
            <w:pPr>
              <w:pStyle w:val="Compact"/>
              <w:jc w:val="left"/>
            </w:pPr>
            <w:r>
              <w:t xml:space="preserve">adicional −18,4% vs. +2,5%</w:t>
            </w:r>
          </w:p>
        </w:tc>
      </w:tr>
      <w:tr>
        <w:tc>
          <w:tcPr/>
          <w:p>
            <w:pPr>
              <w:pStyle w:val="Compact"/>
              <w:jc w:val="left"/>
            </w:pPr>
            <w:r>
              <w:t xml:space="preserve">SURMOUNT-4 (Aronne 2024), PMID 38078870</w:t>
            </w:r>
          </w:p>
        </w:tc>
        <w:tc>
          <w:tcPr/>
          <w:p>
            <w:pPr>
              <w:pStyle w:val="Compact"/>
              <w:jc w:val="left"/>
            </w:pPr>
            <w:r>
              <w:t xml:space="preserve">670 adultos após 36 semanas de tirzepatida, continuação vs. suspensão</w:t>
            </w:r>
          </w:p>
        </w:tc>
        <w:tc>
          <w:tcPr/>
          <w:p>
            <w:pPr>
              <w:pStyle w:val="Compact"/>
              <w:jc w:val="left"/>
            </w:pPr>
            <w:r>
              <w:t xml:space="preserve">52 semanas (após a fase inicial)</w:t>
            </w:r>
          </w:p>
        </w:tc>
        <w:tc>
          <w:tcPr/>
          <w:p>
            <w:pPr>
              <w:pStyle w:val="Compact"/>
              <w:jc w:val="left"/>
            </w:pPr>
            <w:r>
              <w:t xml:space="preserve">−5,5% ao continuar vs. +14,0% de reganho</w:t>
            </w:r>
          </w:p>
        </w:tc>
      </w:tr>
      <w:tr>
        <w:tc>
          <w:tcPr/>
          <w:p>
            <w:pPr>
              <w:pStyle w:val="Compact"/>
              <w:jc w:val="left"/>
            </w:pPr>
            <w:r>
              <w:t xml:space="preserve">SURMOUNT-5 (Aronne 2025), PMID 40353578</w:t>
            </w:r>
          </w:p>
        </w:tc>
        <w:tc>
          <w:tcPr/>
          <w:p>
            <w:pPr>
              <w:pStyle w:val="Compact"/>
              <w:jc w:val="left"/>
            </w:pPr>
            <w:r>
              <w:t xml:space="preserve">751 adultos sem diabetes, aberto contra semaglutida 2,4 mg</w:t>
            </w:r>
          </w:p>
        </w:tc>
        <w:tc>
          <w:tcPr/>
          <w:p>
            <w:pPr>
              <w:pStyle w:val="Compact"/>
              <w:jc w:val="left"/>
            </w:pPr>
            <w:r>
              <w:t xml:space="preserve">72 semanas</w:t>
            </w:r>
          </w:p>
        </w:tc>
        <w:tc>
          <w:tcPr/>
          <w:p>
            <w:pPr>
              <w:pStyle w:val="Compact"/>
              <w:jc w:val="left"/>
            </w:pPr>
            <w:r>
              <w:t xml:space="preserve">−20,2% vs. −13,7%</w:t>
            </w:r>
          </w:p>
        </w:tc>
      </w:tr>
      <w:tr>
        <w:tc>
          <w:tcPr/>
          <w:p>
            <w:pPr>
              <w:pStyle w:val="Compact"/>
              <w:jc w:val="left"/>
            </w:pPr>
            <w:r>
              <w:t xml:space="preserve">SURMOUNT-1, dados de 3 anos (Jastreboff 2025), PMID 39536238</w:t>
            </w:r>
          </w:p>
        </w:tc>
        <w:tc>
          <w:tcPr/>
          <w:p>
            <w:pPr>
              <w:pStyle w:val="Compact"/>
              <w:jc w:val="left"/>
            </w:pPr>
            <w:r>
              <w:t xml:space="preserve">1.032 adultos com obesidade e pré-diabetes</w:t>
            </w:r>
          </w:p>
        </w:tc>
        <w:tc>
          <w:tcPr/>
          <w:p>
            <w:pPr>
              <w:pStyle w:val="Compact"/>
              <w:jc w:val="left"/>
            </w:pPr>
            <w:r>
              <w:t xml:space="preserve">176 semanas</w:t>
            </w:r>
          </w:p>
        </w:tc>
        <w:tc>
          <w:tcPr/>
          <w:p>
            <w:pPr>
              <w:pStyle w:val="Compact"/>
              <w:jc w:val="left"/>
            </w:pPr>
            <w:r>
              <w:t xml:space="preserve">−12,3 a −19,7% vs. −1,3%; diabetes tipo 2 1,3% vs. 13,3%</w:t>
            </w:r>
          </w:p>
        </w:tc>
      </w:tr>
    </w:tbl>
    <w:p>
      <w:pPr>
        <w:pStyle w:val="BodyText"/>
      </w:pPr>
      <w:r>
        <w:t xml:space="preserve">O</w:t>
      </w:r>
      <w:r>
        <w:t xml:space="preserve"> </w:t>
      </w:r>
      <w:r>
        <w:rPr>
          <w:bCs/>
          <w:b/>
        </w:rPr>
        <w:t xml:space="preserve">SURMOUNT-1</w:t>
      </w:r>
      <w:r>
        <w:t xml:space="preserve"> </w:t>
      </w:r>
      <w:r>
        <w:t xml:space="preserve">foi o estudo que tornou a tirzepatida conhecida como medicamento para obesidade. Com um peso inicial médio de 104,8 kg, os participantes perderam na dose mais alta, em média, 20,9% do peso corporal. 57% no grupo de 15 mg alcançaram pelo menos 20% de perda de peso, contra 3% com placebo. Por efeitos colaterais, 4,3–7,1% com tirzepatida e 2,6% com placebo interromperam o tratamento</w:t>
      </w:r>
      <w:r>
        <w:rPr>
          <w:rStyle w:val="FootnoteReference"/>
        </w:rPr>
        <w:footnoteReference w:id="496"/>
      </w:r>
      <w:r>
        <w:t xml:space="preserve">.</w:t>
      </w:r>
    </w:p>
    <w:p>
      <w:pPr>
        <w:pStyle w:val="BodyText"/>
      </w:pPr>
      <w:r>
        <w:rPr>
          <w:bCs/>
          <w:b/>
        </w:rPr>
        <w:t xml:space="preserve">Pessoas com diabetes tipo 2</w:t>
      </w:r>
      <w:r>
        <w:t xml:space="preserve"> </w:t>
      </w:r>
      <w:r>
        <w:t xml:space="preserve">perdem menos peso com todos os medicamentos à base de incretinas do que pessoas sem diabetes. Isso também se viu no SURMOUNT-2: a diferença em relação ao placebo foi de 9,6 e 11,6 pontos percentuais</w:t>
      </w:r>
      <w:r>
        <w:rPr>
          <w:rStyle w:val="FootnoteReference"/>
        </w:rPr>
        <w:footnoteReference w:id="497"/>
      </w:r>
      <w:r>
        <w:t xml:space="preserve">.</w:t>
      </w:r>
    </w:p>
    <w:p>
      <w:pPr>
        <w:pStyle w:val="BodyText"/>
      </w:pPr>
      <w:r>
        <w:rPr>
          <w:bCs/>
          <w:b/>
        </w:rPr>
        <w:t xml:space="preserve">O que acontece após a suspensão?</w:t>
      </w:r>
      <w:r>
        <w:t xml:space="preserve"> </w:t>
      </w:r>
      <w:r>
        <w:t xml:space="preserve">O SURMOUNT-4 respondeu a essa pergunta com um desenho de</w:t>
      </w:r>
      <w:r>
        <w:t xml:space="preserve"> </w:t>
      </w:r>
      <w:r>
        <w:t xml:space="preserve">“</w:t>
      </w:r>
      <w:r>
        <w:t xml:space="preserve">retirada randomizada</w:t>
      </w:r>
      <w:r>
        <w:t xml:space="preserve">”</w:t>
      </w:r>
      <w:r>
        <w:t xml:space="preserve">: todos receberam primeiro 36 semanas de tirzepatida e perderam em média 20,9%. Depois sorteou-se quem continuaria com tirzepatida e quem receberia placebo sem saber. Nas 52 semanas seguintes, o grupo placebo voltou a ganhar 14,0%, e o grupo tirzepatida perdeu mais 5,5%. Ao longo de todo o estudo, a perda de peso foi de 25,3% contra 9,9%</w:t>
      </w:r>
      <w:r>
        <w:rPr>
          <w:rStyle w:val="FootnoteReference"/>
        </w:rPr>
        <w:footnoteReference w:id="498"/>
      </w:r>
      <w:r>
        <w:t xml:space="preserve">. A mensagem dos autores: a obesidade se comporta como uma doença crônica, cujo tratamento geralmente precisa ser permanente.</w:t>
      </w:r>
    </w:p>
    <w:p>
      <w:pPr>
        <w:pStyle w:val="BodyText"/>
      </w:pPr>
      <w:r>
        <w:rPr>
          <w:bCs/>
          <w:b/>
        </w:rPr>
        <w:t xml:space="preserve">Dose de manutenção menor:</w:t>
      </w:r>
      <w:r>
        <w:t xml:space="preserve"> </w:t>
      </w:r>
      <w:r>
        <w:t xml:space="preserve">se, depois de emagrecer, é possível passar para uma dose menor foi investigado pelo SURMOUNT-MAINTAIN, com 378 pessoas randomizadas nos EUA. Após 60 semanas na dose máxima, elas foram distribuídas em três grupos. Na semana 112, a perda de peso desde o início do estudo era de −21,9% (continuação da dose máxima), −16,6% (redução para 5 mg) e −9,9% (placebo). Uma terapia de resgate por reganho de pelo menos 50% foi necessária para 8%, 25% e 67%, respectivamente</w:t>
      </w:r>
      <w:r>
        <w:rPr>
          <w:rStyle w:val="FootnoteReference"/>
        </w:rPr>
        <w:footnoteReference w:id="499"/>
      </w:r>
      <w:r>
        <w:t xml:space="preserve">. A redução da dose é, portanto, uma solução intermediária, com sucesso muito variável de pessoa para pessoa.</w:t>
      </w:r>
    </w:p>
    <w:p>
      <w:pPr>
        <w:pStyle w:val="BodyText"/>
      </w:pPr>
      <w:r>
        <w:rPr>
          <w:bCs/>
          <w:b/>
        </w:rPr>
        <w:t xml:space="preserve">Prevenção do diabetes:</w:t>
      </w:r>
      <w:r>
        <w:t xml:space="preserve"> </w:t>
      </w:r>
      <w:r>
        <w:t xml:space="preserve">na análise de três anos do SURMOUNT-1 em pessoas com pré-diabetes (estágio anterior ao diabetes), 1,3% com tirzepatida e 13,3% com placebo desenvolveram diabetes tipo 2. Mesmo 17 semanas após a suspensão, a diferença continuou clara (2,4% vs. 13,7%). Nenhum novo sinal de segurança surgiu nesses três anos</w:t>
      </w:r>
      <w:r>
        <w:rPr>
          <w:rStyle w:val="FootnoteReference"/>
        </w:rPr>
        <w:footnoteReference w:id="500"/>
      </w:r>
      <w:r>
        <w:t xml:space="preserve">.</w:t>
      </w:r>
    </w:p>
    <w:bookmarkEnd w:id="501"/>
    <w:bookmarkStart w:id="504" w:name="Xbaf038669afaf113715008b59b1ecb9559d272d"/>
    <w:p>
      <w:pPr>
        <w:pStyle w:val="Heading4"/>
      </w:pPr>
      <w:r>
        <w:t xml:space="preserve">SURMOUNT-5: tirzepatida contra semaglutida</w:t>
      </w:r>
    </w:p>
    <w:p>
      <w:pPr>
        <w:pStyle w:val="FirstParagraph"/>
      </w:pPr>
      <w:r>
        <w:t xml:space="preserve">O confronto direto, esperado por muitos, na obesidade sem diabetes veio com o SURMOUNT-5</w:t>
      </w:r>
      <w:r>
        <w:rPr>
          <w:rStyle w:val="FootnoteReference"/>
        </w:rPr>
        <w:footnoteReference w:id="502"/>
      </w:r>
      <w:r>
        <w:t xml:space="preserve">. 751 adultos receberam de forma aberta (ou seja, sem cegamento) a dose máxima tolerada de tirzepatida (10 ou 15 mg) ou de semaglutida (1,7 ou 2,4 mg). Após 72 semanas:</w:t>
      </w:r>
    </w:p>
    <w:p>
      <w:pPr>
        <w:numPr>
          <w:ilvl w:val="0"/>
          <w:numId w:val="1061"/>
        </w:numPr>
        <w:pStyle w:val="Compact"/>
      </w:pPr>
      <w:r>
        <w:t xml:space="preserve">Variação do peso: −20,2% com tirzepatida contra −13,7% com semaglutida.</w:t>
      </w:r>
    </w:p>
    <w:p>
      <w:pPr>
        <w:numPr>
          <w:ilvl w:val="0"/>
          <w:numId w:val="1061"/>
        </w:numPr>
        <w:pStyle w:val="Compact"/>
      </w:pPr>
      <w:r>
        <w:t xml:space="preserve">Circunferência da cintura: −18,4 cm contra −13,0 cm.</w:t>
      </w:r>
    </w:p>
    <w:p>
      <w:pPr>
        <w:numPr>
          <w:ilvl w:val="0"/>
          <w:numId w:val="1061"/>
        </w:numPr>
        <w:pStyle w:val="Compact"/>
      </w:pPr>
      <w:r>
        <w:t xml:space="preserve">Mais participantes com tirzepatida alcançaram cada um dos limiares de 10, 15, 20 e 25%.</w:t>
      </w:r>
    </w:p>
    <w:p>
      <w:pPr>
        <w:numPr>
          <w:ilvl w:val="0"/>
          <w:numId w:val="1061"/>
        </w:numPr>
        <w:pStyle w:val="Compact"/>
      </w:pPr>
      <w:r>
        <w:t xml:space="preserve">Os efeitos colaterais nos dois grupos foram predominantemente queixas gastrointestinais, em geral leves a moderadas e sobretudo na fase de aumento da dose.</w:t>
      </w:r>
    </w:p>
    <w:p>
      <w:pPr>
        <w:pStyle w:val="FirstParagraph"/>
      </w:pPr>
      <w:r>
        <w:t xml:space="preserve">Uma análise posterior mostrou que 44% com tirzepatida e 21% com semaglutida já haviam perdido pelo menos 15% até a semana 24 (</w:t>
      </w:r>
      <w:r>
        <w:t xml:space="preserve">“</w:t>
      </w:r>
      <w:r>
        <w:t xml:space="preserve">respondedores rápidos</w:t>
      </w:r>
      <w:r>
        <w:t xml:space="preserve">”</w:t>
      </w:r>
      <w:r>
        <w:t xml:space="preserve">). Esses tiveram um pouco mais de eventos gastrointestinais e biliares, mas não interromperam o tratamento com mais frequência</w:t>
      </w:r>
      <w:r>
        <w:rPr>
          <w:rStyle w:val="FootnoteReference"/>
        </w:rPr>
        <w:footnoteReference w:id="503"/>
      </w:r>
      <w:r>
        <w:t xml:space="preserve">.</w:t>
      </w:r>
    </w:p>
    <w:p>
      <w:pPr>
        <w:pStyle w:val="BodyText"/>
      </w:pPr>
      <w:r>
        <w:t xml:space="preserve">Para contextualizar: o SURMOUNT-5 foi financiado pelo fabricante da tirzepatida e conduzido de forma aberta. Ainda assim, a diferença é grande o suficiente para que dificilmente possa ser explicada apenas por essas limitações. Uma comparação de todos os medicamentos GLP-1 você encontra na Parte III.</w:t>
      </w:r>
    </w:p>
    <w:bookmarkEnd w:id="504"/>
    <w:bookmarkStart w:id="507" w:name="insuficiência-cardíaca-summit"/>
    <w:p>
      <w:pPr>
        <w:pStyle w:val="Heading4"/>
      </w:pPr>
      <w:r>
        <w:t xml:space="preserve">Insuficiência cardíaca: SUMMIT</w:t>
      </w:r>
    </w:p>
    <w:p>
      <w:pPr>
        <w:pStyle w:val="FirstParagraph"/>
      </w:pPr>
      <w:r>
        <w:t xml:space="preserve">A insuficiência cardíaca com fração de ejeção preservada (ICFEp) é uma forma comum de insuficiência cardíaca em que o coração bombeia normalmente, mas se enche mal. A obesidade é um fator importante. No SUMMIT, 731 pessoas com ICFEp e IMC a partir de 30 foram randomizadas para tirzepatida ou placebo e acompanhadas por uma mediana de 104 semanas</w:t>
      </w:r>
      <w:r>
        <w:rPr>
          <w:rStyle w:val="FootnoteReference"/>
        </w:rPr>
        <w:footnoteReference w:id="505"/>
      </w:r>
      <w:r>
        <w:t xml:space="preserve">.</w:t>
      </w:r>
    </w:p>
    <w:p>
      <w:pPr>
        <w:numPr>
          <w:ilvl w:val="0"/>
          <w:numId w:val="1062"/>
        </w:numPr>
        <w:pStyle w:val="Compact"/>
      </w:pPr>
      <w:r>
        <w:t xml:space="preserve">Morte cardiovascular ou piora da insuficiência cardíaca: 9,9% com tirzepatida vs. 15,3% com placebo (hazard ratio 0,62; IC de 95% 0,41–0,95).</w:t>
      </w:r>
    </w:p>
    <w:p>
      <w:pPr>
        <w:numPr>
          <w:ilvl w:val="0"/>
          <w:numId w:val="1062"/>
        </w:numPr>
        <w:pStyle w:val="Compact"/>
      </w:pPr>
      <w:r>
        <w:t xml:space="preserve">Essa diferença se deveu a menos eventos de piora (8,0% vs. 14,2%). As mortes cardiovasculares foram raras e numericamente até um pouco mais frequentes com tirzepatida (2,2% vs. 1,4%), com uma faixa de incerteza muito ampla.</w:t>
      </w:r>
    </w:p>
    <w:p>
      <w:pPr>
        <w:numPr>
          <w:ilvl w:val="0"/>
          <w:numId w:val="1062"/>
        </w:numPr>
        <w:pStyle w:val="Compact"/>
      </w:pPr>
      <w:r>
        <w:t xml:space="preserve">A qualidade de vida (questionário KCCQ) melhorou mais: +19,5 contra +12,7 pontos.</w:t>
      </w:r>
    </w:p>
    <w:p>
      <w:pPr>
        <w:numPr>
          <w:ilvl w:val="0"/>
          <w:numId w:val="1062"/>
        </w:numPr>
        <w:pStyle w:val="Compact"/>
      </w:pPr>
      <w:r>
        <w:t xml:space="preserve">Interrupções por efeitos colaterais: 6,3% vs. 1,4%.</w:t>
      </w:r>
    </w:p>
    <w:p>
      <w:pPr>
        <w:pStyle w:val="FirstParagraph"/>
      </w:pPr>
      <w:r>
        <w:t xml:space="preserve">Um subestudo de ressonância magnética cardíaca mostrou redução da massa muscular do ventrículo esquerdo e do tecido adiposo em torno do coração</w:t>
      </w:r>
      <w:r>
        <w:rPr>
          <w:rStyle w:val="FootnoteReference"/>
        </w:rPr>
        <w:footnoteReference w:id="506"/>
      </w:r>
      <w:r>
        <w:t xml:space="preserve">. Com 731 pessoas e 92 eventos de desfecho, o SUMMIT é um estudo de desfechos relativamente pequeno; os resultados são animadores, mas não tão sólidos quanto dados de estudos com milhares de participantes.</w:t>
      </w:r>
    </w:p>
    <w:bookmarkEnd w:id="507"/>
    <w:bookmarkStart w:id="509" w:name="apneia-obstrutiva-do-sono-surmount-osa"/>
    <w:p>
      <w:pPr>
        <w:pStyle w:val="Heading4"/>
      </w:pPr>
      <w:r>
        <w:t xml:space="preserve">Apneia obstrutiva do sono: SURMOUNT-OSA</w:t>
      </w:r>
    </w:p>
    <w:p>
      <w:pPr>
        <w:pStyle w:val="FirstParagraph"/>
      </w:pPr>
      <w:r>
        <w:t xml:space="preserve">Na apneia obstrutiva do sono, as vias aéreas superiores colapsam repetidamente durante o sono; a respiração para (apneia) ou fica superficial (hipopneia). O índice de apneia-hipopneia (IAH) conta esses eventos por hora; a partir de 30, a apneia do sono é considerada grave. O excesso de peso é um fator de risco principal.</w:t>
      </w:r>
    </w:p>
    <w:p>
      <w:pPr>
        <w:pStyle w:val="BodyText"/>
      </w:pPr>
      <w:r>
        <w:t xml:space="preserve">O SURMOUNT-OSA consistiu em dois estudos paralelos com pessoas com obesidade e apneia do sono moderada a grave: sem terapia com máscara respiratória (estudo 1) e com máscara (CPAP, estudo 2). IAH inicial de cerca de 50 eventos por hora. Após 52 semanas</w:t>
      </w:r>
      <w:r>
        <w:rPr>
          <w:rStyle w:val="FootnoteReference"/>
        </w:rPr>
        <w:footnoteReference w:id="508"/>
      </w:r>
      <w:r>
        <w:t xml:space="preserve">:</w:t>
      </w:r>
    </w:p>
    <w:p>
      <w:pPr>
        <w:numPr>
          <w:ilvl w:val="0"/>
          <w:numId w:val="1063"/>
        </w:numPr>
        <w:pStyle w:val="Compact"/>
      </w:pPr>
      <w:r>
        <w:t xml:space="preserve">Estudo 1: IAH −25,3 eventos/hora com tirzepatida vs. −5,3 com placebo.</w:t>
      </w:r>
    </w:p>
    <w:p>
      <w:pPr>
        <w:numPr>
          <w:ilvl w:val="0"/>
          <w:numId w:val="1063"/>
        </w:numPr>
        <w:pStyle w:val="Compact"/>
      </w:pPr>
      <w:r>
        <w:t xml:space="preserve">Estudo 2: IAH −29,3 vs. −5,5.</w:t>
      </w:r>
    </w:p>
    <w:p>
      <w:pPr>
        <w:numPr>
          <w:ilvl w:val="0"/>
          <w:numId w:val="1063"/>
        </w:numPr>
        <w:pStyle w:val="Compact"/>
      </w:pPr>
      <w:r>
        <w:t xml:space="preserve">Além disso, melhoraram a carga de falta de oxigênio, marcadores inflamatórios (PCR-us), a pressão arterial e as queixas de sono relatadas pelos participantes.</w:t>
      </w:r>
    </w:p>
    <w:p>
      <w:pPr>
        <w:pStyle w:val="FirstParagraph"/>
      </w:pPr>
      <w:r>
        <w:t xml:space="preserve">Com base nisso, a tirzepatida foi aprovada nos EUA como o primeiro medicamento para o tratamento da apneia do sono na obesidade. Ela não substitui automaticamente uma máscara respiratória: mesmo após a redução, o IAH de muitos participantes ainda estava na faixa que exige tratamento. A decisão sobre a terapia deve ficar nas mãos de especialistas em medicina do sono.</w:t>
      </w:r>
    </w:p>
    <w:bookmarkEnd w:id="509"/>
    <w:bookmarkStart w:id="511" w:name="doença-hepática-gordurosa-mash"/>
    <w:p>
      <w:pPr>
        <w:pStyle w:val="Heading4"/>
      </w:pPr>
      <w:r>
        <w:t xml:space="preserve">Doença hepática gordurosa (MASH)</w:t>
      </w:r>
    </w:p>
    <w:p>
      <w:pPr>
        <w:pStyle w:val="FirstParagraph"/>
      </w:pPr>
      <w:r>
        <w:t xml:space="preserve">A esteato-hepatite associada à disfunção metabólica (MASH, antes NASH) é uma forma inflamatória de doença hepática gordurosa que pode evoluir para cicatrização (fibrose) e cirrose. No estudo de fase 2 SYNERGY-NASH, 190 pessoas com MASH confirmada por biópsia e fibrose moderada a grave receberam tirzepatida ou placebo. Após 52 semanas, a MASH desapareceu sem piora da fibrose em 44–62% com tirzepatida, contra 10% com placebo; uma melhora da fibrose de pelo menos um estágio foi observada em 51–55% contra 30%</w:t>
      </w:r>
      <w:r>
        <w:rPr>
          <w:rStyle w:val="FootnoteReference"/>
        </w:rPr>
        <w:footnoteReference w:id="510"/>
      </w:r>
      <w:r>
        <w:t xml:space="preserve">. Um estudo de fase 3 está em andamento (ver perspectivas).</w:t>
      </w:r>
    </w:p>
    <w:bookmarkEnd w:id="511"/>
    <w:bookmarkStart w:id="514" w:name="outras-áreas-de-uso-e-metanálises"/>
    <w:p>
      <w:pPr>
        <w:pStyle w:val="Heading4"/>
      </w:pPr>
      <w:r>
        <w:t xml:space="preserve">Outras áreas de uso e metanálises</w:t>
      </w:r>
    </w:p>
    <w:p>
      <w:pPr>
        <w:pStyle w:val="FirstParagraph"/>
      </w:pPr>
      <w:r>
        <w:t xml:space="preserve">A literatura sobre a tirzepatida cresce muito rápido. Além dos grandes programas, há estudos sobre psoríase e artrite psoriásica em combinação com biológicos: em um estudo aberto de fase 3b com 274 pessoas, 27,1% com ixequizumabe mais tirzepatida alcançaram ao mesmo tempo a cura completa das lesões de pele (PASI 100) e pelo menos 10% de perda de peso, contra 5,8% com ixequizumabe isolado</w:t>
      </w:r>
      <w:r>
        <w:rPr>
          <w:rStyle w:val="FootnoteReference"/>
        </w:rPr>
        <w:footnoteReference w:id="512"/>
      </w:r>
      <w:r>
        <w:t xml:space="preserve">. Outros trabalhos tratam da síndrome dos ovários policísticos, da função renal e de populações específicas da Ásia (SURMOUNT-J, SURMOUNT-CN, SURPASS-AP-Combo). Uma apresentação completa de todos os estudos individuais extrapolaria o escopo; eles estão listados na lista de estudos do apêndice.</w:t>
      </w:r>
    </w:p>
    <w:p>
      <w:pPr>
        <w:pStyle w:val="BodyText"/>
      </w:pPr>
      <w:r>
        <w:t xml:space="preserve">Sobre a composição corporal: em um subestudo de DXA do SURMOUNT-1 com 160 pessoas, cerca de 75% do peso perdido era gordura e cerca de 25% massa magra (da qual faz parte a musculatura) – na mesma proporção que no grupo placebo</w:t>
      </w:r>
      <w:r>
        <w:rPr>
          <w:rStyle w:val="FootnoteReference"/>
        </w:rPr>
        <w:footnoteReference w:id="513"/>
      </w:r>
      <w:r>
        <w:t xml:space="preserve">. A preocupação com a perda muscular é, portanto, justificada, mas não é um efeito específico da tirzepatida, e sim típico de qualquer perda de peso acentuada.</w:t>
      </w:r>
    </w:p>
    <w:bookmarkEnd w:id="514"/>
    <w:bookmarkEnd w:id="515"/>
    <w:bookmarkStart w:id="519" w:name="estudos-em-animais-e-em-laboratório-4"/>
    <w:p>
      <w:pPr>
        <w:pStyle w:val="Heading3"/>
      </w:pPr>
      <w:r>
        <w:t xml:space="preserve">Estudos em animais e em laboratório</w:t>
      </w:r>
    </w:p>
    <w:p>
      <w:pPr>
        <w:pStyle w:val="FirstParagraph"/>
      </w:pPr>
      <w:r>
        <w:t xml:space="preserve">O desenvolvimento pré-clínico foi publicado de forma incomumente completa. Em culturas de células, a tirzepatida ativa os dois receptores; em camundongos, reduziu o peso e a ingestão de alimentos mais do que um agonista puro de GLP-1</w:t>
      </w:r>
      <w:r>
        <w:rPr>
          <w:rStyle w:val="FootnoteReference"/>
        </w:rPr>
        <w:footnoteReference w:id="516"/>
      </w:r>
      <w:r>
        <w:t xml:space="preserve">. Estudos com camundongos sem receptor de GLP-1 funcional mostraram que a parte GIP melhora a sensibilidade à insulina no tecido adiposo</w:t>
      </w:r>
      <w:r>
        <w:rPr>
          <w:rStyle w:val="FootnoteReference"/>
        </w:rPr>
        <w:footnoteReference w:id="517"/>
      </w:r>
      <w:r>
        <w:t xml:space="preserve">. Sobre a distribuição e a degradação no organismo, há estudos em humanos, ratos e macacos: a molécula é metabolizada pela clivagem da estrutura peptídica e pela degradação da cadeia de ácido graxo; em humanos, cerca de 66% da substância marcada foram encontrados na urina e cerca de 33% nas fezes, mas tirzepatida inalterada não foi encontrada em nenhuma das duas</w:t>
      </w:r>
      <w:r>
        <w:rPr>
          <w:rStyle w:val="FootnoteReference"/>
        </w:rPr>
        <w:footnoteReference w:id="518"/>
      </w:r>
      <w:r>
        <w:t xml:space="preserve">.</w:t>
      </w:r>
    </w:p>
    <w:p>
      <w:pPr>
        <w:pStyle w:val="BodyText"/>
      </w:pPr>
      <w:r>
        <w:t xml:space="preserve">Como com todos os agonistas de GLP-1 de ação prolongada, ocorreram em estudos de longo prazo com roedores tumores das células C da tireoide. Se esse achado pode ser transposto para humanos não está claro, porque os roedores têm muito mais receptores de GLP-1 nessas células. Esse resultado em animais é a base das advertências na bula para profissionais (ver abaixo).</w:t>
      </w:r>
    </w:p>
    <w:bookmarkEnd w:id="519"/>
    <w:bookmarkStart w:id="528" w:name="riscos-e-efeitos-colaterais-4"/>
    <w:p>
      <w:pPr>
        <w:pStyle w:val="Heading3"/>
      </w:pPr>
      <w:r>
        <w:t xml:space="preserve">Riscos e efeitos colaterais</w:t>
      </w:r>
    </w:p>
    <w:p>
      <w:pPr>
        <w:pStyle w:val="FirstParagraph"/>
      </w:pPr>
      <w:r>
        <w:rPr>
          <w:bCs/>
          <w:b/>
        </w:rPr>
        <w:t xml:space="preserve">Comprovados em estudos:</w:t>
      </w:r>
    </w:p>
    <w:p>
      <w:pPr>
        <w:numPr>
          <w:ilvl w:val="0"/>
          <w:numId w:val="1064"/>
        </w:numPr>
        <w:pStyle w:val="Compact"/>
      </w:pPr>
      <w:r>
        <w:rPr>
          <w:bCs/>
          <w:b/>
        </w:rPr>
        <w:t xml:space="preserve">Queixas gastrointestinais</w:t>
      </w:r>
      <w:r>
        <w:t xml:space="preserve"> </w:t>
      </w:r>
      <w:r>
        <w:t xml:space="preserve">são, de longe, as mais comuns: náuseas, diarreia, vômitos, prisão de ventre, diminuição do apetite. No SURPASS-3, 12–24% relataram náuseas, 15–17% diarreia e 6–10% vômitos</w:t>
      </w:r>
      <w:r>
        <w:rPr>
          <w:rStyle w:val="FootnoteReference"/>
        </w:rPr>
        <w:footnoteReference w:id="520"/>
      </w:r>
      <w:r>
        <w:t xml:space="preserve">. As queixas ocorrem sobretudo na fase de aumento da dose e geralmente diminuem. São o motivo mais comum de interrupção do tratamento.</w:t>
      </w:r>
    </w:p>
    <w:p>
      <w:pPr>
        <w:numPr>
          <w:ilvl w:val="0"/>
          <w:numId w:val="1064"/>
        </w:numPr>
        <w:pStyle w:val="Compact"/>
      </w:pPr>
      <w:r>
        <w:rPr>
          <w:bCs/>
          <w:b/>
        </w:rPr>
        <w:t xml:space="preserve">Vesícula e vias biliares:</w:t>
      </w:r>
      <w:r>
        <w:t xml:space="preserve"> </w:t>
      </w:r>
      <w:r>
        <w:t xml:space="preserve">uma metanálise de nove estudos com 9.871 participantes encontrou um risco aumentado para a categoria geral de doenças da vesícula ou das vias biliares em comparação com placebo ou insulina (risco relativo 1,97; IC de 95% 1,14–3,42), mas nenhum aumento estatisticamente comprovado de pancreatite</w:t>
      </w:r>
      <w:r>
        <w:rPr>
          <w:rStyle w:val="FootnoteReference"/>
        </w:rPr>
        <w:footnoteReference w:id="521"/>
      </w:r>
      <w:r>
        <w:t xml:space="preserve">. A própria perda de peso rápida favorece cálculos biliares.</w:t>
      </w:r>
    </w:p>
    <w:p>
      <w:pPr>
        <w:numPr>
          <w:ilvl w:val="0"/>
          <w:numId w:val="1064"/>
        </w:numPr>
        <w:pStyle w:val="Compact"/>
      </w:pPr>
      <w:r>
        <w:rPr>
          <w:bCs/>
          <w:b/>
        </w:rPr>
        <w:t xml:space="preserve">Hipoglicemia:</w:t>
      </w:r>
      <w:r>
        <w:t xml:space="preserve"> </w:t>
      </w:r>
      <w:r>
        <w:t xml:space="preserve">rara com a substância isolada. O risco aumenta quando se tomam ao mesmo tempo insulina ou sulfonilureias – no SURPASS-4, hipoglicemias sem sulfonilureia ocorreram em 1–3%</w:t>
      </w:r>
      <w:r>
        <w:rPr>
          <w:rStyle w:val="FootnoteReference"/>
        </w:rPr>
        <w:footnoteReference w:id="522"/>
      </w:r>
      <w:r>
        <w:t xml:space="preserve">.</w:t>
      </w:r>
    </w:p>
    <w:p>
      <w:pPr>
        <w:numPr>
          <w:ilvl w:val="0"/>
          <w:numId w:val="1064"/>
        </w:numPr>
        <w:pStyle w:val="Compact"/>
      </w:pPr>
      <w:r>
        <w:rPr>
          <w:bCs/>
          <w:b/>
        </w:rPr>
        <w:t xml:space="preserve">Saúde mental:</w:t>
      </w:r>
      <w:r>
        <w:t xml:space="preserve"> </w:t>
      </w:r>
      <w:r>
        <w:t xml:space="preserve">uma análise posterior dos SURMOUNT-1 a -3, com 4.056 pessoas sem doença mental grave conhecida, não encontrou indício de aumento de depressões; pensamentos suicidas foram relatados por 0,6% nos dois grupos</w:t>
      </w:r>
      <w:r>
        <w:rPr>
          <w:rStyle w:val="FootnoteReference"/>
        </w:rPr>
        <w:footnoteReference w:id="523"/>
      </w:r>
      <w:r>
        <w:t xml:space="preserve">. Para pessoas com doenças mentais graves, faltam dados suficientes.</w:t>
      </w:r>
    </w:p>
    <w:p>
      <w:pPr>
        <w:numPr>
          <w:ilvl w:val="0"/>
          <w:numId w:val="1064"/>
        </w:numPr>
        <w:pStyle w:val="Compact"/>
      </w:pPr>
      <w:r>
        <w:rPr>
          <w:bCs/>
          <w:b/>
        </w:rPr>
        <w:t xml:space="preserve">Perda de massa magra:</w:t>
      </w:r>
      <w:r>
        <w:t xml:space="preserve"> </w:t>
      </w:r>
      <w:r>
        <w:t xml:space="preserve">cerca de um quarto do peso perdido</w:t>
      </w:r>
      <w:r>
        <w:rPr>
          <w:rStyle w:val="FootnoteReference"/>
        </w:rPr>
        <w:footnoteReference w:id="524"/>
      </w:r>
      <w:r>
        <w:t xml:space="preserve">. Treinamento de força e ingestão suficiente de proteína são recomendados por especialistas para compensar; dados sólidos de estudos sobre o benefício funcional são limitados.</w:t>
      </w:r>
    </w:p>
    <w:p>
      <w:pPr>
        <w:pStyle w:val="FirstParagraph"/>
      </w:pPr>
      <w:r>
        <w:rPr>
          <w:bCs/>
          <w:b/>
        </w:rPr>
        <w:t xml:space="preserve">De dados após o lançamento no mercado:</w:t>
      </w:r>
      <w:r>
        <w:t xml:space="preserve"> </w:t>
      </w:r>
      <w:r>
        <w:t xml:space="preserve">uma análise da base norte-americana de notificações de efeitos colaterais FAERS encontrou um número desproporcional de notificações de náuseas, pancreatite, doença diabética da retina e câncer medular de tireoide – mas, em comparação com outros agonistas de GLP-1, nenhum risco aumentado</w:t>
      </w:r>
      <w:r>
        <w:rPr>
          <w:rStyle w:val="FootnoteReference"/>
        </w:rPr>
        <w:footnoteReference w:id="525"/>
      </w:r>
      <w:r>
        <w:t xml:space="preserve">. Esses dados de notificação mostram sinais, não causas: riscos conhecidos são notificados com mais frequência. Em um grande estudo de coorte com mais de 46.000 pares em tratamento de rotina, o risco de eventos gastrointestinais graves (pancreatite, doenças das vias biliares, obstrução intestinal, gastroparesia, prisão de ventre grave) não diferiu substancialmente entre tirzepatida e semaglutida (hazard ratio 1,07; IC de 95% 0,90–1,26)</w:t>
      </w:r>
      <w:r>
        <w:rPr>
          <w:rStyle w:val="FootnoteReference"/>
        </w:rPr>
        <w:footnoteReference w:id="526"/>
      </w:r>
      <w:r>
        <w:t xml:space="preserve">.</w:t>
      </w:r>
    </w:p>
    <w:p>
      <w:pPr>
        <w:pStyle w:val="BodyText"/>
      </w:pPr>
      <w:r>
        <w:rPr>
          <w:bCs/>
          <w:b/>
        </w:rPr>
        <w:t xml:space="preserve">Teóricos ou derivados de dados em animais:</w:t>
      </w:r>
      <w:r>
        <w:t xml:space="preserve"> </w:t>
      </w:r>
      <w:r>
        <w:t xml:space="preserve">câncer medular de tireoide (achado em animais, ver acima). Por isso, as bulas para profissionais contêm uma advertência ou contraindicação em caso de histórico pessoal ou familiar de carcinoma medular de tireoide e de síndrome NEM 2.</w:t>
      </w:r>
    </w:p>
    <w:p>
      <w:pPr>
        <w:pStyle w:val="BodyText"/>
      </w:pPr>
      <w:r>
        <w:rPr>
          <w:bCs/>
          <w:b/>
        </w:rPr>
        <w:t xml:space="preserve">Importante para a prática (segundo a bula para profissionais, não deve ser entendido como instrução):</w:t>
      </w:r>
      <w:r>
        <w:t xml:space="preserve"> </w:t>
      </w:r>
      <w:r>
        <w:t xml:space="preserve">o esvaziamento gástrico retardado pode influenciar a absorção de comprimidos, o que é relevante, por exemplo, para a pílula anticoncepcional. Na gravidez e na amamentação, a tirzepatida não é usada. Antes de cirurgias com anestesia, o esvaziamento gástrico retardado deve ser levado em conta. Todos os detalhes são informados pela bula para profissionais e pela médica ou pelo médico responsável.</w:t>
      </w:r>
    </w:p>
    <w:p>
      <w:pPr>
        <w:pStyle w:val="BodyText"/>
      </w:pPr>
      <w:r>
        <w:rPr>
          <w:bCs/>
          <w:b/>
        </w:rPr>
        <w:t xml:space="preserve">Produtos de imitação:</w:t>
      </w:r>
      <w:r>
        <w:t xml:space="preserve"> </w:t>
      </w:r>
      <w:r>
        <w:t xml:space="preserve">durante a falta de produto entre 2022 e 2024, preparações de tirzepatida foram manipuladas em farmácias nos EUA (</w:t>
      </w:r>
      <w:r>
        <w:t xml:space="preserve">“</w:t>
      </w:r>
      <w:r>
        <w:t xml:space="preserve">compounding</w:t>
      </w:r>
      <w:r>
        <w:t xml:space="preserve">”</w:t>
      </w:r>
      <w:r>
        <w:t xml:space="preserve">), e paralelamente surgiu um grande mercado cinza on-line. Uma investigação de 2025 encontrou 33 preparações com semaglutida ou tirzepatida em formas farmacêuticas não aprovadas – como pastilhas ou misturas com vitaminas; dados de eficácia e segurança faltam para esses produtos</w:t>
      </w:r>
      <w:r>
        <w:rPr>
          <w:rStyle w:val="FootnoteReference"/>
        </w:rPr>
        <w:footnoteReference w:id="527"/>
      </w:r>
      <w:r>
        <w:t xml:space="preserve">. Para mercadorias</w:t>
      </w:r>
      <w:r>
        <w:t xml:space="preserve"> </w:t>
      </w:r>
      <w:r>
        <w:t xml:space="preserve">“</w:t>
      </w:r>
      <w:r>
        <w:t xml:space="preserve">de pesquisa</w:t>
      </w:r>
      <w:r>
        <w:t xml:space="preserve">”</w:t>
      </w:r>
      <w:r>
        <w:t xml:space="preserve"> </w:t>
      </w:r>
      <w:r>
        <w:t xml:space="preserve">sem aprovação como medicamento, isso vale em grau ainda maior (ver Parte I e Parte IV).</w:t>
      </w:r>
    </w:p>
    <w:bookmarkEnd w:id="528"/>
    <w:bookmarkStart w:id="529" w:name="situação-legal-4"/>
    <w:p>
      <w:pPr>
        <w:pStyle w:val="Heading3"/>
      </w:pPr>
      <w:r>
        <w:t xml:space="preserve">Situação legal</w:t>
      </w:r>
    </w:p>
    <w:p>
      <w:pPr>
        <w:numPr>
          <w:ilvl w:val="0"/>
          <w:numId w:val="1065"/>
        </w:numPr>
        <w:pStyle w:val="Compact"/>
      </w:pPr>
      <w:r>
        <w:rPr>
          <w:bCs/>
          <w:b/>
        </w:rPr>
        <w:t xml:space="preserve">UE / Áustria / Alemanha:</w:t>
      </w:r>
      <w:r>
        <w:t xml:space="preserve"> </w:t>
      </w:r>
      <w:r>
        <w:t xml:space="preserve">a tirzepatida tem aprovação centralizada na UE como Mounjaro (2022 para diabetes tipo 2, desde o fim de 2023 também para controle de peso). Está sujeita a prescrição. Se o seguro de saúde cobre os custos depende da indicação: para diabetes tipo 2, o reembolso é em princípio possível; medicamentos para redução de peso estão, na Alemanha, em grande parte excluídos por lei do reembolso, e na Áustria valem regras próprias e restritivas. Os detalhes mudam – verificar atualização.</w:t>
      </w:r>
    </w:p>
    <w:p>
      <w:pPr>
        <w:numPr>
          <w:ilvl w:val="0"/>
          <w:numId w:val="1065"/>
        </w:numPr>
        <w:pStyle w:val="Compact"/>
      </w:pPr>
      <w:r>
        <w:rPr>
          <w:bCs/>
          <w:b/>
        </w:rPr>
        <w:t xml:space="preserve">EUA:</w:t>
      </w:r>
      <w:r>
        <w:t xml:space="preserve"> </w:t>
      </w:r>
      <w:r>
        <w:t xml:space="preserve">aprovada como Mounjaro (2022, diabetes tipo 2) e como Zepbound (2023, controle crônico de peso; em 2024, também apneia obstrutiva do sono na obesidade). Com o fim da falta oficial de produto, a FDA restringiu fortemente a produção de cópias em farmácias.</w:t>
      </w:r>
    </w:p>
    <w:p>
      <w:pPr>
        <w:numPr>
          <w:ilvl w:val="0"/>
          <w:numId w:val="1065"/>
        </w:numPr>
        <w:pStyle w:val="Compact"/>
      </w:pPr>
      <w:r>
        <w:rPr>
          <w:bCs/>
          <w:b/>
        </w:rPr>
        <w:t xml:space="preserve">Esporte:</w:t>
      </w:r>
      <w:r>
        <w:t xml:space="preserve"> </w:t>
      </w:r>
      <w:r>
        <w:t xml:space="preserve">a tirzepatida não está na lista de substâncias proibidas da WADA (situação em 2026, verificar atualização).</w:t>
      </w:r>
    </w:p>
    <w:p>
      <w:pPr>
        <w:numPr>
          <w:ilvl w:val="0"/>
          <w:numId w:val="1065"/>
        </w:numPr>
        <w:pStyle w:val="Compact"/>
      </w:pPr>
      <w:r>
        <w:rPr>
          <w:bCs/>
          <w:b/>
        </w:rPr>
        <w:t xml:space="preserve">Mercado cinza:</w:t>
      </w:r>
      <w:r>
        <w:t xml:space="preserve"> </w:t>
      </w:r>
      <w:r>
        <w:t xml:space="preserve">o comércio de produtos de tirzepatida não aprovados (</w:t>
      </w:r>
      <w:r>
        <w:t xml:space="preserve">“</w:t>
      </w:r>
      <w:r>
        <w:t xml:space="preserve">for research use only</w:t>
      </w:r>
      <w:r>
        <w:t xml:space="preserve">”</w:t>
      </w:r>
      <w:r>
        <w:t xml:space="preserve">) não é, na UE, uma via legal para obter o medicamento; os produtos não passam por nenhum controle de qualidade.</w:t>
      </w:r>
    </w:p>
    <w:bookmarkEnd w:id="529"/>
    <w:bookmarkStart w:id="535" w:name="estudos-em-andamento-e-perspectivas-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66"/>
        </w:numPr>
        <w:pStyle w:val="Compact"/>
      </w:pPr>
      <w:r>
        <w:rPr>
          <w:bCs/>
          <w:b/>
        </w:rPr>
        <w:t xml:space="preserve">SURMOUNT-MMO</w:t>
      </w:r>
      <w:r>
        <w:rPr>
          <w:rStyle w:val="FootnoteReference"/>
        </w:rPr>
        <w:footnoteReference w:id="530"/>
      </w:r>
      <w:r>
        <w:t xml:space="preserve">: estudo de desfechos com cerca de 15.000 pessoas com obesidade sem diabetes e alto risco cardiovascular, tirzepatida contra placebo. O desfecho principal são infarto, AVC, revascularização, eventos de insuficiência cardíaca e morte por qualquer causa; término previsto para 2027. Segundo a publicação do desenho, é o primeiro estudo de desfechos com incretinas que investiga tanto a prevenção primária quanto a secundária de doenças cardiovasculares</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protocolo mestre de fase 3 sobre doença hepática gordurosa, com 4.500 participantes previstos.</w:t>
      </w:r>
    </w:p>
    <w:p>
      <w:pPr>
        <w:numPr>
          <w:ilvl w:val="0"/>
          <w:numId w:val="1066"/>
        </w:numPr>
        <w:pStyle w:val="Compact"/>
      </w:pPr>
      <w:r>
        <w:rPr>
          <w:bCs/>
          <w:b/>
        </w:rPr>
        <w:t xml:space="preserve">Diabetes tipo 1 com obesidade</w:t>
      </w:r>
      <w:r>
        <w:rPr>
          <w:rStyle w:val="FootnoteReference"/>
        </w:rPr>
        <w:footnoteReference w:id="533"/>
      </w:r>
      <w:r>
        <w:t xml:space="preserve">: dois estudos de fase 3.</w:t>
      </w:r>
    </w:p>
    <w:p>
      <w:pPr>
        <w:numPr>
          <w:ilvl w:val="0"/>
          <w:numId w:val="1066"/>
        </w:numPr>
        <w:pStyle w:val="Compact"/>
      </w:pPr>
      <w:r>
        <w:rPr>
          <w:bCs/>
          <w:b/>
        </w:rPr>
        <w:t xml:space="preserve">Adolescentes com obesidade</w:t>
      </w:r>
      <w:r>
        <w:t xml:space="preserve"> </w:t>
      </w:r>
      <w:r>
        <w:t xml:space="preserve">(NCT06439277, SURMOUNT-ADOLESCENTS-2) e crianças</w:t>
      </w:r>
      <w:r>
        <w:rPr>
          <w:rStyle w:val="FootnoteReference"/>
        </w:rPr>
        <w:footnoteReference w:id="534"/>
      </w:r>
      <w:r>
        <w:t xml:space="preserve">.</w:t>
      </w:r>
    </w:p>
    <w:p>
      <w:pPr>
        <w:numPr>
          <w:ilvl w:val="0"/>
          <w:numId w:val="1066"/>
        </w:numPr>
        <w:pStyle w:val="Compact"/>
      </w:pPr>
      <w:r>
        <w:rPr>
          <w:bCs/>
          <w:b/>
        </w:rPr>
        <w:t xml:space="preserve">Comparação direta com a sucessora retatrutida</w:t>
      </w:r>
      <w:r>
        <w:t xml:space="preserve"> </w:t>
      </w:r>
      <w:r>
        <w:t xml:space="preserve">(NCT06662383, ver o capítulo sobre a retatrutida).</w:t>
      </w:r>
    </w:p>
    <w:p>
      <w:pPr>
        <w:numPr>
          <w:ilvl w:val="0"/>
          <w:numId w:val="1066"/>
        </w:numPr>
        <w:pStyle w:val="Compact"/>
      </w:pPr>
      <w:r>
        <w:t xml:space="preserve">Numerosos estudos sobre artrose de joelho, psoríase, doenças renais e AVC.</w:t>
      </w:r>
    </w:p>
    <w:p>
      <w:pPr>
        <w:pStyle w:val="FirstParagraph"/>
      </w:pPr>
      <w:r>
        <w:rPr>
          <w:bCs/>
          <w:b/>
        </w:rPr>
        <w:t xml:space="preserve">Avaliação:</w:t>
      </w:r>
      <w:r>
        <w:t xml:space="preserve"> </w:t>
      </w:r>
      <w:r>
        <w:t xml:space="preserve">em 2026, a tirzepatida é a referência pela qual os novos medicamentos para emagrecer precisam ser medidos. A próxima grande questão é se o SURMOUNT-MMO mostrará, em pessoas sem diabetes, um benefício cardiovascular semelhante ao que o estudo SELECT mostrou para a semaglutida. A concorrência vem de agonistas triplos (retatrutida), combinações com amilina (CagriSema, amicretina) e comprimidos (orforglipron). Quando as patentes expiram e preparações genéricas mais baratas se tornam possíveis é tratado na Parte V.</w:t>
      </w:r>
    </w:p>
    <w:bookmarkEnd w:id="535"/>
    <w:bookmarkStart w:id="536" w:name="conclusão-4"/>
    <w:p>
      <w:pPr>
        <w:pStyle w:val="Heading3"/>
      </w:pPr>
      <w:r>
        <w:t xml:space="preserve">Conclusão</w:t>
      </w:r>
    </w:p>
    <w:p>
      <w:pPr>
        <w:pStyle w:val="FirstParagraph"/>
      </w:pPr>
      <w:r>
        <w:t xml:space="preserve">A tirzepatida é um agonista duplo GIP/GLP-1 estudado em um dos maiores programas de pesquisa da medicina do diabetes e da obesidade. No SURMOUNT-1, o peso corporal caiu na dose mais alta, em média, cerca de 21%; na comparação direta com a semaglutida (SURMOUNT-5), 20,2% contra 13,7%. Contra a dulaglutida, foi não inferior em eventos cardiovasculares; na insuficiência cardíaca com fração de ejeção preservada e na apneia do sono, mostraram-se efeitos favoráveis. Os efeitos colaterais afetam sobretudo o trato gastrointestinal e a vesícula biliar; após a suspensão, grande parte do peso volta. O tratamento deve ficar nas mãos de um médico – com a preparação original, não com produtos do mercado cinza.</w:t>
      </w:r>
    </w:p>
    <w:bookmarkEnd w:id="536"/>
    <w:bookmarkEnd w:id="537"/>
    <w:bookmarkStart w:id="577" w:name="retatrutida"/>
    <w:p>
      <w:pPr>
        <w:pStyle w:val="Heading2"/>
      </w:pPr>
      <w:r>
        <w:t xml:space="preserve">Retatrutida</w:t>
      </w:r>
    </w:p>
    <w:bookmarkStart w:id="538" w:name="ficha-técnica-5"/>
    <w:p>
      <w:pPr>
        <w:pStyle w:val="Heading3"/>
      </w:pPr>
      <w:r>
        <w:t xml:space="preserve">Ficha técnica</w:t>
      </w:r>
    </w:p>
    <w:p>
      <w:pPr>
        <w:numPr>
          <w:ilvl w:val="0"/>
          <w:numId w:val="1067"/>
        </w:numPr>
        <w:pStyle w:val="Compact"/>
      </w:pPr>
      <w:r>
        <w:rPr>
          <w:bCs/>
          <w:b/>
        </w:rPr>
        <w:t xml:space="preserve">Tipo/estrutura:</w:t>
      </w:r>
      <w:r>
        <w:t xml:space="preserve"> </w:t>
      </w:r>
      <w:r>
        <w:t xml:space="preserve">peptídeo sintético com uma cadeia de ácido graxo acoplada, para administração subcutânea uma vez por semana; código de desenvolvimento LY3437943.</w:t>
      </w:r>
    </w:p>
    <w:p>
      <w:pPr>
        <w:numPr>
          <w:ilvl w:val="0"/>
          <w:numId w:val="1067"/>
        </w:numPr>
        <w:pStyle w:val="Compact"/>
      </w:pPr>
      <w:r>
        <w:rPr>
          <w:bCs/>
          <w:b/>
        </w:rPr>
        <w:t xml:space="preserve">Origem:</w:t>
      </w:r>
      <w:r>
        <w:t xml:space="preserve"> </w:t>
      </w:r>
      <w:r>
        <w:t xml:space="preserve">desenvolvida pela Eli Lilly como sucessora da tirzepatida.</w:t>
      </w:r>
    </w:p>
    <w:p>
      <w:pPr>
        <w:numPr>
          <w:ilvl w:val="0"/>
          <w:numId w:val="1067"/>
        </w:numPr>
        <w:pStyle w:val="Compact"/>
      </w:pPr>
      <w:r>
        <w:rPr>
          <w:bCs/>
          <w:b/>
        </w:rPr>
        <w:t xml:space="preserve">Princípio de ação:</w:t>
      </w:r>
      <w:r>
        <w:t xml:space="preserve"> </w:t>
      </w:r>
      <w:r>
        <w:t xml:space="preserve">“</w:t>
      </w:r>
      <w:r>
        <w:t xml:space="preserve">agonista triplo</w:t>
      </w:r>
      <w:r>
        <w:t xml:space="preserve">”</w:t>
      </w:r>
      <w:r>
        <w:t xml:space="preserve"> </w:t>
      </w:r>
      <w:r>
        <w:t xml:space="preserve">em três receptores: GIP, GLP-1 e glucagon. Na mídia, muitas vezes chamada de</w:t>
      </w:r>
      <w:r>
        <w:t xml:space="preserve"> </w:t>
      </w:r>
      <w:r>
        <w:t xml:space="preserve">“</w:t>
      </w:r>
      <w:r>
        <w:t xml:space="preserve">Triple G</w:t>
      </w:r>
      <w:r>
        <w:t xml:space="preserve">”</w:t>
      </w:r>
      <w:r>
        <w:t xml:space="preserve">.</w:t>
      </w:r>
    </w:p>
    <w:p>
      <w:pPr>
        <w:numPr>
          <w:ilvl w:val="0"/>
          <w:numId w:val="1067"/>
        </w:numPr>
        <w:pStyle w:val="Compact"/>
      </w:pPr>
      <w:r>
        <w:rPr>
          <w:bCs/>
          <w:b/>
        </w:rPr>
        <w:t xml:space="preserve">Aprovação UE:</w:t>
      </w:r>
      <w:r>
        <w:t xml:space="preserve"> </w:t>
      </w:r>
      <w:r>
        <w:t xml:space="preserve">não (situação em outubro de 2026; programa de fase 3 TRIUMPH parcialmente concluído).</w:t>
      </w:r>
    </w:p>
    <w:p>
      <w:pPr>
        <w:numPr>
          <w:ilvl w:val="0"/>
          <w:numId w:val="1067"/>
        </w:numPr>
        <w:pStyle w:val="Compact"/>
      </w:pPr>
      <w:r>
        <w:rPr>
          <w:bCs/>
          <w:b/>
        </w:rPr>
        <w:t xml:space="preserve">Aprovação EUA:</w:t>
      </w:r>
      <w:r>
        <w:t xml:space="preserve"> </w:t>
      </w:r>
      <w:r>
        <w:t xml:space="preserve">não (situação em outubro de 2026, verificar atualização).</w:t>
      </w:r>
    </w:p>
    <w:p>
      <w:pPr>
        <w:numPr>
          <w:ilvl w:val="0"/>
          <w:numId w:val="1067"/>
        </w:numPr>
        <w:pStyle w:val="Compact"/>
      </w:pPr>
      <w:r>
        <w:rPr>
          <w:bCs/>
          <w:b/>
        </w:rPr>
        <w:t xml:space="preserve">WADA:</w:t>
      </w:r>
      <w:r>
        <w:t xml:space="preserve"> </w:t>
      </w:r>
      <w:r>
        <w:t xml:space="preserve">não listada nominalmente; mas, por ser uma substância não aprovada em nenhum lugar, a retatrutida se enquadra na classe S0</w:t>
      </w:r>
      <w:r>
        <w:t xml:space="preserve"> </w:t>
      </w:r>
      <w:r>
        <w:t xml:space="preserve">“</w:t>
      </w:r>
      <w:r>
        <w:t xml:space="preserve">Substâncias não aprovadas</w:t>
      </w:r>
      <w:r>
        <w:t xml:space="preserve">”</w:t>
      </w:r>
      <w:r>
        <w:t xml:space="preserve"> </w:t>
      </w:r>
      <w:r>
        <w:t xml:space="preserve">e, portanto, é proibida no esporte em qualquer momento.</w:t>
      </w:r>
    </w:p>
    <w:p>
      <w:pPr>
        <w:numPr>
          <w:ilvl w:val="0"/>
          <w:numId w:val="1067"/>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e sem dados de desfechos cardíacos e renais. Com uma aprovação, seria atingido o nível A.</w:t>
      </w:r>
    </w:p>
    <w:bookmarkEnd w:id="538"/>
    <w:bookmarkStart w:id="542" w:name="como-deveria-agir-5"/>
    <w:p>
      <w:pPr>
        <w:pStyle w:val="Heading3"/>
      </w:pPr>
      <w:r>
        <w:t xml:space="preserve">Como deveria agir</w:t>
      </w:r>
    </w:p>
    <w:p>
      <w:pPr>
        <w:pStyle w:val="FirstParagraph"/>
      </w:pPr>
      <w:r>
        <w:t xml:space="preserve">A retatrutida parte do princípio da tirzepatida (veja esse capítulo) e acrescenta um terceiro alvo: o receptor de glucagon. À primeira vista isso parece contraditório, pois o glucagon é o</w:t>
      </w:r>
      <w:r>
        <w:t xml:space="preserve"> </w:t>
      </w:r>
      <w:r>
        <w:t xml:space="preserve">“</w:t>
      </w:r>
      <w:r>
        <w:t xml:space="preserve">contra-hormônio</w:t>
      </w:r>
      <w:r>
        <w:t xml:space="preserve">”</w:t>
      </w:r>
      <w:r>
        <w:t xml:space="preserve"> </w:t>
      </w:r>
      <w:r>
        <w:t xml:space="preserve">da insulina – ele faz o fígado liberar açúcar e eleva a glicemia. Mas o glucagon tem outros efeitos: aumenta o gasto energético, favorece a degradação de gordura no fígado e contribui para a saciedade. A ideia por trás da retatrutida é aproveitar esses efeitos favoráveis, enquanto a parte GLP-1 e GIP compensa o efeito de elevação da glicemia.</w:t>
      </w:r>
    </w:p>
    <w:p>
      <w:pPr>
        <w:pStyle w:val="BodyText"/>
      </w:pPr>
      <w:r>
        <w:t xml:space="preserve">Em experimentos com células, a retatrutida age com intensidade semelhante nos receptores de glucagon e de GLP-1, e com mais força no receptor de GIP. Em camundongos com excesso de peso, a parte glucagon intensificou a perda de peso por meio de um gasto energético maior, enquanto GIP e GLP-1 reduziram a ingestão calórica</w:t>
      </w:r>
      <w:r>
        <w:rPr>
          <w:rStyle w:val="FootnoteReference"/>
        </w:rPr>
        <w:footnoteReference w:id="539"/>
      </w:r>
      <w:r>
        <w:t xml:space="preserve">. Se o gasto energético também aumenta de forma relevante em humanos ainda não foi suficientemente estudado; um estudo de fase 1 correspondente está registrado</w:t>
      </w:r>
      <w:r>
        <w:rPr>
          <w:rStyle w:val="FootnoteReference"/>
        </w:rPr>
        <w:footnoteReference w:id="540"/>
      </w:r>
      <w:r>
        <w:t xml:space="preserve">.</w:t>
      </w:r>
    </w:p>
    <w:p>
      <w:pPr>
        <w:pStyle w:val="BodyText"/>
      </w:pPr>
      <w:r>
        <w:t xml:space="preserve">Em humanos, participantes de um estudo de fase 2 relataram, com doses mais altas, menos fome e menos tendência à</w:t>
      </w:r>
      <w:r>
        <w:t xml:space="preserve"> </w:t>
      </w:r>
      <w:r>
        <w:t xml:space="preserve">“</w:t>
      </w:r>
      <w:r>
        <w:t xml:space="preserve">perda de controle</w:t>
      </w:r>
      <w:r>
        <w:t xml:space="preserve">”</w:t>
      </w:r>
      <w:r>
        <w:t xml:space="preserve"> </w:t>
      </w:r>
      <w:r>
        <w:t xml:space="preserve">ao comer; essas mudanças estavam relacionadas à perda de peso</w:t>
      </w:r>
      <w:r>
        <w:rPr>
          <w:rStyle w:val="FootnoteReference"/>
        </w:rPr>
        <w:footnoteReference w:id="541"/>
      </w:r>
      <w:r>
        <w:t xml:space="preserve">.</w:t>
      </w:r>
    </w:p>
    <w:bookmarkEnd w:id="542"/>
    <w:bookmarkStart w:id="557" w:name="estudos-em-humanos-5"/>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complementados pela busca direcionada das publicações de fase 1 e fase 3. No ClinicalTrials.gov havia 32 estudos registrados (um registro de exemplo obviamente fictício não foi contado), entre eles o programa de aprovação TRIUMPH (obesidade) e TRANSCEND (diabetes tipo 2). Para uma substância sem aprovação, essa é uma base de dados excepcionalmente sólida – embora venha quase inteiramente de estudos financiados pelo fabricante.</w:t>
      </w:r>
    </w:p>
    <w:bookmarkStart w:id="545" w:name="estudos-iniciais"/>
    <w:p>
      <w:pPr>
        <w:pStyle w:val="Heading4"/>
      </w:pPr>
      <w:r>
        <w:t xml:space="preserve">Estudos iniciais</w:t>
      </w:r>
    </w:p>
    <w:p>
      <w:pPr>
        <w:pStyle w:val="FirstParagraph"/>
      </w:pPr>
      <w:r>
        <w:t xml:space="preserve">Depois de um estudo de dose única em pessoas saudáveis, no qual o peso corporal permaneceu reduzido por até 43 dias após uma única injeção</w:t>
      </w:r>
      <w:r>
        <w:rPr>
          <w:rStyle w:val="FootnoteReference"/>
        </w:rPr>
        <w:footnoteReference w:id="543"/>
      </w:r>
      <w:r>
        <w:t xml:space="preserve">, seguiu-se um estudo de fase 1b de doze semanas com 72 pessoas com diabetes tipo 2. A meia-vida foi de cerca de seis dias, o que permite a administração semanal. No grupo de dose mais alta, a perda de peso em relação ao placebo chegou a quase 9 kg</w:t>
      </w:r>
      <w:r>
        <w:rPr>
          <w:rStyle w:val="FootnoteReference"/>
        </w:rPr>
        <w:footnoteReference w:id="544"/>
      </w:r>
      <w:r>
        <w:t xml:space="preserve">.</w:t>
      </w:r>
    </w:p>
    <w:bookmarkEnd w:id="545"/>
    <w:bookmarkStart w:id="551" w:name="fase-2-obesidade-e-diabetes-tipo-2"/>
    <w:p>
      <w:pPr>
        <w:pStyle w:val="Heading4"/>
      </w:pPr>
      <w:r>
        <w:t xml:space="preserve">Fase 2: obesidade e diabetes tipo 2</w:t>
      </w:r>
    </w:p>
    <w:p>
      <w:pPr>
        <w:pStyle w:val="FirstParagraph"/>
      </w:pPr>
      <w:r>
        <w:t xml:space="preserve">O estudo de fase 2 em obesidade ganhou as manchetes em 2023</w:t>
      </w:r>
      <w:r>
        <w:rPr>
          <w:rStyle w:val="FootnoteReference"/>
        </w:rPr>
        <w:footnoteReference w:id="546"/>
      </w:r>
      <w:r>
        <w:t xml:space="preserve">. 338 adultos receberam diferentes doses ou placebo durante 48 semanas. No grupo de dose mais alta, o peso corporal diminuiu em média 24,2% (placebo: −2,1%); 83% desse grupo perderam pelo menos 15%. Esses foram os maiores valores medidos até então em um estudo de medicamento para obesidade. Os efeitos colaterais gastrointestinais aumentaram com a dose e foram menores com um escalonamento mais lento. A frequência cardíaca subiu de forma dependente da dose, atingiu seu pico após 24 semanas e depois diminuiu.</w:t>
      </w:r>
    </w:p>
    <w:p>
      <w:pPr>
        <w:pStyle w:val="BodyText"/>
      </w:pPr>
      <w:r>
        <w:t xml:space="preserve">O estudo paralelo de fase 2 em 281 pessoas com diabetes tipo 2 mostrou, após 24 semanas, reduções de HbA1c de até 2,02 pontos percentuais (dulaglutida: −1,41) e, após 36 semanas, perda de peso de até 16,94%</w:t>
      </w:r>
      <w:r>
        <w:rPr>
          <w:rStyle w:val="FootnoteReference"/>
        </w:rPr>
        <w:footnoteReference w:id="547"/>
      </w:r>
      <w:r>
        <w:t xml:space="preserve">. Em um subestudo com medição da composição corporal (DXA), a massa gorda caiu 23–26% com as doses mais altas</w:t>
      </w:r>
      <w:r>
        <w:rPr>
          <w:rStyle w:val="FootnoteReference"/>
        </w:rPr>
        <w:footnoteReference w:id="548"/>
      </w:r>
      <w:r>
        <w:t xml:space="preserve">.</w:t>
      </w:r>
    </w:p>
    <w:p>
      <w:pPr>
        <w:pStyle w:val="BodyText"/>
      </w:pPr>
      <w:r>
        <w:t xml:space="preserve">Um subestudo com 98 participantes com fígado gorduroso (pelo menos 10% de gordura hepática) encontrou, após 24 semanas, uma redução relativa da gordura hepática de até 82,4%; com a dose mais alta, 86% tinham depois valores normais de gordura no fígado, no placebo ninguém</w:t>
      </w:r>
      <w:r>
        <w:rPr>
          <w:rStyle w:val="FootnoteReference"/>
        </w:rPr>
        <w:footnoteReference w:id="549"/>
      </w:r>
      <w:r>
        <w:t xml:space="preserve">. O teor de gordura hepática é um parâmetro substituto (desfecho substituto) – ainda não foi demonstrado se isso reduz inflamação hepática, fibrose e cirrose.</w:t>
      </w:r>
    </w:p>
    <w:p>
      <w:pPr>
        <w:pStyle w:val="BodyText"/>
      </w:pPr>
      <w:r>
        <w:t xml:space="preserve">Análises posteriores dos estudos de fase 2 mostraram melhoras nos lipídios sanguíneos e em marcadores inflamatórios, por exemplo um colesterol não HDL até 26,9% menor e um valor de PCR 54,8% menor no estudo de obesidade</w:t>
      </w:r>
      <w:r>
        <w:rPr>
          <w:rStyle w:val="FootnoteReference"/>
        </w:rPr>
        <w:footnoteReference w:id="550"/>
      </w:r>
      <w:r>
        <w:t xml:space="preserve">. Também esses são valores laboratoriais, não desfechos clínicos duros.</w:t>
      </w:r>
    </w:p>
    <w:bookmarkEnd w:id="551"/>
    <w:bookmarkStart w:id="556" w:name="fase-3-o-programa-triumph-e-transcend"/>
    <w:p>
      <w:pPr>
        <w:pStyle w:val="Heading4"/>
      </w:pPr>
      <w:r>
        <w:t xml:space="preserve">Fase 3: o programa TRIUMPH e TRANSCEND</w:t>
      </w:r>
    </w:p>
    <w:p>
      <w:pPr>
        <w:pStyle w:val="FirstParagraph"/>
      </w:pPr>
      <w:r>
        <w:t xml:space="preserve">O programa de aprovação para obesidade, TRIUMPH, compreende quatro estudos com, ao todo, mais de 5.800 participantes. Uma particularidade é o desenho</w:t>
      </w:r>
      <w:r>
        <w:t xml:space="preserve"> </w:t>
      </w:r>
      <w:r>
        <w:t xml:space="preserve">“</w:t>
      </w:r>
      <w:r>
        <w:t xml:space="preserve">basket</w:t>
      </w:r>
      <w:r>
        <w:t xml:space="preserve">”</w:t>
      </w:r>
      <w:r>
        <w:t xml:space="preserve">: dentro dos grandes estudos de peso, subgrupos com artrose de joelho ou apneia do sono foram avaliados com desfechos primários próprios</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(Jastreboff 2023), PMID 37366315</w:t>
            </w:r>
          </w:p>
        </w:tc>
        <w:tc>
          <w:tcPr/>
          <w:p>
            <w:pPr>
              <w:pStyle w:val="Compact"/>
              <w:jc w:val="left"/>
            </w:pPr>
            <w:r>
              <w:t xml:space="preserve">338 adultos sem diabetes, contra placebo</w:t>
            </w:r>
          </w:p>
        </w:tc>
        <w:tc>
          <w:tcPr/>
          <w:p>
            <w:pPr>
              <w:pStyle w:val="Compact"/>
              <w:jc w:val="left"/>
            </w:pPr>
            <w:r>
              <w:t xml:space="preserve">48 semanas</w:t>
            </w:r>
          </w:p>
        </w:tc>
        <w:tc>
          <w:tcPr/>
          <w:p>
            <w:pPr>
              <w:pStyle w:val="Compact"/>
              <w:jc w:val="left"/>
            </w:pPr>
            <w:r>
              <w:t xml:space="preserve">até −24,2% de peso vs. −2,1%</w:t>
            </w:r>
          </w:p>
        </w:tc>
      </w:tr>
      <w:tr>
        <w:tc>
          <w:tcPr/>
          <w:p>
            <w:pPr>
              <w:pStyle w:val="Compact"/>
              <w:jc w:val="left"/>
            </w:pPr>
            <w:r>
              <w:t xml:space="preserve">Fase 2 diabetes tipo 2 (Rosenstock 2023), PMID 37385280</w:t>
            </w:r>
          </w:p>
        </w:tc>
        <w:tc>
          <w:tcPr/>
          <w:p>
            <w:pPr>
              <w:pStyle w:val="Compact"/>
              <w:jc w:val="left"/>
            </w:pPr>
            <w:r>
              <w:t xml:space="preserve">281 adultos, contra placebo e dulaglutida</w:t>
            </w:r>
          </w:p>
        </w:tc>
        <w:tc>
          <w:tcPr/>
          <w:p>
            <w:pPr>
              <w:pStyle w:val="Compact"/>
              <w:jc w:val="left"/>
            </w:pPr>
            <w:r>
              <w:t xml:space="preserve">36 semanas</w:t>
            </w:r>
          </w:p>
        </w:tc>
        <w:tc>
          <w:tcPr/>
          <w:p>
            <w:pPr>
              <w:pStyle w:val="Compact"/>
              <w:jc w:val="left"/>
            </w:pPr>
            <w:r>
              <w:t xml:space="preserve">HbA1c até −2,02 pontos; peso até −16,94%</w:t>
            </w:r>
          </w:p>
        </w:tc>
      </w:tr>
      <w:tr>
        <w:tc>
          <w:tcPr/>
          <w:p>
            <w:pPr>
              <w:pStyle w:val="Compact"/>
              <w:jc w:val="left"/>
            </w:pPr>
            <w:r>
              <w:t xml:space="preserve">TRIUMPH-1 (Jastreboff 2026), PMID 42814954</w:t>
            </w:r>
          </w:p>
        </w:tc>
        <w:tc>
          <w:tcPr/>
          <w:p>
            <w:pPr>
              <w:pStyle w:val="Compact"/>
              <w:jc w:val="left"/>
            </w:pPr>
            <w:r>
              <w:t xml:space="preserve">2.339 adultos com obesidade sem diabetes, contra placebo</w:t>
            </w:r>
          </w:p>
        </w:tc>
        <w:tc>
          <w:tcPr/>
          <w:p>
            <w:pPr>
              <w:pStyle w:val="Compact"/>
              <w:jc w:val="left"/>
            </w:pPr>
            <w:r>
              <w:t xml:space="preserve">80 semanas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adultos com obesidade e diabetes tipo 2, contra placebo</w:t>
            </w:r>
          </w:p>
        </w:tc>
        <w:tc>
          <w:tcPr/>
          <w:p>
            <w:pPr>
              <w:pStyle w:val="Compact"/>
              <w:jc w:val="left"/>
            </w:pPr>
            <w:r>
              <w:t xml:space="preserve">80 semanas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adultos com diabetes tipo 2 sem medicação, contra placebo</w:t>
            </w:r>
          </w:p>
        </w:tc>
        <w:tc>
          <w:tcPr/>
          <w:p>
            <w:pPr>
              <w:pStyle w:val="Compact"/>
              <w:jc w:val="left"/>
            </w:pPr>
            <w:r>
              <w:t xml:space="preserve">40 semanas</w:t>
            </w:r>
          </w:p>
        </w:tc>
        <w:tc>
          <w:tcPr/>
          <w:p>
            <w:pPr>
              <w:pStyle w:val="Compact"/>
              <w:jc w:val="left"/>
            </w:pPr>
            <w:r>
              <w:t xml:space="preserve">HbA1c −1,69 a −1,94 vs. −0,81; peso até −15,3%</w:t>
            </w:r>
          </w:p>
        </w:tc>
      </w:tr>
    </w:tbl>
    <w:p>
      <w:pPr>
        <w:pStyle w:val="BodyText"/>
      </w:pPr>
      <w:r>
        <w:rPr>
          <w:bCs/>
          <w:b/>
        </w:rPr>
        <w:t xml:space="preserve">TRIUMPH-1</w:t>
      </w:r>
      <w:r>
        <w:rPr>
          <w:rStyle w:val="FootnoteReference"/>
        </w:rPr>
        <w:footnoteReference w:id="553"/>
      </w:r>
      <w:r>
        <w:t xml:space="preserve"> </w:t>
      </w:r>
      <w:r>
        <w:t xml:space="preserve">é o estudo principal. Em 2.339 adultos com obesidade sem diabetes, o peso corporal diminuiu, após 80 semanas, em média 25,0% com a dose mais alta. Para comparação: no SURMOUNT-1, a tirzepatida atingiu 20,9% com a dose mais alta após 72 semanas. Uma comparação cruzada desse tipo entre estudos com duração e populações diferentes é, no entanto, apenas uma orientação grosseira; a comparação direta deverá vir de um estudo em andamento (veja Perspectivas).</w:t>
      </w:r>
    </w:p>
    <w:p>
      <w:pPr>
        <w:pStyle w:val="BodyText"/>
      </w:pPr>
      <w:r>
        <w:t xml:space="preserve">Nos subestudos incorporados:</w:t>
      </w:r>
    </w:p>
    <w:p>
      <w:pPr>
        <w:numPr>
          <w:ilvl w:val="0"/>
          <w:numId w:val="1068"/>
        </w:numPr>
        <w:pStyle w:val="Compact"/>
      </w:pPr>
      <w:r>
        <w:rPr>
          <w:bCs/>
          <w:b/>
        </w:rPr>
        <w:t xml:space="preserve">Artrose de joelho</w:t>
      </w:r>
      <w:r>
        <w:t xml:space="preserve"> </w:t>
      </w:r>
      <w:r>
        <w:t xml:space="preserve">(574 participantes): a pontuação de dor (WOMAC, escala de 1 a 10) caiu 3,5 e 3,6 pontos com 9 e 12 mg, respectivamente, contra 1,9 ponto com placebo.</w:t>
      </w:r>
    </w:p>
    <w:p>
      <w:pPr>
        <w:numPr>
          <w:ilvl w:val="0"/>
          <w:numId w:val="1068"/>
        </w:numPr>
        <w:pStyle w:val="Compact"/>
      </w:pPr>
      <w:r>
        <w:rPr>
          <w:bCs/>
          <w:b/>
        </w:rPr>
        <w:t xml:space="preserve">Apneia do sono</w:t>
      </w:r>
      <w:r>
        <w:t xml:space="preserve"> </w:t>
      </w:r>
      <w:r>
        <w:t xml:space="preserve">(243 participantes): o índice de apneia-hipopneia diminuiu cerca de 32 a 34 eventos por hora; com placebo, quase 10.</w:t>
      </w:r>
    </w:p>
    <w:p>
      <w:pPr>
        <w:pStyle w:val="FirstParagraph"/>
      </w:pPr>
      <w:r>
        <w:rPr>
          <w:bCs/>
          <w:b/>
        </w:rPr>
        <w:t xml:space="preserve">TRIUMPH-2</w:t>
      </w:r>
      <w:r>
        <w:rPr>
          <w:rStyle w:val="FootnoteReference"/>
        </w:rPr>
        <w:footnoteReference w:id="554"/>
      </w:r>
      <w:r>
        <w:t xml:space="preserve"> </w:t>
      </w:r>
      <w:r>
        <w:t xml:space="preserve">confirmou o padrão conhecido de que pessoas com diabetes tipo 2 perdem menos peso: −18,8% com a dose mais alta contra −5,1% com placebo. Esse estudo também forneceu os dados de segurança mais precisos até agora (veja abaixo).</w:t>
      </w:r>
    </w:p>
    <w:p>
      <w:pPr>
        <w:pStyle w:val="BodyText"/>
      </w:pPr>
      <w:r>
        <w:rPr>
          <w:bCs/>
          <w:b/>
        </w:rPr>
        <w:t xml:space="preserve">TRANSCEND-T2D-1</w:t>
      </w:r>
      <w:r>
        <w:rPr>
          <w:rStyle w:val="FootnoteReference"/>
        </w:rPr>
        <w:footnoteReference w:id="555"/>
      </w:r>
      <w:r>
        <w:t xml:space="preserve"> </w:t>
      </w:r>
      <w:r>
        <w:t xml:space="preserve">testou a retatrutida como tratamento único do diabetes em pessoas com diabetes de curta duração. A HbA1c caiu até 1,94 ponto percentual e o peso até 15,3%; não ocorreram hipoglicemias graves.</w:t>
      </w:r>
    </w:p>
    <w:p>
      <w:pPr>
        <w:pStyle w:val="BodyText"/>
      </w:pPr>
      <w:r>
        <w:t xml:space="preserve">Os estudos TRIUMPH-3 (obesidade com doença cardiovascular, NCT05882045) e TRIUMPH-4 (artrose de joelho, NCT05931367) estão concluídos segundo o registro; uma publicação revisada por pares ainda não estava disponível no fechamento editorial destes capítulos.</w:t>
      </w:r>
    </w:p>
    <w:bookmarkEnd w:id="556"/>
    <w:bookmarkEnd w:id="557"/>
    <w:bookmarkStart w:id="561" w:name="estudos-em-animais-e-em-laboratório-5"/>
    <w:p>
      <w:pPr>
        <w:pStyle w:val="Heading3"/>
      </w:pPr>
      <w:r>
        <w:t xml:space="preserve">Estudos em animais e em laboratório</w:t>
      </w:r>
    </w:p>
    <w:p>
      <w:pPr>
        <w:pStyle w:val="FirstParagraph"/>
      </w:pPr>
      <w:r>
        <w:t xml:space="preserve">As bases pré-clínicas vêm predominantemente do fabricante. Em culturas de células, a retatrutida ativa os três receptores; em camundongos com excesso de peso, reduziu peso e glicemia, sendo que a parte glucagon aumentou o gasto energético</w:t>
      </w:r>
      <w:r>
        <w:rPr>
          <w:rStyle w:val="FootnoteReference"/>
        </w:rPr>
        <w:footnoteReference w:id="558"/>
      </w:r>
      <w:r>
        <w:t xml:space="preserve">. Um trabalho em camundongos com excesso de peso descreve que tumores de pâncreas e de pulmão transplantados se implantaram com menos frequência e cresceram mais devagar sob retatrutida</w:t>
      </w:r>
      <w:r>
        <w:rPr>
          <w:rStyle w:val="FootnoteReference"/>
        </w:rPr>
        <w:footnoteReference w:id="559"/>
      </w:r>
      <w:r>
        <w:t xml:space="preserve"> </w:t>
      </w:r>
      <w:r>
        <w:t xml:space="preserve">– um achado em animais do qual nada se pode deduzir para humanos.</w:t>
      </w:r>
    </w:p>
    <w:p>
      <w:pPr>
        <w:pStyle w:val="BodyText"/>
      </w:pPr>
      <w:r>
        <w:t xml:space="preserve">Para a análise antidoping, foi desenvolvido em 2026 um método de detecção. Para isso, foram examinadas amostras de sangue e urina de quatro pessoas que haviam injetado retatrutida por conta própria, fora de estudos. Na urina não foi encontrada retatrutida intacta; no sangue, ela era detectável até cerca de 56 dias após a primeira injeção</w:t>
      </w:r>
      <w:r>
        <w:rPr>
          <w:rStyle w:val="FootnoteReference"/>
        </w:rPr>
        <w:footnoteReference w:id="560"/>
      </w:r>
      <w:r>
        <w:t xml:space="preserve">. As autoras e autores mencionam relatos de uso entre atletas amadores.</w:t>
      </w:r>
    </w:p>
    <w:bookmarkEnd w:id="561"/>
    <w:bookmarkStart w:id="565" w:name="riscos-e-efeitos-colaterais-5"/>
    <w:p>
      <w:pPr>
        <w:pStyle w:val="Heading3"/>
      </w:pPr>
      <w:r>
        <w:t xml:space="preserve">Riscos e efeitos colaterais</w:t>
      </w:r>
    </w:p>
    <w:p>
      <w:pPr>
        <w:pStyle w:val="FirstParagraph"/>
      </w:pPr>
      <w:r>
        <w:rPr>
          <w:bCs/>
          <w:b/>
        </w:rPr>
        <w:t xml:space="preserve">Comprovados em estudos:</w:t>
      </w:r>
    </w:p>
    <w:p>
      <w:pPr>
        <w:numPr>
          <w:ilvl w:val="0"/>
          <w:numId w:val="1069"/>
        </w:numPr>
        <w:pStyle w:val="Compact"/>
      </w:pPr>
      <w:r>
        <w:rPr>
          <w:bCs/>
          <w:b/>
        </w:rPr>
        <w:t xml:space="preserve">Queixas gastrointestinais</w:t>
      </w:r>
      <w:r>
        <w:t xml:space="preserve"> </w:t>
      </w:r>
      <w:r>
        <w:t xml:space="preserve">são os efeitos colaterais mais frequentes e claramente dependentes da dose. No TRIUMPH-2, diarreia ocorreu em 27–34% (placebo 13%) e náusea em 14–28% (placebo 8%)</w:t>
      </w:r>
      <w:r>
        <w:rPr>
          <w:rStyle w:val="FootnoteReference"/>
        </w:rPr>
        <w:footnoteReference w:id="562"/>
      </w:r>
      <w:r>
        <w:t xml:space="preserve">.</w:t>
      </w:r>
    </w:p>
    <w:p>
      <w:pPr>
        <w:numPr>
          <w:ilvl w:val="0"/>
          <w:numId w:val="1069"/>
        </w:numPr>
        <w:pStyle w:val="Compact"/>
      </w:pPr>
      <w:r>
        <w:rPr>
          <w:bCs/>
          <w:b/>
        </w:rPr>
        <w:t xml:space="preserve">Interrupções do tratamento:</w:t>
      </w:r>
      <w:r>
        <w:t xml:space="preserve"> </w:t>
      </w:r>
      <w:r>
        <w:t xml:space="preserve">no TRIUMPH-2, 12% (9 mg) e 8% (12 mg) interromperam o tratamento por efeitos colaterais ou morte; com 4 mg, 4%, e com placebo, 5%.</w:t>
      </w:r>
    </w:p>
    <w:p>
      <w:pPr>
        <w:numPr>
          <w:ilvl w:val="0"/>
          <w:numId w:val="1069"/>
        </w:numPr>
        <w:pStyle w:val="Compact"/>
      </w:pPr>
      <w:r>
        <w:rPr>
          <w:bCs/>
          <w:b/>
        </w:rPr>
        <w:t xml:space="preserve">Disestesia</w:t>
      </w:r>
      <w:r>
        <w:t xml:space="preserve"> </w:t>
      </w:r>
      <w:r>
        <w:t xml:space="preserve">– sensações desagradáveis na pele, como formigamento, ardência ou sensibilidade ao toque – ocorreu no TRIUMPH-2 de forma dependente da dose em 4–7%, contra 1% com placebo. Esse sinal é relativamente novo para a retatrutida; sua causa não foi esclarecida.</w:t>
      </w:r>
    </w:p>
    <w:p>
      <w:pPr>
        <w:numPr>
          <w:ilvl w:val="0"/>
          <w:numId w:val="1069"/>
        </w:numPr>
        <w:pStyle w:val="Compact"/>
      </w:pPr>
      <w:r>
        <w:rPr>
          <w:bCs/>
          <w:b/>
        </w:rPr>
        <w:t xml:space="preserve">Pressão arterial baixa</w:t>
      </w:r>
      <w:r>
        <w:t xml:space="preserve"> </w:t>
      </w:r>
      <w:r>
        <w:t xml:space="preserve">(hipotensão): 1–6% contra menos de 1% com placebo (TRIUMPH-2).</w:t>
      </w:r>
    </w:p>
    <w:p>
      <w:pPr>
        <w:numPr>
          <w:ilvl w:val="0"/>
          <w:numId w:val="1069"/>
        </w:numPr>
        <w:pStyle w:val="Compact"/>
      </w:pPr>
      <w:r>
        <w:rPr>
          <w:bCs/>
          <w:b/>
        </w:rPr>
        <w:t xml:space="preserve">Frequência cardíaca:</w:t>
      </w:r>
      <w:r>
        <w:t xml:space="preserve"> </w:t>
      </w:r>
      <w:r>
        <w:t xml:space="preserve">no estudo de fase 2, o pulso subiu de forma dependente da dose e voltou a cair após 24 semanas</w:t>
      </w:r>
      <w:r>
        <w:rPr>
          <w:rStyle w:val="FootnoteReference"/>
        </w:rPr>
        <w:footnoteReference w:id="563"/>
      </w:r>
      <w:r>
        <w:t xml:space="preserve">. Uma frequência cardíaca de repouso mais alta é conhecida em todos os medicamentos GLP-1; se ela é clinicamente relevante no agonista triplo, os estudos de desfechos deverão esclarecer.</w:t>
      </w:r>
    </w:p>
    <w:p>
      <w:pPr>
        <w:numPr>
          <w:ilvl w:val="0"/>
          <w:numId w:val="1069"/>
        </w:numPr>
        <w:pStyle w:val="Compact"/>
      </w:pPr>
      <w:r>
        <w:rPr>
          <w:bCs/>
          <w:b/>
        </w:rPr>
        <w:t xml:space="preserve">Perda de massa magra:</w:t>
      </w:r>
      <w:r>
        <w:t xml:space="preserve"> </w:t>
      </w:r>
      <w:r>
        <w:t xml:space="preserve">como em toda perda de peso intensa (veja tirzepatida).</w:t>
      </w:r>
    </w:p>
    <w:p>
      <w:pPr>
        <w:pStyle w:val="FirstParagraph"/>
      </w:pPr>
      <w:r>
        <w:rPr>
          <w:bCs/>
          <w:b/>
        </w:rPr>
        <w:t xml:space="preserve">Teóricos ou ainda insuficientemente estudados:</w:t>
      </w:r>
      <w:r>
        <w:t xml:space="preserve"> </w:t>
      </w:r>
      <w:r>
        <w:t xml:space="preserve">a parte glucagon poderia, a longo prazo, ter efeitos sobre o metabolismo de aminoácidos, o ritmo cardíaco e os ossos; não há dados de longo prazo confiáveis sobre isso. Para os riscos de classe dos medicamentos GLP-1 (vesícula biliar, pâncreas, células C da tireoide em experimentos com animais), ainda há poucos anos-paciente com retatrutida para fazer afirmações próprias.</w:t>
      </w:r>
    </w:p>
    <w:p>
      <w:pPr>
        <w:pStyle w:val="BodyText"/>
      </w:pPr>
      <w:r>
        <w:rPr>
          <w:bCs/>
          <w:b/>
        </w:rPr>
        <w:t xml:space="preserve">Mercado cinza:</w:t>
      </w:r>
      <w:r>
        <w:t xml:space="preserve"> </w:t>
      </w:r>
      <w:r>
        <w:t xml:space="preserve">desde a publicação da fase 2, a retatrutida é oferecida na internet como</w:t>
      </w:r>
      <w:r>
        <w:t xml:space="preserve"> </w:t>
      </w:r>
      <w:r>
        <w:t xml:space="preserve">“</w:t>
      </w:r>
      <w:r>
        <w:t xml:space="preserve">research peptide</w:t>
      </w:r>
      <w:r>
        <w:t xml:space="preserve">”</w:t>
      </w:r>
      <w:r>
        <w:t xml:space="preserve">; a revista científica JAMA relatou em 2026 um mercado clandestino crescente de retatrutida e zenagamtida</w:t>
      </w:r>
      <w:r>
        <w:rPr>
          <w:rStyle w:val="FootnoteReference"/>
        </w:rPr>
        <w:footnoteReference w:id="564"/>
      </w:r>
      <w:r>
        <w:t xml:space="preserve">. Esses produtos não são medicamentos, seu conteúdo não é verificado, e os esquemas de escalonamento de dose usados nos estudos não podem ser reproduzidos de forma confiável com eles. O acúmulo de efeitos colaterais com o aumento rápido da dose nos estudos mostra que justamente esse ponto é decisivo para a tolerabilidade. Veja a esse respeito a Parte I e a Parte IV.</w:t>
      </w:r>
    </w:p>
    <w:bookmarkEnd w:id="565"/>
    <w:bookmarkStart w:id="567" w:name="situação-legal-5"/>
    <w:p>
      <w:pPr>
        <w:pStyle w:val="Heading3"/>
      </w:pPr>
      <w:r>
        <w:t xml:space="preserve">Situação legal</w:t>
      </w:r>
    </w:p>
    <w:p>
      <w:pPr>
        <w:numPr>
          <w:ilvl w:val="0"/>
          <w:numId w:val="1070"/>
        </w:numPr>
        <w:pStyle w:val="Compact"/>
      </w:pPr>
      <w:r>
        <w:rPr>
          <w:bCs/>
          <w:b/>
        </w:rPr>
        <w:t xml:space="preserve">UE / Áustria / Alemanha:</w:t>
      </w:r>
      <w:r>
        <w:t xml:space="preserve"> </w:t>
      </w:r>
      <w:r>
        <w:t xml:space="preserve">não aprovada. A retatrutida só pode ser usada no âmbito de estudos clínicos. A venda como</w:t>
      </w:r>
      <w:r>
        <w:t xml:space="preserve"> </w:t>
      </w:r>
      <w:r>
        <w:t xml:space="preserve">“</w:t>
      </w:r>
      <w:r>
        <w:t xml:space="preserve">substância química de pesquisa</w:t>
      </w:r>
      <w:r>
        <w:t xml:space="preserve">”</w:t>
      </w:r>
      <w:r>
        <w:t xml:space="preserve"> </w:t>
      </w:r>
      <w:r>
        <w:t xml:space="preserve">para uso em humanos é inadmissível segundo a legislação de medicamentos.</w:t>
      </w:r>
    </w:p>
    <w:p>
      <w:pPr>
        <w:numPr>
          <w:ilvl w:val="0"/>
          <w:numId w:val="1070"/>
        </w:numPr>
        <w:pStyle w:val="Compact"/>
      </w:pPr>
      <w:r>
        <w:rPr>
          <w:bCs/>
          <w:b/>
        </w:rPr>
        <w:t xml:space="preserve">EUA:</w:t>
      </w:r>
      <w:r>
        <w:t xml:space="preserve"> </w:t>
      </w:r>
      <w:r>
        <w:t xml:space="preserve">não aprovada (situação em outubro de 2026). No registro consta um programa de acesso ampliado antes da aprovação (</w:t>
      </w:r>
      <w:r>
        <w:t xml:space="preserve">“</w:t>
      </w:r>
      <w:r>
        <w:t xml:space="preserve">Expanded Access</w:t>
      </w:r>
      <w:r>
        <w:t xml:space="preserve">”</w:t>
      </w:r>
      <w:r>
        <w:t xml:space="preserve">)</w:t>
      </w:r>
      <w:r>
        <w:rPr>
          <w:rStyle w:val="FootnoteReference"/>
        </w:rPr>
        <w:footnoteReference w:id="566"/>
      </w:r>
      <w:r>
        <w:t xml:space="preserve">. Se e quando um pedido de aprovação será ou foi apresentado, verificar atualização.</w:t>
      </w:r>
    </w:p>
    <w:p>
      <w:pPr>
        <w:numPr>
          <w:ilvl w:val="0"/>
          <w:numId w:val="1070"/>
        </w:numPr>
        <w:pStyle w:val="Compact"/>
      </w:pPr>
      <w:r>
        <w:rPr>
          <w:bCs/>
          <w:b/>
        </w:rPr>
        <w:t xml:space="preserve">Esporte:</w:t>
      </w:r>
      <w:r>
        <w:t xml:space="preserve"> </w:t>
      </w:r>
      <w:r>
        <w:t xml:space="preserve">como substância não aprovada, a retatrutida se enquadra na classe S0 da WADA (situação em 2026, verificar atualização). Um método específico de detecção no sangue foi descrito.</w:t>
      </w:r>
    </w:p>
    <w:bookmarkEnd w:id="567"/>
    <w:bookmarkStart w:id="575" w:name="estudos-em-andamento-e-perspectivas-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1"/>
        </w:numPr>
        <w:pStyle w:val="Compact"/>
      </w:pPr>
      <w:r>
        <w:rPr>
          <w:bCs/>
          <w:b/>
        </w:rPr>
        <w:t xml:space="preserve">TRIUMPH-Outcomes</w:t>
      </w:r>
      <w:r>
        <w:rPr>
          <w:rStyle w:val="FootnoteReference"/>
        </w:rPr>
        <w:footnoteReference w:id="568"/>
      </w:r>
      <w:r>
        <w:t xml:space="preserve">: estudo de desfechos sobre eventos cardiovasculares e renais com cerca de 10.000 participantes com obesidade, término previsto em 2029.</w:t>
      </w:r>
    </w:p>
    <w:p>
      <w:pPr>
        <w:numPr>
          <w:ilvl w:val="0"/>
          <w:numId w:val="1071"/>
        </w:numPr>
        <w:pStyle w:val="Compact"/>
      </w:pPr>
      <w:r>
        <w:rPr>
          <w:bCs/>
          <w:b/>
        </w:rPr>
        <w:t xml:space="preserve">Retatrutida contra tirzepatida</w:t>
      </w:r>
      <w:r>
        <w:rPr>
          <w:rStyle w:val="FootnoteReference"/>
        </w:rPr>
        <w:footnoteReference w:id="569"/>
      </w:r>
      <w:r>
        <w:t xml:space="preserve">: comparação direta em 800 adultos com obesidade, término previsto do estudo em dezembro de 2026.</w:t>
      </w:r>
    </w:p>
    <w:p>
      <w:pPr>
        <w:numPr>
          <w:ilvl w:val="0"/>
          <w:numId w:val="1071"/>
        </w:numPr>
        <w:pStyle w:val="Compact"/>
      </w:pPr>
      <w:r>
        <w:rPr>
          <w:bCs/>
          <w:b/>
        </w:rPr>
        <w:t xml:space="preserve">Retatrutida contra semaglutida</w:t>
      </w:r>
      <w:r>
        <w:t xml:space="preserve"> </w:t>
      </w:r>
      <w:r>
        <w:t xml:space="preserve">no diabetes tipo 2</w:t>
      </w:r>
      <w:r>
        <w:rPr>
          <w:rStyle w:val="FootnoteReference"/>
        </w:rPr>
        <w:footnoteReference w:id="570"/>
      </w:r>
      <w:r>
        <w:t xml:space="preserve">.</w:t>
      </w:r>
    </w:p>
    <w:p>
      <w:pPr>
        <w:numPr>
          <w:ilvl w:val="0"/>
          <w:numId w:val="1071"/>
        </w:numPr>
        <w:pStyle w:val="Compact"/>
      </w:pPr>
      <w:r>
        <w:rPr>
          <w:bCs/>
          <w:b/>
        </w:rPr>
        <w:t xml:space="preserve">Manutenção do peso</w:t>
      </w:r>
      <w:r>
        <w:t xml:space="preserve"> </w:t>
      </w:r>
      <w:r>
        <w:t xml:space="preserve">após a perda</w:t>
      </w:r>
      <w:r>
        <w:rPr>
          <w:rStyle w:val="FootnoteReference"/>
        </w:rPr>
        <w:footnoteReference w:id="571"/>
      </w:r>
      <w:r>
        <w:t xml:space="preserve">,</w:t>
      </w:r>
      <w:r>
        <w:t xml:space="preserve"> </w:t>
      </w:r>
      <w:r>
        <w:rPr>
          <w:bCs/>
          <w:b/>
        </w:rPr>
        <w:t xml:space="preserve">função renal</w:t>
      </w:r>
      <w:r>
        <w:t xml:space="preserve"> </w:t>
      </w:r>
      <w:r>
        <w:t xml:space="preserve">no diabetes tipo 2 com insuficiência renal</w:t>
      </w:r>
      <w:r>
        <w:rPr>
          <w:rStyle w:val="FootnoteReference"/>
        </w:rPr>
        <w:footnoteReference w:id="572"/>
      </w:r>
      <w:r>
        <w:t xml:space="preserve">,</w:t>
      </w:r>
      <w:r>
        <w:t xml:space="preserve"> </w:t>
      </w:r>
      <w:r>
        <w:rPr>
          <w:bCs/>
          <w:b/>
        </w:rPr>
        <w:t xml:space="preserve">dor lombar crônica</w:t>
      </w:r>
      <w:r>
        <w:t xml:space="preserve"> </w:t>
      </w:r>
      <w:r>
        <w:t xml:space="preserve">na obesidade</w:t>
      </w:r>
      <w:r>
        <w:rPr>
          <w:rStyle w:val="FootnoteReference"/>
        </w:rPr>
        <w:footnoteReference w:id="573"/>
      </w:r>
      <w:r>
        <w:t xml:space="preserve">.</w:t>
      </w:r>
    </w:p>
    <w:p>
      <w:pPr>
        <w:numPr>
          <w:ilvl w:val="0"/>
          <w:numId w:val="1071"/>
        </w:numPr>
        <w:pStyle w:val="Compact"/>
      </w:pPr>
      <w:r>
        <w:t xml:space="preserve">A retatrutida também faz parte de um protocolo mestre de fase 3 sobre doença hepática gordurosa</w:t>
      </w:r>
      <w:r>
        <w:rPr>
          <w:rStyle w:val="FootnoteReference"/>
        </w:rPr>
        <w:footnoteReference w:id="574"/>
      </w:r>
      <w:r>
        <w:t xml:space="preserve">.</w:t>
      </w:r>
    </w:p>
    <w:p>
      <w:pPr>
        <w:pStyle w:val="FirstParagraph"/>
      </w:pPr>
      <w:r>
        <w:rPr>
          <w:bCs/>
          <w:b/>
        </w:rPr>
        <w:t xml:space="preserve">Avaliação:</w:t>
      </w:r>
      <w:r>
        <w:t xml:space="preserve"> </w:t>
      </w:r>
      <w:r>
        <w:t xml:space="preserve">após os dados do TRIUMPH-1 e TRIUMPH-2, são esperados pedidos de aprovação nos EUA e na UE; um lançamento no mercado em 2027 ou 2028 parece plausível, mas não é garantido. Se uma perda de peso adicional em relação à tirzepatida compensa as taxas de interrupção um pouco mais altas e o novo sinal de disestesia, a comparação direta mostrará. Para muitas pessoas, uma perda de peso moderada e bem tolerada é mais importante do que um valor recorde.</w:t>
      </w:r>
    </w:p>
    <w:bookmarkEnd w:id="575"/>
    <w:bookmarkStart w:id="576" w:name="conclusão-5"/>
    <w:p>
      <w:pPr>
        <w:pStyle w:val="Heading3"/>
      </w:pPr>
      <w:r>
        <w:t xml:space="preserve">Conclusão</w:t>
      </w:r>
    </w:p>
    <w:p>
      <w:pPr>
        <w:pStyle w:val="FirstParagraph"/>
      </w:pPr>
      <w:r>
        <w:t xml:space="preserve">A retatrutida é um agonista triplo dos receptores de GIP, GLP-1 e glucagon e, no estudo de fase 3 TRIUMPH-1, alcançou uma perda de peso média de 25,0% após 80 semanas – o maior valor medido até agora em um grande estudo de medicamento. Também no diabetes tipo 2, na artrose de joelho e na apneia do sono foram observados efeitos claros. Os efeitos colaterais afetam sobretudo o trato gastrointestinal; novas são as sensações anormais na pele, e as taxas de interrupção aumentam com doses altas. Dados sobre eventos cardiovasculares e uma aprovação ainda estão pendentes. Produtos do mercado cinza com o rótulo</w:t>
      </w:r>
      <w:r>
        <w:t xml:space="preserve"> </w:t>
      </w:r>
      <w:r>
        <w:t xml:space="preserve">“</w:t>
      </w:r>
      <w:r>
        <w:t xml:space="preserve">Retatrutide</w:t>
      </w:r>
      <w:r>
        <w:t xml:space="preserve">”</w:t>
      </w:r>
      <w:r>
        <w:t xml:space="preserve"> </w:t>
      </w:r>
      <w:r>
        <w:t xml:space="preserve">não são um atalho seguro para esse medicamento.</w:t>
      </w:r>
    </w:p>
    <w:bookmarkEnd w:id="576"/>
    <w:bookmarkEnd w:id="577"/>
    <w:bookmarkStart w:id="613" w:name="survodutida"/>
    <w:p>
      <w:pPr>
        <w:pStyle w:val="Heading2"/>
      </w:pPr>
      <w:r>
        <w:t xml:space="preserve">Survodutida</w:t>
      </w:r>
    </w:p>
    <w:bookmarkStart w:id="578" w:name="ficha-técnica-6"/>
    <w:p>
      <w:pPr>
        <w:pStyle w:val="Heading3"/>
      </w:pPr>
      <w:r>
        <w:t xml:space="preserve">Ficha técnica</w:t>
      </w:r>
    </w:p>
    <w:p>
      <w:pPr>
        <w:numPr>
          <w:ilvl w:val="0"/>
          <w:numId w:val="1072"/>
        </w:numPr>
        <w:pStyle w:val="Compact"/>
      </w:pPr>
      <w:r>
        <w:rPr>
          <w:bCs/>
          <w:b/>
        </w:rPr>
        <w:t xml:space="preserve">Tipo/estrutura:</w:t>
      </w:r>
      <w:r>
        <w:t xml:space="preserve"> </w:t>
      </w:r>
      <w:r>
        <w:t xml:space="preserve">peptídeo sintético modificado com ácido graxo, para administração subcutânea uma vez por semana; código de desenvolvimento BI 456906.</w:t>
      </w:r>
    </w:p>
    <w:p>
      <w:pPr>
        <w:numPr>
          <w:ilvl w:val="0"/>
          <w:numId w:val="1072"/>
        </w:numPr>
        <w:pStyle w:val="Compact"/>
      </w:pPr>
      <w:r>
        <w:rPr>
          <w:bCs/>
          <w:b/>
        </w:rPr>
        <w:t xml:space="preserve">Origem:</w:t>
      </w:r>
      <w:r>
        <w:t xml:space="preserve"> </w:t>
      </w:r>
      <w:r>
        <w:t xml:space="preserve">desenvolvida pela Boehringer Ingelheim em colaboração com a empresa dinamarquesa Zealand Pharma.</w:t>
      </w:r>
    </w:p>
    <w:p>
      <w:pPr>
        <w:numPr>
          <w:ilvl w:val="0"/>
          <w:numId w:val="1072"/>
        </w:numPr>
        <w:pStyle w:val="Compact"/>
      </w:pPr>
      <w:r>
        <w:rPr>
          <w:bCs/>
          <w:b/>
        </w:rPr>
        <w:t xml:space="preserve">Princípio de ação:</w:t>
      </w:r>
      <w:r>
        <w:t xml:space="preserve"> </w:t>
      </w:r>
      <w:r>
        <w:t xml:space="preserve">agonista duplo dos receptores de glucagon e de GLP-1 (sem componente GIP).</w:t>
      </w:r>
    </w:p>
    <w:p>
      <w:pPr>
        <w:numPr>
          <w:ilvl w:val="0"/>
          <w:numId w:val="1072"/>
        </w:numPr>
        <w:pStyle w:val="Compact"/>
      </w:pPr>
      <w:r>
        <w:rPr>
          <w:bCs/>
          <w:b/>
        </w:rPr>
        <w:t xml:space="preserve">Aprovação UE:</w:t>
      </w:r>
      <w:r>
        <w:t xml:space="preserve"> </w:t>
      </w:r>
      <w:r>
        <w:t xml:space="preserve">não (situação em outubro de 2026).</w:t>
      </w:r>
    </w:p>
    <w:p>
      <w:pPr>
        <w:numPr>
          <w:ilvl w:val="0"/>
          <w:numId w:val="1072"/>
        </w:numPr>
        <w:pStyle w:val="Compact"/>
      </w:pPr>
      <w:r>
        <w:rPr>
          <w:bCs/>
          <w:b/>
        </w:rPr>
        <w:t xml:space="preserve">Aprovação EUA:</w:t>
      </w:r>
      <w:r>
        <w:t xml:space="preserve"> </w:t>
      </w:r>
      <w:r>
        <w:t xml:space="preserve">não (situação em outubro de 2026).</w:t>
      </w:r>
    </w:p>
    <w:p>
      <w:pPr>
        <w:numPr>
          <w:ilvl w:val="0"/>
          <w:numId w:val="1072"/>
        </w:numPr>
        <w:pStyle w:val="Compact"/>
      </w:pPr>
      <w:r>
        <w:rPr>
          <w:bCs/>
          <w:b/>
        </w:rPr>
        <w:t xml:space="preserve">WADA:</w:t>
      </w:r>
      <w:r>
        <w:t xml:space="preserve"> </w:t>
      </w:r>
      <w:r>
        <w:t xml:space="preserve">por ser uma substância não aprovada em nenhum lugar, proibida sob S0</w:t>
      </w:r>
      <w:r>
        <w:t xml:space="preserve"> </w:t>
      </w:r>
      <w:r>
        <w:t xml:space="preserve">“</w:t>
      </w:r>
      <w:r>
        <w:t xml:space="preserve">Substâncias não aprovadas</w:t>
      </w:r>
      <w:r>
        <w:t xml:space="preserve">”</w:t>
      </w:r>
      <w:r>
        <w:t xml:space="preserve">.</w:t>
      </w:r>
    </w:p>
    <w:p>
      <w:pPr>
        <w:numPr>
          <w:ilvl w:val="0"/>
          <w:numId w:val="1072"/>
        </w:numPr>
        <w:pStyle w:val="Compact"/>
      </w:pPr>
      <w:r>
        <w:rPr>
          <w:bCs/>
          <w:b/>
        </w:rPr>
        <w:t xml:space="preserve">Nível de evidência:</w:t>
      </w:r>
      <w:r>
        <w:t xml:space="preserve"> </w:t>
      </w:r>
      <w:r>
        <w:rPr>
          <w:bCs/>
          <w:b/>
        </w:rPr>
        <w:t xml:space="preserve">B</w:t>
      </w:r>
      <w:r>
        <w:t xml:space="preserve"> </w:t>
      </w:r>
      <w:r>
        <w:t xml:space="preserve">– estudos randomizados de fase 2 e primeiros estudos de fase 3 publicados, sem aprovação.</w:t>
      </w:r>
    </w:p>
    <w:bookmarkEnd w:id="578"/>
    <w:bookmarkStart w:id="582" w:name="como-deveria-agir-6"/>
    <w:p>
      <w:pPr>
        <w:pStyle w:val="Heading3"/>
      </w:pPr>
      <w:r>
        <w:t xml:space="preserve">Como deveria agir</w:t>
      </w:r>
    </w:p>
    <w:p>
      <w:pPr>
        <w:pStyle w:val="FirstParagraph"/>
      </w:pPr>
      <w:r>
        <w:t xml:space="preserve">A survodutida combina dois hormônios do intestino e do pâncreas: o GLP-1, que favorece a saciedade e intensifica a liberação de insulina, e o glucagon, que aumenta o gasto energético e estimula o fígado a degradar gordura. Enquanto a tirzepatida aposta em GIP mais GLP-1 e a retatrutida reúne os três sinais, a survodutida dispensa o componente GIP e enfatiza, em vez disso, o efeito do glucagon. Com isso, o fabricante visa especialmente o fígado: a doença hepática gordurosa MASH é, ao lado da obesidade, a segunda área principal de desenvolvimento.</w:t>
      </w:r>
    </w:p>
    <w:p>
      <w:pPr>
        <w:pStyle w:val="BodyText"/>
      </w:pPr>
      <w:r>
        <w:t xml:space="preserve">Entre 19 candidatos semelhantes, a survodutida foi escolhida porque, em experimentos com animais, atuava de forma equilibrada em ambos os receptores. Em camundongos com excesso de peso, o peso corporal diminuiu cerca de um quarto</w:t>
      </w:r>
      <w:r>
        <w:rPr>
          <w:rStyle w:val="FootnoteReference"/>
        </w:rPr>
        <w:footnoteReference w:id="579"/>
      </w:r>
      <w:r>
        <w:t xml:space="preserve">. Pesquisas em camundongos indicam que o efeito de redução do apetite no cérebro ocorre sobretudo pelo receptor de GLP-1; a parte glucagon age mais no corpo, por exemplo no fígado</w:t>
      </w:r>
      <w:r>
        <w:rPr>
          <w:rStyle w:val="FootnoteReference"/>
        </w:rPr>
        <w:footnoteReference w:id="580"/>
      </w:r>
      <w:r>
        <w:t xml:space="preserve">. Esses são achados em animais; em humanos, o efeito sobre o gasto energético está sendo medido atualmente em um estudo próprio</w:t>
      </w:r>
      <w:r>
        <w:rPr>
          <w:rStyle w:val="FootnoteReference"/>
        </w:rPr>
        <w:footnoteReference w:id="581"/>
      </w:r>
      <w:r>
        <w:t xml:space="preserve">.</w:t>
      </w:r>
    </w:p>
    <w:bookmarkEnd w:id="582"/>
    <w:bookmarkStart w:id="592" w:name="estudos-em-humanos-6"/>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10 estudos em humanos; soma-se a publicação do estudo de fase 3 SYNCHRONIZE-2, localizada por busca direcionada. No ClinicalTrials.gov havia 29 estudos registrados, entre eles o programa de fase 3 SYNCHRONIZE (obesidade)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com metformina, contra placebo e semaglutida aberta</w:t>
            </w:r>
          </w:p>
        </w:tc>
        <w:tc>
          <w:tcPr/>
          <w:p>
            <w:pPr>
              <w:pStyle w:val="Compact"/>
              <w:jc w:val="left"/>
            </w:pPr>
            <w:r>
              <w:t xml:space="preserve">16 semanas</w:t>
            </w:r>
          </w:p>
        </w:tc>
        <w:tc>
          <w:tcPr/>
          <w:p>
            <w:pPr>
              <w:pStyle w:val="Compact"/>
              <w:jc w:val="left"/>
            </w:pPr>
            <w:r>
              <w:t xml:space="preserve">HbA1c até −1,71 ponto; peso até −8,7% (semaglutida −5,3%)</w:t>
            </w:r>
          </w:p>
        </w:tc>
      </w:tr>
      <w:tr>
        <w:tc>
          <w:tcPr/>
          <w:p>
            <w:pPr>
              <w:pStyle w:val="Compact"/>
              <w:jc w:val="left"/>
            </w:pPr>
            <w:r>
              <w:t xml:space="preserve">Fase 2 obesidade (le Roux 2024), PMID 38330987</w:t>
            </w:r>
          </w:p>
        </w:tc>
        <w:tc>
          <w:tcPr/>
          <w:p>
            <w:pPr>
              <w:pStyle w:val="Compact"/>
              <w:jc w:val="left"/>
            </w:pPr>
            <w:r>
              <w:t xml:space="preserve">387 adultos sem diabetes, contra placebo</w:t>
            </w:r>
          </w:p>
        </w:tc>
        <w:tc>
          <w:tcPr/>
          <w:p>
            <w:pPr>
              <w:pStyle w:val="Compact"/>
              <w:jc w:val="left"/>
            </w:pPr>
            <w:r>
              <w:t xml:space="preserve">46 semanas</w:t>
            </w:r>
          </w:p>
        </w:tc>
        <w:tc>
          <w:tcPr/>
          <w:p>
            <w:pPr>
              <w:pStyle w:val="Compact"/>
              <w:jc w:val="left"/>
            </w:pPr>
            <w:r>
              <w:t xml:space="preserve">−6,2 a −14,9% de peso vs. −2,8%</w:t>
            </w:r>
          </w:p>
        </w:tc>
      </w:tr>
      <w:tr>
        <w:tc>
          <w:tcPr/>
          <w:p>
            <w:pPr>
              <w:pStyle w:val="Compact"/>
              <w:jc w:val="left"/>
            </w:pPr>
            <w:r>
              <w:t xml:space="preserve">Fase 2 MASH (Sanyal 2024), PMID 38847460</w:t>
            </w:r>
          </w:p>
        </w:tc>
        <w:tc>
          <w:tcPr/>
          <w:p>
            <w:pPr>
              <w:pStyle w:val="Compact"/>
              <w:jc w:val="left"/>
            </w:pPr>
            <w:r>
              <w:t xml:space="preserve">293 adultos com MASH confirmada por biópsia e fibrose F1–F3</w:t>
            </w:r>
          </w:p>
        </w:tc>
        <w:tc>
          <w:tcPr/>
          <w:p>
            <w:pPr>
              <w:pStyle w:val="Compact"/>
              <w:jc w:val="left"/>
            </w:pPr>
            <w:r>
              <w:t xml:space="preserve">48 semanas</w:t>
            </w:r>
          </w:p>
        </w:tc>
        <w:tc>
          <w:tcPr/>
          <w:p>
            <w:pPr>
              <w:pStyle w:val="Compact"/>
              <w:jc w:val="left"/>
            </w:pPr>
            <w:r>
              <w:t xml:space="preserve">melhora da MASH em 43–62% vs. 14%</w:t>
            </w:r>
          </w:p>
        </w:tc>
      </w:tr>
      <w:tr>
        <w:tc>
          <w:tcPr/>
          <w:p>
            <w:pPr>
              <w:pStyle w:val="Compact"/>
              <w:jc w:val="left"/>
            </w:pPr>
            <w:r>
              <w:t xml:space="preserve">SYNCHRONIZE-1 (le Roux 2026), PMID 42253238</w:t>
            </w:r>
          </w:p>
        </w:tc>
        <w:tc>
          <w:tcPr/>
          <w:p>
            <w:pPr>
              <w:pStyle w:val="Compact"/>
              <w:jc w:val="left"/>
            </w:pPr>
            <w:r>
              <w:t xml:space="preserve">725 adultos com obesidade sem diabetes, contra placebo</w:t>
            </w:r>
          </w:p>
        </w:tc>
        <w:tc>
          <w:tcPr/>
          <w:p>
            <w:pPr>
              <w:pStyle w:val="Compact"/>
              <w:jc w:val="left"/>
            </w:pPr>
            <w:r>
              <w:t xml:space="preserve">76 semanas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adultos com obesidade e diabetes tipo 2, contra placebo</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adultos com obesidade e fígado gorduroso com sinais de risco</w:t>
            </w:r>
          </w:p>
        </w:tc>
        <w:tc>
          <w:tcPr/>
          <w:p>
            <w:pPr>
              <w:pStyle w:val="Compact"/>
              <w:jc w:val="left"/>
            </w:pPr>
            <w:r>
              <w:t xml:space="preserve">48 semanas</w:t>
            </w:r>
          </w:p>
        </w:tc>
        <w:tc>
          <w:tcPr/>
          <w:p>
            <w:pPr>
              <w:pStyle w:val="Compact"/>
              <w:jc w:val="left"/>
            </w:pPr>
            <w:r>
              <w:t xml:space="preserve">gordura hepática −30% ou mais em 84,2% vs. 24,3%</w:t>
            </w:r>
          </w:p>
        </w:tc>
      </w:tr>
    </w:tbl>
    <w:bookmarkStart w:id="587" w:name="obesidade-e-diabetes-tipo-2"/>
    <w:p>
      <w:pPr>
        <w:pStyle w:val="Heading4"/>
      </w:pPr>
      <w:r>
        <w:t xml:space="preserve">Obesidade e diabetes tipo 2</w:t>
      </w:r>
    </w:p>
    <w:p>
      <w:pPr>
        <w:pStyle w:val="FirstParagraph"/>
      </w:pPr>
      <w:r>
        <w:t xml:space="preserve">O estudo de fase 2 em obesidade</w:t>
      </w:r>
      <w:r>
        <w:rPr>
          <w:rStyle w:val="FootnoteReference"/>
        </w:rPr>
        <w:footnoteReference w:id="583"/>
      </w:r>
      <w:r>
        <w:t xml:space="preserve"> </w:t>
      </w:r>
      <w:r>
        <w:t xml:space="preserve">mostrou, após 46 semanas, uma perda de peso dependente da dose de até 14,9%. Chamou atenção a alta taxa de abandono: apenas 61% dos participantes com survodutida concluíram as 46 semanas de tratamento, mas também apenas 60% com placebo. Efeitos colaterais gastrointestinais ocorreram em 75% com survodutida e em 42% com placebo. O escalonamento da dose foi relativamente rápido nesse estudo.</w:t>
      </w:r>
    </w:p>
    <w:p>
      <w:pPr>
        <w:pStyle w:val="BodyText"/>
      </w:pPr>
      <w:r>
        <w:t xml:space="preserve">No estudo de fase 3</w:t>
      </w:r>
      <w:r>
        <w:t xml:space="preserve"> </w:t>
      </w:r>
      <w:r>
        <w:rPr>
          <w:bCs/>
          <w:b/>
        </w:rPr>
        <w:t xml:space="preserve">SYNCHRONIZE-1</w:t>
      </w:r>
      <w:r>
        <w:rPr>
          <w:rStyle w:val="FootnoteReference"/>
        </w:rPr>
        <w:footnoteReference w:id="584"/>
      </w:r>
      <w:r>
        <w:t xml:space="preserve">, o escalonamento foi mais lento. Após 76 semanas, os participantes com a dose mais alta perderam 13,0% do peso corporal; com placebo, 5,4%. Isso fica abaixo dos valores que a tirzepatida ou a retatrutida alcançaram em estudos de desenho semelhante. Deve-se considerar que a análise principal incluiu todas as pessoas – também as que interromperam o tratamento ou cujo escalonamento foi prolongado. Queixas gastrointestinais afetaram 80,9% e 89,7%, respectivamente, contra 47,9% com placebo; não houve mortes.</w:t>
      </w:r>
    </w:p>
    <w:p>
      <w:pPr>
        <w:pStyle w:val="BodyText"/>
      </w:pPr>
      <w:r>
        <w:t xml:space="preserve">O</w:t>
      </w:r>
      <w:r>
        <w:t xml:space="preserve"> </w:t>
      </w:r>
      <w:r>
        <w:rPr>
          <w:bCs/>
          <w:b/>
        </w:rPr>
        <w:t xml:space="preserve">SYNCHRONIZE-2</w:t>
      </w:r>
      <w:r>
        <w:rPr>
          <w:rStyle w:val="FootnoteReference"/>
        </w:rPr>
        <w:footnoteReference w:id="585"/>
      </w:r>
      <w:r>
        <w:t xml:space="preserve"> </w:t>
      </w:r>
      <w:r>
        <w:t xml:space="preserve">estudou 752 pessoas com obesidade e diabetes tipo 2. A perda de peso após 76 semanas foi de 8,2% e 9,8%, respectivamente, contra 3,9% com placebo; a HbA1c caiu de 7,4% em 0,8 a 0,9 ponto percentual.</w:t>
      </w:r>
    </w:p>
    <w:p>
      <w:pPr>
        <w:pStyle w:val="BodyText"/>
      </w:pPr>
      <w:r>
        <w:t xml:space="preserve">No estudo de fase 2 em diabetes tipo 2, a survodutida em dose baixa reduziu a HbA1c, após 16 semanas, de forma semelhante à semaglutida 1 mg (cerca de −1,46 e −1,47 ponto, respectivamente); as doses mais altas levaram a mais perda de peso do que a semaglutida</w:t>
      </w:r>
      <w:r>
        <w:rPr>
          <w:rStyle w:val="FootnoteReference"/>
        </w:rPr>
        <w:footnoteReference w:id="586"/>
      </w:r>
      <w:r>
        <w:t xml:space="preserve">. O braço de semaglutida, porém, era aberto e o estudo, curto.</w:t>
      </w:r>
    </w:p>
    <w:bookmarkEnd w:id="587"/>
    <w:bookmarkStart w:id="591" w:name="fígado-gorduroso-masld-e-mash"/>
    <w:p>
      <w:pPr>
        <w:pStyle w:val="Heading4"/>
      </w:pPr>
      <w:r>
        <w:t xml:space="preserve">Fígado gorduroso (MASLD e MASH)</w:t>
      </w:r>
    </w:p>
    <w:p>
      <w:pPr>
        <w:pStyle w:val="FirstParagraph"/>
      </w:pPr>
      <w:r>
        <w:t xml:space="preserve">Aqui está o verdadeiro ponto forte dos dados até agora. No estudo de fase 2 em MASH confirmada por biópsia com fibrose</w:t>
      </w:r>
      <w:r>
        <w:rPr>
          <w:rStyle w:val="FootnoteReference"/>
        </w:rPr>
        <w:footnoteReference w:id="588"/>
      </w:r>
      <w:r>
        <w:t xml:space="preserve">, a inflamação hepática melhorou sem piora da fibrose em 47%, 62% e 43% dos três grupos de dose, contra 14% com placebo. Uma melhora da fibrose de pelo menos um estágio foi observada em 34–36%, contra 22%. A curva dose-resposta não foi linear: a dose intermediária teve o melhor resultado.</w:t>
      </w:r>
    </w:p>
    <w:p>
      <w:pPr>
        <w:pStyle w:val="BodyText"/>
      </w:pPr>
      <w:r>
        <w:t xml:space="preserve">O estudo de fase 3</w:t>
      </w:r>
      <w:r>
        <w:t xml:space="preserve"> </w:t>
      </w:r>
      <w:r>
        <w:rPr>
          <w:bCs/>
          <w:b/>
        </w:rPr>
        <w:t xml:space="preserve">SYNCHRONIZE-MASLD</w:t>
      </w:r>
      <w:r>
        <w:rPr>
          <w:rStyle w:val="FootnoteReference"/>
        </w:rPr>
        <w:footnoteReference w:id="589"/>
      </w:r>
      <w:r>
        <w:t xml:space="preserve">, com 216 adultos, mostrou após 48 semanas, em 84,2% dos que usaram survodutida, uma redução da gordura hepática de pelo menos 30% (placebo 24,3%), medida por ressonância magnética. Pela análise mais rigorosa, que também considera interrupções do tratamento, foram 68,5% contra 28,6%. As próprias autoras e autores citam como limitações a curta duração e o recrutamento apenas nos EUA e na Espanha.</w:t>
      </w:r>
    </w:p>
    <w:p>
      <w:pPr>
        <w:pStyle w:val="BodyText"/>
      </w:pPr>
      <w:r>
        <w:t xml:space="preserve">Em um estudo aberto de fase 1, a survodutida também foi estudada em pessoas com cirrose hepática, incluindo estágios avançados. Os níveis sanguíneos não diferiram essencialmente dos de pessoas com fígado saudável; gordura hepática, rigidez hepática e peso corporal diminuíram ao longo de 28 semanas</w:t>
      </w:r>
      <w:r>
        <w:rPr>
          <w:rStyle w:val="FootnoteReference"/>
        </w:rPr>
        <w:footnoteReference w:id="590"/>
      </w:r>
      <w:r>
        <w:t xml:space="preserve">. Esse estudo foi pequeno e não controlado.</w:t>
      </w:r>
    </w:p>
    <w:bookmarkEnd w:id="591"/>
    <w:bookmarkEnd w:id="592"/>
    <w:bookmarkStart w:id="595" w:name="estudos-em-animais-e-em-laboratório-6"/>
    <w:p>
      <w:pPr>
        <w:pStyle w:val="Heading3"/>
      </w:pPr>
      <w:r>
        <w:t xml:space="preserve">Estudos em animais e em laboratório</w:t>
      </w:r>
    </w:p>
    <w:p>
      <w:pPr>
        <w:pStyle w:val="FirstParagraph"/>
      </w:pPr>
      <w:r>
        <w:t xml:space="preserve">Os dados pré-clínicos vêm predominantemente dos laboratórios do fabricante: perfis de receptores em linhagens celulares, perda de peso em camundongos com obesidade induzida por dieta e redução da glicemia em camundongos diabéticos</w:t>
      </w:r>
      <w:r>
        <w:rPr>
          <w:rStyle w:val="FootnoteReference"/>
        </w:rPr>
        <w:footnoteReference w:id="593"/>
      </w:r>
      <w:r>
        <w:t xml:space="preserve">. Sobre o local de ação no cérebro, há pesquisas em camundongos e em tecido humano</w:t>
      </w:r>
      <w:r>
        <w:rPr>
          <w:rStyle w:val="FootnoteReference"/>
        </w:rPr>
        <w:footnoteReference w:id="594"/>
      </w:r>
      <w:r>
        <w:t xml:space="preserve">. Estudos independentes em animais são raros.</w:t>
      </w:r>
    </w:p>
    <w:bookmarkEnd w:id="595"/>
    <w:bookmarkStart w:id="599" w:name="riscos-e-efeitos-colaterais-6"/>
    <w:p>
      <w:pPr>
        <w:pStyle w:val="Heading3"/>
      </w:pPr>
      <w:r>
        <w:t xml:space="preserve">Riscos e efeitos colaterais</w:t>
      </w:r>
    </w:p>
    <w:p>
      <w:pPr>
        <w:pStyle w:val="FirstParagraph"/>
      </w:pPr>
      <w:r>
        <w:rPr>
          <w:bCs/>
          <w:b/>
        </w:rPr>
        <w:t xml:space="preserve">Comprovados em estudos:</w:t>
      </w:r>
    </w:p>
    <w:p>
      <w:pPr>
        <w:numPr>
          <w:ilvl w:val="0"/>
          <w:numId w:val="1073"/>
        </w:numPr>
        <w:pStyle w:val="Compact"/>
      </w:pPr>
      <w:r>
        <w:rPr>
          <w:bCs/>
          <w:b/>
        </w:rPr>
        <w:t xml:space="preserve">Queixas gastrointestinais</w:t>
      </w:r>
      <w:r>
        <w:t xml:space="preserve"> </w:t>
      </w:r>
      <w:r>
        <w:t xml:space="preserve">são especialmente frequentes com a survodutida. No estudo de MASH, ocorreram náusea em 66% (placebo 23%), diarreia em 49% (23%) e vômitos em 41% (4%)</w:t>
      </w:r>
      <w:r>
        <w:rPr>
          <w:rStyle w:val="FootnoteReference"/>
        </w:rPr>
        <w:footnoteReference w:id="596"/>
      </w:r>
      <w:r>
        <w:t xml:space="preserve">. No SYNCHRONIZE-1, até 89,7% relataram queixas gastrointestinais</w:t>
      </w:r>
      <w:r>
        <w:rPr>
          <w:rStyle w:val="FootnoteReference"/>
        </w:rPr>
        <w:footnoteReference w:id="597"/>
      </w:r>
      <w:r>
        <w:t xml:space="preserve">. A frequência é alta em comparação com outros medicamentos incretínicos, ainda que a maioria das queixas tenha sido leve a moderada.</w:t>
      </w:r>
    </w:p>
    <w:p>
      <w:pPr>
        <w:numPr>
          <w:ilvl w:val="0"/>
          <w:numId w:val="1073"/>
        </w:numPr>
        <w:pStyle w:val="Compact"/>
      </w:pPr>
      <w:r>
        <w:rPr>
          <w:bCs/>
          <w:b/>
        </w:rPr>
        <w:t xml:space="preserve">Eventos adversos graves</w:t>
      </w:r>
      <w:r>
        <w:t xml:space="preserve"> </w:t>
      </w:r>
      <w:r>
        <w:t xml:space="preserve">foram igualmente frequentes no estudo de MASH, com 8% com survodutida e 7% com placebo.</w:t>
      </w:r>
    </w:p>
    <w:p>
      <w:pPr>
        <w:numPr>
          <w:ilvl w:val="0"/>
          <w:numId w:val="1073"/>
        </w:numPr>
        <w:pStyle w:val="Compact"/>
      </w:pPr>
      <w:r>
        <w:rPr>
          <w:bCs/>
          <w:b/>
        </w:rPr>
        <w:t xml:space="preserve">Abandonos:</w:t>
      </w:r>
      <w:r>
        <w:t xml:space="preserve"> </w:t>
      </w:r>
      <w:r>
        <w:t xml:space="preserve">no estudo de fase 2 em obesidade, apenas cerca de 60% concluíram a fase de tratamento – em ambos os grupos.</w:t>
      </w:r>
    </w:p>
    <w:p>
      <w:pPr>
        <w:pStyle w:val="FirstParagraph"/>
      </w:pPr>
      <w:r>
        <w:rPr>
          <w:bCs/>
          <w:b/>
        </w:rPr>
        <w:t xml:space="preserve">Ainda em aberto:</w:t>
      </w:r>
      <w:r>
        <w:t xml:space="preserve"> </w:t>
      </w:r>
      <w:r>
        <w:t xml:space="preserve">aumentos da frequência cardíaca são conhecidos com agonistas de glucagon e de GLP-1; foi realizado um estudo próprio sobre segurança cardíaca</w:t>
      </w:r>
      <w:r>
        <w:rPr>
          <w:rStyle w:val="FootnoteReference"/>
        </w:rPr>
        <w:footnoteReference w:id="598"/>
      </w:r>
      <w:r>
        <w:t xml:space="preserve">. O grande estudo de segurança cardiovascular SYNCHRONIZE-CVOT está concluído segundo o registro; no fechamento editorial, os resultados ainda não haviam sido publicados em uma revista revisada por pares. Os efeitos de longo prazo do componente glucagon sobre músculos, ossos e metabolismo de aminoácidos não foram estudados.</w:t>
      </w:r>
    </w:p>
    <w:bookmarkEnd w:id="599"/>
    <w:bookmarkStart w:id="600" w:name="situação-legal-6"/>
    <w:p>
      <w:pPr>
        <w:pStyle w:val="Heading3"/>
      </w:pPr>
      <w:r>
        <w:t xml:space="preserve">Situação legal</w:t>
      </w:r>
    </w:p>
    <w:p>
      <w:pPr>
        <w:numPr>
          <w:ilvl w:val="0"/>
          <w:numId w:val="1074"/>
        </w:numPr>
        <w:pStyle w:val="Compact"/>
      </w:pPr>
      <w:r>
        <w:rPr>
          <w:bCs/>
          <w:b/>
        </w:rPr>
        <w:t xml:space="preserve">UE / Áustria / Alemanha:</w:t>
      </w:r>
      <w:r>
        <w:t xml:space="preserve"> </w:t>
      </w:r>
      <w:r>
        <w:t xml:space="preserve">não aprovada; uso apenas em estudos clínicos. Ofertas do mercado cinza não são medicamentos legais.</w:t>
      </w:r>
    </w:p>
    <w:p>
      <w:pPr>
        <w:numPr>
          <w:ilvl w:val="0"/>
          <w:numId w:val="1074"/>
        </w:numPr>
        <w:pStyle w:val="Compact"/>
      </w:pPr>
      <w:r>
        <w:rPr>
          <w:bCs/>
          <w:b/>
        </w:rPr>
        <w:t xml:space="preserve">EUA:</w:t>
      </w:r>
      <w:r>
        <w:t xml:space="preserve"> </w:t>
      </w:r>
      <w:r>
        <w:t xml:space="preserve">não aprovada. A FDA classificou a survodutida para o tratamento da MASH como</w:t>
      </w:r>
      <w:r>
        <w:t xml:space="preserve"> </w:t>
      </w:r>
      <w:r>
        <w:t xml:space="preserve">“</w:t>
      </w:r>
      <w:r>
        <w:t xml:space="preserve">Breakthrough Therapy</w:t>
      </w:r>
      <w:r>
        <w:t xml:space="preserve">”</w:t>
      </w:r>
      <w:r>
        <w:t xml:space="preserve">, o que pode acelerar o processo de avaliação.</w:t>
      </w:r>
    </w:p>
    <w:p>
      <w:pPr>
        <w:numPr>
          <w:ilvl w:val="0"/>
          <w:numId w:val="1074"/>
        </w:numPr>
        <w:pStyle w:val="Compact"/>
      </w:pPr>
      <w:r>
        <w:rPr>
          <w:bCs/>
          <w:b/>
        </w:rPr>
        <w:t xml:space="preserve">Esporte:</w:t>
      </w:r>
      <w:r>
        <w:t xml:space="preserve"> </w:t>
      </w:r>
      <w:r>
        <w:t xml:space="preserve">classe S0 da WADA (substância não aprovada), situação em 2026, verificar atualização.</w:t>
      </w:r>
    </w:p>
    <w:bookmarkEnd w:id="600"/>
    <w:bookmarkStart w:id="611" w:name="estudos-em-andamento-e-perspectivas-6"/>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5"/>
        </w:numPr>
        <w:pStyle w:val="Compact"/>
      </w:pPr>
      <w:r>
        <w:rPr>
          <w:bCs/>
          <w:b/>
        </w:rPr>
        <w:t xml:space="preserve">SYNCHRONIZE-CVOT</w:t>
      </w:r>
      <w:r>
        <w:rPr>
          <w:rStyle w:val="FootnoteReference"/>
        </w:rPr>
        <w:footnoteReference w:id="601"/>
      </w:r>
      <w:r>
        <w:t xml:space="preserve">: estudo de segurança cardiovascular com 5.531 participantes, concluído segundo o registro; desenho descrito em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com 1.800 participantes com MASH e fibrose, e</w:t>
      </w:r>
      <w:r>
        <w:t xml:space="preserve"> </w:t>
      </w:r>
      <w:r>
        <w:rPr>
          <w:bCs/>
          <w:b/>
        </w:rPr>
        <w:t xml:space="preserve">LIVERAGE-Cirrhosis</w:t>
      </w:r>
      <w:r>
        <w:rPr>
          <w:rStyle w:val="FootnoteReference"/>
        </w:rPr>
        <w:footnoteReference w:id="604"/>
      </w:r>
      <w:r>
        <w:t xml:space="preserve">, com 1.590 participantes com cirrose por MASH – os estudos decisivos para uma aprovação em hepatologia, com datas de término previstas entre 2029 e 2031.</w:t>
      </w:r>
    </w:p>
    <w:p>
      <w:pPr>
        <w:numPr>
          <w:ilvl w:val="0"/>
          <w:numId w:val="1075"/>
        </w:numPr>
        <w:pStyle w:val="Compact"/>
      </w:pPr>
      <w:r>
        <w:t xml:space="preserve">Outros estudos de fase 3: diabetes tipo 2</w:t>
      </w:r>
      <w:r>
        <w:rPr>
          <w:rStyle w:val="FootnoteReference"/>
        </w:rPr>
        <w:footnoteReference w:id="605"/>
      </w:r>
      <w:r>
        <w:t xml:space="preserve">, mulheres com obesidade</w:t>
      </w:r>
      <w:r>
        <w:rPr>
          <w:rStyle w:val="FootnoteReference"/>
        </w:rPr>
        <w:footnoteReference w:id="606"/>
      </w:r>
      <w:r>
        <w:t xml:space="preserve">, estrutura cardíaca na obesidade</w:t>
      </w:r>
      <w:r>
        <w:rPr>
          <w:rStyle w:val="FootnoteReference"/>
        </w:rPr>
        <w:footnoteReference w:id="607"/>
      </w:r>
      <w:r>
        <w:t xml:space="preserve">, pessoas sem tratamento prévio</w:t>
      </w:r>
      <w:r>
        <w:rPr>
          <w:rStyle w:val="FootnoteReference"/>
        </w:rPr>
        <w:footnoteReference w:id="608"/>
      </w:r>
      <w:r>
        <w:t xml:space="preserve">.</w:t>
      </w:r>
    </w:p>
    <w:p>
      <w:pPr>
        <w:numPr>
          <w:ilvl w:val="0"/>
          <w:numId w:val="1075"/>
        </w:numPr>
        <w:pStyle w:val="Compact"/>
      </w:pPr>
      <w:r>
        <w:t xml:space="preserve">Estudos de fase 3 na China</w:t>
      </w:r>
      <w:r>
        <w:rPr>
          <w:rStyle w:val="FootnoteReference"/>
        </w:rPr>
        <w:footnoteReference w:id="609"/>
      </w:r>
      <w:r>
        <w:t xml:space="preserve"> </w:t>
      </w:r>
      <w:r>
        <w:t xml:space="preserve">e no Japão</w:t>
      </w:r>
      <w:r>
        <w:rPr>
          <w:rStyle w:val="FootnoteReference"/>
        </w:rPr>
        <w:footnoteReference w:id="610"/>
      </w:r>
      <w:r>
        <w:t xml:space="preserve"> </w:t>
      </w:r>
      <w:r>
        <w:t xml:space="preserve">estão concluídos.</w:t>
      </w:r>
    </w:p>
    <w:p>
      <w:pPr>
        <w:pStyle w:val="FirstParagraph"/>
      </w:pPr>
      <w:r>
        <w:rPr>
          <w:bCs/>
          <w:b/>
        </w:rPr>
        <w:t xml:space="preserve">Avaliação:</w:t>
      </w:r>
      <w:r>
        <w:t xml:space="preserve"> </w:t>
      </w:r>
      <w:r>
        <w:t xml:space="preserve">como medicamento puramente para emagrecer, a survodutida provavelmente terá dificuldade diante da tirzepatida, da semaglutida e dos futuros agonistas triplos – a perda de peso no SYNCHRONIZE-1 foi menor, e os efeitos colaterais gastrointestinais, frequentes. Seu nicho poderia ser a doença hepática gordurosa, especialmente os estágios avançados até a cirrose, para os quais quase não há opções de tratamento. Se isso dará certo, os estudos LIVERAGE decidirão.</w:t>
      </w:r>
    </w:p>
    <w:bookmarkEnd w:id="611"/>
    <w:bookmarkStart w:id="612" w:name="conclusão-6"/>
    <w:p>
      <w:pPr>
        <w:pStyle w:val="Heading3"/>
      </w:pPr>
      <w:r>
        <w:t xml:space="preserve">Conclusão</w:t>
      </w:r>
    </w:p>
    <w:p>
      <w:pPr>
        <w:pStyle w:val="FirstParagraph"/>
      </w:pPr>
      <w:r>
        <w:t xml:space="preserve">A survodutida é um agonista duplo de glucagon e GLP-1 que, em estudos de fase 3, reduziu o peso corporal após 76 semanas em até 13,0% (sem diabetes) e 9,8% (com diabetes tipo 2), respectivamente. Mais nítidos foram os efeitos sobre o fígado: no estudo de fase 2, a inflamação hepática melhorou em até 62%, contra 14% com placebo. Queixas gastrointestinais são muito frequentes. A survodutida não está aprovada; se ela terá futuro como medicamento para o fígado, os estudos de fase 3 em andamento mostrarão.</w:t>
      </w:r>
    </w:p>
    <w:bookmarkEnd w:id="612"/>
    <w:bookmarkEnd w:id="613"/>
    <w:bookmarkStart w:id="651" w:name="mazdutida"/>
    <w:p>
      <w:pPr>
        <w:pStyle w:val="Heading2"/>
      </w:pPr>
      <w:r>
        <w:t xml:space="preserve">Mazdutida</w:t>
      </w:r>
    </w:p>
    <w:bookmarkStart w:id="614" w:name="ficha-técnica-7"/>
    <w:p>
      <w:pPr>
        <w:pStyle w:val="Heading3"/>
      </w:pPr>
      <w:r>
        <w:t xml:space="preserve">Ficha técnica</w:t>
      </w:r>
    </w:p>
    <w:p>
      <w:pPr>
        <w:numPr>
          <w:ilvl w:val="0"/>
          <w:numId w:val="1076"/>
        </w:numPr>
        <w:pStyle w:val="Compact"/>
      </w:pPr>
      <w:r>
        <w:rPr>
          <w:bCs/>
          <w:b/>
        </w:rPr>
        <w:t xml:space="preserve">Tipo/estrutura:</w:t>
      </w:r>
      <w:r>
        <w:t xml:space="preserve"> </w:t>
      </w:r>
      <w:r>
        <w:t xml:space="preserve">peptídeo sintético modificado com ácido graxo, derivado do hormônio intestinal oxintomodulina; administração subcutânea uma vez por semana. Códigos de desenvolvimento LY3305677 (Eli Lilly) e IBI362 (Innovent Biologics).</w:t>
      </w:r>
    </w:p>
    <w:p>
      <w:pPr>
        <w:numPr>
          <w:ilvl w:val="0"/>
          <w:numId w:val="1076"/>
        </w:numPr>
        <w:pStyle w:val="Compact"/>
      </w:pPr>
      <w:r>
        <w:rPr>
          <w:bCs/>
          <w:b/>
        </w:rPr>
        <w:t xml:space="preserve">Origem:</w:t>
      </w:r>
      <w:r>
        <w:t xml:space="preserve"> </w:t>
      </w:r>
      <w:r>
        <w:t xml:space="preserve">desenvolvida originalmente pela Eli Lilly; na China, levada até a aprovação pela Innovent Biologics, e fora da China continua sendo estudada pela Lilly.</w:t>
      </w:r>
    </w:p>
    <w:p>
      <w:pPr>
        <w:numPr>
          <w:ilvl w:val="0"/>
          <w:numId w:val="1076"/>
        </w:numPr>
        <w:pStyle w:val="Compact"/>
      </w:pPr>
      <w:r>
        <w:rPr>
          <w:bCs/>
          <w:b/>
        </w:rPr>
        <w:t xml:space="preserve">Princípio de ação:</w:t>
      </w:r>
      <w:r>
        <w:t xml:space="preserve"> </w:t>
      </w:r>
      <w:r>
        <w:t xml:space="preserve">agonista duplo dos receptores de GLP-1 e de glucagon – como a survodutida, mas uma molécula independente.</w:t>
      </w:r>
    </w:p>
    <w:p>
      <w:pPr>
        <w:numPr>
          <w:ilvl w:val="0"/>
          <w:numId w:val="1076"/>
        </w:numPr>
        <w:pStyle w:val="Compact"/>
      </w:pPr>
      <w:r>
        <w:rPr>
          <w:bCs/>
          <w:b/>
        </w:rPr>
        <w:t xml:space="preserve">Aprovação UE:</w:t>
      </w:r>
      <w:r>
        <w:t xml:space="preserve"> </w:t>
      </w:r>
      <w:r>
        <w:t xml:space="preserve">não.</w:t>
      </w:r>
    </w:p>
    <w:p>
      <w:pPr>
        <w:numPr>
          <w:ilvl w:val="0"/>
          <w:numId w:val="1076"/>
        </w:numPr>
        <w:pStyle w:val="Compact"/>
      </w:pPr>
      <w:r>
        <w:rPr>
          <w:bCs/>
          <w:b/>
        </w:rPr>
        <w:t xml:space="preserve">Aprovação EUA:</w:t>
      </w:r>
      <w:r>
        <w:t xml:space="preserve"> </w:t>
      </w:r>
      <w:r>
        <w:t xml:space="preserve">não.</w:t>
      </w:r>
    </w:p>
    <w:p>
      <w:pPr>
        <w:numPr>
          <w:ilvl w:val="0"/>
          <w:numId w:val="1076"/>
        </w:numPr>
        <w:pStyle w:val="Compact"/>
      </w:pPr>
      <w:r>
        <w:rPr>
          <w:bCs/>
          <w:b/>
        </w:rPr>
        <w:t xml:space="preserve">Aprovação China:</w:t>
      </w:r>
      <w:r>
        <w:t xml:space="preserve"> </w:t>
      </w:r>
      <w:r>
        <w:t xml:space="preserve">sim, desde junho de 2025 para o controle de peso e desde setembro de 2025 também para diabetes tipo 2 (nome comercial Xinermei).</w:t>
      </w:r>
    </w:p>
    <w:p>
      <w:pPr>
        <w:numPr>
          <w:ilvl w:val="0"/>
          <w:numId w:val="1076"/>
        </w:numPr>
        <w:pStyle w:val="Compact"/>
      </w:pPr>
      <w:r>
        <w:rPr>
          <w:bCs/>
          <w:b/>
        </w:rPr>
        <w:t xml:space="preserve">WADA:</w:t>
      </w:r>
      <w:r>
        <w:t xml:space="preserve"> </w:t>
      </w:r>
      <w:r>
        <w:t xml:space="preserve">não listada nominalmente. Como a mazdutida foi aprovada por uma autoridade sanitária estatal (China), pelo texto da regra ela não se enquadra mais na S0; ainda assim, o uso no esporte sem indicação médica é problemático.</w:t>
      </w:r>
    </w:p>
    <w:p>
      <w:pPr>
        <w:numPr>
          <w:ilvl w:val="0"/>
          <w:numId w:val="1076"/>
        </w:numPr>
        <w:pStyle w:val="Compact"/>
      </w:pPr>
      <w:r>
        <w:rPr>
          <w:bCs/>
          <w:b/>
        </w:rPr>
        <w:t xml:space="preserve">Nível de evidência:</w:t>
      </w:r>
      <w:r>
        <w:t xml:space="preserve"> </w:t>
      </w:r>
      <w:r>
        <w:rPr>
          <w:bCs/>
          <w:b/>
        </w:rPr>
        <w:t xml:space="preserve">A</w:t>
      </w:r>
      <w:r>
        <w:t xml:space="preserve"> </w:t>
      </w:r>
      <w:r>
        <w:t xml:space="preserve">– vários grandes estudos de fase 3 e uma aprovação, porém quase exclusivamente em participantes chineses.</w:t>
      </w:r>
    </w:p>
    <w:bookmarkEnd w:id="614"/>
    <w:bookmarkStart w:id="615" w:name="como-deveria-agir-7"/>
    <w:p>
      <w:pPr>
        <w:pStyle w:val="Heading3"/>
      </w:pPr>
      <w:r>
        <w:t xml:space="preserve">Como deveria agir</w:t>
      </w:r>
    </w:p>
    <w:p>
      <w:pPr>
        <w:pStyle w:val="FirstParagraph"/>
      </w:pPr>
      <w:r>
        <w:t xml:space="preserve">A oxintomodulina é um hormônio natural do intestino que – de forma semelhante ao GLP-1 – é liberado após as refeições. Ela ativa tanto o receptor de GLP-1 quanto o de glucagon, mas de forma fraca e muito breve. A mazdutida é uma versão estabilizada e de ação prolongada desse princípio.</w:t>
      </w:r>
    </w:p>
    <w:p>
      <w:pPr>
        <w:pStyle w:val="BodyText"/>
      </w:pPr>
      <w:r>
        <w:t xml:space="preserve">A parte GLP-1 atenua o apetite, retarda o esvaziamento gástrico e favorece a liberação de insulina dependente da glicose. A parte glucagon deveria aumentar o gasto energético e favorecer a degradação de gordura no fígado (veja também o capítulo Survodutida). Em humanos, a contribuição da parte glucagon para a perda de peso não foi medida diretamente; a hipótese se apoia sobretudo em dados de animais.</w:t>
      </w:r>
    </w:p>
    <w:bookmarkEnd w:id="615"/>
    <w:bookmarkStart w:id="630" w:name="estudos-em-humanos-7"/>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9 estudos em humanos, complementados por um estudo de fase 1 com doses altas e um relato de caso. No ClinicalTrials.gov havia 44 estudos registrados, a maioria na China. Os estudos de aprovação se chamam</w:t>
      </w:r>
      <w:r>
        <w:t xml:space="preserve"> </w:t>
      </w:r>
      <w:r>
        <w:rPr>
          <w:bCs/>
          <w:b/>
        </w:rPr>
        <w:t xml:space="preserve">GLORY</w:t>
      </w:r>
      <w:r>
        <w:t xml:space="preserve"> </w:t>
      </w:r>
      <w:r>
        <w:t xml:space="preserve">(obesidade) e</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(Ji 2023), PMID 38092790</w:t>
            </w:r>
          </w:p>
        </w:tc>
        <w:tc>
          <w:tcPr/>
          <w:p>
            <w:pPr>
              <w:pStyle w:val="Compact"/>
              <w:jc w:val="left"/>
            </w:pPr>
            <w:r>
              <w:t xml:space="preserve">248 adultos chineses com sobrepeso/obesidade</w:t>
            </w:r>
          </w:p>
        </w:tc>
        <w:tc>
          <w:tcPr/>
          <w:p>
            <w:pPr>
              <w:pStyle w:val="Compact"/>
              <w:jc w:val="left"/>
            </w:pPr>
            <w:r>
              <w:t xml:space="preserve">24 semanas</w:t>
            </w:r>
          </w:p>
        </w:tc>
        <w:tc>
          <w:tcPr/>
          <w:p>
            <w:pPr>
              <w:pStyle w:val="Compact"/>
              <w:jc w:val="left"/>
            </w:pPr>
            <w:r>
              <w:t xml:space="preserve">−6,7 a −11,3% de peso vs. +1,0%</w:t>
            </w:r>
          </w:p>
        </w:tc>
      </w:tr>
      <w:tr>
        <w:tc>
          <w:tcPr/>
          <w:p>
            <w:pPr>
              <w:pStyle w:val="Compact"/>
              <w:jc w:val="left"/>
            </w:pPr>
            <w:r>
              <w:t xml:space="preserve">Fase 2 diabetes tipo 2 (Zhang 2024), PMID 37943529</w:t>
            </w:r>
          </w:p>
        </w:tc>
        <w:tc>
          <w:tcPr/>
          <w:p>
            <w:pPr>
              <w:pStyle w:val="Compact"/>
              <w:jc w:val="left"/>
            </w:pPr>
            <w:r>
              <w:t xml:space="preserve">250 adultos chineses, contra placebo e dulaglutida aberta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chineses com sobrepeso/obesidade, contra placebo</w:t>
            </w:r>
          </w:p>
        </w:tc>
        <w:tc>
          <w:tcPr/>
          <w:p>
            <w:pPr>
              <w:pStyle w:val="Compact"/>
              <w:jc w:val="left"/>
            </w:pPr>
            <w:r>
              <w:t xml:space="preserve">48 semanas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adultos chineses com obesidade, dose mais alta contra placebo</w:t>
            </w:r>
          </w:p>
        </w:tc>
        <w:tc>
          <w:tcPr/>
          <w:p>
            <w:pPr>
              <w:pStyle w:val="Compact"/>
              <w:jc w:val="left"/>
            </w:pPr>
            <w:r>
              <w:t xml:space="preserve">60 semanas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adultos chineses com diabetes tipo 2, contra placebo</w:t>
            </w:r>
          </w:p>
        </w:tc>
        <w:tc>
          <w:tcPr/>
          <w:p>
            <w:pPr>
              <w:pStyle w:val="Compact"/>
              <w:jc w:val="left"/>
            </w:pPr>
            <w:r>
              <w:t xml:space="preserve">24 semanas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adultos chineses com diabetes tipo 2, contra dulaglutida</w:t>
            </w:r>
          </w:p>
        </w:tc>
        <w:tc>
          <w:tcPr/>
          <w:p>
            <w:pPr>
              <w:pStyle w:val="Compact"/>
              <w:jc w:val="left"/>
            </w:pPr>
            <w:r>
              <w:t xml:space="preserve">28 semanas</w:t>
            </w:r>
          </w:p>
        </w:tc>
        <w:tc>
          <w:tcPr/>
          <w:p>
            <w:pPr>
              <w:pStyle w:val="Compact"/>
              <w:jc w:val="left"/>
            </w:pPr>
            <w:r>
              <w:t xml:space="preserve">HbA1c adicional −0,24 / −0,30; peso adicional −3,78 / −5,76%</w:t>
            </w:r>
          </w:p>
        </w:tc>
      </w:tr>
      <w:tr>
        <w:tc>
          <w:tcPr/>
          <w:p>
            <w:pPr>
              <w:pStyle w:val="Compact"/>
              <w:jc w:val="left"/>
            </w:pPr>
            <w:r>
              <w:t xml:space="preserve">Fase 2 EUA (Hsia 2026), PMID 42628555</w:t>
            </w:r>
          </w:p>
        </w:tc>
        <w:tc>
          <w:tcPr/>
          <w:p>
            <w:pPr>
              <w:pStyle w:val="Compact"/>
              <w:jc w:val="left"/>
            </w:pPr>
            <w:r>
              <w:t xml:space="preserve">179 adultos com sobrepeso/obesidade, contra placebo</w:t>
            </w:r>
          </w:p>
        </w:tc>
        <w:tc>
          <w:tcPr/>
          <w:p>
            <w:pPr>
              <w:pStyle w:val="Compact"/>
              <w:jc w:val="left"/>
            </w:pPr>
            <w:r>
              <w:t xml:space="preserve">48 semanas (desfecho primário 32)</w:t>
            </w:r>
          </w:p>
        </w:tc>
        <w:tc>
          <w:tcPr/>
          <w:p>
            <w:pPr>
              <w:pStyle w:val="Compact"/>
              <w:jc w:val="left"/>
            </w:pPr>
            <w:r>
              <w:t xml:space="preserve">−7,3 a −18,1% após 32 semanas vs. −0,9%</w:t>
            </w:r>
          </w:p>
        </w:tc>
      </w:tr>
    </w:tbl>
    <w:bookmarkStart w:id="618" w:name="obesidade-glory-1-e-glory-2"/>
    <w:p>
      <w:pPr>
        <w:pStyle w:val="Heading4"/>
      </w:pPr>
      <w:r>
        <w:t xml:space="preserve">Obesidade: GLORY-1 e GLORY-2</w:t>
      </w:r>
    </w:p>
    <w:p>
      <w:pPr>
        <w:pStyle w:val="FirstParagraph"/>
      </w:pPr>
      <w:r>
        <w:t xml:space="preserve">O</w:t>
      </w:r>
      <w:r>
        <w:t xml:space="preserve"> </w:t>
      </w:r>
      <w:r>
        <w:rPr>
          <w:bCs/>
          <w:b/>
        </w:rPr>
        <w:t xml:space="preserve">GLORY-1</w:t>
      </w:r>
      <w:r>
        <w:rPr>
          <w:rStyle w:val="FootnoteReference"/>
        </w:rPr>
        <w:footnoteReference w:id="616"/>
      </w:r>
      <w:r>
        <w:t xml:space="preserve"> </w:t>
      </w:r>
      <w:r>
        <w:t xml:space="preserve">foi o estudo de aprovação para a China. Os critérios de inclusão seguiram limites chineses: IMC a partir de 28, ou a partir de 24 com doença associada. Com um peso inicial de 87,2 kg, o peso diminuiu após 48 semanas 11,0% (4 mg) e 14,0% (6 mg), respectivamente; com placebo, permaneceu praticamente igual. Pelo menos 15% foram perdidos por 35,7% e 49,5% dos participantes, respectivamente. Abandonos por efeitos colaterais foram muito raros, com 0,5–1,5%.</w:t>
      </w:r>
    </w:p>
    <w:p>
      <w:pPr>
        <w:pStyle w:val="BodyText"/>
      </w:pPr>
      <w:r>
        <w:t xml:space="preserve">O</w:t>
      </w:r>
      <w:r>
        <w:t xml:space="preserve"> </w:t>
      </w:r>
      <w:r>
        <w:rPr>
          <w:bCs/>
          <w:b/>
        </w:rPr>
        <w:t xml:space="preserve">GLORY-2</w:t>
      </w:r>
      <w:r>
        <w:rPr>
          <w:rStyle w:val="FootnoteReference"/>
        </w:rPr>
        <w:footnoteReference w:id="617"/>
      </w:r>
      <w:r>
        <w:t xml:space="preserve"> </w:t>
      </w:r>
      <w:r>
        <w:t xml:space="preserve">testou uma dose mais alta em pessoas com IMC a partir de 30. Os participantes eram notavelmente jovens, com média de 33,9 anos. Após 60 semanas, a perda de peso foi de 16,65% contra 1,50% com placebo. O preço foram muito mais queixas gastrointestinais: vômitos em 53,1% (placebo 1,3%), náusea em 46,9% (3,2%) e diarreia em 39,4% (6,5%). Ainda assim, apenas 2,9% interromperam o tratamento por efeitos colaterais.</w:t>
      </w:r>
    </w:p>
    <w:bookmarkEnd w:id="618"/>
    <w:bookmarkStart w:id="623" w:name="diabetes-tipo-2-dreams-1-e-dreams-2"/>
    <w:p>
      <w:pPr>
        <w:pStyle w:val="Heading4"/>
      </w:pPr>
      <w:r>
        <w:t xml:space="preserve">Diabetes tipo 2: DREAMS-1 e DREAMS-2</w:t>
      </w:r>
    </w:p>
    <w:p>
      <w:pPr>
        <w:pStyle w:val="FirstParagraph"/>
      </w:pPr>
      <w:r>
        <w:t xml:space="preserve">No</w:t>
      </w:r>
      <w:r>
        <w:t xml:space="preserve"> </w:t>
      </w:r>
      <w:r>
        <w:rPr>
          <w:bCs/>
          <w:b/>
        </w:rPr>
        <w:t xml:space="preserve">DREAMS-1</w:t>
      </w:r>
      <w:r>
        <w:rPr>
          <w:rStyle w:val="FootnoteReference"/>
        </w:rPr>
        <w:footnoteReference w:id="619"/>
      </w:r>
      <w:r>
        <w:t xml:space="preserve">, pessoas com diabetes tipo 2 não suficientemente controlado apenas com dieta e exercício (duração média do diabetes de 1,9 ano) receberam mazdutida sem outros medicamentos para diabetes. A HbA1c caiu, com a dose mais alta, 2,15 pontos percentuais após 24 semanas (placebo −0,14), e o peso, 7,81%.</w:t>
      </w:r>
    </w:p>
    <w:p>
      <w:pPr>
        <w:pStyle w:val="BodyText"/>
      </w:pPr>
      <w:r>
        <w:t xml:space="preserve">O</w:t>
      </w:r>
      <w:r>
        <w:t xml:space="preserve"> </w:t>
      </w:r>
      <w:r>
        <w:rPr>
          <w:bCs/>
          <w:b/>
        </w:rPr>
        <w:t xml:space="preserve">DREAMS-2</w:t>
      </w:r>
      <w:r>
        <w:rPr>
          <w:rStyle w:val="FootnoteReference"/>
        </w:rPr>
        <w:footnoteReference w:id="620"/>
      </w:r>
      <w:r>
        <w:t xml:space="preserve"> </w:t>
      </w:r>
      <w:r>
        <w:t xml:space="preserve">é até agora o estudo comparativo mais importante: contra o medicamento GLP-1 estabelecido dulaglutida, a mazdutida foi não inferior e superior na HbA1c, ainda que por pequena margem (−0,24 e −0,30 ponto percentual adicional, respectivamente). A diferença foi mais nítida no peso (adicional −3,78 e −5,76%, respectivamente). Efeitos colaterais gastrointestinais foram mais frequentes com mazdutida do que com dulaglutida.</w:t>
      </w:r>
    </w:p>
    <w:p>
      <w:pPr>
        <w:pStyle w:val="BodyText"/>
      </w:pPr>
      <w:r>
        <w:t xml:space="preserve">Um estudo comparativo contra semaglutida em pessoas com diabetes tipo 2 inicial e obesidade (DREAMS-3) está concluído segundo o registro</w:t>
      </w:r>
      <w:r>
        <w:rPr>
          <w:rStyle w:val="FootnoteReference"/>
        </w:rPr>
        <w:footnoteReference w:id="621"/>
      </w:r>
      <w:r>
        <w:t xml:space="preserve">; seu desenho e os dados iniciais dos 349 participantes foram publicados</w:t>
      </w:r>
      <w:r>
        <w:rPr>
          <w:rStyle w:val="FootnoteReference"/>
        </w:rPr>
        <w:footnoteReference w:id="622"/>
      </w:r>
      <w:r>
        <w:t xml:space="preserve">, os resultados ainda não.</w:t>
      </w:r>
    </w:p>
    <w:bookmarkEnd w:id="623"/>
    <w:bookmarkStart w:id="626" w:name="estudos-fora-da-china-e-doses-mais-altas"/>
    <w:p>
      <w:pPr>
        <w:pStyle w:val="Heading4"/>
      </w:pPr>
      <w:r>
        <w:t xml:space="preserve">Estudos fora da China e doses mais altas</w:t>
      </w:r>
    </w:p>
    <w:p>
      <w:pPr>
        <w:pStyle w:val="FirstParagraph"/>
      </w:pPr>
      <w:r>
        <w:t xml:space="preserve">A Lilly estuda a mazdutida fora da China em doses mais altas. Em um pequeno estudo de fase 1 com 32 adultos nos EUA, o peso corporal caiu, com a dose mais alta, após 20 semanas, 20,0% e 21,0% (dois esquemas de escalonamento) contra 0,1% com placebo; não ocorreram efeitos colaterais graves</w:t>
      </w:r>
      <w:r>
        <w:rPr>
          <w:rStyle w:val="FootnoteReference"/>
        </w:rPr>
        <w:footnoteReference w:id="624"/>
      </w:r>
      <w:r>
        <w:t xml:space="preserve">.</w:t>
      </w:r>
    </w:p>
    <w:p>
      <w:pPr>
        <w:pStyle w:val="BodyText"/>
      </w:pPr>
      <w:r>
        <w:t xml:space="preserve">No estudo de fase 2 norte-americano com 179 participantes</w:t>
      </w:r>
      <w:r>
        <w:rPr>
          <w:rStyle w:val="FootnoteReference"/>
        </w:rPr>
        <w:footnoteReference w:id="625"/>
      </w:r>
      <w:r>
        <w:t xml:space="preserve">, a perda de peso após 32 semanas foi de até 18,1% com a dose mais alta. Porém, ali, com a dose mais alta, 20% interromperam o tratamento por efeitos colaterais, sobretudo por queixas gastrointestinais. A análise principal usou, além disso, o</w:t>
      </w:r>
      <w:r>
        <w:t xml:space="preserve"> </w:t>
      </w:r>
      <w:r>
        <w:t xml:space="preserve">“</w:t>
      </w:r>
      <w:r>
        <w:t xml:space="preserve">estimador de eficácia</w:t>
      </w:r>
      <w:r>
        <w:t xml:space="preserve">”</w:t>
      </w:r>
      <w:r>
        <w:t xml:space="preserve">, que deixa de considerar as pessoas após uma interrupção e, por isso, tende a apresentar o efeito de forma mais favorável.</w:t>
      </w:r>
    </w:p>
    <w:bookmarkEnd w:id="626"/>
    <w:bookmarkStart w:id="629" w:name="relatos-de-casos-individuais"/>
    <w:p>
      <w:pPr>
        <w:pStyle w:val="Heading4"/>
      </w:pPr>
      <w:r>
        <w:t xml:space="preserve">Relatos de casos individuais</w:t>
      </w:r>
    </w:p>
    <w:p>
      <w:pPr>
        <w:pStyle w:val="FirstParagraph"/>
      </w:pPr>
      <w:r>
        <w:t xml:space="preserve">Um relato de caso descreve um paciente de 15 anos com obesidade, diabetes tipo 2 e ácido úrico elevado que recebeu mazdutida além de metformina e insulina e perdeu 16,8 kg após 36 semanas</w:t>
      </w:r>
      <w:r>
        <w:rPr>
          <w:rStyle w:val="FootnoteReference"/>
        </w:rPr>
        <w:footnoteReference w:id="627"/>
      </w:r>
      <w:r>
        <w:t xml:space="preserve">. Um caso isolado não permite afirmações sobre eficácia ou segurança em adolescentes; um estudo sobre isso está em andamento</w:t>
      </w:r>
      <w:r>
        <w:rPr>
          <w:rStyle w:val="FootnoteReference"/>
        </w:rPr>
        <w:footnoteReference w:id="628"/>
      </w:r>
      <w:r>
        <w:t xml:space="preserve">.</w:t>
      </w:r>
    </w:p>
    <w:bookmarkEnd w:id="629"/>
    <w:bookmarkEnd w:id="630"/>
    <w:bookmarkStart w:id="634" w:name="estudos-em-animais-e-em-laboratório-7"/>
    <w:p>
      <w:pPr>
        <w:pStyle w:val="Heading3"/>
      </w:pPr>
      <w:r>
        <w:t xml:space="preserve">Estudos em animais e em laboratório</w:t>
      </w:r>
    </w:p>
    <w:p>
      <w:pPr>
        <w:pStyle w:val="FirstParagraph"/>
      </w:pPr>
      <w:r>
        <w:t xml:space="preserve">Em camundongos diabéticos (modelo db/db), a mazdutida teve desempenho melhor do que a dulaglutida em testes de memória e de comportamento; no tecido cerebral, observaram-se menos danos</w:t>
      </w:r>
      <w:r>
        <w:rPr>
          <w:rStyle w:val="FootnoteReference"/>
        </w:rPr>
        <w:footnoteReference w:id="631"/>
      </w:r>
      <w:r>
        <w:t xml:space="preserve">. Em camundongos com fígado gorduroso induzido por dieta e em culturas de células hepáticas, a mazdutida reduziu o acúmulo de gordura e sinais de inflamação</w:t>
      </w:r>
      <w:r>
        <w:rPr>
          <w:rStyle w:val="FootnoteReference"/>
        </w:rPr>
        <w:footnoteReference w:id="632"/>
      </w:r>
      <w:r>
        <w:t xml:space="preserve">. Se disso resultam vantagens para humanos ainda está em aberto; um estudo sobre diabetes tipo 2 com comprometimento cognitivo inicial está registrado na China</w:t>
      </w:r>
      <w:r>
        <w:rPr>
          <w:rStyle w:val="FootnoteReference"/>
        </w:rPr>
        <w:footnoteReference w:id="633"/>
      </w:r>
      <w:r>
        <w:t xml:space="preserve">.</w:t>
      </w:r>
    </w:p>
    <w:bookmarkEnd w:id="634"/>
    <w:bookmarkStart w:id="639" w:name="riscos-e-efeitos-colaterais-7"/>
    <w:p>
      <w:pPr>
        <w:pStyle w:val="Heading3"/>
      </w:pPr>
      <w:r>
        <w:t xml:space="preserve">Riscos e efeitos colaterais</w:t>
      </w:r>
    </w:p>
    <w:p>
      <w:pPr>
        <w:pStyle w:val="FirstParagraph"/>
      </w:pPr>
      <w:r>
        <w:rPr>
          <w:bCs/>
          <w:b/>
        </w:rPr>
        <w:t xml:space="preserve">Comprovados em estudos:</w:t>
      </w:r>
    </w:p>
    <w:p>
      <w:pPr>
        <w:numPr>
          <w:ilvl w:val="0"/>
          <w:numId w:val="1077"/>
        </w:numPr>
        <w:pStyle w:val="Compact"/>
      </w:pPr>
      <w:r>
        <w:rPr>
          <w:bCs/>
          <w:b/>
        </w:rPr>
        <w:t xml:space="preserve">Queixas gastrointestinais</w:t>
      </w:r>
      <w:r>
        <w:t xml:space="preserve"> </w:t>
      </w:r>
      <w:r>
        <w:t xml:space="preserve">são os efeitos colaterais mais frequentes; sua frequência aumenta com a dose. No estudo de fase 2 em diabetes, ocorreram diarreia em 36%, apetite reduzido em 29%, náusea em 23% e vômitos em 14%</w:t>
      </w:r>
      <w:r>
        <w:rPr>
          <w:rStyle w:val="FootnoteReference"/>
        </w:rPr>
        <w:footnoteReference w:id="635"/>
      </w:r>
      <w:r>
        <w:t xml:space="preserve">. No GLORY-2, mais da metade dos participantes vomitou pelo menos uma vez</w:t>
      </w:r>
      <w:r>
        <w:rPr>
          <w:rStyle w:val="FootnoteReference"/>
        </w:rPr>
        <w:footnoteReference w:id="636"/>
      </w:r>
      <w:r>
        <w:t xml:space="preserve">.</w:t>
      </w:r>
    </w:p>
    <w:p>
      <w:pPr>
        <w:numPr>
          <w:ilvl w:val="0"/>
          <w:numId w:val="1077"/>
        </w:numPr>
        <w:pStyle w:val="Compact"/>
      </w:pPr>
      <w:r>
        <w:rPr>
          <w:bCs/>
          <w:b/>
        </w:rPr>
        <w:t xml:space="preserve">Hipoglicemia:</w:t>
      </w:r>
      <w:r>
        <w:t xml:space="preserve"> </w:t>
      </w:r>
      <w:r>
        <w:t xml:space="preserve">no estudo de fase 2 em diabetes, foram relatadas hipoglicemias em 10% com mazdutida e em 8% com placebo</w:t>
      </w:r>
      <w:r>
        <w:rPr>
          <w:rStyle w:val="FootnoteReference"/>
        </w:rPr>
        <w:footnoteReference w:id="637"/>
      </w:r>
      <w:r>
        <w:t xml:space="preserve">.</w:t>
      </w:r>
    </w:p>
    <w:p>
      <w:pPr>
        <w:numPr>
          <w:ilvl w:val="0"/>
          <w:numId w:val="1077"/>
        </w:numPr>
        <w:pStyle w:val="Compact"/>
      </w:pPr>
      <w:r>
        <w:rPr>
          <w:bCs/>
          <w:b/>
        </w:rPr>
        <w:t xml:space="preserve">Abandonos com doses altas:</w:t>
      </w:r>
      <w:r>
        <w:t xml:space="preserve"> </w:t>
      </w:r>
      <w:r>
        <w:t xml:space="preserve">até 20% no estudo de fase 2 nos EUA</w:t>
      </w:r>
      <w:r>
        <w:rPr>
          <w:rStyle w:val="FootnoteReference"/>
        </w:rPr>
        <w:footnoteReference w:id="638"/>
      </w:r>
      <w:r>
        <w:t xml:space="preserve">.</w:t>
      </w:r>
    </w:p>
    <w:p>
      <w:pPr>
        <w:pStyle w:val="FirstParagraph"/>
      </w:pPr>
      <w:r>
        <w:rPr>
          <w:bCs/>
          <w:b/>
        </w:rPr>
        <w:t xml:space="preserve">Ainda em aberto:</w:t>
      </w:r>
      <w:r>
        <w:t xml:space="preserve"> </w:t>
      </w:r>
      <w:r>
        <w:t xml:space="preserve">não há estudo de desfechos cardiovasculares. Faltam dados de longo prazo além de 60 semanas. Os estudos incluíram quase exclusivamente pessoas de origem chinesa, que, para a mesma perda de peso, tinham valores iniciais diferentes (peso corporal menor) dos de populações de estudo europeias. Os riscos de classe conhecidos dos medicamentos GLP-1 (vesícula biliar, pâncreas, células C da tireoide em experimentos com animais) ainda não foram avaliados de forma independente para a mazdutida por falta de anos-paciente.</w:t>
      </w:r>
    </w:p>
    <w:bookmarkEnd w:id="639"/>
    <w:bookmarkStart w:id="641" w:name="situação-legal-7"/>
    <w:p>
      <w:pPr>
        <w:pStyle w:val="Heading3"/>
      </w:pPr>
      <w:r>
        <w:t xml:space="preserve">Situação legal</w:t>
      </w:r>
    </w:p>
    <w:p>
      <w:pPr>
        <w:numPr>
          <w:ilvl w:val="0"/>
          <w:numId w:val="1078"/>
        </w:numPr>
        <w:pStyle w:val="Compact"/>
      </w:pPr>
      <w:r>
        <w:rPr>
          <w:bCs/>
          <w:b/>
        </w:rPr>
        <w:t xml:space="preserve">China:</w:t>
      </w:r>
      <w:r>
        <w:t xml:space="preserve"> </w:t>
      </w:r>
      <w:r>
        <w:t xml:space="preserve">aprovada (junho de 2025 para controle de peso, setembro de 2025 para diabetes tipo 2)</w:t>
      </w:r>
      <w:r>
        <w:rPr>
          <w:rStyle w:val="FootnoteReference"/>
        </w:rPr>
        <w:footnoteReference w:id="640"/>
      </w:r>
      <w:r>
        <w:t xml:space="preserve">.</w:t>
      </w:r>
    </w:p>
    <w:p>
      <w:pPr>
        <w:numPr>
          <w:ilvl w:val="0"/>
          <w:numId w:val="1078"/>
        </w:numPr>
        <w:pStyle w:val="Compact"/>
      </w:pPr>
      <w:r>
        <w:rPr>
          <w:bCs/>
          <w:b/>
        </w:rPr>
        <w:t xml:space="preserve">UE / Áustria / Alemanha:</w:t>
      </w:r>
      <w:r>
        <w:t xml:space="preserve"> </w:t>
      </w:r>
      <w:r>
        <w:t xml:space="preserve">não aprovada. Uma importação para uso sem aprovação não é legal; produtos</w:t>
      </w:r>
      <w:r>
        <w:t xml:space="preserve"> </w:t>
      </w:r>
      <w:r>
        <w:t xml:space="preserve">“</w:t>
      </w:r>
      <w:r>
        <w:t xml:space="preserve">Mazdutide</w:t>
      </w:r>
      <w:r>
        <w:t xml:space="preserve">”</w:t>
      </w:r>
      <w:r>
        <w:t xml:space="preserve"> </w:t>
      </w:r>
      <w:r>
        <w:t xml:space="preserve">oferecidos no mercado cinza não são medicamentos verificados.</w:t>
      </w:r>
    </w:p>
    <w:p>
      <w:pPr>
        <w:numPr>
          <w:ilvl w:val="0"/>
          <w:numId w:val="1078"/>
        </w:numPr>
        <w:pStyle w:val="Compact"/>
      </w:pPr>
      <w:r>
        <w:rPr>
          <w:bCs/>
          <w:b/>
        </w:rPr>
        <w:t xml:space="preserve">EUA:</w:t>
      </w:r>
      <w:r>
        <w:t xml:space="preserve"> </w:t>
      </w:r>
      <w:r>
        <w:t xml:space="preserve">não aprovada; a Lilly conduz estudos próprios.</w:t>
      </w:r>
    </w:p>
    <w:p>
      <w:pPr>
        <w:numPr>
          <w:ilvl w:val="0"/>
          <w:numId w:val="1078"/>
        </w:numPr>
        <w:pStyle w:val="Compact"/>
      </w:pPr>
      <w:r>
        <w:rPr>
          <w:bCs/>
          <w:b/>
        </w:rPr>
        <w:t xml:space="preserve">Esporte:</w:t>
      </w:r>
      <w:r>
        <w:t xml:space="preserve"> </w:t>
      </w:r>
      <w:r>
        <w:t xml:space="preserve">não listada nominalmente; status sob S0 incerto devido à aprovação chinesa – situação em 2026, verificar atualização.</w:t>
      </w:r>
    </w:p>
    <w:bookmarkEnd w:id="641"/>
    <w:bookmarkStart w:id="649" w:name="estudos-em-andamento-e-perspectivas-7"/>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79"/>
        </w:numPr>
        <w:pStyle w:val="Compact"/>
      </w:pPr>
      <w:r>
        <w:t xml:space="preserve">Comparação com semaglutida em fígado gorduroso</w:t>
      </w:r>
      <w:r>
        <w:rPr>
          <w:rStyle w:val="FootnoteReference"/>
        </w:rPr>
        <w:footnoteReference w:id="642"/>
      </w:r>
      <w:r>
        <w:t xml:space="preserve"> </w:t>
      </w:r>
      <w:r>
        <w:t xml:space="preserve">e em diabetes tipo 2 inicial (NCT06184568, concluído).</w:t>
      </w:r>
    </w:p>
    <w:p>
      <w:pPr>
        <w:numPr>
          <w:ilvl w:val="0"/>
          <w:numId w:val="1079"/>
        </w:numPr>
        <w:pStyle w:val="Compact"/>
      </w:pPr>
      <w:r>
        <w:t xml:space="preserve">Apneia do sono</w:t>
      </w:r>
      <w:r>
        <w:rPr>
          <w:rStyle w:val="FootnoteReference"/>
        </w:rPr>
        <w:footnoteReference w:id="643"/>
      </w:r>
      <w:r>
        <w:t xml:space="preserve">, hipertensão com obesidade</w:t>
      </w:r>
      <w:r>
        <w:rPr>
          <w:rStyle w:val="FootnoteReference"/>
        </w:rPr>
        <w:footnoteReference w:id="644"/>
      </w:r>
      <w:r>
        <w:t xml:space="preserve">, adolescentes</w:t>
      </w:r>
      <w:r>
        <w:rPr>
          <w:rStyle w:val="FootnoteReference"/>
        </w:rPr>
        <w:footnoteReference w:id="645"/>
      </w:r>
      <w:r>
        <w:t xml:space="preserve">.</w:t>
      </w:r>
    </w:p>
    <w:p>
      <w:pPr>
        <w:numPr>
          <w:ilvl w:val="0"/>
          <w:numId w:val="1079"/>
        </w:numPr>
        <w:pStyle w:val="Compact"/>
      </w:pPr>
      <w:r>
        <w:t xml:space="preserve">Estudos de fase 2 sobre MASH</w:t>
      </w:r>
      <w:r>
        <w:rPr>
          <w:rStyle w:val="FootnoteReference"/>
        </w:rPr>
        <w:footnoteReference w:id="646"/>
      </w:r>
      <w:r>
        <w:t xml:space="preserve">, insuficiência cardíaca com obesidade</w:t>
      </w:r>
      <w:r>
        <w:rPr>
          <w:rStyle w:val="FootnoteReference"/>
        </w:rPr>
        <w:footnoteReference w:id="647"/>
      </w:r>
      <w:r>
        <w:t xml:space="preserve"> </w:t>
      </w:r>
      <w:r>
        <w:t xml:space="preserve">e transtorno por uso de álcool (NCT06817356, concluído, patrocinador Lilly).</w:t>
      </w:r>
    </w:p>
    <w:p>
      <w:pPr>
        <w:numPr>
          <w:ilvl w:val="0"/>
          <w:numId w:val="1079"/>
        </w:numPr>
        <w:pStyle w:val="Compact"/>
      </w:pPr>
      <w:r>
        <w:t xml:space="preserve">A Lilly também testa a mazdutida em um protocolo mestre de fase 2</w:t>
      </w:r>
      <w:r>
        <w:rPr>
          <w:rStyle w:val="FootnoteReference"/>
        </w:rPr>
        <w:footnoteReference w:id="648"/>
      </w:r>
      <w:r>
        <w:t xml:space="preserve">.</w:t>
      </w:r>
    </w:p>
    <w:p>
      <w:pPr>
        <w:pStyle w:val="FirstParagraph"/>
      </w:pPr>
      <w:r>
        <w:rPr>
          <w:bCs/>
          <w:b/>
        </w:rPr>
        <w:t xml:space="preserve">Avaliação:</w:t>
      </w:r>
      <w:r>
        <w:t xml:space="preserve"> </w:t>
      </w:r>
      <w:r>
        <w:t xml:space="preserve">a mazdutida é o primeiro medicamento duplo glucagon/GLP-1 com aprovação – porém apenas na China. Se a Lilly buscará uma aprovação nos EUA e na Europa depende provavelmente de a molécula conseguir se diferenciar da tirzepatida e da retatrutida, da mesma empresa, por exemplo no fígado gorduroso ou no transtorno por uso de álcool. Essa é uma avaliação; pedidos concretos de aprovação fora da China não são conhecidos.</w:t>
      </w:r>
    </w:p>
    <w:bookmarkEnd w:id="649"/>
    <w:bookmarkStart w:id="650" w:name="conclusão-7"/>
    <w:p>
      <w:pPr>
        <w:pStyle w:val="Heading3"/>
      </w:pPr>
      <w:r>
        <w:t xml:space="preserve">Conclusão</w:t>
      </w:r>
    </w:p>
    <w:p>
      <w:pPr>
        <w:pStyle w:val="FirstParagraph"/>
      </w:pPr>
      <w:r>
        <w:t xml:space="preserve">A mazdutida é um derivado de ação prolongada do hormônio intestinal oxintomodulina que ativa simultaneamente os receptores de GLP-1 e de glucagon. Em estudos chineses de fase 3, o peso corporal diminuiu 11–14% após 48 semanas e 16,65% após 60 semanas com dose mais alta; no diabetes tipo 2, foi ligeiramente superior à dulaglutida. Os efeitos colaterais mais frequentes são queixas gastrointestinais, que se tornam muito frequentes com doses mais altas. A mazdutida só está aprovada na China; dados sobre desfechos cardiovasculares e sobre populações não asiáticas faltam em grande parte.</w:t>
      </w:r>
    </w:p>
    <w:bookmarkEnd w:id="650"/>
    <w:bookmarkEnd w:id="651"/>
    <w:bookmarkStart w:id="699" w:name="cagrilintida-e-cagrisema"/>
    <w:p>
      <w:pPr>
        <w:pStyle w:val="Heading2"/>
      </w:pPr>
      <w:r>
        <w:t xml:space="preserve">Cagrilintida e CagriSema</w:t>
      </w:r>
    </w:p>
    <w:bookmarkStart w:id="652" w:name="ficha-técnica-8"/>
    <w:p>
      <w:pPr>
        <w:pStyle w:val="Heading3"/>
      </w:pPr>
      <w:r>
        <w:t xml:space="preserve">Ficha técnica</w:t>
      </w:r>
    </w:p>
    <w:p>
      <w:pPr>
        <w:numPr>
          <w:ilvl w:val="0"/>
          <w:numId w:val="1080"/>
        </w:numPr>
        <w:pStyle w:val="Compact"/>
      </w:pPr>
      <w:r>
        <w:rPr>
          <w:bCs/>
          <w:b/>
        </w:rPr>
        <w:t xml:space="preserve">Tipo/estrutura:</w:t>
      </w:r>
      <w:r>
        <w:t xml:space="preserve"> </w:t>
      </w:r>
      <w:r>
        <w:t xml:space="preserve">a cagrilintida é um análogo sintético do hormônio amilina, modificado com ácido graxo, para administração subcutânea uma vez por semana.</w:t>
      </w:r>
      <w:r>
        <w:t xml:space="preserve"> </w:t>
      </w:r>
      <w:r>
        <w:rPr>
          <w:bCs/>
          <w:b/>
        </w:rPr>
        <w:t xml:space="preserve">CagriSema</w:t>
      </w:r>
      <w:r>
        <w:t xml:space="preserve"> </w:t>
      </w:r>
      <w:r>
        <w:t xml:space="preserve">é a combinação fixa de cagrilintida e semaglutida em um único dispositivo de injeção.</w:t>
      </w:r>
    </w:p>
    <w:p>
      <w:pPr>
        <w:numPr>
          <w:ilvl w:val="0"/>
          <w:numId w:val="1080"/>
        </w:numPr>
        <w:pStyle w:val="Compact"/>
      </w:pPr>
      <w:r>
        <w:rPr>
          <w:bCs/>
          <w:b/>
        </w:rPr>
        <w:t xml:space="preserve">Origem:</w:t>
      </w:r>
      <w:r>
        <w:t xml:space="preserve"> </w:t>
      </w:r>
      <w:r>
        <w:t xml:space="preserve">desenvolvida pela Novo Nordisk, fabricante da semaglutida.</w:t>
      </w:r>
    </w:p>
    <w:p>
      <w:pPr>
        <w:numPr>
          <w:ilvl w:val="0"/>
          <w:numId w:val="1080"/>
        </w:numPr>
        <w:pStyle w:val="Compact"/>
      </w:pPr>
      <w:r>
        <w:rPr>
          <w:bCs/>
          <w:b/>
        </w:rPr>
        <w:t xml:space="preserve">Princípio de ação:</w:t>
      </w:r>
      <w:r>
        <w:t xml:space="preserve"> </w:t>
      </w:r>
      <w:r>
        <w:t xml:space="preserve">a cagrilintida ativa receptores de amilina e, adicionalmente, o receptor de calcitonina, que é aparentado (um</w:t>
      </w:r>
      <w:r>
        <w:t xml:space="preserve"> </w:t>
      </w:r>
      <w:r>
        <w:t xml:space="preserve">“</w:t>
      </w:r>
      <w:r>
        <w:t xml:space="preserve">agonista duplo dos receptores de amilina e calcitonina</w:t>
      </w:r>
      <w:r>
        <w:t xml:space="preserve">”</w:t>
      </w:r>
      <w:r>
        <w:t xml:space="preserve">). No CagriSema, soma-se o efeito GLP-1 da semaglutida.</w:t>
      </w:r>
    </w:p>
    <w:p>
      <w:pPr>
        <w:numPr>
          <w:ilvl w:val="0"/>
          <w:numId w:val="1080"/>
        </w:numPr>
        <w:pStyle w:val="Compact"/>
      </w:pPr>
      <w:r>
        <w:rPr>
          <w:bCs/>
          <w:b/>
        </w:rPr>
        <w:t xml:space="preserve">Aprovação UE:</w:t>
      </w:r>
      <w:r>
        <w:t xml:space="preserve"> </w:t>
      </w:r>
      <w:r>
        <w:t xml:space="preserve">não (situação em outubro de 2026).</w:t>
      </w:r>
    </w:p>
    <w:p>
      <w:pPr>
        <w:numPr>
          <w:ilvl w:val="0"/>
          <w:numId w:val="1080"/>
        </w:numPr>
        <w:pStyle w:val="Compact"/>
      </w:pPr>
      <w:r>
        <w:rPr>
          <w:bCs/>
          <w:b/>
        </w:rPr>
        <w:t xml:space="preserve">Aprovação EUA:</w:t>
      </w:r>
      <w:r>
        <w:t xml:space="preserve"> </w:t>
      </w:r>
      <w:r>
        <w:t xml:space="preserve">não (situação em outubro de 2026; um processo de aprovação para o CagriSema foi anunciado ou pode já estar em curso – verificar atualização).</w:t>
      </w:r>
    </w:p>
    <w:p>
      <w:pPr>
        <w:numPr>
          <w:ilvl w:val="0"/>
          <w:numId w:val="1080"/>
        </w:numPr>
        <w:pStyle w:val="Compact"/>
      </w:pPr>
      <w:r>
        <w:rPr>
          <w:bCs/>
          <w:b/>
        </w:rPr>
        <w:t xml:space="preserve">WADA:</w:t>
      </w:r>
      <w:r>
        <w:t xml:space="preserve"> </w:t>
      </w:r>
      <w:r>
        <w:t xml:space="preserve">por ser uma substância não aprovada, proibida sob S0.</w:t>
      </w:r>
    </w:p>
    <w:p>
      <w:pPr>
        <w:numPr>
          <w:ilvl w:val="0"/>
          <w:numId w:val="1080"/>
        </w:numPr>
        <w:pStyle w:val="Compact"/>
      </w:pPr>
      <w:r>
        <w:rPr>
          <w:bCs/>
          <w:b/>
        </w:rPr>
        <w:t xml:space="preserve">Nível de evidência:</w:t>
      </w:r>
      <w:r>
        <w:t xml:space="preserve"> </w:t>
      </w:r>
      <w:r>
        <w:rPr>
          <w:bCs/>
          <w:b/>
        </w:rPr>
        <w:t xml:space="preserve">B</w:t>
      </w:r>
      <w:r>
        <w:t xml:space="preserve"> </w:t>
      </w:r>
      <w:r>
        <w:t xml:space="preserve">– vários grandes estudos de fase 3 publicados, mas ainda sem aprovação. Com a aprovação, o CagriSema atingiria o nível A.</w:t>
      </w:r>
    </w:p>
    <w:bookmarkEnd w:id="652"/>
    <w:bookmarkStart w:id="657" w:name="como-deveria-agir-8"/>
    <w:p>
      <w:pPr>
        <w:pStyle w:val="Heading3"/>
      </w:pPr>
      <w:r>
        <w:t xml:space="preserve">Como deveria agir</w:t>
      </w:r>
    </w:p>
    <w:p>
      <w:pPr>
        <w:pStyle w:val="FirstParagraph"/>
      </w:pPr>
      <w:r>
        <w:t xml:space="preserve">A amilina é um hormônio que as células beta do pâncreas liberam junto com a insulina. Ela age sobretudo no tronco encefálico: favorece a sensação de saciedade, retarda o esvaziamento gástrico e freia a liberação de glucagon após as refeições. Pessoas com diabetes tipo 1 não têm, além da insulina, também a amilina.</w:t>
      </w:r>
    </w:p>
    <w:p>
      <w:pPr>
        <w:pStyle w:val="BodyText"/>
      </w:pPr>
      <w:r>
        <w:t xml:space="preserve">A amilina natural não serve como medicamento, porque tende a se aglomerar (forma as chamadas fibrilas amiloides) e dura apenas minutos no sangue. O primeiro medicamento à base de amilina, a pranlintida (veja o capítulo próprio), precisa por isso ser injetado várias vezes ao dia. A cagrilintida foi modificada de forma direcionada para permanecer estável e, graças a uma cadeia de ácido graxo, agir por uma semana</w:t>
      </w:r>
      <w:r>
        <w:rPr>
          <w:rStyle w:val="FootnoteReference"/>
        </w:rPr>
        <w:footnoteReference w:id="653"/>
      </w:r>
      <w:r>
        <w:t xml:space="preserve">. Em dados de fase 1, a meia-vida foi de 159 a 195 horas, ou seja, cerca de uma semana</w:t>
      </w:r>
      <w:r>
        <w:rPr>
          <w:rStyle w:val="FootnoteReference"/>
        </w:rPr>
        <w:footnoteReference w:id="654"/>
      </w:r>
      <w:r>
        <w:t xml:space="preserve">.</w:t>
      </w:r>
    </w:p>
    <w:p>
      <w:pPr>
        <w:pStyle w:val="BodyText"/>
      </w:pPr>
      <w:r>
        <w:t xml:space="preserve">A combinação com semaglutida segue uma ideia simples: amilina e GLP-1 agem sobre a saciedade por receptores diferentes e, em parte, por regiões cerebrais diferentes – os efeitos poderiam se somar. Pesquisas em camundongos geneticamente modificados mostram que a cagrilintida precisa dos subtipos 1 e 3 do receptor de amilina no cérebro para seu efeito de redução de peso</w:t>
      </w:r>
      <w:r>
        <w:rPr>
          <w:rStyle w:val="FootnoteReference"/>
        </w:rPr>
        <w:footnoteReference w:id="655"/>
      </w:r>
      <w:r>
        <w:t xml:space="preserve">. Em ratos, o CagriSema reduziu sobretudo a ingestão de energia, enquanto o gasto energético se manteve em grande parte</w:t>
      </w:r>
      <w:r>
        <w:rPr>
          <w:rStyle w:val="FootnoteReference"/>
        </w:rPr>
        <w:footnoteReference w:id="656"/>
      </w:r>
      <w:r>
        <w:t xml:space="preserve">.</w:t>
      </w:r>
    </w:p>
    <w:bookmarkEnd w:id="657"/>
    <w:bookmarkStart w:id="672" w:name="estudos-em-humanos-8"/>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sobre cagrilintida ou CagriSema. No ClinicalTrials.gov havia 44 estudos registrados. O programa de aprovação se chama</w:t>
      </w:r>
      <w:r>
        <w:t xml:space="preserve"> </w:t>
      </w:r>
      <w:r>
        <w:rPr>
          <w:bCs/>
          <w:b/>
        </w:rPr>
        <w:t xml:space="preserve">REDEFINE</w:t>
      </w:r>
      <w:r>
        <w:t xml:space="preserve"> </w:t>
      </w:r>
      <w:r>
        <w:t xml:space="preserve">(controle de peso) e</w:t>
      </w:r>
      <w:r>
        <w:t xml:space="preserve"> </w:t>
      </w:r>
      <w:r>
        <w:rPr>
          <w:bCs/>
          <w:b/>
        </w:rPr>
        <w:t xml:space="preserve">REIMAGINE</w:t>
      </w:r>
      <w:r>
        <w:t xml:space="preserve"> </w:t>
      </w:r>
      <w:r>
        <w:t xml:space="preserve">(diabetes tipo 2).</w:t>
      </w:r>
    </w:p>
    <w:bookmarkStart w:id="660" w:name="cagrilintida-isolada"/>
    <w:p>
      <w:pPr>
        <w:pStyle w:val="Heading4"/>
      </w:pPr>
      <w:r>
        <w:t xml:space="preserve">Cagrilintida isolada</w:t>
      </w:r>
    </w:p>
    <w:p>
      <w:pPr>
        <w:pStyle w:val="FirstParagraph"/>
      </w:pPr>
      <w:r>
        <w:t xml:space="preserve">No estudo de fase 2 de determinação de dose</w:t>
      </w:r>
      <w:r>
        <w:rPr>
          <w:rStyle w:val="FootnoteReference"/>
        </w:rPr>
        <w:footnoteReference w:id="658"/>
      </w:r>
      <w:r>
        <w:t xml:space="preserve">, 706 adultos com sobrepeso ou obesidade receberam cagrilintida em cinco doses durante 26 semanas, 99 receberam liraglutida e 101, placebo. O peso caiu de forma dependente da dose entre 6,0 e 10,8% (placebo 3,0%). A dose mais alta foi ligeiramente superior à liraglutida 3,0 mg (10,8% vs. 9,0%). Náusea ocorreu em 20–47% (placebo 18%). Sozinha, a cagrilintida alcança assim aproximadamente a ordem de grandeza de medicamentos GLP-1 mais antigos, não a da semaglutida ou da tirzepatida. Entretanto, ela também está sendo testada como substância isolada em fase 3</w:t>
      </w:r>
      <w:r>
        <w:rPr>
          <w:rStyle w:val="FootnoteReference"/>
        </w:rPr>
        <w:footnoteReference w:id="659"/>
      </w:r>
      <w:r>
        <w:t xml:space="preserve">.</w:t>
      </w:r>
    </w:p>
    <w:bookmarkEnd w:id="660"/>
    <w:bookmarkStart w:id="663" w:name="cagrisema-estudos-iniciais"/>
    <w:p>
      <w:pPr>
        <w:pStyle w:val="Heading4"/>
      </w:pPr>
      <w:r>
        <w:t xml:space="preserve">CagriSema: estudos iniciais</w:t>
      </w:r>
    </w:p>
    <w:p>
      <w:pPr>
        <w:pStyle w:val="FirstParagraph"/>
      </w:pPr>
      <w:r>
        <w:t xml:space="preserve">Em um estudo de fase 1b com 95 pessoas saudáveis com sobrepeso, os participantes perderam, com semaglutida mais cagrilintida, até 17,1% do peso após 20 semanas; com semaglutida mais placebo, 9,8%</w:t>
      </w:r>
      <w:r>
        <w:rPr>
          <w:rStyle w:val="FootnoteReference"/>
        </w:rPr>
        <w:footnoteReference w:id="661"/>
      </w:r>
      <w:r>
        <w:t xml:space="preserve">. A cagrilintida não alterou os níveis sanguíneos da semaglutida.</w:t>
      </w:r>
    </w:p>
    <w:p>
      <w:pPr>
        <w:pStyle w:val="BodyText"/>
      </w:pPr>
      <w:r>
        <w:t xml:space="preserve">Um pequeno estudo de fase 2 com 92 pessoas com diabetes tipo 2 comparou o CagriSema diretamente com as duas substâncias isoladas</w:t>
      </w:r>
      <w:r>
        <w:rPr>
          <w:rStyle w:val="FootnoteReference"/>
        </w:rPr>
        <w:footnoteReference w:id="662"/>
      </w:r>
      <w:r>
        <w:t xml:space="preserve">. Após 32 semanas, a perda de peso foi de 15,6% com CagriSema, 5,1% com semaglutida e 8,1% com cagrilintida. Na HbA1c, o CagriSema, com −2,2 pontos percentuais, não foi estatisticamente superior à semaglutida (−1,8).</w:t>
      </w:r>
    </w:p>
    <w:bookmarkEnd w:id="663"/>
    <w:bookmarkStart w:id="671"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com sobrepeso/obesidade sem diabetes; contra placebo e substâncias isoladas</w:t>
            </w:r>
          </w:p>
        </w:tc>
        <w:tc>
          <w:tcPr/>
          <w:p>
            <w:pPr>
              <w:pStyle w:val="Compact"/>
              <w:jc w:val="left"/>
            </w:pPr>
            <w:r>
              <w:t xml:space="preserve">68 semanas</w:t>
            </w:r>
          </w:p>
        </w:tc>
        <w:tc>
          <w:tcPr/>
          <w:p>
            <w:pPr>
              <w:pStyle w:val="Compact"/>
              <w:jc w:val="left"/>
            </w:pPr>
            <w:r>
              <w:t xml:space="preserve">−20,4% de peso vs. −3,0%</w:t>
            </w:r>
          </w:p>
        </w:tc>
      </w:tr>
      <w:tr>
        <w:tc>
          <w:tcPr/>
          <w:p>
            <w:pPr>
              <w:pStyle w:val="Compact"/>
              <w:jc w:val="left"/>
            </w:pPr>
            <w:r>
              <w:t xml:space="preserve">REDEFINE 2 (Davies 2025), PMID 40544432</w:t>
            </w:r>
          </w:p>
        </w:tc>
        <w:tc>
          <w:tcPr/>
          <w:p>
            <w:pPr>
              <w:pStyle w:val="Compact"/>
              <w:jc w:val="left"/>
            </w:pPr>
            <w:r>
              <w:t xml:space="preserve">1.206 adultos com obesidade e diabetes tipo 2, contra placebo</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adultos no Japão e em Taiwan, contra semaglutida</w:t>
            </w:r>
          </w:p>
        </w:tc>
        <w:tc>
          <w:tcPr/>
          <w:p>
            <w:pPr>
              <w:pStyle w:val="Compact"/>
              <w:jc w:val="left"/>
            </w:pPr>
            <w:r>
              <w:t xml:space="preserve">68 semanas</w:t>
            </w:r>
          </w:p>
        </w:tc>
        <w:tc>
          <w:tcPr/>
          <w:p>
            <w:pPr>
              <w:pStyle w:val="Compact"/>
              <w:jc w:val="left"/>
            </w:pPr>
            <w:r>
              <w:t xml:space="preserve">−18,4% vs. −11,9% (semaglutida)</w:t>
            </w:r>
          </w:p>
        </w:tc>
      </w:tr>
      <w:tr>
        <w:tc>
          <w:tcPr/>
          <w:p>
            <w:pPr>
              <w:pStyle w:val="Compact"/>
              <w:jc w:val="left"/>
            </w:pPr>
            <w:r>
              <w:t xml:space="preserve">REIMAGINE 1 (Aroda 2026), PMID 42251860</w:t>
            </w:r>
          </w:p>
        </w:tc>
        <w:tc>
          <w:tcPr/>
          <w:p>
            <w:pPr>
              <w:pStyle w:val="Compact"/>
              <w:jc w:val="left"/>
            </w:pPr>
            <w:r>
              <w:t xml:space="preserve">189 adultos com diabetes tipo 2 sem medicação, contra placebo</w:t>
            </w:r>
          </w:p>
        </w:tc>
        <w:tc>
          <w:tcPr/>
          <w:p>
            <w:pPr>
              <w:pStyle w:val="Compact"/>
              <w:jc w:val="left"/>
            </w:pPr>
            <w:r>
              <w:t xml:space="preserve">40 semanas</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adultos com diabetes tipo 2, contra semaglutida, cagrilintida e placebo</w:t>
            </w:r>
          </w:p>
        </w:tc>
        <w:tc>
          <w:tcPr/>
          <w:p>
            <w:pPr>
              <w:pStyle w:val="Compact"/>
              <w:jc w:val="left"/>
            </w:pPr>
            <w:r>
              <w:t xml:space="preserve">68 semanas</w:t>
            </w:r>
          </w:p>
        </w:tc>
        <w:tc>
          <w:tcPr/>
          <w:p>
            <w:pPr>
              <w:pStyle w:val="Compact"/>
              <w:jc w:val="left"/>
            </w:pPr>
            <w:r>
              <w:t xml:space="preserve">HbA1c −1,91 vs. −1,75 (semaglutida 2,4 mg)</w:t>
            </w:r>
          </w:p>
        </w:tc>
      </w:tr>
      <w:tr>
        <w:tc>
          <w:tcPr/>
          <w:p>
            <w:pPr>
              <w:pStyle w:val="Compact"/>
              <w:jc w:val="left"/>
            </w:pPr>
            <w:r>
              <w:t xml:space="preserve">REIMAGINE 3 (Rosenstock 2026), PMID 42251856</w:t>
            </w:r>
          </w:p>
        </w:tc>
        <w:tc>
          <w:tcPr/>
          <w:p>
            <w:pPr>
              <w:pStyle w:val="Compact"/>
              <w:jc w:val="left"/>
            </w:pPr>
            <w:r>
              <w:t xml:space="preserve">274 adultos com diabetes tipo 2 e insulina basal, contra placebo</w:t>
            </w:r>
          </w:p>
        </w:tc>
        <w:tc>
          <w:tcPr/>
          <w:p>
            <w:pPr>
              <w:pStyle w:val="Compact"/>
              <w:jc w:val="left"/>
            </w:pPr>
            <w:r>
              <w:t xml:space="preserve">40 semanas</w:t>
            </w:r>
          </w:p>
        </w:tc>
        <w:tc>
          <w:tcPr/>
          <w:p>
            <w:pPr>
              <w:pStyle w:val="Compact"/>
              <w:jc w:val="left"/>
            </w:pPr>
            <w:r>
              <w:t xml:space="preserve">HbA1c −2,33 vs. −0,66; peso −10 a −12%</w:t>
            </w:r>
          </w:p>
        </w:tc>
      </w:tr>
    </w:tbl>
    <w:p>
      <w:pPr>
        <w:pStyle w:val="BodyText"/>
      </w:pPr>
      <w:r>
        <w:t xml:space="preserve">O</w:t>
      </w:r>
      <w:r>
        <w:t xml:space="preserve"> </w:t>
      </w:r>
      <w:r>
        <w:rPr>
          <w:bCs/>
          <w:b/>
        </w:rPr>
        <w:t xml:space="preserve">REDEFINE 1</w:t>
      </w:r>
      <w:r>
        <w:rPr>
          <w:rStyle w:val="FootnoteReference"/>
        </w:rPr>
        <w:footnoteReference w:id="664"/>
      </w:r>
      <w:r>
        <w:t xml:space="preserve"> </w:t>
      </w:r>
      <w:r>
        <w:t xml:space="preserve">é o estudo principal. Em 3.417 adultos sem diabetes, o peso corporal diminuiu após 68 semanas em média 20,4%, contra 3,0% com placebo. O estudo também incluiu grupos menores com semaglutida isolada e cagrilintida isolada. Em uma análise posterior, 30,3% com CagriSema, 19,1% com semaglutida, 9,0% com cagrilintida e 3,3% com placebo alcançaram tanto um IMC abaixo de 27 quanto uma relação favorável entre cintura e altura</w:t>
      </w:r>
      <w:r>
        <w:rPr>
          <w:rStyle w:val="FootnoteReference"/>
        </w:rPr>
        <w:footnoteReference w:id="665"/>
      </w:r>
      <w:r>
        <w:t xml:space="preserve">. A pressão arterial sistólica caiu 10,9 mmHg com CagriSema (placebo −2,8)</w:t>
      </w:r>
      <w:r>
        <w:rPr>
          <w:rStyle w:val="FootnoteReference"/>
        </w:rPr>
        <w:footnoteReference w:id="666"/>
      </w:r>
      <w:r>
        <w:t xml:space="preserve">.</w:t>
      </w:r>
    </w:p>
    <w:p>
      <w:pPr>
        <w:pStyle w:val="BodyText"/>
      </w:pPr>
      <w:r>
        <w:t xml:space="preserve">Para contextualizar: os 20,4% alcançados estão na ordem de grandeza da tirzepatida no SURMOUNT-1 (20,9% após 72 semanas com a dose mais alta). Uma comparação cruzada desse tipo entre estudos diferentes é apenas uma orientação grosseira; a comparação direta ainda está pendente (veja abaixo).</w:t>
      </w:r>
    </w:p>
    <w:p>
      <w:pPr>
        <w:pStyle w:val="BodyText"/>
      </w:pPr>
      <w:r>
        <w:t xml:space="preserve">O</w:t>
      </w:r>
      <w:r>
        <w:t xml:space="preserve"> </w:t>
      </w:r>
      <w:r>
        <w:rPr>
          <w:bCs/>
          <w:b/>
        </w:rPr>
        <w:t xml:space="preserve">REDEFINE 2</w:t>
      </w:r>
      <w:r>
        <w:rPr>
          <w:rStyle w:val="FootnoteReference"/>
        </w:rPr>
        <w:footnoteReference w:id="667"/>
      </w:r>
      <w:r>
        <w:t xml:space="preserve"> </w:t>
      </w:r>
      <w:r>
        <w:t xml:space="preserve">confirmou o padrão em pessoas com diabetes tipo 2: −13,7% contra −3,4%. 73,5% alcançaram uma HbA1c de no máximo 6,5% (placebo 15,9%).</w:t>
      </w:r>
    </w:p>
    <w:p>
      <w:pPr>
        <w:pStyle w:val="BodyText"/>
      </w:pPr>
      <w:r>
        <w:t xml:space="preserve">O</w:t>
      </w:r>
      <w:r>
        <w:t xml:space="preserve"> </w:t>
      </w:r>
      <w:r>
        <w:rPr>
          <w:bCs/>
          <w:b/>
        </w:rPr>
        <w:t xml:space="preserve">REDEFINE 5</w:t>
      </w:r>
      <w:r>
        <w:rPr>
          <w:rStyle w:val="FootnoteReference"/>
        </w:rPr>
        <w:footnoteReference w:id="668"/>
      </w:r>
      <w:r>
        <w:t xml:space="preserve"> </w:t>
      </w:r>
      <w:r>
        <w:t xml:space="preserve">é o primeiro estudo de fase 3 cego publicado em comparação direta com a semaglutida 2,4 mg: no Japão e em Taiwan, os participantes perderam 18,4% com CagriSema contra 11,9% com semaglutida isolada. Queixas gastrointestinais foram igualmente frequentes, com 53% contra 51%.</w:t>
      </w:r>
    </w:p>
    <w:p>
      <w:pPr>
        <w:pStyle w:val="BodyText"/>
      </w:pPr>
      <w:r>
        <w:t xml:space="preserve">O</w:t>
      </w:r>
      <w:r>
        <w:t xml:space="preserve"> </w:t>
      </w:r>
      <w:r>
        <w:rPr>
          <w:bCs/>
          <w:b/>
        </w:rPr>
        <w:t xml:space="preserve">REIMAGINE 2</w:t>
      </w:r>
      <w:r>
        <w:rPr>
          <w:rStyle w:val="FootnoteReference"/>
        </w:rPr>
        <w:footnoteReference w:id="669"/>
      </w:r>
      <w:r>
        <w:t xml:space="preserve"> </w:t>
      </w:r>
      <w:r>
        <w:t xml:space="preserve">mostrou no diabetes tipo 2 que o CagriSema reduz a HbA1c apenas um pouco mais do que a semaglutida 2,4 mg isolada (−1,91 vs. −1,75 ponto percentual). O benefício adicional da cagrilintida está, portanto, sobretudo no peso, quase nada na glicemia.</w:t>
      </w:r>
    </w:p>
    <w:p>
      <w:pPr>
        <w:pStyle w:val="BodyText"/>
      </w:pPr>
      <w:r>
        <w:t xml:space="preserve">O estudo de comparação direta contra tirzepatida em obesidade (REDEFINE 4, NCT06131437), bem como dois estudos comparativos contra tirzepatida em diabetes tipo 2</w:t>
      </w:r>
      <w:r>
        <w:rPr>
          <w:rStyle w:val="FootnoteReference"/>
        </w:rPr>
        <w:footnoteReference w:id="670"/>
      </w:r>
      <w:r>
        <w:t xml:space="preserve">, estão concluídos segundo o registro; publicações revisadas por pares ainda não estavam disponíveis no momento da pesquisa.</w:t>
      </w:r>
    </w:p>
    <w:bookmarkEnd w:id="671"/>
    <w:bookmarkEnd w:id="672"/>
    <w:bookmarkStart w:id="677" w:name="estudos-em-animais-e-em-laboratório-8"/>
    <w:p>
      <w:pPr>
        <w:pStyle w:val="Heading3"/>
      </w:pPr>
      <w:r>
        <w:t xml:space="preserve">Estudos em animais e em laboratório</w:t>
      </w:r>
    </w:p>
    <w:p>
      <w:pPr>
        <w:pStyle w:val="FirstParagraph"/>
      </w:pPr>
      <w:r>
        <w:t xml:space="preserve">Pesquisas de biologia estrutural mostram como a cagrilintida se liga aos receptores de amilina e de calcitonina</w:t>
      </w:r>
      <w:r>
        <w:rPr>
          <w:rStyle w:val="FootnoteReference"/>
        </w:rPr>
        <w:footnoteReference w:id="673"/>
      </w:r>
      <w:r>
        <w:t xml:space="preserve">. Em camundongos sem os subtipos 1 e 3 do receptor de amilina, o efeito foi fortemente atenuado</w:t>
      </w:r>
      <w:r>
        <w:rPr>
          <w:rStyle w:val="FootnoteReference"/>
        </w:rPr>
        <w:footnoteReference w:id="674"/>
      </w:r>
      <w:r>
        <w:t xml:space="preserve">. Em ratos, o CagriSema reduziu a ingestão de alimentos em 39%; segundo os cálculos das autoras e autores, cerca de um terço da perda de peso se deveu ao fato de o gasto energético não ter caído na medida habitual</w:t>
      </w:r>
      <w:r>
        <w:rPr>
          <w:rStyle w:val="FootnoteReference"/>
        </w:rPr>
        <w:footnoteReference w:id="675"/>
      </w:r>
      <w:r>
        <w:t xml:space="preserve">. Em outro estudo com ratos, a combinação de cagrilintida com retatrutida intensificou a perda de peso</w:t>
      </w:r>
      <w:r>
        <w:rPr>
          <w:rStyle w:val="FootnoteReference"/>
        </w:rPr>
        <w:footnoteReference w:id="676"/>
      </w:r>
      <w:r>
        <w:t xml:space="preserve"> </w:t>
      </w:r>
      <w:r>
        <w:t xml:space="preserve">– um indício de que substâncias de amilina poderiam, no futuro, também ser combinadas com outros medicamentos incretínicos. Todos esses resultados vêm de experimentos com animais.</w:t>
      </w:r>
    </w:p>
    <w:bookmarkEnd w:id="677"/>
    <w:bookmarkStart w:id="685" w:name="riscos-e-efeitos-colaterais-8"/>
    <w:p>
      <w:pPr>
        <w:pStyle w:val="Heading3"/>
      </w:pPr>
      <w:r>
        <w:t xml:space="preserve">Riscos e efeitos colaterais</w:t>
      </w:r>
    </w:p>
    <w:p>
      <w:pPr>
        <w:pStyle w:val="FirstParagraph"/>
      </w:pPr>
      <w:r>
        <w:rPr>
          <w:bCs/>
          <w:b/>
        </w:rPr>
        <w:t xml:space="preserve">Comprovados em estudos:</w:t>
      </w:r>
    </w:p>
    <w:p>
      <w:pPr>
        <w:numPr>
          <w:ilvl w:val="0"/>
          <w:numId w:val="1081"/>
        </w:numPr>
        <w:pStyle w:val="Compact"/>
      </w:pPr>
      <w:r>
        <w:rPr>
          <w:bCs/>
          <w:b/>
        </w:rPr>
        <w:t xml:space="preserve">Queixas gastrointestinais</w:t>
      </w:r>
      <w:r>
        <w:t xml:space="preserve"> </w:t>
      </w:r>
      <w:r>
        <w:t xml:space="preserve">– náusea, vômitos, diarreia, constipação, dor abdominal – afetaram no REDEFINE 1 79,6% com CagriSema contra 39,9% com placebo; foram em geral passageiras e leves a moderadas</w:t>
      </w:r>
      <w:r>
        <w:rPr>
          <w:rStyle w:val="FootnoteReference"/>
        </w:rPr>
        <w:footnoteReference w:id="678"/>
      </w:r>
      <w:r>
        <w:t xml:space="preserve">. No REDEFINE 2, foram 72,5% contra 34,4%</w:t>
      </w:r>
      <w:r>
        <w:rPr>
          <w:rStyle w:val="FootnoteReference"/>
        </w:rPr>
        <w:footnoteReference w:id="679"/>
      </w:r>
      <w:r>
        <w:t xml:space="preserve">.</w:t>
      </w:r>
    </w:p>
    <w:p>
      <w:pPr>
        <w:numPr>
          <w:ilvl w:val="0"/>
          <w:numId w:val="1081"/>
        </w:numPr>
        <w:pStyle w:val="Compact"/>
      </w:pPr>
      <w:r>
        <w:rPr>
          <w:bCs/>
          <w:b/>
        </w:rPr>
        <w:t xml:space="preserve">Hipoglicemia:</w:t>
      </w:r>
      <w:r>
        <w:t xml:space="preserve"> </w:t>
      </w:r>
      <w:r>
        <w:t xml:space="preserve">no REIMAGINE 3, apesar do tratamento simultâneo com insulina, não ocorreram hipoglicemias graves</w:t>
      </w:r>
      <w:r>
        <w:rPr>
          <w:rStyle w:val="FootnoteReference"/>
        </w:rPr>
        <w:footnoteReference w:id="680"/>
      </w:r>
      <w:r>
        <w:t xml:space="preserve">. Em combinação com insulina ou sulfonilureias, porém, o risco continua existindo em princípio.</w:t>
      </w:r>
    </w:p>
    <w:p>
      <w:pPr>
        <w:numPr>
          <w:ilvl w:val="0"/>
          <w:numId w:val="1081"/>
        </w:numPr>
        <w:pStyle w:val="Compact"/>
      </w:pPr>
      <w:r>
        <w:rPr>
          <w:bCs/>
          <w:b/>
        </w:rPr>
        <w:t xml:space="preserve">Ritmo cardíaco:</w:t>
      </w:r>
      <w:r>
        <w:t xml:space="preserve"> </w:t>
      </w:r>
      <w:r>
        <w:t xml:space="preserve">em um estudo próprio com 105 pessoas saudáveis, a cagrilintida não prolongou o intervalo QT no ECG em grau clinicamente relevante</w:t>
      </w:r>
      <w:r>
        <w:rPr>
          <w:rStyle w:val="FootnoteReference"/>
        </w:rPr>
        <w:footnoteReference w:id="681"/>
      </w:r>
      <w:r>
        <w:t xml:space="preserve">.</w:t>
      </w:r>
    </w:p>
    <w:p>
      <w:pPr>
        <w:numPr>
          <w:ilvl w:val="0"/>
          <w:numId w:val="1081"/>
        </w:numPr>
        <w:pStyle w:val="Compact"/>
      </w:pPr>
      <w:r>
        <w:rPr>
          <w:bCs/>
          <w:b/>
        </w:rPr>
        <w:t xml:space="preserve">Função renal e hepática:</w:t>
      </w:r>
      <w:r>
        <w:t xml:space="preserve"> </w:t>
      </w:r>
      <w:r>
        <w:t xml:space="preserve">os níveis sanguíneos de cagrilintida não se alteraram de forma relevante com função renal ou hepática comprometida</w:t>
      </w:r>
      <w:r>
        <w:rPr>
          <w:rStyle w:val="FootnoteReference"/>
        </w:rPr>
        <w:footnoteReference w:id="682"/>
      </w:r>
      <w:r>
        <w:t xml:space="preserve">.</w:t>
      </w:r>
    </w:p>
    <w:p>
      <w:pPr>
        <w:pStyle w:val="FirstParagraph"/>
      </w:pPr>
      <w:r>
        <w:rPr>
          <w:bCs/>
          <w:b/>
        </w:rPr>
        <w:t xml:space="preserve">Teóricos ou ainda insuficientemente estudados:</w:t>
      </w:r>
      <w:r>
        <w:t xml:space="preserve"> </w:t>
      </w:r>
      <w:r>
        <w:t xml:space="preserve">o receptor de calcitonina também está presente nos ossos; como a estimulação contínua afeta o metabolismo ósseo está sendo estudado atualmente</w:t>
      </w:r>
      <w:r>
        <w:rPr>
          <w:rStyle w:val="FootnoteReference"/>
        </w:rPr>
        <w:footnoteReference w:id="683"/>
      </w:r>
      <w:r>
        <w:t xml:space="preserve">. Também não está esclarecido se a combinação influencia a perda de massa muscular</w:t>
      </w:r>
      <w:r>
        <w:rPr>
          <w:rStyle w:val="FootnoteReference"/>
        </w:rPr>
        <w:footnoteReference w:id="684"/>
      </w:r>
      <w:r>
        <w:t xml:space="preserve">. Sobre os riscos de classe da semaglutida (vesícula biliar, pâncreas, células C da tireoide em experimentos com animais), veja o capítulo Semaglutida.</w:t>
      </w:r>
    </w:p>
    <w:bookmarkEnd w:id="685"/>
    <w:bookmarkStart w:id="686" w:name="situação-legal-8"/>
    <w:p>
      <w:pPr>
        <w:pStyle w:val="Heading3"/>
      </w:pPr>
      <w:r>
        <w:t xml:space="preserve">Situação legal</w:t>
      </w:r>
    </w:p>
    <w:p>
      <w:pPr>
        <w:numPr>
          <w:ilvl w:val="0"/>
          <w:numId w:val="1082"/>
        </w:numPr>
        <w:pStyle w:val="Compact"/>
      </w:pPr>
      <w:r>
        <w:rPr>
          <w:bCs/>
          <w:b/>
        </w:rPr>
        <w:t xml:space="preserve">UE / Áustria / Alemanha:</w:t>
      </w:r>
      <w:r>
        <w:t xml:space="preserve"> </w:t>
      </w:r>
      <w:r>
        <w:t xml:space="preserve">nem a cagrilintida nem o CagriSema estão aprovados; uso apenas em estudos. Ofertas de</w:t>
      </w:r>
      <w:r>
        <w:t xml:space="preserve"> </w:t>
      </w:r>
      <w:r>
        <w:t xml:space="preserve">“</w:t>
      </w:r>
      <w:r>
        <w:t xml:space="preserve">Cagrilintide</w:t>
      </w:r>
      <w:r>
        <w:t xml:space="preserve">”</w:t>
      </w:r>
      <w:r>
        <w:t xml:space="preserve"> </w:t>
      </w:r>
      <w:r>
        <w:t xml:space="preserve">no mercado cinza não são medicamentos e não são verificadas.</w:t>
      </w:r>
    </w:p>
    <w:p>
      <w:pPr>
        <w:numPr>
          <w:ilvl w:val="0"/>
          <w:numId w:val="1082"/>
        </w:numPr>
        <w:pStyle w:val="Compact"/>
      </w:pPr>
      <w:r>
        <w:rPr>
          <w:bCs/>
          <w:b/>
        </w:rPr>
        <w:t xml:space="preserve">EUA:</w:t>
      </w:r>
      <w:r>
        <w:t xml:space="preserve"> </w:t>
      </w:r>
      <w:r>
        <w:t xml:space="preserve">não aprovados (situação em outubro de 2026, verificar atualização).</w:t>
      </w:r>
    </w:p>
    <w:p>
      <w:pPr>
        <w:numPr>
          <w:ilvl w:val="0"/>
          <w:numId w:val="1082"/>
        </w:numPr>
        <w:pStyle w:val="Compact"/>
      </w:pPr>
      <w:r>
        <w:rPr>
          <w:bCs/>
          <w:b/>
        </w:rPr>
        <w:t xml:space="preserve">Esporte:</w:t>
      </w:r>
      <w:r>
        <w:t xml:space="preserve"> </w:t>
      </w:r>
      <w:r>
        <w:t xml:space="preserve">classe S0 da WADA (não aprovada), situação em 2026, verificar atualização.</w:t>
      </w:r>
    </w:p>
    <w:bookmarkEnd w:id="686"/>
    <w:bookmarkStart w:id="697" w:name="estudos-em-andamento-e-perspectivas-8"/>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3"/>
        </w:numPr>
        <w:pStyle w:val="Compact"/>
      </w:pPr>
      <w:r>
        <w:rPr>
          <w:bCs/>
          <w:b/>
        </w:rPr>
        <w:t xml:space="preserve">REDEFINE 3</w:t>
      </w:r>
      <w:r>
        <w:rPr>
          <w:rStyle w:val="FootnoteReference"/>
        </w:rPr>
        <w:footnoteReference w:id="687"/>
      </w:r>
      <w:r>
        <w:t xml:space="preserve">: estudo de desfechos cardiovasculares com 7.076 pessoas randomizadas com doença cardiovascular existente e sobrepeso; término previsto em 2027. Desenho e dados iniciais foram publicados</w:t>
      </w:r>
      <w:r>
        <w:rPr>
          <w:rStyle w:val="FootnoteReference"/>
        </w:rPr>
        <w:footnoteReference w:id="688"/>
      </w:r>
      <w:r>
        <w:t xml:space="preserve">.</w:t>
      </w:r>
    </w:p>
    <w:p>
      <w:pPr>
        <w:numPr>
          <w:ilvl w:val="0"/>
          <w:numId w:val="1083"/>
        </w:numPr>
        <w:pStyle w:val="Compact"/>
      </w:pPr>
      <w:r>
        <w:rPr>
          <w:bCs/>
          <w:b/>
        </w:rPr>
        <w:t xml:space="preserve">Comparações contra tirzepatida</w:t>
      </w:r>
      <w:r>
        <w:rPr>
          <w:rStyle w:val="FootnoteReference"/>
        </w:rPr>
        <w:footnoteReference w:id="689"/>
      </w:r>
      <w:r>
        <w:t xml:space="preserve">: concluídas, publicação pendente.</w:t>
      </w:r>
    </w:p>
    <w:p>
      <w:pPr>
        <w:numPr>
          <w:ilvl w:val="0"/>
          <w:numId w:val="1083"/>
        </w:numPr>
        <w:pStyle w:val="Compact"/>
      </w:pPr>
      <w:r>
        <w:rPr>
          <w:bCs/>
          <w:b/>
        </w:rPr>
        <w:t xml:space="preserve">Doses mais altas de CagriSema</w:t>
      </w:r>
      <w:r>
        <w:t xml:space="preserve"> </w:t>
      </w:r>
      <w:r>
        <w:t xml:space="preserve">contra semaglutida</w:t>
      </w:r>
      <w:r>
        <w:rPr>
          <w:rStyle w:val="FootnoteReference"/>
        </w:rPr>
        <w:footnoteReference w:id="690"/>
      </w:r>
      <w:r>
        <w:t xml:space="preserve"> </w:t>
      </w:r>
      <w:r>
        <w:t xml:space="preserve">e estudo de longo prazo sobre manutenção do peso</w:t>
      </w:r>
      <w:r>
        <w:rPr>
          <w:rStyle w:val="FootnoteReference"/>
        </w:rPr>
        <w:footnoteReference w:id="691"/>
      </w:r>
      <w:r>
        <w:t xml:space="preserve">.</w:t>
      </w:r>
    </w:p>
    <w:p>
      <w:pPr>
        <w:numPr>
          <w:ilvl w:val="0"/>
          <w:numId w:val="1083"/>
        </w:numPr>
        <w:pStyle w:val="Compact"/>
      </w:pPr>
      <w:r>
        <w:rPr>
          <w:bCs/>
          <w:b/>
        </w:rPr>
        <w:t xml:space="preserve">Crianças e adolescentes</w:t>
      </w:r>
      <w:r>
        <w:rPr>
          <w:rStyle w:val="FootnoteReference"/>
        </w:rPr>
        <w:footnoteReference w:id="692"/>
      </w:r>
      <w:r>
        <w:t xml:space="preserve">, bem como cagrilintida isolada</w:t>
      </w:r>
      <w:r>
        <w:rPr>
          <w:rStyle w:val="FootnoteReference"/>
        </w:rPr>
        <w:footnoteReference w:id="693"/>
      </w:r>
      <w:r>
        <w:t xml:space="preserve">.</w:t>
      </w:r>
    </w:p>
    <w:p>
      <w:pPr>
        <w:numPr>
          <w:ilvl w:val="0"/>
          <w:numId w:val="1083"/>
        </w:numPr>
        <w:pStyle w:val="Compact"/>
      </w:pPr>
      <w:r>
        <w:t xml:space="preserve">Estudos menores sobre ossos</w:t>
      </w:r>
      <w:r>
        <w:rPr>
          <w:rStyle w:val="FootnoteReference"/>
        </w:rPr>
        <w:footnoteReference w:id="694"/>
      </w:r>
      <w:r>
        <w:t xml:space="preserve">, músculos</w:t>
      </w:r>
      <w:r>
        <w:rPr>
          <w:rStyle w:val="FootnoteReference"/>
        </w:rPr>
        <w:footnoteReference w:id="695"/>
      </w:r>
      <w:r>
        <w:t xml:space="preserve"> </w:t>
      </w:r>
      <w:r>
        <w:t xml:space="preserve">e pessoas que não toleram medicamentos GLP-1</w:t>
      </w:r>
      <w:r>
        <w:rPr>
          <w:rStyle w:val="FootnoteReference"/>
        </w:rPr>
        <w:footnoteReference w:id="696"/>
      </w:r>
      <w:r>
        <w:t xml:space="preserve">.</w:t>
      </w:r>
    </w:p>
    <w:p>
      <w:pPr>
        <w:pStyle w:val="FirstParagraph"/>
      </w:pPr>
      <w:r>
        <w:rPr>
          <w:bCs/>
          <w:b/>
        </w:rPr>
        <w:t xml:space="preserve">Avaliação:</w:t>
      </w:r>
      <w:r>
        <w:t xml:space="preserve"> </w:t>
      </w:r>
      <w:r>
        <w:t xml:space="preserve">o CagriSema deverá chegar ao mercado como a primeira combinação amilina-GLP-1. Se ele se imporá diante da tirzepatida e dos futuros agonistas triplos depende dos estudos comparativos e da tolerabilidade. O aspecto cientificamente mais interessante é a ampliação do arsenal: depois de GLP-1, GIP e glucagon, a amilina é a quarta via hormonal explorada para o tratamento da obesidade (veja também Amicretina).</w:t>
      </w:r>
    </w:p>
    <w:bookmarkEnd w:id="697"/>
    <w:bookmarkStart w:id="698" w:name="conclusão-8"/>
    <w:p>
      <w:pPr>
        <w:pStyle w:val="Heading3"/>
      </w:pPr>
      <w:r>
        <w:t xml:space="preserve">Conclusão</w:t>
      </w:r>
    </w:p>
    <w:p>
      <w:pPr>
        <w:pStyle w:val="FirstParagraph"/>
      </w:pPr>
      <w:r>
        <w:t xml:space="preserve">A cagrilintida é um análogo de amilina de ação prolongada que, sozinho, reduziu o peso em até 10,8% na fase 2. Em combinação com semaglutida (CagriSema), alcançou no REDEFINE 1 uma perda de peso de 20,4% após 68 semanas e foi claramente superior à semaglutida isolada no Leste Asiático (18,4% vs. 11,9%). Queixas gastrointestinais afetam cerca de quatro em cada cinco pessoas tratadas. O CagriSema ainda não está aprovado; dados sobre eventos cardiovasculares e sobre a comparação direta com tirzepatida estão pendentes.</w:t>
      </w:r>
    </w:p>
    <w:bookmarkEnd w:id="698"/>
    <w:bookmarkEnd w:id="699"/>
    <w:bookmarkStart w:id="728" w:name="amicretina-zenagamtida"/>
    <w:p>
      <w:pPr>
        <w:pStyle w:val="Heading2"/>
      </w:pPr>
      <w:r>
        <w:t xml:space="preserve">Amicretina (zenagamtida)</w:t>
      </w:r>
    </w:p>
    <w:bookmarkStart w:id="700" w:name="ficha-técnica-9"/>
    <w:p>
      <w:pPr>
        <w:pStyle w:val="Heading3"/>
      </w:pPr>
      <w:r>
        <w:t xml:space="preserve">Ficha técnica</w:t>
      </w:r>
    </w:p>
    <w:p>
      <w:pPr>
        <w:numPr>
          <w:ilvl w:val="0"/>
          <w:numId w:val="1084"/>
        </w:numPr>
        <w:pStyle w:val="Compact"/>
      </w:pPr>
      <w:r>
        <w:rPr>
          <w:bCs/>
          <w:b/>
        </w:rPr>
        <w:t xml:space="preserve">Tipo/estrutura:</w:t>
      </w:r>
      <w:r>
        <w:t xml:space="preserve"> </w:t>
      </w:r>
      <w:r>
        <w:t xml:space="preserve">peptídeo sintético que reúne em uma única molécula os efeitos de GLP-1 e de amilina (</w:t>
      </w:r>
      <w:r>
        <w:t xml:space="preserve">“</w:t>
      </w:r>
      <w:r>
        <w:t xml:space="preserve">unimolecular</w:t>
      </w:r>
      <w:r>
        <w:t xml:space="preserve">”</w:t>
      </w:r>
      <w:r>
        <w:t xml:space="preserve">). Desde 2026, tem a denominação comum internacional</w:t>
      </w:r>
      <w:r>
        <w:t xml:space="preserve"> </w:t>
      </w:r>
      <w:r>
        <w:rPr>
          <w:bCs/>
          <w:b/>
        </w:rPr>
        <w:t xml:space="preserve">zenagamtida</w:t>
      </w:r>
      <w:r>
        <w:t xml:space="preserve"> </w:t>
      </w:r>
      <w:r>
        <w:t xml:space="preserve">(em inglês, zenagamtide); código de desenvolvimento NNC0487-0111. Está sendo desenvolvida em duas formas: como injeção semanal e como comprimido diário.</w:t>
      </w:r>
    </w:p>
    <w:p>
      <w:pPr>
        <w:numPr>
          <w:ilvl w:val="0"/>
          <w:numId w:val="1084"/>
        </w:numPr>
        <w:pStyle w:val="Compact"/>
      </w:pPr>
      <w:r>
        <w:rPr>
          <w:bCs/>
          <w:b/>
        </w:rPr>
        <w:t xml:space="preserve">Origem:</w:t>
      </w:r>
      <w:r>
        <w:t xml:space="preserve"> </w:t>
      </w:r>
      <w:r>
        <w:t xml:space="preserve">desenvolvida pela Novo Nordisk.</w:t>
      </w:r>
    </w:p>
    <w:p>
      <w:pPr>
        <w:numPr>
          <w:ilvl w:val="0"/>
          <w:numId w:val="1084"/>
        </w:numPr>
        <w:pStyle w:val="Compact"/>
      </w:pPr>
      <w:r>
        <w:rPr>
          <w:bCs/>
          <w:b/>
        </w:rPr>
        <w:t xml:space="preserve">Princípio de ação:</w:t>
      </w:r>
      <w:r>
        <w:t xml:space="preserve"> </w:t>
      </w:r>
      <w:r>
        <w:t xml:space="preserve">agonista dos receptores de GLP-1, amilina e calcitonina.</w:t>
      </w:r>
    </w:p>
    <w:p>
      <w:pPr>
        <w:numPr>
          <w:ilvl w:val="0"/>
          <w:numId w:val="1084"/>
        </w:numPr>
        <w:pStyle w:val="Compact"/>
      </w:pPr>
      <w:r>
        <w:rPr>
          <w:bCs/>
          <w:b/>
        </w:rPr>
        <w:t xml:space="preserve">Aprovação UE:</w:t>
      </w:r>
      <w:r>
        <w:t xml:space="preserve"> </w:t>
      </w:r>
      <w:r>
        <w:t xml:space="preserve">não.</w:t>
      </w:r>
    </w:p>
    <w:p>
      <w:pPr>
        <w:numPr>
          <w:ilvl w:val="0"/>
          <w:numId w:val="1084"/>
        </w:numPr>
        <w:pStyle w:val="Compact"/>
      </w:pPr>
      <w:r>
        <w:rPr>
          <w:bCs/>
          <w:b/>
        </w:rPr>
        <w:t xml:space="preserve">Aprovação EUA:</w:t>
      </w:r>
      <w:r>
        <w:t xml:space="preserve"> </w:t>
      </w:r>
      <w:r>
        <w:t xml:space="preserve">não.</w:t>
      </w:r>
    </w:p>
    <w:p>
      <w:pPr>
        <w:numPr>
          <w:ilvl w:val="0"/>
          <w:numId w:val="1084"/>
        </w:numPr>
        <w:pStyle w:val="Compact"/>
      </w:pPr>
      <w:r>
        <w:rPr>
          <w:bCs/>
          <w:b/>
        </w:rPr>
        <w:t xml:space="preserve">WADA:</w:t>
      </w:r>
      <w:r>
        <w:t xml:space="preserve"> </w:t>
      </w:r>
      <w:r>
        <w:t xml:space="preserve">por ser uma substância não aprovada, proibida sob S0.</w:t>
      </w:r>
    </w:p>
    <w:p>
      <w:pPr>
        <w:numPr>
          <w:ilvl w:val="0"/>
          <w:numId w:val="1084"/>
        </w:numPr>
        <w:pStyle w:val="Compact"/>
      </w:pPr>
      <w:r>
        <w:rPr>
          <w:bCs/>
          <w:b/>
        </w:rPr>
        <w:t xml:space="preserve">Nível de evidência:</w:t>
      </w:r>
      <w:r>
        <w:t xml:space="preserve"> </w:t>
      </w:r>
      <w:r>
        <w:rPr>
          <w:bCs/>
          <w:b/>
        </w:rPr>
        <w:t xml:space="preserve">B</w:t>
      </w:r>
      <w:r>
        <w:t xml:space="preserve"> </w:t>
      </w:r>
      <w:r>
        <w:t xml:space="preserve">– estudos randomizados de fase 1 e fase 2 publicados; a fase 3 começou em 2026.</w:t>
      </w:r>
    </w:p>
    <w:bookmarkEnd w:id="700"/>
    <w:bookmarkStart w:id="702" w:name="como-deveria-agir-9"/>
    <w:p>
      <w:pPr>
        <w:pStyle w:val="Heading3"/>
      </w:pPr>
      <w:r>
        <w:t xml:space="preserve">Como deveria agir</w:t>
      </w:r>
    </w:p>
    <w:p>
      <w:pPr>
        <w:pStyle w:val="FirstParagraph"/>
      </w:pPr>
      <w:r>
        <w:t xml:space="preserve">O CagriSema (veja o capítulo anterior) combina duas substâncias separadas – o análogo de amilina cagrilintida e o agonista de GLP-1 semaglutida – em uma injeção. A amicretina vai um passo além: um único peptídeo ativa os dois sistemas de receptores. Isso simplifica a fabricação e a dosagem e permite, em princípio, uma forma em comprimido, como já existe com a semaglutida oral.</w:t>
      </w:r>
    </w:p>
    <w:p>
      <w:pPr>
        <w:pStyle w:val="BodyText"/>
      </w:pPr>
      <w:r>
        <w:t xml:space="preserve">GLP-1 e amilina favorecem ambos a sensação de saciedade, retardam o esvaziamento gástrico e atenuam a liberação de glucagon, mas agem por receptores e vias nervosas diferentes no tronco encefálico. Em experimentos com células, a amicretina ativou receptores humanos, de camundongo e de rato para GLP-1, amilina e calcitonina. Em ratos com obesidade induzida por dieta, ela reduziu em 21 dias a ingestão de energia em 47% e o peso corporal em 18%, enquanto o gasto energético se manteve; a sensibilidade à insulina melhorou e a esteatose hepática diminuiu</w:t>
      </w:r>
      <w:r>
        <w:rPr>
          <w:rStyle w:val="FootnoteReference"/>
        </w:rPr>
        <w:footnoteReference w:id="701"/>
      </w:r>
      <w:r>
        <w:t xml:space="preserve">. Esses são dados de animais.</w:t>
      </w:r>
    </w:p>
    <w:bookmarkEnd w:id="702"/>
    <w:bookmarkStart w:id="710" w:name="estudos-em-humanos-9"/>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4 estudos em humanos. A consulta automática ao registro com o nome</w:t>
      </w:r>
      <w:r>
        <w:t xml:space="preserve"> </w:t>
      </w:r>
      <w:r>
        <w:t xml:space="preserve">“</w:t>
      </w:r>
      <w:r>
        <w:t xml:space="preserve">amycretin</w:t>
      </w:r>
      <w:r>
        <w:t xml:space="preserve">”</w:t>
      </w:r>
      <w:r>
        <w:t xml:space="preserve"> </w:t>
      </w:r>
      <w:r>
        <w:t xml:space="preserve">encontrou apenas um registro; com o novo nome zenagamtida e o código de desenvolvimento NNC0487-0111, porém, há cerca de 30 estudos registrados no ClinicalTrials.gov, entre eles o programa de fase 3 iniciado em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com sobrepeso/obesidade, contra placebo</w:t>
            </w:r>
          </w:p>
        </w:tc>
        <w:tc>
          <w:tcPr/>
          <w:p>
            <w:pPr>
              <w:pStyle w:val="Compact"/>
              <w:jc w:val="left"/>
            </w:pPr>
            <w:r>
              <w:t xml:space="preserve">até 12 semanas</w:t>
            </w:r>
          </w:p>
        </w:tc>
        <w:tc>
          <w:tcPr/>
          <w:p>
            <w:pPr>
              <w:pStyle w:val="Compact"/>
              <w:jc w:val="left"/>
            </w:pPr>
            <w:r>
              <w:t xml:space="preserve">segurança; efeitos colaterais dependentes da dose, todos leves a moderados</w:t>
            </w:r>
          </w:p>
        </w:tc>
      </w:tr>
      <w:tr>
        <w:tc>
          <w:tcPr/>
          <w:p>
            <w:pPr>
              <w:pStyle w:val="Compact"/>
              <w:jc w:val="left"/>
            </w:pPr>
            <w:r>
              <w:t xml:space="preserve">Fase 1b/2a, injeção (Dahl 2025), PMID 40550231</w:t>
            </w:r>
          </w:p>
        </w:tc>
        <w:tc>
          <w:tcPr/>
          <w:p>
            <w:pPr>
              <w:pStyle w:val="Compact"/>
              <w:jc w:val="left"/>
            </w:pPr>
            <w:r>
              <w:t xml:space="preserve">125 adultos com sobrepeso/obesidade, contra placebo</w:t>
            </w:r>
          </w:p>
        </w:tc>
        <w:tc>
          <w:tcPr/>
          <w:p>
            <w:pPr>
              <w:pStyle w:val="Compact"/>
              <w:jc w:val="left"/>
            </w:pPr>
            <w:r>
              <w:t xml:space="preserve">até 36 semanas</w:t>
            </w:r>
          </w:p>
        </w:tc>
        <w:tc>
          <w:tcPr/>
          <w:p>
            <w:pPr>
              <w:pStyle w:val="Compact"/>
              <w:jc w:val="left"/>
            </w:pPr>
            <w:r>
              <w:t xml:space="preserve">até −24,3% de peso vs. −1,1%</w:t>
            </w:r>
          </w:p>
        </w:tc>
      </w:tr>
      <w:tr>
        <w:tc>
          <w:tcPr/>
          <w:p>
            <w:pPr>
              <w:pStyle w:val="Compact"/>
              <w:jc w:val="left"/>
            </w:pPr>
            <w:r>
              <w:t xml:space="preserve">Fase 2, comprimido (Mora 2026), PMID 42532079</w:t>
            </w:r>
          </w:p>
        </w:tc>
        <w:tc>
          <w:tcPr/>
          <w:p>
            <w:pPr>
              <w:pStyle w:val="Compact"/>
              <w:jc w:val="left"/>
            </w:pPr>
            <w:r>
              <w:t xml:space="preserve">186 adultos com diabetes tipo 2, contra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injeção (Mora 2026), PMID 42532080</w:t>
            </w:r>
          </w:p>
        </w:tc>
        <w:tc>
          <w:tcPr/>
          <w:p>
            <w:pPr>
              <w:pStyle w:val="Compact"/>
              <w:jc w:val="left"/>
            </w:pPr>
            <w:r>
              <w:t xml:space="preserve">262 adultos com diabetes tipo 2, contra placebo</w:t>
            </w:r>
          </w:p>
        </w:tc>
        <w:tc>
          <w:tcPr/>
          <w:p>
            <w:pPr>
              <w:pStyle w:val="Compact"/>
              <w:jc w:val="left"/>
            </w:pPr>
            <w:r>
              <w:t xml:space="preserve">36 semanas</w:t>
            </w:r>
          </w:p>
        </w:tc>
        <w:tc>
          <w:tcPr/>
          <w:p>
            <w:pPr>
              <w:pStyle w:val="Compact"/>
              <w:jc w:val="left"/>
            </w:pPr>
            <w:r>
              <w:t xml:space="preserve">HbA1c −0,9 a −1,7</w:t>
            </w:r>
          </w:p>
        </w:tc>
      </w:tr>
    </w:tbl>
    <w:bookmarkStart w:id="704" w:name="X6922b41198ceeb03f5dc89f70daef2665fdc6b2"/>
    <w:p>
      <w:pPr>
        <w:pStyle w:val="Heading4"/>
      </w:pPr>
      <w:r>
        <w:t xml:space="preserve">Forma em comprimido: primeiro estudo em humanos</w:t>
      </w:r>
    </w:p>
    <w:p>
      <w:pPr>
        <w:pStyle w:val="FirstParagraph"/>
      </w:pPr>
      <w:r>
        <w:t xml:space="preserve">O primeiro estudo em humanos testou a amicretina como comprimido</w:t>
      </w:r>
      <w:r>
        <w:rPr>
          <w:rStyle w:val="FootnoteReference"/>
        </w:rPr>
        <w:footnoteReference w:id="703"/>
      </w:r>
      <w:r>
        <w:t xml:space="preserve">. 144 adultos com sobrepeso ou obesidade receberam doses únicas ou múltiplas por até doze semanas. 62% relataram pelo menos um evento adverso; todos foram leves ou moderados e aumentaram com a dose. Cerca de metade dos eventos afetou o trato gastrointestinal. Os níveis sanguíneos aumentaram proporcionalmente à dose. Os dados de peso foram apenas um desfecho secundário e exploratório desse estudo de segurança.</w:t>
      </w:r>
    </w:p>
    <w:bookmarkEnd w:id="704"/>
    <w:bookmarkStart w:id="706" w:name="forma-injetável-fase-1b2a"/>
    <w:p>
      <w:pPr>
        <w:pStyle w:val="Heading4"/>
      </w:pPr>
      <w:r>
        <w:t xml:space="preserve">Forma injetável: fase 1b/2a</w:t>
      </w:r>
    </w:p>
    <w:p>
      <w:pPr>
        <w:pStyle w:val="FirstParagraph"/>
      </w:pPr>
      <w:r>
        <w:t xml:space="preserve">No estudo com a injeção semanal</w:t>
      </w:r>
      <w:r>
        <w:rPr>
          <w:rStyle w:val="FootnoteReference"/>
        </w:rPr>
        <w:footnoteReference w:id="705"/>
      </w:r>
      <w:r>
        <w:t xml:space="preserve">, 125 pessoas receberam amicretina ou placebo em várias partes do estudo, com diferentes doses-alvo e durações de tratamento. A perda de peso foi notável para um estudo inicial:</w:t>
      </w:r>
    </w:p>
    <w:p>
      <w:pPr>
        <w:numPr>
          <w:ilvl w:val="0"/>
          <w:numId w:val="1085"/>
        </w:numPr>
        <w:pStyle w:val="Compact"/>
      </w:pPr>
      <w:r>
        <w:t xml:space="preserve">dose mais alta, 36 semanas: −24,3% contra −1,1% com placebo</w:t>
      </w:r>
    </w:p>
    <w:p>
      <w:pPr>
        <w:numPr>
          <w:ilvl w:val="0"/>
          <w:numId w:val="1085"/>
        </w:numPr>
        <w:pStyle w:val="Compact"/>
      </w:pPr>
      <w:r>
        <w:t xml:space="preserve">segunda dose mais alta, 36 semanas: −22,0% contra +1,9%</w:t>
      </w:r>
    </w:p>
    <w:p>
      <w:pPr>
        <w:numPr>
          <w:ilvl w:val="0"/>
          <w:numId w:val="1085"/>
        </w:numPr>
        <w:pStyle w:val="Compact"/>
      </w:pPr>
      <w:r>
        <w:t xml:space="preserve">dose intermediária, 28 semanas: −16,2% contra +2,3%</w:t>
      </w:r>
    </w:p>
    <w:p>
      <w:pPr>
        <w:numPr>
          <w:ilvl w:val="0"/>
          <w:numId w:val="1085"/>
        </w:numPr>
        <w:pStyle w:val="Compact"/>
      </w:pPr>
      <w:r>
        <w:t xml:space="preserve">dose baixa, 20 semanas: −9,7% contra +2,0%</w:t>
      </w:r>
    </w:p>
    <w:p>
      <w:pPr>
        <w:pStyle w:val="FirstParagraph"/>
      </w:pPr>
      <w:r>
        <w:t xml:space="preserve">Esses números devem ser lidos com cautela: os grupos eram pequenos, o estudo foi realizado em um único centro, e as próprias autoras e autores relatam que muitos participantes deixaram o estudo antes do tempo – em grande parte por motivos não relacionados a efeitos colaterais. Uma perda de peso de mais de 20% após 36 semanas é um sinal forte, mas ainda não é uma estimativa confiável para o uso em larga escala.</w:t>
      </w:r>
    </w:p>
    <w:bookmarkEnd w:id="706"/>
    <w:bookmarkStart w:id="709" w:name="diabetes-tipo-2-dois-estudos-de-fase-2"/>
    <w:p>
      <w:pPr>
        <w:pStyle w:val="Heading4"/>
      </w:pPr>
      <w:r>
        <w:t xml:space="preserve">Diabetes tipo 2: dois estudos de fase 2</w:t>
      </w:r>
    </w:p>
    <w:p>
      <w:pPr>
        <w:pStyle w:val="FirstParagraph"/>
      </w:pPr>
      <w:r>
        <w:t xml:space="preserve">Em 2026 foram publicados dois estudos paralelos de determinação de dose em pessoas com diabetes tipo 2 que tomavam metformina (com ou sem inibidor de SGLT2):</w:t>
      </w:r>
    </w:p>
    <w:p>
      <w:pPr>
        <w:numPr>
          <w:ilvl w:val="0"/>
          <w:numId w:val="1086"/>
        </w:numPr>
        <w:pStyle w:val="Compact"/>
      </w:pPr>
      <w:r>
        <w:rPr>
          <w:bCs/>
          <w:b/>
        </w:rPr>
        <w:t xml:space="preserve">Comprimido</w:t>
      </w:r>
      <w:r>
        <w:rPr>
          <w:rStyle w:val="FootnoteReference"/>
        </w:rPr>
        <w:footnoteReference w:id="707"/>
      </w:r>
      <w:r>
        <w:t xml:space="preserve">: após 36 semanas, a HbA1c caiu 0,9 a 1,4 ponto percentual (valor inicial de cerca de 8%). Queixas gastrointestinais ocorreram em 26–47% (placebo 23%). Eventos adversos graves afetaram 4% com zenagamtida e ninguém com placebo.</w:t>
      </w:r>
    </w:p>
    <w:p>
      <w:pPr>
        <w:numPr>
          <w:ilvl w:val="0"/>
          <w:numId w:val="1086"/>
        </w:numPr>
        <w:pStyle w:val="Compact"/>
      </w:pPr>
      <w:r>
        <w:rPr>
          <w:bCs/>
          <w:b/>
        </w:rPr>
        <w:t xml:space="preserve">Injeção</w:t>
      </w:r>
      <w:r>
        <w:rPr>
          <w:rStyle w:val="FootnoteReference"/>
        </w:rPr>
        <w:footnoteReference w:id="708"/>
      </w:r>
      <w:r>
        <w:t xml:space="preserve">: a HbA1c caiu, conforme a dose, 0,9 a 1,7 ponto percentual. Eventos adversos graves ocorreram em 8% dos participantes, distribuídos por todos os grupos de dose e placebo.</w:t>
      </w:r>
    </w:p>
    <w:p>
      <w:pPr>
        <w:pStyle w:val="FirstParagraph"/>
      </w:pPr>
      <w:r>
        <w:t xml:space="preserve">Os resultados de peso desses estudos de diabetes não são quantificados nos resumos e, por isso, não são mencionados aqui.</w:t>
      </w:r>
    </w:p>
    <w:bookmarkEnd w:id="709"/>
    <w:bookmarkEnd w:id="710"/>
    <w:bookmarkStart w:id="712" w:name="estudos-em-animais-e-em-laboratório-9"/>
    <w:p>
      <w:pPr>
        <w:pStyle w:val="Heading3"/>
      </w:pPr>
      <w:r>
        <w:t xml:space="preserve">Estudos em animais e em laboratório</w:t>
      </w:r>
    </w:p>
    <w:p>
      <w:pPr>
        <w:pStyle w:val="FirstParagraph"/>
      </w:pPr>
      <w:r>
        <w:t xml:space="preserve">Os dados pré-clínicos vêm do fabricante</w:t>
      </w:r>
      <w:r>
        <w:rPr>
          <w:rStyle w:val="FootnoteReference"/>
        </w:rPr>
        <w:footnoteReference w:id="711"/>
      </w:r>
      <w:r>
        <w:t xml:space="preserve">: ativação de receptores em culturas de células, perda de peso e melhora da sensibilidade à insulina em ratos com excesso de peso, menos esteatose hepática e acúmulo em regiões cerebrais reguladoras do apetite em camundongos. Estudos independentes em animais praticamente não existem.</w:t>
      </w:r>
    </w:p>
    <w:bookmarkEnd w:id="712"/>
    <w:bookmarkStart w:id="717" w:name="riscos-e-efeitos-colaterais-9"/>
    <w:p>
      <w:pPr>
        <w:pStyle w:val="Heading3"/>
      </w:pPr>
      <w:r>
        <w:t xml:space="preserve">Riscos e efeitos colaterais</w:t>
      </w:r>
    </w:p>
    <w:p>
      <w:pPr>
        <w:pStyle w:val="FirstParagraph"/>
      </w:pPr>
      <w:r>
        <w:rPr>
          <w:bCs/>
          <w:b/>
        </w:rPr>
        <w:t xml:space="preserve">Comprovados em estudos:</w:t>
      </w:r>
    </w:p>
    <w:p>
      <w:pPr>
        <w:numPr>
          <w:ilvl w:val="0"/>
          <w:numId w:val="1087"/>
        </w:numPr>
        <w:pStyle w:val="Compact"/>
      </w:pPr>
      <w:r>
        <w:rPr>
          <w:bCs/>
          <w:b/>
        </w:rPr>
        <w:t xml:space="preserve">Queixas gastrointestinais</w:t>
      </w:r>
      <w:r>
        <w:t xml:space="preserve"> </w:t>
      </w:r>
      <w:r>
        <w:t xml:space="preserve">são os efeitos colaterais mais frequentes, nos estudos iniciais na maioria das pessoas tratadas; foram em geral leves a moderadas e dependentes da dose</w:t>
      </w:r>
      <w:r>
        <w:rPr>
          <w:rStyle w:val="FootnoteReference"/>
        </w:rPr>
        <w:footnoteReference w:id="713"/>
      </w:r>
      <w:r>
        <w:t xml:space="preserve">.</w:t>
      </w:r>
    </w:p>
    <w:p>
      <w:pPr>
        <w:numPr>
          <w:ilvl w:val="0"/>
          <w:numId w:val="1087"/>
        </w:numPr>
        <w:pStyle w:val="Compact"/>
      </w:pPr>
      <w:r>
        <w:rPr>
          <w:bCs/>
          <w:b/>
        </w:rPr>
        <w:t xml:space="preserve">Eventos adversos graves</w:t>
      </w:r>
      <w:r>
        <w:t xml:space="preserve"> </w:t>
      </w:r>
      <w:r>
        <w:t xml:space="preserve">foram raros nos estudos de fase 2; no estudo com comprimido, ocorreram apenas com zenagamtida (4% vs. 0%), no estudo com injeção, distribuídos de forma uniforme</w:t>
      </w:r>
      <w:r>
        <w:rPr>
          <w:rStyle w:val="FootnoteReference"/>
        </w:rPr>
        <w:footnoteReference w:id="714"/>
      </w:r>
      <w:r>
        <w:t xml:space="preserve">.</w:t>
      </w:r>
    </w:p>
    <w:p>
      <w:pPr>
        <w:numPr>
          <w:ilvl w:val="0"/>
          <w:numId w:val="1087"/>
        </w:numPr>
        <w:pStyle w:val="Compact"/>
      </w:pPr>
      <w:r>
        <w:rPr>
          <w:bCs/>
          <w:b/>
        </w:rPr>
        <w:t xml:space="preserve">Função renal:</w:t>
      </w:r>
      <w:r>
        <w:t xml:space="preserve"> </w:t>
      </w:r>
      <w:r>
        <w:t xml:space="preserve">com função renal comprometida, até a insuficiência renal terminal, os níveis sanguíneos após uma dose única não se alteraram de forma clinicamente relevante</w:t>
      </w:r>
      <w:r>
        <w:rPr>
          <w:rStyle w:val="FootnoteReference"/>
        </w:rPr>
        <w:footnoteReference w:id="715"/>
      </w:r>
      <w:r>
        <w:t xml:space="preserve">.</w:t>
      </w:r>
    </w:p>
    <w:p>
      <w:pPr>
        <w:pStyle w:val="FirstParagraph"/>
      </w:pPr>
      <w:r>
        <w:rPr>
          <w:bCs/>
          <w:b/>
        </w:rPr>
        <w:t xml:space="preserve">Ainda em aberto:</w:t>
      </w:r>
      <w:r>
        <w:t xml:space="preserve"> </w:t>
      </w:r>
      <w:r>
        <w:t xml:space="preserve">segurança a longo prazo, efeito sobre os ossos (receptor de calcitonina), massa muscular e sistema cardiovascular. Para os riscos de classe dos medicamentos GLP-1 (vesícula biliar, pâncreas), ainda há poucos anos de tratamento.</w:t>
      </w:r>
    </w:p>
    <w:p>
      <w:pPr>
        <w:pStyle w:val="BodyText"/>
      </w:pPr>
      <w:r>
        <w:rPr>
          <w:bCs/>
          <w:b/>
        </w:rPr>
        <w:t xml:space="preserve">Mercado cinza:</w:t>
      </w:r>
      <w:r>
        <w:t xml:space="preserve"> </w:t>
      </w:r>
      <w:r>
        <w:t xml:space="preserve">já antes do início da fase 3, a zenagamtida é oferecida na internet como</w:t>
      </w:r>
      <w:r>
        <w:t xml:space="preserve"> </w:t>
      </w:r>
      <w:r>
        <w:t xml:space="preserve">“</w:t>
      </w:r>
      <w:r>
        <w:t xml:space="preserve">research peptide</w:t>
      </w:r>
      <w:r>
        <w:t xml:space="preserve">”</w:t>
      </w:r>
      <w:r>
        <w:t xml:space="preserve">. Um relato na revista científica JAMA descreve um mercado clandestino crescente para as duas substâncias não aprovadas retatrutida e zenagamtida e os riscos associados</w:t>
      </w:r>
      <w:r>
        <w:rPr>
          <w:rStyle w:val="FootnoteReference"/>
        </w:rPr>
        <w:footnoteReference w:id="716"/>
      </w:r>
      <w:r>
        <w:t xml:space="preserve">. Quem usa esses produtos não conhece nem o conteúdo, nem a pureza, nem uma dosagem testada (veja a Parte I e a Parte IV).</w:t>
      </w:r>
    </w:p>
    <w:bookmarkEnd w:id="717"/>
    <w:bookmarkStart w:id="718" w:name="situação-legal-9"/>
    <w:p>
      <w:pPr>
        <w:pStyle w:val="Heading3"/>
      </w:pPr>
      <w:r>
        <w:t xml:space="preserve">Situação legal</w:t>
      </w:r>
    </w:p>
    <w:p>
      <w:pPr>
        <w:numPr>
          <w:ilvl w:val="0"/>
          <w:numId w:val="1088"/>
        </w:numPr>
        <w:pStyle w:val="Compact"/>
      </w:pPr>
      <w:r>
        <w:rPr>
          <w:bCs/>
          <w:b/>
        </w:rPr>
        <w:t xml:space="preserve">UE / Áustria / Alemanha:</w:t>
      </w:r>
      <w:r>
        <w:t xml:space="preserve"> </w:t>
      </w:r>
      <w:r>
        <w:t xml:space="preserve">não aprovada; uso apenas em estudos clínicos.</w:t>
      </w:r>
    </w:p>
    <w:p>
      <w:pPr>
        <w:numPr>
          <w:ilvl w:val="0"/>
          <w:numId w:val="1088"/>
        </w:numPr>
        <w:pStyle w:val="Compact"/>
      </w:pPr>
      <w:r>
        <w:rPr>
          <w:bCs/>
          <w:b/>
        </w:rPr>
        <w:t xml:space="preserve">EUA:</w:t>
      </w:r>
      <w:r>
        <w:t xml:space="preserve"> </w:t>
      </w:r>
      <w:r>
        <w:t xml:space="preserve">não aprovada.</w:t>
      </w:r>
    </w:p>
    <w:p>
      <w:pPr>
        <w:numPr>
          <w:ilvl w:val="0"/>
          <w:numId w:val="1088"/>
        </w:numPr>
        <w:pStyle w:val="Compact"/>
      </w:pPr>
      <w:r>
        <w:rPr>
          <w:bCs/>
          <w:b/>
        </w:rPr>
        <w:t xml:space="preserve">Esporte:</w:t>
      </w:r>
      <w:r>
        <w:t xml:space="preserve"> </w:t>
      </w:r>
      <w:r>
        <w:t xml:space="preserve">classe S0 da WADA (substância não aprovada), situação em 2026, verificar atualização.</w:t>
      </w:r>
    </w:p>
    <w:bookmarkEnd w:id="718"/>
    <w:bookmarkStart w:id="726" w:name="estudos-em-andamento-e-perspectivas-9"/>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89"/>
        </w:numPr>
        <w:pStyle w:val="Compact"/>
      </w:pPr>
      <w:r>
        <w:rPr>
          <w:bCs/>
          <w:b/>
        </w:rPr>
        <w:t xml:space="preserve">AMAZE 1</w:t>
      </w:r>
      <w:r>
        <w:rPr>
          <w:rStyle w:val="FootnoteReference"/>
        </w:rPr>
        <w:footnoteReference w:id="719"/>
      </w:r>
      <w:r>
        <w:t xml:space="preserve">: fase 3 com 1.150 adultos com sobrepeso/obesidade, forma injetável.</w:t>
      </w:r>
    </w:p>
    <w:p>
      <w:pPr>
        <w:numPr>
          <w:ilvl w:val="0"/>
          <w:numId w:val="1089"/>
        </w:numPr>
        <w:pStyle w:val="Compact"/>
      </w:pPr>
      <w:r>
        <w:rPr>
          <w:bCs/>
          <w:b/>
        </w:rPr>
        <w:t xml:space="preserve">AMAZE 2</w:t>
      </w:r>
      <w:r>
        <w:rPr>
          <w:rStyle w:val="FootnoteReference"/>
        </w:rPr>
        <w:footnoteReference w:id="720"/>
      </w:r>
      <w:r>
        <w:t xml:space="preserve">: sobrepeso com diabetes tipo 2.</w:t>
      </w:r>
    </w:p>
    <w:p>
      <w:pPr>
        <w:numPr>
          <w:ilvl w:val="0"/>
          <w:numId w:val="1089"/>
        </w:numPr>
        <w:pStyle w:val="Compact"/>
      </w:pPr>
      <w:r>
        <w:rPr>
          <w:bCs/>
          <w:b/>
        </w:rPr>
        <w:t xml:space="preserve">AMAZE 3 e 4</w:t>
      </w:r>
      <w:r>
        <w:rPr>
          <w:rStyle w:val="FootnoteReference"/>
        </w:rPr>
        <w:footnoteReference w:id="721"/>
      </w:r>
      <w:r>
        <w:t xml:space="preserve">: apneia do sono sem e com terapia com máscara respiratória, respectivamente.</w:t>
      </w:r>
    </w:p>
    <w:p>
      <w:pPr>
        <w:numPr>
          <w:ilvl w:val="0"/>
          <w:numId w:val="1089"/>
        </w:numPr>
        <w:pStyle w:val="Compact"/>
      </w:pPr>
      <w:r>
        <w:rPr>
          <w:bCs/>
          <w:b/>
        </w:rPr>
        <w:t xml:space="preserve">AMAZE 6</w:t>
      </w:r>
      <w:r>
        <w:rPr>
          <w:rStyle w:val="FootnoteReference"/>
        </w:rPr>
        <w:footnoteReference w:id="722"/>
      </w:r>
      <w:r>
        <w:t xml:space="preserve"> </w:t>
      </w:r>
      <w:r>
        <w:t xml:space="preserve">e outro estudo</w:t>
      </w:r>
      <w:r>
        <w:rPr>
          <w:rStyle w:val="FootnoteReference"/>
        </w:rPr>
        <w:footnoteReference w:id="723"/>
      </w:r>
      <w:r>
        <w:t xml:space="preserve">: artrose de joelho.</w:t>
      </w:r>
    </w:p>
    <w:p>
      <w:pPr>
        <w:numPr>
          <w:ilvl w:val="0"/>
          <w:numId w:val="1089"/>
        </w:numPr>
        <w:pStyle w:val="Compact"/>
      </w:pPr>
      <w:r>
        <w:rPr>
          <w:bCs/>
          <w:b/>
        </w:rPr>
        <w:t xml:space="preserve">AMAZE 9</w:t>
      </w:r>
      <w:r>
        <w:rPr>
          <w:rStyle w:val="FootnoteReference"/>
        </w:rPr>
        <w:footnoteReference w:id="724"/>
      </w:r>
      <w:r>
        <w:t xml:space="preserve">: forma em comprimido no sobrepeso.</w:t>
      </w:r>
    </w:p>
    <w:p>
      <w:pPr>
        <w:numPr>
          <w:ilvl w:val="0"/>
          <w:numId w:val="1089"/>
        </w:numPr>
        <w:pStyle w:val="Compact"/>
      </w:pPr>
      <w:r>
        <w:rPr>
          <w:bCs/>
          <w:b/>
        </w:rPr>
        <w:t xml:space="preserve">AMAZE 12</w:t>
      </w:r>
      <w:r>
        <w:rPr>
          <w:rStyle w:val="FootnoteReference"/>
        </w:rPr>
        <w:footnoteReference w:id="725"/>
      </w:r>
      <w:r>
        <w:t xml:space="preserve">: manutenção do peso após a perda.</w:t>
      </w:r>
    </w:p>
    <w:p>
      <w:pPr>
        <w:numPr>
          <w:ilvl w:val="0"/>
          <w:numId w:val="1089"/>
        </w:numPr>
        <w:pStyle w:val="Compact"/>
      </w:pPr>
      <w:r>
        <w:t xml:space="preserve">Comparação com semaglutida (NCT07668414; no diabetes tipo 2, NCT07400107) e com insulina glargina no diabetes tipo 2 (NCT07797335, AMBITION 7).</w:t>
      </w:r>
    </w:p>
    <w:p>
      <w:pPr>
        <w:numPr>
          <w:ilvl w:val="0"/>
          <w:numId w:val="1089"/>
        </w:numPr>
        <w:pStyle w:val="Compact"/>
      </w:pPr>
      <w:r>
        <w:t xml:space="preserve">Estudos de desfechos: insuficiência cardíaca com obesidade (NCT07567001, 5.610 participantes) e eventos cardiovasculares na aterosclerose (NCT07861100, 8.500 participantes previstos).</w:t>
      </w:r>
    </w:p>
    <w:p>
      <w:pPr>
        <w:pStyle w:val="FirstParagraph"/>
      </w:pPr>
      <w:r>
        <w:rPr>
          <w:bCs/>
          <w:b/>
        </w:rPr>
        <w:t xml:space="preserve">Avaliação:</w:t>
      </w:r>
      <w:r>
        <w:t xml:space="preserve"> </w:t>
      </w:r>
      <w:r>
        <w:t xml:space="preserve">com esse amplo programa de fase 3, a Novo Nordisk aposta claramente em fazer da amicretina/zenagamtida a sucessora da semaglutida. Resultados dos primeiros estudos de fase 3 são esperados no mínimo em 2027, e uma aprovação dificilmente antes de 2028. Se os números impressionantes do pequeno estudo de fase 1b/2a se manterão em grandes estudos, está em aberto.</w:t>
      </w:r>
    </w:p>
    <w:bookmarkEnd w:id="726"/>
    <w:bookmarkStart w:id="727" w:name="conclusão-9"/>
    <w:p>
      <w:pPr>
        <w:pStyle w:val="Heading3"/>
      </w:pPr>
      <w:r>
        <w:t xml:space="preserve">Conclusão</w:t>
      </w:r>
    </w:p>
    <w:p>
      <w:pPr>
        <w:pStyle w:val="FirstParagraph"/>
      </w:pPr>
      <w:r>
        <w:t xml:space="preserve">A amicretina – desde 2026, zenagamtida – é um único peptídeo que ativa simultaneamente os receptores de GLP-1 e de amilina e está sendo desenvolvida como injeção e como comprimido. Em um pequeno estudo de fase 1b/2a, o peso caiu até 24,3% após 36 semanas; em estudos de fase 2 no diabetes tipo 2, a HbA1c caiu até 1,7 ponto percentual. Os efeitos colaterais mais frequentes afetam o trato gastrointestinal. Os estudos de fase 3 começaram em 2026; até uma possível aprovação, a zenagamtida é apenas um medicamento experimental, e produtos do mercado cinza não são um substituto.</w:t>
      </w:r>
    </w:p>
    <w:bookmarkEnd w:id="727"/>
    <w:bookmarkEnd w:id="728"/>
    <w:bookmarkStart w:id="760" w:name="maridebarte-cafraglutida-maritide"/>
    <w:p>
      <w:pPr>
        <w:pStyle w:val="Heading2"/>
      </w:pPr>
      <w:r>
        <w:t xml:space="preserve">Maridebarte cafraglutida (MariTide)</w:t>
      </w:r>
    </w:p>
    <w:bookmarkStart w:id="729" w:name="ficha-técnica-10"/>
    <w:p>
      <w:pPr>
        <w:pStyle w:val="Heading3"/>
      </w:pPr>
      <w:r>
        <w:t xml:space="preserve">Ficha técnica</w:t>
      </w:r>
    </w:p>
    <w:p>
      <w:pPr>
        <w:numPr>
          <w:ilvl w:val="0"/>
          <w:numId w:val="1090"/>
        </w:numPr>
        <w:pStyle w:val="Compact"/>
      </w:pPr>
      <w:r>
        <w:rPr>
          <w:bCs/>
          <w:b/>
        </w:rPr>
        <w:t xml:space="preserve">Tipo/estrutura:</w:t>
      </w:r>
      <w:r>
        <w:t xml:space="preserve"> </w:t>
      </w:r>
      <w:r>
        <w:t xml:space="preserve">um chamado conjugado anticorpo-peptídeo. Um anticorpo monoclonal totalmente humano está ligado, por meio de curtos conectores de aminoácidos, a dois peptídeos semelhantes ao GLP-1. A rigor, portanto, o MariTide não é um peptídeo puro, mas um híbrido de anticorpo e peptídeo. Código de desenvolvimento AMG 133, nome abreviado MariTide.</w:t>
      </w:r>
    </w:p>
    <w:p>
      <w:pPr>
        <w:numPr>
          <w:ilvl w:val="0"/>
          <w:numId w:val="1090"/>
        </w:numPr>
        <w:pStyle w:val="Compact"/>
      </w:pPr>
      <w:r>
        <w:rPr>
          <w:bCs/>
          <w:b/>
        </w:rPr>
        <w:t xml:space="preserve">Origem:</w:t>
      </w:r>
      <w:r>
        <w:t xml:space="preserve"> </w:t>
      </w:r>
      <w:r>
        <w:t xml:space="preserve">desenvolvido pela Amgen.</w:t>
      </w:r>
    </w:p>
    <w:p>
      <w:pPr>
        <w:numPr>
          <w:ilvl w:val="0"/>
          <w:numId w:val="1090"/>
        </w:numPr>
        <w:pStyle w:val="Compact"/>
      </w:pPr>
      <w:r>
        <w:rPr>
          <w:bCs/>
          <w:b/>
        </w:rPr>
        <w:t xml:space="preserve">Princípio de ação:</w:t>
      </w:r>
      <w:r>
        <w:t xml:space="preserve"> </w:t>
      </w:r>
      <w:r>
        <w:t xml:space="preserve">a parte GLP-1</w:t>
      </w:r>
      <w:r>
        <w:t xml:space="preserve"> </w:t>
      </w:r>
      <w:r>
        <w:rPr>
          <w:bCs/>
          <w:b/>
        </w:rPr>
        <w:t xml:space="preserve">ativa</w:t>
      </w:r>
      <w:r>
        <w:t xml:space="preserve"> </w:t>
      </w:r>
      <w:r>
        <w:t xml:space="preserve">o receptor de GLP-1, e o anticorpo</w:t>
      </w:r>
      <w:r>
        <w:t xml:space="preserve"> </w:t>
      </w:r>
      <w:r>
        <w:rPr>
          <w:bCs/>
          <w:b/>
        </w:rPr>
        <w:t xml:space="preserve">bloqueia</w:t>
      </w:r>
      <w:r>
        <w:t xml:space="preserve"> </w:t>
      </w:r>
      <w:r>
        <w:t xml:space="preserve">o receptor de GIP (antagonista de GIPR). Isso é o oposto da tirzepatida, que ativa o receptor de GIP.</w:t>
      </w:r>
    </w:p>
    <w:p>
      <w:pPr>
        <w:numPr>
          <w:ilvl w:val="0"/>
          <w:numId w:val="1090"/>
        </w:numPr>
        <w:pStyle w:val="Compact"/>
      </w:pPr>
      <w:r>
        <w:rPr>
          <w:bCs/>
          <w:b/>
        </w:rPr>
        <w:t xml:space="preserve">Particularidade:</w:t>
      </w:r>
      <w:r>
        <w:t xml:space="preserve"> </w:t>
      </w:r>
      <w:r>
        <w:t xml:space="preserve">graças à parte de anticorpo, o MariTide age por muito tempo; está sendo estudada uma administração a cada quatro semanas ou com menos frequência.</w:t>
      </w:r>
    </w:p>
    <w:p>
      <w:pPr>
        <w:numPr>
          <w:ilvl w:val="0"/>
          <w:numId w:val="1090"/>
        </w:numPr>
        <w:pStyle w:val="Compact"/>
      </w:pPr>
      <w:r>
        <w:rPr>
          <w:bCs/>
          <w:b/>
        </w:rPr>
        <w:t xml:space="preserve">Aprovação UE / EUA:</w:t>
      </w:r>
      <w:r>
        <w:t xml:space="preserve"> </w:t>
      </w:r>
      <w:r>
        <w:t xml:space="preserve">não (situação em outubro de 2026).</w:t>
      </w:r>
    </w:p>
    <w:p>
      <w:pPr>
        <w:numPr>
          <w:ilvl w:val="0"/>
          <w:numId w:val="1090"/>
        </w:numPr>
        <w:pStyle w:val="Compact"/>
      </w:pPr>
      <w:r>
        <w:rPr>
          <w:bCs/>
          <w:b/>
        </w:rPr>
        <w:t xml:space="preserve">WADA:</w:t>
      </w:r>
      <w:r>
        <w:t xml:space="preserve"> </w:t>
      </w:r>
      <w:r>
        <w:t xml:space="preserve">por ser uma substância não aprovada, proibido sob S0.</w:t>
      </w:r>
    </w:p>
    <w:p>
      <w:pPr>
        <w:numPr>
          <w:ilvl w:val="0"/>
          <w:numId w:val="1090"/>
        </w:numPr>
        <w:pStyle w:val="Compact"/>
      </w:pPr>
      <w:r>
        <w:rPr>
          <w:bCs/>
          <w:b/>
        </w:rPr>
        <w:t xml:space="preserve">Nível de evidência:</w:t>
      </w:r>
      <w:r>
        <w:t xml:space="preserve"> </w:t>
      </w:r>
      <w:r>
        <w:rPr>
          <w:bCs/>
          <w:b/>
        </w:rPr>
        <w:t xml:space="preserve">B</w:t>
      </w:r>
      <w:r>
        <w:t xml:space="preserve"> </w:t>
      </w:r>
      <w:r>
        <w:t xml:space="preserve">– um grande estudo randomizado de fase 2; fase 3 em andamento.</w:t>
      </w:r>
    </w:p>
    <w:bookmarkEnd w:id="729"/>
    <w:bookmarkStart w:id="733" w:name="como-deveria-agir-10"/>
    <w:p>
      <w:pPr>
        <w:pStyle w:val="Heading3"/>
      </w:pPr>
      <w:r>
        <w:t xml:space="preserve">Como deveria agir</w:t>
      </w:r>
    </w:p>
    <w:p>
      <w:pPr>
        <w:pStyle w:val="FirstParagraph"/>
      </w:pPr>
      <w:r>
        <w:t xml:space="preserve">Com o GIP existe um paradoxo notável. A tirzepatida</w:t>
      </w:r>
      <w:r>
        <w:t xml:space="preserve"> </w:t>
      </w:r>
      <w:r>
        <w:rPr>
          <w:iCs/>
          <w:i/>
        </w:rPr>
        <w:t xml:space="preserve">ativa</w:t>
      </w:r>
      <w:r>
        <w:t xml:space="preserve"> </w:t>
      </w:r>
      <w:r>
        <w:t xml:space="preserve">o receptor de GIP e, junto com o GLP-1, alcança assim uma forte perda de peso. Ao mesmo tempo, estudos genéticos e experimentos com camundongos mostraram que também</w:t>
      </w:r>
      <w:r>
        <w:t xml:space="preserve"> </w:t>
      </w:r>
      <w:r>
        <w:rPr>
          <w:iCs/>
          <w:i/>
        </w:rPr>
        <w:t xml:space="preserve">bloquear</w:t>
      </w:r>
      <w:r>
        <w:t xml:space="preserve"> </w:t>
      </w:r>
      <w:r>
        <w:t xml:space="preserve">o receptor de GIP pode proteger contra o excesso de peso. Uma possível explicação: a ativação contínua do receptor faz com que a célula o desligue – no fim, ela passa a se parecer com um bloqueio. Isso não está definitivamente esclarecido; um estudo comparativo em camundongos verificou que ambas as abordagens reduziram a ingestão de alimentos e o peso no excesso de peso, mas diferiram em seus efeitos metabólicos: o agonista de GIP melhorou a tolerância à glicose, enquanto o antagonista tendeu a reduzir a sensibilidade à insulina</w:t>
      </w:r>
      <w:r>
        <w:rPr>
          <w:rStyle w:val="FootnoteReference"/>
        </w:rPr>
        <w:footnoteReference w:id="730"/>
      </w:r>
      <w:r>
        <w:t xml:space="preserve">.</w:t>
      </w:r>
    </w:p>
    <w:p>
      <w:pPr>
        <w:pStyle w:val="BodyText"/>
      </w:pPr>
      <w:r>
        <w:t xml:space="preserve">A Amgen aposta no bloqueio. O anticorpo contra o receptor de GIP faz, ao mesmo tempo, com que a molécula permaneça muito tempo no sangue – anticorpos são degradados lentamente. Em camundongos e macacos com excesso de peso, o AMG 133 reduziu o peso corporal e melhorou parâmetros metabólicos</w:t>
      </w:r>
      <w:r>
        <w:rPr>
          <w:rStyle w:val="FootnoteReference"/>
        </w:rPr>
        <w:footnoteReference w:id="731"/>
      </w:r>
      <w:r>
        <w:t xml:space="preserve">. O desenvolvimento químico até a molécula final foi descrito em 2026</w:t>
      </w:r>
      <w:r>
        <w:rPr>
          <w:rStyle w:val="FootnoteReference"/>
        </w:rPr>
        <w:footnoteReference w:id="732"/>
      </w:r>
      <w:r>
        <w:t xml:space="preserve">.</w:t>
      </w:r>
    </w:p>
    <w:bookmarkEnd w:id="733"/>
    <w:bookmarkStart w:id="738" w:name="estudos-em-humanos-10"/>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 estudos em humanos: um estudo de fase 1 e um de fase 2. No ClinicalTrials.gov havia 28 estudos registrados, entre eles o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com obesidade, doses únicas e múltiplas contra placebo</w:t>
            </w:r>
          </w:p>
        </w:tc>
        <w:tc>
          <w:tcPr/>
          <w:p>
            <w:pPr>
              <w:pStyle w:val="Compact"/>
              <w:jc w:val="left"/>
            </w:pPr>
            <w:r>
              <w:t xml:space="preserve">administração única e múltipla com acompanhamento</w:t>
            </w:r>
          </w:p>
        </w:tc>
        <w:tc>
          <w:tcPr/>
          <w:p>
            <w:pPr>
              <w:pStyle w:val="Compact"/>
              <w:jc w:val="left"/>
            </w:pPr>
            <w:r>
              <w:t xml:space="preserve">perda de peso dependente da dose, mantida até 150 dias após a última dose</w:t>
            </w:r>
          </w:p>
        </w:tc>
      </w:tr>
      <w:tr>
        <w:tc>
          <w:tcPr/>
          <w:p>
            <w:pPr>
              <w:pStyle w:val="Compact"/>
              <w:jc w:val="left"/>
            </w:pPr>
            <w:r>
              <w:t xml:space="preserve">Fase 2 (Jastreboff 2025), PMID 40549887</w:t>
            </w:r>
          </w:p>
        </w:tc>
        <w:tc>
          <w:tcPr/>
          <w:p>
            <w:pPr>
              <w:pStyle w:val="Compact"/>
              <w:jc w:val="left"/>
            </w:pPr>
            <w:r>
              <w:t xml:space="preserve">592 adultos com obesidade, com ou sem diabetes tipo 2; contra placebo</w:t>
            </w:r>
          </w:p>
        </w:tc>
        <w:tc>
          <w:tcPr/>
          <w:p>
            <w:pPr>
              <w:pStyle w:val="Compact"/>
              <w:jc w:val="left"/>
            </w:pPr>
            <w:r>
              <w:t xml:space="preserve">52 semanas</w:t>
            </w:r>
          </w:p>
        </w:tc>
        <w:tc>
          <w:tcPr/>
          <w:p>
            <w:pPr>
              <w:pStyle w:val="Compact"/>
              <w:jc w:val="left"/>
            </w:pPr>
            <w:r>
              <w:t xml:space="preserve">sem diabetes −12,3 a −16,2% vs. −2,5%; com diabetes −8,4 a −12,3% vs. −1,7%</w:t>
            </w:r>
          </w:p>
        </w:tc>
      </w:tr>
    </w:tbl>
    <w:bookmarkStart w:id="735" w:name="fase-1"/>
    <w:p>
      <w:pPr>
        <w:pStyle w:val="Heading4"/>
      </w:pPr>
      <w:r>
        <w:t xml:space="preserve">Fase 1</w:t>
      </w:r>
    </w:p>
    <w:p>
      <w:pPr>
        <w:pStyle w:val="FirstParagraph"/>
      </w:pPr>
      <w:r>
        <w:t xml:space="preserve">No primeiro estudo em humanos</w:t>
      </w:r>
      <w:r>
        <w:rPr>
          <w:rStyle w:val="FootnoteReference"/>
        </w:rPr>
        <w:footnoteReference w:id="734"/>
      </w:r>
      <w:r>
        <w:t xml:space="preserve">, o AMG 133 mostrou uma perda de peso dependente da dose com tolerabilidade aceitável. Chamou atenção a longa duração do efeito: nos grupos com administração múltipla, a perda de peso se manteve até 150 dias após a última dose.</w:t>
      </w:r>
    </w:p>
    <w:bookmarkEnd w:id="735"/>
    <w:bookmarkStart w:id="737" w:name="fase-2"/>
    <w:p>
      <w:pPr>
        <w:pStyle w:val="Heading4"/>
      </w:pPr>
      <w:r>
        <w:t xml:space="preserve">Fase 2</w:t>
      </w:r>
    </w:p>
    <w:p>
      <w:pPr>
        <w:pStyle w:val="FirstParagraph"/>
      </w:pPr>
      <w:r>
        <w:t xml:space="preserve">O estudo de fase 2</w:t>
      </w:r>
      <w:r>
        <w:rPr>
          <w:rStyle w:val="FootnoteReference"/>
        </w:rPr>
        <w:footnoteReference w:id="736"/>
      </w:r>
      <w:r>
        <w:t xml:space="preserve"> </w:t>
      </w:r>
      <w:r>
        <w:t xml:space="preserve">teve um desenho amplo: onze grupos em duas coortes, com diferentes doses, intervalos de administração (a cada quatro ou oito semanas) e com ou sem escalonamento lento da dose.</w:t>
      </w:r>
    </w:p>
    <w:p>
      <w:pPr>
        <w:numPr>
          <w:ilvl w:val="0"/>
          <w:numId w:val="1091"/>
        </w:numPr>
        <w:pStyle w:val="Compact"/>
      </w:pPr>
      <w:r>
        <w:rPr>
          <w:bCs/>
          <w:b/>
        </w:rPr>
        <w:t xml:space="preserve">Sem diabetes</w:t>
      </w:r>
      <w:r>
        <w:t xml:space="preserve"> </w:t>
      </w:r>
      <w:r>
        <w:t xml:space="preserve">(465 participantes, IMC médio de 37,9): após 52 semanas, a perda de peso foi, conforme o grupo, de 12,3 a 16,2%; com placebo, 2,5%. Essa análise considera todos os participantes, independentemente de interrupções do tratamento.</w:t>
      </w:r>
    </w:p>
    <w:p>
      <w:pPr>
        <w:numPr>
          <w:ilvl w:val="0"/>
          <w:numId w:val="1091"/>
        </w:numPr>
        <w:pStyle w:val="Compact"/>
      </w:pPr>
      <w:r>
        <w:rPr>
          <w:bCs/>
          <w:b/>
        </w:rPr>
        <w:t xml:space="preserve">Com diabetes tipo 2</w:t>
      </w:r>
      <w:r>
        <w:t xml:space="preserve"> </w:t>
      </w:r>
      <w:r>
        <w:t xml:space="preserve">(127 participantes): perda de peso de 8,4 a 12,3% contra 1,7%; a HbA1c caiu 1,2 a 1,6 ponto percentual (placebo +0,1).</w:t>
      </w:r>
    </w:p>
    <w:p>
      <w:pPr>
        <w:pStyle w:val="FirstParagraph"/>
      </w:pPr>
      <w:r>
        <w:t xml:space="preserve">Efeitos colaterais gastrointestinais foram frequentes, mas menos frequentes quando se começava com uma dose mais baixa e se aumentava lentamente. Segundo as autoras e autores, não surgiram sinais de segurança inesperados. Uma perda de peso de cerca de 16% após um ano está na faixa da semaglutida, mas abaixo da tirzepatida. A possível vantagem do MariTide é, portanto, menos a magnitude da perda e mais a administração pouco frequente.</w:t>
      </w:r>
    </w:p>
    <w:bookmarkEnd w:id="737"/>
    <w:bookmarkEnd w:id="738"/>
    <w:bookmarkStart w:id="741" w:name="estudos-em-animais-e-em-laboratório-10"/>
    <w:p>
      <w:pPr>
        <w:pStyle w:val="Heading3"/>
      </w:pPr>
      <w:r>
        <w:t xml:space="preserve">Estudos em animais e em laboratório</w:t>
      </w:r>
    </w:p>
    <w:p>
      <w:pPr>
        <w:pStyle w:val="FirstParagraph"/>
      </w:pPr>
      <w:r>
        <w:t xml:space="preserve">Em sistemas celulares, confirmou-se que o AMG 133 bloqueia o receptor de GIP e ativa o receptor de GLP-1. Em camundongos e macacos cinomolgos com excesso de peso, reduziu o peso corporal e melhorou marcadores metabólicos</w:t>
      </w:r>
      <w:r>
        <w:rPr>
          <w:rStyle w:val="FootnoteReference"/>
        </w:rPr>
        <w:footnoteReference w:id="739"/>
      </w:r>
      <w:r>
        <w:t xml:space="preserve">. Estudos comparativos em camundongos sobre bloqueio de GIP versus ativação de GIP mostram efeitos diferentes sobre a sensibilidade à insulina e o tecido adiposo</w:t>
      </w:r>
      <w:r>
        <w:rPr>
          <w:rStyle w:val="FootnoteReference"/>
        </w:rPr>
        <w:footnoteReference w:id="740"/>
      </w:r>
      <w:r>
        <w:t xml:space="preserve">. Todos esses achados vêm de experimentos com animais.</w:t>
      </w:r>
    </w:p>
    <w:bookmarkEnd w:id="741"/>
    <w:bookmarkStart w:id="745" w:name="riscos-e-efeitos-colaterais-10"/>
    <w:p>
      <w:pPr>
        <w:pStyle w:val="Heading3"/>
      </w:pPr>
      <w:r>
        <w:t xml:space="preserve">Riscos e efeitos colaterais</w:t>
      </w:r>
    </w:p>
    <w:p>
      <w:pPr>
        <w:pStyle w:val="FirstParagraph"/>
      </w:pPr>
      <w:r>
        <w:rPr>
          <w:bCs/>
          <w:b/>
        </w:rPr>
        <w:t xml:space="preserve">Comprovados em estudos:</w:t>
      </w:r>
    </w:p>
    <w:p>
      <w:pPr>
        <w:numPr>
          <w:ilvl w:val="0"/>
          <w:numId w:val="1092"/>
        </w:numPr>
        <w:pStyle w:val="Compact"/>
      </w:pPr>
      <w:r>
        <w:rPr>
          <w:bCs/>
          <w:b/>
        </w:rPr>
        <w:t xml:space="preserve">Queixas gastrointestinais</w:t>
      </w:r>
      <w:r>
        <w:t xml:space="preserve"> </w:t>
      </w:r>
      <w:r>
        <w:t xml:space="preserve">(náusea, vômitos) foram frequentes no estudo de fase 2, sobretudo com dose inicial alta sem escalonamento</w:t>
      </w:r>
      <w:r>
        <w:rPr>
          <w:rStyle w:val="FootnoteReference"/>
        </w:rPr>
        <w:footnoteReference w:id="742"/>
      </w:r>
      <w:r>
        <w:t xml:space="preserve">. Percentuais exatos não constam do resumo.</w:t>
      </w:r>
    </w:p>
    <w:p>
      <w:pPr>
        <w:pStyle w:val="FirstParagraph"/>
      </w:pPr>
      <w:r>
        <w:rPr>
          <w:bCs/>
          <w:b/>
        </w:rPr>
        <w:t xml:space="preserve">Questões específicas em aberto:</w:t>
      </w:r>
    </w:p>
    <w:p>
      <w:pPr>
        <w:numPr>
          <w:ilvl w:val="0"/>
          <w:numId w:val="1093"/>
        </w:numPr>
        <w:pStyle w:val="Compact"/>
      </w:pPr>
      <w:r>
        <w:rPr>
          <w:bCs/>
          <w:b/>
        </w:rPr>
        <w:t xml:space="preserve">Longa duração do efeito:</w:t>
      </w:r>
      <w:r>
        <w:t xml:space="preserve"> </w:t>
      </w:r>
      <w:r>
        <w:t xml:space="preserve">o que para muitos pacientes é considerado uma vantagem é uma desvantagem em caso de efeitos colaterais: um medicamento que permanece meses no corpo não pode ser suspenso rapidamente. No estudo de fase 1, o efeito se manteve até 150 dias após a última dose</w:t>
      </w:r>
      <w:r>
        <w:rPr>
          <w:rStyle w:val="FootnoteReference"/>
        </w:rPr>
        <w:footnoteReference w:id="743"/>
      </w:r>
      <w:r>
        <w:t xml:space="preserve">. Isso é relevante, por exemplo, em uma gravidez não planejada ou antes de cirurgias.</w:t>
      </w:r>
    </w:p>
    <w:p>
      <w:pPr>
        <w:numPr>
          <w:ilvl w:val="0"/>
          <w:numId w:val="1093"/>
        </w:numPr>
        <w:pStyle w:val="Compact"/>
      </w:pPr>
      <w:r>
        <w:rPr>
          <w:bCs/>
          <w:b/>
        </w:rPr>
        <w:t xml:space="preserve">Bloqueio de GIP:</w:t>
      </w:r>
      <w:r>
        <w:t xml:space="preserve"> </w:t>
      </w:r>
      <w:r>
        <w:t xml:space="preserve">quais consequências de longo prazo tem um bloqueio permanente do receptor de GIP – por exemplo, sobre ossos, tecido adiposo ou sensibilidade à insulina – é desconhecido em humanos. Em estudos com camundongos, um antagonista de GIP reduziu a sensibilidade à insulina em comparação com animais de controle com a mesma quantidade de ração</w:t>
      </w:r>
      <w:r>
        <w:rPr>
          <w:rStyle w:val="FootnoteReference"/>
        </w:rPr>
        <w:footnoteReference w:id="744"/>
      </w:r>
      <w:r>
        <w:t xml:space="preserve">.</w:t>
      </w:r>
    </w:p>
    <w:p>
      <w:pPr>
        <w:numPr>
          <w:ilvl w:val="0"/>
          <w:numId w:val="1093"/>
        </w:numPr>
        <w:pStyle w:val="Compact"/>
      </w:pPr>
      <w:r>
        <w:rPr>
          <w:bCs/>
          <w:b/>
        </w:rPr>
        <w:t xml:space="preserve">Formação de anticorpos:</w:t>
      </w:r>
      <w:r>
        <w:t xml:space="preserve"> </w:t>
      </w:r>
      <w:r>
        <w:t xml:space="preserve">com medicamentos à base de anticorpos, o sistema imunológico pode formar anticorpos contra o medicamento. Dados de grandes estudos sobre isso estão pendentes.</w:t>
      </w:r>
    </w:p>
    <w:p>
      <w:pPr>
        <w:numPr>
          <w:ilvl w:val="0"/>
          <w:numId w:val="1093"/>
        </w:numPr>
        <w:pStyle w:val="Compact"/>
      </w:pPr>
      <w:r>
        <w:t xml:space="preserve">Os riscos de classe conhecidos dos medicamentos GLP-1 (vesícula biliar, pâncreas) ainda não foram suficientemente estudados para o MariTide.</w:t>
      </w:r>
    </w:p>
    <w:bookmarkEnd w:id="745"/>
    <w:bookmarkStart w:id="746" w:name="situação-legal-10"/>
    <w:p>
      <w:pPr>
        <w:pStyle w:val="Heading3"/>
      </w:pPr>
      <w:r>
        <w:t xml:space="preserve">Situação legal</w:t>
      </w:r>
    </w:p>
    <w:p>
      <w:pPr>
        <w:numPr>
          <w:ilvl w:val="0"/>
          <w:numId w:val="1094"/>
        </w:numPr>
        <w:pStyle w:val="Compact"/>
      </w:pPr>
      <w:r>
        <w:rPr>
          <w:bCs/>
          <w:b/>
        </w:rPr>
        <w:t xml:space="preserve">UE / Áustria / Alemanha:</w:t>
      </w:r>
      <w:r>
        <w:t xml:space="preserve"> </w:t>
      </w:r>
      <w:r>
        <w:t xml:space="preserve">não aprovado; uso apenas em estudos clínicos. Como se trata de um produto biotecnológico complexo, uma imitação no mercado cinza é bem mais difícil do que no caso de peptídeos pequenos.</w:t>
      </w:r>
    </w:p>
    <w:p>
      <w:pPr>
        <w:numPr>
          <w:ilvl w:val="0"/>
          <w:numId w:val="1094"/>
        </w:numPr>
        <w:pStyle w:val="Compact"/>
      </w:pPr>
      <w:r>
        <w:rPr>
          <w:bCs/>
          <w:b/>
        </w:rPr>
        <w:t xml:space="preserve">EUA:</w:t>
      </w:r>
      <w:r>
        <w:t xml:space="preserve"> </w:t>
      </w:r>
      <w:r>
        <w:t xml:space="preserve">não aprovado.</w:t>
      </w:r>
    </w:p>
    <w:p>
      <w:pPr>
        <w:numPr>
          <w:ilvl w:val="0"/>
          <w:numId w:val="1094"/>
        </w:numPr>
        <w:pStyle w:val="Compact"/>
      </w:pPr>
      <w:r>
        <w:rPr>
          <w:bCs/>
          <w:b/>
        </w:rPr>
        <w:t xml:space="preserve">Esporte:</w:t>
      </w:r>
      <w:r>
        <w:t xml:space="preserve"> </w:t>
      </w:r>
      <w:r>
        <w:t xml:space="preserve">classe S0 da WADA (substância não aprovada), situação em 2026, verificar atualização.</w:t>
      </w:r>
    </w:p>
    <w:bookmarkEnd w:id="746"/>
    <w:bookmarkStart w:id="758" w:name="estudos-em-andamento-e-perspectivas-10"/>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095"/>
        </w:numPr>
        <w:pStyle w:val="Compact"/>
      </w:pPr>
      <w:r>
        <w:rPr>
          <w:bCs/>
          <w:b/>
        </w:rPr>
        <w:t xml:space="preserve">Controle de peso sem diabetes</w:t>
      </w:r>
      <w:r>
        <w:rPr>
          <w:rStyle w:val="FootnoteReference"/>
        </w:rPr>
        <w:footnoteReference w:id="747"/>
      </w:r>
      <w:r>
        <w:t xml:space="preserve">: fase 3 com 3.853 participantes, término previsto em 2027.</w:t>
      </w:r>
    </w:p>
    <w:p>
      <w:pPr>
        <w:numPr>
          <w:ilvl w:val="0"/>
          <w:numId w:val="1095"/>
        </w:numPr>
        <w:pStyle w:val="Compact"/>
      </w:pPr>
      <w:r>
        <w:rPr>
          <w:bCs/>
          <w:b/>
        </w:rPr>
        <w:t xml:space="preserve">Controle de peso com diabetes tipo 2</w:t>
      </w:r>
      <w:r>
        <w:rPr>
          <w:rStyle w:val="FootnoteReference"/>
        </w:rPr>
        <w:footnoteReference w:id="748"/>
      </w:r>
      <w:r>
        <w:t xml:space="preserve">: fase 3 com 1.105 participantes.</w:t>
      </w:r>
    </w:p>
    <w:p>
      <w:pPr>
        <w:numPr>
          <w:ilvl w:val="0"/>
          <w:numId w:val="1095"/>
        </w:numPr>
        <w:pStyle w:val="Compact"/>
      </w:pPr>
      <w:r>
        <w:rPr>
          <w:bCs/>
          <w:b/>
        </w:rPr>
        <w:t xml:space="preserve">Estudo de desfechos cardiovasculares</w:t>
      </w:r>
      <w:r>
        <w:rPr>
          <w:rStyle w:val="FootnoteReference"/>
        </w:rPr>
        <w:footnoteReference w:id="749"/>
      </w:r>
      <w:r>
        <w:t xml:space="preserve"> </w:t>
      </w:r>
      <w:r>
        <w:t xml:space="preserve">com 12.800 participantes e</w:t>
      </w:r>
      <w:r>
        <w:t xml:space="preserve"> </w:t>
      </w:r>
      <w:r>
        <w:rPr>
          <w:bCs/>
          <w:b/>
        </w:rPr>
        <w:t xml:space="preserve">estudo de insuficiência cardíaca</w:t>
      </w:r>
      <w:r>
        <w:rPr>
          <w:rStyle w:val="FootnoteReference"/>
        </w:rPr>
        <w:footnoteReference w:id="750"/>
      </w:r>
      <w:r>
        <w:t xml:space="preserve"> </w:t>
      </w:r>
      <w:r>
        <w:t xml:space="preserve">com 5.056 participantes, ambos até 2030.</w:t>
      </w:r>
    </w:p>
    <w:p>
      <w:pPr>
        <w:numPr>
          <w:ilvl w:val="0"/>
          <w:numId w:val="1095"/>
        </w:numPr>
        <w:pStyle w:val="Compact"/>
      </w:pPr>
      <w:r>
        <w:rPr>
          <w:bCs/>
          <w:b/>
        </w:rPr>
        <w:t xml:space="preserve">Apneia do sono</w:t>
      </w:r>
      <w:r>
        <w:t xml:space="preserve"> </w:t>
      </w:r>
      <w:r>
        <w:t xml:space="preserve">sem e com máscara respiratória</w:t>
      </w:r>
      <w:r>
        <w:rPr>
          <w:rStyle w:val="FootnoteReference"/>
        </w:rPr>
        <w:footnoteReference w:id="751"/>
      </w:r>
      <w:r>
        <w:t xml:space="preserve">.</w:t>
      </w:r>
    </w:p>
    <w:p>
      <w:pPr>
        <w:numPr>
          <w:ilvl w:val="0"/>
          <w:numId w:val="1095"/>
        </w:numPr>
        <w:pStyle w:val="Compact"/>
      </w:pPr>
      <w:r>
        <w:rPr>
          <w:bCs/>
          <w:b/>
        </w:rPr>
        <w:t xml:space="preserve">Comparação com semaglutida</w:t>
      </w:r>
      <w:r>
        <w:t xml:space="preserve"> </w:t>
      </w:r>
      <w:r>
        <w:t xml:space="preserve">no diabetes tipo 2</w:t>
      </w:r>
      <w:r>
        <w:rPr>
          <w:rStyle w:val="FootnoteReference"/>
        </w:rPr>
        <w:footnoteReference w:id="752"/>
      </w:r>
      <w:r>
        <w:t xml:space="preserve">, troca a partir de outros medicamentos GLP-1</w:t>
      </w:r>
      <w:r>
        <w:rPr>
          <w:rStyle w:val="FootnoteReference"/>
        </w:rPr>
        <w:footnoteReference w:id="753"/>
      </w:r>
      <w:r>
        <w:t xml:space="preserve">, Japão</w:t>
      </w:r>
      <w:r>
        <w:rPr>
          <w:rStyle w:val="FootnoteReference"/>
        </w:rPr>
        <w:footnoteReference w:id="754"/>
      </w:r>
      <w:r>
        <w:t xml:space="preserve">, fígado gorduroso (NCT07441252, fase 2).</w:t>
      </w:r>
    </w:p>
    <w:p>
      <w:pPr>
        <w:numPr>
          <w:ilvl w:val="0"/>
          <w:numId w:val="1095"/>
        </w:numPr>
        <w:pStyle w:val="Compact"/>
      </w:pPr>
      <w:r>
        <w:t xml:space="preserve">Estudos de fase 1 sobre esvaziamento gástrico</w:t>
      </w:r>
      <w:r>
        <w:rPr>
          <w:rStyle w:val="FootnoteReference"/>
        </w:rPr>
        <w:footnoteReference w:id="755"/>
      </w:r>
      <w:r>
        <w:t xml:space="preserve">, ritmo cardíaco</w:t>
      </w:r>
      <w:r>
        <w:rPr>
          <w:rStyle w:val="FootnoteReference"/>
        </w:rPr>
        <w:footnoteReference w:id="756"/>
      </w:r>
      <w:r>
        <w:t xml:space="preserve"> </w:t>
      </w:r>
      <w:r>
        <w:t xml:space="preserve">e interações com a pílula anticoncepcional</w:t>
      </w:r>
      <w:r>
        <w:rPr>
          <w:rStyle w:val="FootnoteReference"/>
        </w:rPr>
        <w:footnoteReference w:id="757"/>
      </w:r>
      <w:r>
        <w:t xml:space="preserve">.</w:t>
      </w:r>
    </w:p>
    <w:p>
      <w:pPr>
        <w:pStyle w:val="FirstParagraph"/>
      </w:pPr>
      <w:r>
        <w:rPr>
          <w:bCs/>
          <w:b/>
        </w:rPr>
        <w:t xml:space="preserve">Avaliação:</w:t>
      </w:r>
      <w:r>
        <w:t xml:space="preserve"> </w:t>
      </w:r>
      <w:r>
        <w:t xml:space="preserve">o MariTide representa um conceito diferente da família da tirzepatida – menos injeções em vez de perda de peso máxima. Para pessoas que precisam de tratamento contínuo, uma administração mensal ou ainda menos frequente poderia melhorar a adesão ao tratamento. Se o conceito de bloqueio de GIP é seguro a longo prazo, os grandes estudos de fase 3 precisam mostrar. Uma aprovação é realista no mínimo a partir de 2028.</w:t>
      </w:r>
    </w:p>
    <w:bookmarkEnd w:id="758"/>
    <w:bookmarkStart w:id="759" w:name="conclusão-10"/>
    <w:p>
      <w:pPr>
        <w:pStyle w:val="Heading3"/>
      </w:pPr>
      <w:r>
        <w:t xml:space="preserve">Conclusão</w:t>
      </w:r>
    </w:p>
    <w:p>
      <w:pPr>
        <w:pStyle w:val="FirstParagraph"/>
      </w:pPr>
      <w:r>
        <w:t xml:space="preserve">A maridebarte cafraglutida é um conjugado anticorpo-peptídeo que ativa o receptor de GLP-1 e bloqueia o receptor de GIP, e é administrada apenas uma vez por mês ou com menos frequência. No estudo de fase 2, o peso corporal caiu após 52 semanas até 16,2% sem e até 12,3% com diabetes tipo 2. Queixas gastrointestinais são frequentes e dependem fortemente do escalonamento da dose; a longa duração do efeito é ao mesmo tempo vantagem e risco. O programa de fase 3, com estudos de desfechos sobre doenças cardiovasculares e insuficiência cardíaca, está em andamento.</w:t>
      </w:r>
    </w:p>
    <w:bookmarkEnd w:id="759"/>
    <w:bookmarkEnd w:id="760"/>
    <w:bookmarkStart w:id="793" w:name="pranlintida"/>
    <w:p>
      <w:pPr>
        <w:pStyle w:val="Heading2"/>
      </w:pPr>
      <w:r>
        <w:t xml:space="preserve">Pranlintida</w:t>
      </w:r>
    </w:p>
    <w:bookmarkStart w:id="761" w:name="ficha-técnica-11"/>
    <w:p>
      <w:pPr>
        <w:pStyle w:val="Heading3"/>
      </w:pPr>
      <w:r>
        <w:t xml:space="preserve">Ficha técnica</w:t>
      </w:r>
    </w:p>
    <w:p>
      <w:pPr>
        <w:numPr>
          <w:ilvl w:val="0"/>
          <w:numId w:val="1096"/>
        </w:numPr>
        <w:pStyle w:val="Compact"/>
      </w:pPr>
      <w:r>
        <w:rPr>
          <w:bCs/>
          <w:b/>
        </w:rPr>
        <w:t xml:space="preserve">Tipo/estrutura:</w:t>
      </w:r>
      <w:r>
        <w:t xml:space="preserve"> </w:t>
      </w:r>
      <w:r>
        <w:t xml:space="preserve">análogo sintético do hormônio humano amilina, com 37 aminoácidos. Em três posições, aminoácidos foram substituídos (segundo o modelo da amilina de rato), para que a molécula não se aglomere como a amilina humana natural. Age apenas por pouco tempo e é injetada antes das refeições principais.</w:t>
      </w:r>
    </w:p>
    <w:p>
      <w:pPr>
        <w:numPr>
          <w:ilvl w:val="0"/>
          <w:numId w:val="1096"/>
        </w:numPr>
        <w:pStyle w:val="Compact"/>
      </w:pPr>
      <w:r>
        <w:rPr>
          <w:bCs/>
          <w:b/>
        </w:rPr>
        <w:t xml:space="preserve">Origem:</w:t>
      </w:r>
      <w:r>
        <w:t xml:space="preserve"> </w:t>
      </w:r>
      <w:r>
        <w:t xml:space="preserve">desenvolvida pela Amylin Pharmaceuticals; hoje faz parte do portfólio da AstraZeneca. Nome comercial nos EUA: Symlin.</w:t>
      </w:r>
    </w:p>
    <w:p>
      <w:pPr>
        <w:numPr>
          <w:ilvl w:val="0"/>
          <w:numId w:val="1096"/>
        </w:numPr>
        <w:pStyle w:val="Compact"/>
      </w:pPr>
      <w:r>
        <w:rPr>
          <w:bCs/>
          <w:b/>
        </w:rPr>
        <w:t xml:space="preserve">Princípio de ação:</w:t>
      </w:r>
      <w:r>
        <w:t xml:space="preserve"> </w:t>
      </w:r>
      <w:r>
        <w:t xml:space="preserve">agonista dos receptores de amilina – retarda o esvaziamento gástrico, atenua a liberação de glucagon após as refeições e favorece a sensação de saciedade.</w:t>
      </w:r>
    </w:p>
    <w:p>
      <w:pPr>
        <w:numPr>
          <w:ilvl w:val="0"/>
          <w:numId w:val="1096"/>
        </w:numPr>
        <w:pStyle w:val="Compact"/>
      </w:pPr>
      <w:r>
        <w:rPr>
          <w:bCs/>
          <w:b/>
        </w:rPr>
        <w:t xml:space="preserve">Aprovação UE:</w:t>
      </w:r>
      <w:r>
        <w:t xml:space="preserve"> </w:t>
      </w:r>
      <w:r>
        <w:t xml:space="preserve">não – a pranlintida nunca foi aprovada na UE.</w:t>
      </w:r>
    </w:p>
    <w:p>
      <w:pPr>
        <w:numPr>
          <w:ilvl w:val="0"/>
          <w:numId w:val="1096"/>
        </w:numPr>
        <w:pStyle w:val="Compact"/>
      </w:pPr>
      <w:r>
        <w:rPr>
          <w:bCs/>
          <w:b/>
        </w:rPr>
        <w:t xml:space="preserve">Aprovação EUA:</w:t>
      </w:r>
      <w:r>
        <w:t xml:space="preserve"> </w:t>
      </w:r>
      <w:r>
        <w:t xml:space="preserve">sim, desde 2005, como complemento à insulina prandial no diabetes tipo 1 e tipo 2.</w:t>
      </w:r>
    </w:p>
    <w:p>
      <w:pPr>
        <w:numPr>
          <w:ilvl w:val="0"/>
          <w:numId w:val="1096"/>
        </w:numPr>
        <w:pStyle w:val="Compact"/>
      </w:pPr>
      <w:r>
        <w:rPr>
          <w:bCs/>
          <w:b/>
        </w:rPr>
        <w:t xml:space="preserve">WADA:</w:t>
      </w:r>
      <w:r>
        <w:t xml:space="preserve"> </w:t>
      </w:r>
      <w:r>
        <w:t xml:space="preserve">não listada nominalmente; devido à aprovação nos EUA, não se enquadra na S0.</w:t>
      </w:r>
    </w:p>
    <w:p>
      <w:pPr>
        <w:numPr>
          <w:ilvl w:val="0"/>
          <w:numId w:val="1096"/>
        </w:numPr>
        <w:pStyle w:val="Compact"/>
      </w:pPr>
      <w:r>
        <w:rPr>
          <w:bCs/>
          <w:b/>
        </w:rPr>
        <w:t xml:space="preserve">Nível de evidência:</w:t>
      </w:r>
      <w:r>
        <w:t xml:space="preserve"> </w:t>
      </w:r>
      <w:r>
        <w:rPr>
          <w:bCs/>
          <w:b/>
        </w:rPr>
        <w:t xml:space="preserve">A</w:t>
      </w:r>
      <w:r>
        <w:t xml:space="preserve"> </w:t>
      </w:r>
      <w:r>
        <w:t xml:space="preserve">– vários grandes estudos randomizados, aprovação nos EUA.</w:t>
      </w:r>
    </w:p>
    <w:bookmarkEnd w:id="761"/>
    <w:bookmarkStart w:id="763" w:name="como-deveria-agir-11"/>
    <w:p>
      <w:pPr>
        <w:pStyle w:val="Heading3"/>
      </w:pPr>
      <w:r>
        <w:t xml:space="preserve">Como deveria agir</w:t>
      </w:r>
    </w:p>
    <w:p>
      <w:pPr>
        <w:pStyle w:val="FirstParagraph"/>
      </w:pPr>
      <w:r>
        <w:t xml:space="preserve">As células beta do pâncreas não liberam apenas insulina, mas, no mesmo ritmo, também amilina. No diabetes tipo 1, as células beta estão destruídas – faltam, portanto, os dois hormônios, mas em geral apenas a insulina é reposta. Também no diabetes tipo 2 avançado a liberação de amilina está reduzida.</w:t>
      </w:r>
    </w:p>
    <w:p>
      <w:pPr>
        <w:pStyle w:val="BodyText"/>
      </w:pPr>
      <w:r>
        <w:t xml:space="preserve">Após as refeições, a amilina age em três direções: retarda o esvaziamento gástrico, de modo que o açúcar chega mais devagar ao sangue; atenua a liberação de glucagon, que no diabetes costuma ser inadequadamente alta após as refeições; e favorece, pelo tronco encefálico, a sensação de saciedade. A pranlintida deveria repor esse efeito ausente e assim suavizar os picos de glicemia após as refeições. Que ela retarda o esvaziamento gástrico foi mostrado, entre outros, em um pequeno estudo com doze pessoas com diabetes tipo 1 e tipo 2: o tempo até que metade de uma refeição sólida deixasse o estômago aumentou de 91 para 268 a 329 minutos</w:t>
      </w:r>
      <w:r>
        <w:rPr>
          <w:rStyle w:val="FootnoteReference"/>
        </w:rPr>
        <w:footnoteReference w:id="762"/>
      </w:r>
      <w:r>
        <w:t xml:space="preserve">.</w:t>
      </w:r>
    </w:p>
    <w:p>
      <w:pPr>
        <w:pStyle w:val="BodyText"/>
      </w:pPr>
      <w:r>
        <w:t xml:space="preserve">A pranlintida tem importância histórica: foi o primeiro medicamento à base de amilina e é considerada precursora das atuais substâncias de amilina de ação prolongada, como a cagrilintida e a amicretina (veja esses capítulos). Sua grande desvantagem prática é a curta duração do efeito, que exige várias injeções por dia.</w:t>
      </w:r>
    </w:p>
    <w:bookmarkEnd w:id="763"/>
    <w:bookmarkStart w:id="778" w:name="estudos-em-humanos-11"/>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76 estudos em humanos, predominantemente dos anos de 1996 a 2010, além de algumas metanálises. No ClinicalTrials.gov havia 64 estudos registrados, quase todos concluídos; estudos novos dizem respeito sobretudo a</w:t>
      </w:r>
      <w:r>
        <w:t xml:space="preserve"> </w:t>
      </w:r>
      <w:r>
        <w:t xml:space="preserve">“</w:t>
      </w:r>
      <w:r>
        <w:t xml:space="preserve">pâncreas artificiais</w:t>
      </w:r>
      <w:r>
        <w:t xml:space="preserve">”</w:t>
      </w:r>
      <w:r>
        <w:t xml:space="preserve"> </w:t>
      </w:r>
      <w:r>
        <w:t xml:space="preserve">e à pesquisa sobre enxaqueca.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com diabetes tipo 1, contra placebo</w:t>
            </w:r>
          </w:p>
        </w:tc>
        <w:tc>
          <w:tcPr/>
          <w:p>
            <w:pPr>
              <w:pStyle w:val="Compact"/>
              <w:jc w:val="left"/>
            </w:pPr>
            <w:r>
              <w:t xml:space="preserve">52 semanas (+1 ano aberto)</w:t>
            </w:r>
          </w:p>
        </w:tc>
        <w:tc>
          <w:tcPr/>
          <w:p>
            <w:pPr>
              <w:pStyle w:val="Compact"/>
              <w:jc w:val="left"/>
            </w:pPr>
            <w:r>
              <w:t xml:space="preserve">HbA1c −0,67 vs. −0,16 após 13 semanas; perda de peso em vez de ganho</w:t>
            </w:r>
          </w:p>
        </w:tc>
      </w:tr>
      <w:tr>
        <w:tc>
          <w:tcPr/>
          <w:p>
            <w:pPr>
              <w:pStyle w:val="Compact"/>
              <w:jc w:val="left"/>
            </w:pPr>
            <w:r>
              <w:t xml:space="preserve">Ratner 2004, PMID 15498087</w:t>
            </w:r>
          </w:p>
        </w:tc>
        <w:tc>
          <w:tcPr/>
          <w:p>
            <w:pPr>
              <w:pStyle w:val="Compact"/>
              <w:jc w:val="left"/>
            </w:pPr>
            <w:r>
              <w:t xml:space="preserve">651 adultos com diabetes tipo 1, contra placebo</w:t>
            </w:r>
          </w:p>
        </w:tc>
        <w:tc>
          <w:tcPr/>
          <w:p>
            <w:pPr>
              <w:pStyle w:val="Compact"/>
              <w:jc w:val="left"/>
            </w:pPr>
            <w:r>
              <w:t xml:space="preserve">52 semanas</w:t>
            </w:r>
          </w:p>
        </w:tc>
        <w:tc>
          <w:tcPr/>
          <w:p>
            <w:pPr>
              <w:pStyle w:val="Compact"/>
              <w:jc w:val="left"/>
            </w:pPr>
            <w:r>
              <w:t xml:space="preserve">HbA1c −0,29 a −0,34 vs. −0,04; peso −0,4 kg vs. +0,8 kg</w:t>
            </w:r>
          </w:p>
        </w:tc>
      </w:tr>
      <w:tr>
        <w:tc>
          <w:tcPr/>
          <w:p>
            <w:pPr>
              <w:pStyle w:val="Compact"/>
              <w:jc w:val="left"/>
            </w:pPr>
            <w:r>
              <w:t xml:space="preserve">Hollander 2003, PMID 12610038</w:t>
            </w:r>
          </w:p>
        </w:tc>
        <w:tc>
          <w:tcPr/>
          <w:p>
            <w:pPr>
              <w:pStyle w:val="Compact"/>
              <w:jc w:val="left"/>
            </w:pPr>
            <w:r>
              <w:t xml:space="preserve">656 adultos com diabetes tipo 2 tratado com insulina, contra placebo</w:t>
            </w:r>
          </w:p>
        </w:tc>
        <w:tc>
          <w:tcPr/>
          <w:p>
            <w:pPr>
              <w:pStyle w:val="Compact"/>
              <w:jc w:val="left"/>
            </w:pPr>
            <w:r>
              <w:t xml:space="preserve">52 semanas</w:t>
            </w:r>
          </w:p>
        </w:tc>
        <w:tc>
          <w:tcPr/>
          <w:p>
            <w:pPr>
              <w:pStyle w:val="Compact"/>
              <w:jc w:val="left"/>
            </w:pPr>
            <w:r>
              <w:t xml:space="preserve">HbA1c −0,62 (semana 52); peso −1,4 kg vs. +0,7 kg</w:t>
            </w:r>
          </w:p>
        </w:tc>
      </w:tr>
      <w:tr>
        <w:tc>
          <w:tcPr/>
          <w:p>
            <w:pPr>
              <w:pStyle w:val="Compact"/>
              <w:jc w:val="left"/>
            </w:pPr>
            <w:r>
              <w:t xml:space="preserve">Edelman 2006, PMID 17003291</w:t>
            </w:r>
          </w:p>
        </w:tc>
        <w:tc>
          <w:tcPr/>
          <w:p>
            <w:pPr>
              <w:pStyle w:val="Compact"/>
              <w:jc w:val="left"/>
            </w:pPr>
            <w:r>
              <w:t xml:space="preserve">296 adultos com diabetes tipo 1, insulinoterapia intensificada</w:t>
            </w:r>
          </w:p>
        </w:tc>
        <w:tc>
          <w:tcPr/>
          <w:p>
            <w:pPr>
              <w:pStyle w:val="Compact"/>
              <w:jc w:val="left"/>
            </w:pPr>
            <w:r>
              <w:t xml:space="preserve">29 semanas</w:t>
            </w:r>
          </w:p>
        </w:tc>
        <w:tc>
          <w:tcPr/>
          <w:p>
            <w:pPr>
              <w:pStyle w:val="Compact"/>
              <w:jc w:val="left"/>
            </w:pPr>
            <w:r>
              <w:t xml:space="preserve">HbA1c igual (−0,5 ambos); peso −1,3 vs. +1,2 kg; insulina −28%</w:t>
            </w:r>
          </w:p>
        </w:tc>
      </w:tr>
      <w:tr>
        <w:tc>
          <w:tcPr/>
          <w:p>
            <w:pPr>
              <w:pStyle w:val="Compact"/>
              <w:jc w:val="left"/>
            </w:pPr>
            <w:r>
              <w:t xml:space="preserve">Riddle 2007, PMID 17698615</w:t>
            </w:r>
          </w:p>
        </w:tc>
        <w:tc>
          <w:tcPr/>
          <w:p>
            <w:pPr>
              <w:pStyle w:val="Compact"/>
              <w:jc w:val="left"/>
            </w:pPr>
            <w:r>
              <w:t xml:space="preserve">212 adultos com diabetes tipo 2 e insulina basal, contra placebo</w:t>
            </w:r>
          </w:p>
        </w:tc>
        <w:tc>
          <w:tcPr/>
          <w:p>
            <w:pPr>
              <w:pStyle w:val="Compact"/>
              <w:jc w:val="left"/>
            </w:pPr>
            <w:r>
              <w:t xml:space="preserve">16 semanas</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adultos com obesidade, com programa de estilo de vida</w:t>
            </w:r>
          </w:p>
        </w:tc>
        <w:tc>
          <w:tcPr/>
          <w:p>
            <w:pPr>
              <w:pStyle w:val="Compact"/>
              <w:jc w:val="left"/>
            </w:pPr>
            <w:r>
              <w:t xml:space="preserve">4 meses (+8 meses)</w:t>
            </w:r>
          </w:p>
        </w:tc>
        <w:tc>
          <w:tcPr/>
          <w:p>
            <w:pPr>
              <w:pStyle w:val="Compact"/>
              <w:jc w:val="left"/>
            </w:pPr>
            <w:r>
              <w:t xml:space="preserve">após 12 meses, descontado o placebo, até −7,2 kg</w:t>
            </w:r>
          </w:p>
        </w:tc>
      </w:tr>
    </w:tbl>
    <w:bookmarkStart w:id="765" w:name="diabetes-tipo-1"/>
    <w:p>
      <w:pPr>
        <w:pStyle w:val="Heading4"/>
      </w:pPr>
      <w:r>
        <w:t xml:space="preserve">Diabetes tipo 1</w:t>
      </w:r>
    </w:p>
    <w:p>
      <w:pPr>
        <w:pStyle w:val="FirstParagraph"/>
      </w:pPr>
      <w:r>
        <w:t xml:space="preserve">Os grandes estudos de aprovação duraram um ano. No estudo de Whitehouse (2002, PMID 11919132), com 480 pessoas com diabetes tipo 1, a HbA1c caiu após 13 semanas 0,67 ponto percentual contra 0,16 com placebo; a diferença permaneceu estatisticamente significativa até a semana 52. Os participantes, em média, perderam peso em vez de ganhar, e a taxa total de hipoglicemias graves não aumentou. No estudo de Ratner (2004, PMID 15498087), com 651 participantes, o efeito foi menor: −0,29 e −0,34 ponto percentual, respectivamente, contra −0,04.</w:t>
      </w:r>
    </w:p>
    <w:p>
      <w:pPr>
        <w:pStyle w:val="BodyText"/>
      </w:pPr>
      <w:r>
        <w:t xml:space="preserve">Esses efeitos são modestos. Uma metanálise em rede de todos os medicamentos adjuvantes no diabetes tipo 1, com 58 estudos, avaliou a confiabilidade da evidência predominantemente como moderada a muito baixa e verificou que a pranlintida – como os agonistas de GLP-1 e a metformina – torna a náusea mais frequente</w:t>
      </w:r>
      <w:r>
        <w:rPr>
          <w:rStyle w:val="FootnoteReference"/>
        </w:rPr>
        <w:footnoteReference w:id="764"/>
      </w:r>
      <w:r>
        <w:t xml:space="preserve">.</w:t>
      </w:r>
    </w:p>
    <w:p>
      <w:pPr>
        <w:pStyle w:val="BodyText"/>
      </w:pPr>
      <w:r>
        <w:t xml:space="preserve">Uma lição importante veio do estudo de Edelman (2006, PMID 17003291): quando, no início do tratamento com pranlintida, a dose de insulina prandial foi reduzida preventivamente em 30 a 50%, a HbA1c após 29 semanas havia caído igualmente nos dois grupos (−0,5 em cada). Com pranlintida, porém, os picos de glicemia após as refeições foram menores, o peso caiu 1,3 kg (placebo +1,2 kg) e foram necessários 28% menos insulina. Náusea ocorreu em 63% (placebo 36%).</w:t>
      </w:r>
    </w:p>
    <w:bookmarkEnd w:id="765"/>
    <w:bookmarkStart w:id="769" w:name="diabetes-tipo-2"/>
    <w:p>
      <w:pPr>
        <w:pStyle w:val="Heading4"/>
      </w:pPr>
      <w:r>
        <w:t xml:space="preserve">Diabetes tipo 2</w:t>
      </w:r>
    </w:p>
    <w:p>
      <w:pPr>
        <w:pStyle w:val="FirstParagraph"/>
      </w:pPr>
      <w:r>
        <w:t xml:space="preserve">No diabetes tipo 2 tratado com insulina, a pranlintida reduziu a HbA1c após um ano em 0,62 ponto percentual, com uma perda de peso de 1,4 kg contra um ganho de 0,7 kg com placebo</w:t>
      </w:r>
      <w:r>
        <w:rPr>
          <w:rStyle w:val="FootnoteReference"/>
        </w:rPr>
        <w:footnoteReference w:id="766"/>
      </w:r>
      <w:r>
        <w:t xml:space="preserve">. Como complemento à insulina basal, em um estudo aberto com 113 participantes, foi tão eficaz quanto uma insulina prandial de ação rápida, mas não levou a ganho de peso (0,0 kg vs. +4,7 kg) e causou menos hipoglicemias leves a moderadas; em contrapartida, 21% se queixaram de náusea</w:t>
      </w:r>
      <w:r>
        <w:rPr>
          <w:rStyle w:val="FootnoteReference"/>
        </w:rPr>
        <w:footnoteReference w:id="767"/>
      </w:r>
      <w:r>
        <w:t xml:space="preserve">.</w:t>
      </w:r>
    </w:p>
    <w:p>
      <w:pPr>
        <w:pStyle w:val="BodyText"/>
      </w:pPr>
      <w:r>
        <w:t xml:space="preserve">Uma metanálise de oito estudos randomizados mostrou, no diabetes tipo 2, uma redução da HbA1c de 0,33 ponto percentual e uma perda de peso de 2,57 kg em relação ao controle; a náusea ocorreu 1,8 vez mais frequentemente</w:t>
      </w:r>
      <w:r>
        <w:rPr>
          <w:rStyle w:val="FootnoteReference"/>
        </w:rPr>
        <w:footnoteReference w:id="768"/>
      </w:r>
      <w:r>
        <w:t xml:space="preserve">.</w:t>
      </w:r>
    </w:p>
    <w:bookmarkEnd w:id="769"/>
    <w:bookmarkStart w:id="773" w:name="obesidade"/>
    <w:p>
      <w:pPr>
        <w:pStyle w:val="Heading4"/>
      </w:pPr>
      <w:r>
        <w:t xml:space="preserve">Obesidade</w:t>
      </w:r>
    </w:p>
    <w:p>
      <w:pPr>
        <w:pStyle w:val="FirstParagraph"/>
      </w:pPr>
      <w:r>
        <w:t xml:space="preserve">Entre 2005 e 2010, a pranlintida também foi testada como medicamento para emagrecer. Em um estudo de 16 semanas com 204 pessoas com obesidade, a perda de peso descontado o placebo foi de 3,7%</w:t>
      </w:r>
      <w:r>
        <w:rPr>
          <w:rStyle w:val="FootnoteReference"/>
        </w:rPr>
        <w:footnoteReference w:id="770"/>
      </w:r>
      <w:r>
        <w:t xml:space="preserve">. Combinados com um programa de estilo de vida, quase todos os grupos de dose mantiveram a perda de peso ao longo de doze meses; descontado o placebo, foram até 7,2 kg ou 6,8%</w:t>
      </w:r>
      <w:r>
        <w:rPr>
          <w:rStyle w:val="FootnoteReference"/>
        </w:rPr>
        <w:footnoteReference w:id="771"/>
      </w:r>
      <w:r>
        <w:t xml:space="preserve">. Uma combinação com metreleptina (um análogo da leptina) alcançou após 20 semanas 12,7% de perda de peso contra 8,4% com pranlintida isolada</w:t>
      </w:r>
      <w:r>
        <w:rPr>
          <w:rStyle w:val="FootnoteReference"/>
        </w:rPr>
        <w:footnoteReference w:id="772"/>
      </w:r>
      <w:r>
        <w:t xml:space="preserve">. Esse desenvolvimento não foi levado adiante até a aprovação.</w:t>
      </w:r>
    </w:p>
    <w:bookmarkEnd w:id="773"/>
    <w:bookmarkStart w:id="777" w:name="X02d74da130e601463dc25deb408ee197d476661"/>
    <w:p>
      <w:pPr>
        <w:pStyle w:val="Heading4"/>
      </w:pPr>
      <w:r>
        <w:t xml:space="preserve">Aplicações mais recentes: pâncreas artificial</w:t>
      </w:r>
    </w:p>
    <w:p>
      <w:pPr>
        <w:pStyle w:val="FirstParagraph"/>
      </w:pPr>
      <w:r>
        <w:t xml:space="preserve">Desde cerca de 2015, a pranlintida vive um pequeno renascimento na pesquisa sobre sistemas automatizados de bomba de insulina. Em um estudo cruzado randomizado, o tempo na faixa-alvo subiu de 74% para 84% com um sistema que libera, além de insulina de ação rápida, também pranlintida</w:t>
      </w:r>
      <w:r>
        <w:rPr>
          <w:rStyle w:val="FootnoteReference"/>
        </w:rPr>
        <w:footnoteReference w:id="774"/>
      </w:r>
      <w:r>
        <w:t xml:space="preserve">. Um pequeno estudo-piloto investigou se esse tipo de sistema pode tornar desnecessária a contagem de carboidratos; as diferenças em relação ao tratamento padrão não foram estatisticamente significativas</w:t>
      </w:r>
      <w:r>
        <w:rPr>
          <w:rStyle w:val="FootnoteReference"/>
        </w:rPr>
        <w:footnoteReference w:id="775"/>
      </w:r>
      <w:r>
        <w:t xml:space="preserve">. Uma mistura fixa de pranlintida e uma insulina (ADO09) levou, em um estudo de 16 semanas com 80 pessoas com diabetes tipo 1, a 2,1 kg a mais de perda de peso do que a insulina lispro, com HbA1c inalterada</w:t>
      </w:r>
      <w:r>
        <w:rPr>
          <w:rStyle w:val="FootnoteReference"/>
        </w:rPr>
        <w:footnoteReference w:id="776"/>
      </w:r>
      <w:r>
        <w:t xml:space="preserve">.</w:t>
      </w:r>
    </w:p>
    <w:bookmarkEnd w:id="777"/>
    <w:bookmarkEnd w:id="778"/>
    <w:bookmarkStart w:id="781" w:name="estudos-em-animais-e-em-laboratório-11"/>
    <w:p>
      <w:pPr>
        <w:pStyle w:val="Heading3"/>
      </w:pPr>
      <w:r>
        <w:t xml:space="preserve">Estudos em animais e em laboratório</w:t>
      </w:r>
    </w:p>
    <w:p>
      <w:pPr>
        <w:pStyle w:val="FirstParagraph"/>
      </w:pPr>
      <w:r>
        <w:t xml:space="preserve">As bases da pesquisa sobre amilina vêm de estudos em animais e em laboratório, que não são apresentados aqui em detalhe. Em roedores, a combinação de amilina e leptina levou a uma perda de peso superaditiva</w:t>
      </w:r>
      <w:r>
        <w:rPr>
          <w:rStyle w:val="FootnoteReference"/>
        </w:rPr>
        <w:footnoteReference w:id="779"/>
      </w:r>
      <w:r>
        <w:t xml:space="preserve">. Em modelos com camundongos, a amilina provocou, de forma semelhante ao peptídeo mensageiro da enxaqueca CGRP, hipersensibilidade e fotofobia</w:t>
      </w:r>
      <w:r>
        <w:rPr>
          <w:rStyle w:val="FootnoteReference"/>
        </w:rPr>
        <w:footnoteReference w:id="780"/>
      </w:r>
      <w:r>
        <w:t xml:space="preserve">.</w:t>
      </w:r>
    </w:p>
    <w:bookmarkEnd w:id="781"/>
    <w:bookmarkStart w:id="785" w:name="riscos-e-efeitos-colaterais-11"/>
    <w:p>
      <w:pPr>
        <w:pStyle w:val="Heading3"/>
      </w:pPr>
      <w:r>
        <w:t xml:space="preserve">Riscos e efeitos colaterais</w:t>
      </w:r>
    </w:p>
    <w:p>
      <w:pPr>
        <w:pStyle w:val="FirstParagraph"/>
      </w:pPr>
      <w:r>
        <w:rPr>
          <w:bCs/>
          <w:b/>
        </w:rPr>
        <w:t xml:space="preserve">Comprovados em estudos:</w:t>
      </w:r>
    </w:p>
    <w:p>
      <w:pPr>
        <w:numPr>
          <w:ilvl w:val="0"/>
          <w:numId w:val="1097"/>
        </w:numPr>
        <w:pStyle w:val="Compact"/>
      </w:pPr>
      <w:r>
        <w:rPr>
          <w:bCs/>
          <w:b/>
        </w:rPr>
        <w:t xml:space="preserve">Náusea</w:t>
      </w:r>
      <w:r>
        <w:t xml:space="preserve"> </w:t>
      </w:r>
      <w:r>
        <w:t xml:space="preserve">é o efeito colateral mais frequente, sobretudo nas primeiras semanas; conforme o estudo, entre 9% e 63%</w:t>
      </w:r>
      <w:r>
        <w:rPr>
          <w:rStyle w:val="FootnoteReference"/>
        </w:rPr>
        <w:footnoteReference w:id="782"/>
      </w:r>
      <w:r>
        <w:t xml:space="preserve">.</w:t>
      </w:r>
    </w:p>
    <w:p>
      <w:pPr>
        <w:numPr>
          <w:ilvl w:val="0"/>
          <w:numId w:val="1097"/>
        </w:numPr>
        <w:pStyle w:val="Compact"/>
      </w:pPr>
      <w:r>
        <w:rPr>
          <w:bCs/>
          <w:b/>
        </w:rPr>
        <w:t xml:space="preserve">Hipoglicemia grave</w:t>
      </w:r>
      <w:r>
        <w:t xml:space="preserve"> </w:t>
      </w:r>
      <w:r>
        <w:t xml:space="preserve">é o risco mais importante. A própria pranlintida quase não reduz a glicemia, mas intensifica o efeito da insulina injetada ao mesmo tempo, porque o açúcar da refeição chega com atraso. No estudo de Edelman, hipoglicemias graves ocorreram com mais frequência com pranlintida do que com placebo (0,57 vs. 0,30 evento por paciente-ano), especialmente em participantes que permaneceram em uma dose baixa</w:t>
      </w:r>
      <w:r>
        <w:rPr>
          <w:rStyle w:val="FootnoteReference"/>
        </w:rPr>
        <w:footnoteReference w:id="783"/>
      </w:r>
      <w:r>
        <w:t xml:space="preserve">. Nos EUA, o medicamento traz por isso uma advertência destacada; antes do início do tratamento, está prevista uma redução da dose de insulina prandial – os detalhes estão na bula profissional, e a execução cabe ao médico.</w:t>
      </w:r>
    </w:p>
    <w:p>
      <w:pPr>
        <w:numPr>
          <w:ilvl w:val="0"/>
          <w:numId w:val="1097"/>
        </w:numPr>
        <w:pStyle w:val="Compact"/>
      </w:pPr>
      <w:r>
        <w:rPr>
          <w:bCs/>
          <w:b/>
        </w:rPr>
        <w:t xml:space="preserve">Dor de cabeça e enxaqueca:</w:t>
      </w:r>
      <w:r>
        <w:t xml:space="preserve"> </w:t>
      </w:r>
      <w:r>
        <w:t xml:space="preserve">em um estudo experimental com 36 pessoas com enxaqueca, após uma infusão de pranlintida, 88% tiveram dor de cabeça e 41% uma crise semelhante à enxaqueca</w:t>
      </w:r>
      <w:r>
        <w:rPr>
          <w:rStyle w:val="FootnoteReference"/>
        </w:rPr>
        <w:footnoteReference w:id="784"/>
      </w:r>
      <w:r>
        <w:t xml:space="preserve">. Esse estudo usou uma infusão para fins de pesquisa; mostra, porém, que os receptores de amilina têm um papel na enxaqueca. Esse achado também é relevante para os novos medicamentos de amilina de ação prolongada.</w:t>
      </w:r>
    </w:p>
    <w:p>
      <w:pPr>
        <w:numPr>
          <w:ilvl w:val="0"/>
          <w:numId w:val="1097"/>
        </w:numPr>
        <w:pStyle w:val="Compact"/>
      </w:pPr>
      <w:r>
        <w:rPr>
          <w:bCs/>
          <w:b/>
        </w:rPr>
        <w:t xml:space="preserve">Interações:</w:t>
      </w:r>
      <w:r>
        <w:t xml:space="preserve"> </w:t>
      </w:r>
      <w:r>
        <w:t xml:space="preserve">como a pranlintida retarda o esvaziamento gástrico, comprimidos cujo início rápido de ação é importante podem ser absorvidos com atraso (bula profissional).</w:t>
      </w:r>
    </w:p>
    <w:bookmarkEnd w:id="785"/>
    <w:bookmarkStart w:id="786" w:name="situação-legal-11"/>
    <w:p>
      <w:pPr>
        <w:pStyle w:val="Heading3"/>
      </w:pPr>
      <w:r>
        <w:t xml:space="preserve">Situação legal</w:t>
      </w:r>
    </w:p>
    <w:p>
      <w:pPr>
        <w:numPr>
          <w:ilvl w:val="0"/>
          <w:numId w:val="1098"/>
        </w:numPr>
        <w:pStyle w:val="Compact"/>
      </w:pPr>
      <w:r>
        <w:rPr>
          <w:bCs/>
          <w:b/>
        </w:rPr>
        <w:t xml:space="preserve">UE / Áustria / Alemanha:</w:t>
      </w:r>
      <w:r>
        <w:t xml:space="preserve"> </w:t>
      </w:r>
      <w:r>
        <w:t xml:space="preserve">não aprovada. Na Europa, a pranlintida só é concebível por importação individual para determinados pacientes e praticamente não tem papel.</w:t>
      </w:r>
    </w:p>
    <w:p>
      <w:pPr>
        <w:numPr>
          <w:ilvl w:val="0"/>
          <w:numId w:val="1098"/>
        </w:numPr>
        <w:pStyle w:val="Compact"/>
      </w:pPr>
      <w:r>
        <w:rPr>
          <w:bCs/>
          <w:b/>
        </w:rPr>
        <w:t xml:space="preserve">EUA:</w:t>
      </w:r>
      <w:r>
        <w:t xml:space="preserve"> </w:t>
      </w:r>
      <w:r>
        <w:t xml:space="preserve">aprovada desde 2005 (Symlin) como complemento à insulina prandial no diabetes tipo 1 e tipo 2; sujeita a prescrição médica. Para obesidade sem diabetes não está aprovada.</w:t>
      </w:r>
    </w:p>
    <w:p>
      <w:pPr>
        <w:numPr>
          <w:ilvl w:val="0"/>
          <w:numId w:val="1098"/>
        </w:numPr>
        <w:pStyle w:val="Compact"/>
      </w:pPr>
      <w:r>
        <w:rPr>
          <w:bCs/>
          <w:b/>
        </w:rPr>
        <w:t xml:space="preserve">Esporte:</w:t>
      </w:r>
      <w:r>
        <w:t xml:space="preserve"> </w:t>
      </w:r>
      <w:r>
        <w:t xml:space="preserve">não mencionada na lista da WADA (situação em 2026, verificar atualização).</w:t>
      </w:r>
    </w:p>
    <w:bookmarkEnd w:id="786"/>
    <w:bookmarkStart w:id="791" w:name="estudos-em-andamento-e-perspectivas-11"/>
    <w:p>
      <w:pPr>
        <w:pStyle w:val="Heading3"/>
      </w:pPr>
      <w:r>
        <w:t xml:space="preserve">Estudos em andamento e perspectivas</w:t>
      </w:r>
    </w:p>
    <w:p>
      <w:pPr>
        <w:pStyle w:val="FirstParagraph"/>
      </w:pPr>
      <w:r>
        <w:rPr>
          <w:bCs/>
          <w:b/>
        </w:rPr>
        <w:t xml:space="preserve">Confirmado (estudos registrados, situação em outubro de 2026):</w:t>
      </w:r>
      <w:r>
        <w:t xml:space="preserve"> </w:t>
      </w:r>
      <w:r>
        <w:t xml:space="preserve">os novos estudos com pranlintida são predominantemente pequenos estudos básicos, por exemplo sobre o papel da amilina na enxaqueca sem aura</w:t>
      </w:r>
      <w:r>
        <w:rPr>
          <w:rStyle w:val="FootnoteReference"/>
        </w:rPr>
        <w:footnoteReference w:id="787"/>
      </w:r>
      <w:r>
        <w:t xml:space="preserve">, na dor de cabeça após lesões na cabeça</w:t>
      </w:r>
      <w:r>
        <w:rPr>
          <w:rStyle w:val="FootnoteReference"/>
        </w:rPr>
        <w:footnoteReference w:id="788"/>
      </w:r>
      <w:r>
        <w:t xml:space="preserve"> </w:t>
      </w:r>
      <w:r>
        <w:t xml:space="preserve">e na saciedade</w:t>
      </w:r>
      <w:r>
        <w:rPr>
          <w:rStyle w:val="FootnoteReference"/>
        </w:rPr>
        <w:footnoteReference w:id="789"/>
      </w:r>
      <w:r>
        <w:t xml:space="preserve">. As autoras e autores do estudo-piloto da bomba de insulina com pranlintida anunciam um estudo maior</w:t>
      </w:r>
      <w:r>
        <w:rPr>
          <w:rStyle w:val="FootnoteReference"/>
        </w:rPr>
        <w:footnoteReference w:id="790"/>
      </w:r>
      <w:r>
        <w:t xml:space="preserve">.</w:t>
      </w:r>
    </w:p>
    <w:p>
      <w:pPr>
        <w:pStyle w:val="BodyText"/>
      </w:pPr>
      <w:r>
        <w:rPr>
          <w:bCs/>
          <w:b/>
        </w:rPr>
        <w:t xml:space="preserve">Avaliação:</w:t>
      </w:r>
      <w:r>
        <w:t xml:space="preserve"> </w:t>
      </w:r>
      <w:r>
        <w:t xml:space="preserve">como medicamento, a pranlintida permaneceu um produto de nicho – injeções demais, náusea demais, efeito pequeno demais sobre a HbA1c. Seu papel mais importante deve ser o de precursora: os análogos de amilina de ação prolongada da nova geração (cagrilintida, amicretina, eloralintida e outros) se apoiam em sua experiência. Na pesquisa sobre sistemas com dois hormônios no diabetes tipo 1, ela poderia manter um pequeno papel.</w:t>
      </w:r>
    </w:p>
    <w:bookmarkEnd w:id="791"/>
    <w:bookmarkStart w:id="792" w:name="conclusão-11"/>
    <w:p>
      <w:pPr>
        <w:pStyle w:val="Heading3"/>
      </w:pPr>
      <w:r>
        <w:t xml:space="preserve">Conclusão</w:t>
      </w:r>
    </w:p>
    <w:p>
      <w:pPr>
        <w:pStyle w:val="FirstParagraph"/>
      </w:pPr>
      <w:r>
        <w:t xml:space="preserve">A pranlintida é o primeiro medicamento à base de amilina e está aprovada desde 2005 nos EUA, mas não na UE, como complemento à insulina. Em grandes estudos, reduziu a HbA1c apenas em cerca de 0,3 a 0,7 ponto percentual, mas evitou o ganho de peso típico da insulina e suavizou os picos de glicemia após as refeições. A náusea é frequente, e em combinação com insulina há um risco relevante de hipoglicemias graves. Hoje, a pranlintida é importante sobretudo como precursora dos novos medicamentos de amilina de ação prolongada.</w:t>
      </w:r>
    </w:p>
    <w:bookmarkEnd w:id="792"/>
    <w:bookmarkEnd w:id="793"/>
    <w:bookmarkStart w:id="830" w:name="setmelanotida"/>
    <w:p>
      <w:pPr>
        <w:pStyle w:val="Heading2"/>
      </w:pPr>
      <w:r>
        <w:t xml:space="preserve">Setmelanotida</w:t>
      </w:r>
    </w:p>
    <w:bookmarkStart w:id="795" w:name="ficha-técnica-12"/>
    <w:p>
      <w:pPr>
        <w:pStyle w:val="Heading3"/>
      </w:pPr>
      <w:r>
        <w:t xml:space="preserve">Ficha técnica</w:t>
      </w:r>
    </w:p>
    <w:p>
      <w:pPr>
        <w:numPr>
          <w:ilvl w:val="0"/>
          <w:numId w:val="1099"/>
        </w:numPr>
        <w:pStyle w:val="Compact"/>
      </w:pPr>
      <w:r>
        <w:rPr>
          <w:bCs/>
          <w:b/>
        </w:rPr>
        <w:t xml:space="preserve">Tipo/estrutura:</w:t>
      </w:r>
      <w:r>
        <w:t xml:space="preserve"> </w:t>
      </w:r>
      <w:r>
        <w:t xml:space="preserve">peptídeo sintético pequeno, fechado em anel (cíclico), que imita o mensageiro endógeno alfa-MSH. Administração subcutânea uma vez ao dia. Antigo código de desenvolvimento RM-493.</w:t>
      </w:r>
    </w:p>
    <w:p>
      <w:pPr>
        <w:numPr>
          <w:ilvl w:val="0"/>
          <w:numId w:val="1099"/>
        </w:numPr>
        <w:pStyle w:val="Compact"/>
      </w:pPr>
      <w:r>
        <w:rPr>
          <w:bCs/>
          <w:b/>
        </w:rPr>
        <w:t xml:space="preserve">Origem:</w:t>
      </w:r>
      <w:r>
        <w:t xml:space="preserve"> </w:t>
      </w:r>
      <w:r>
        <w:t xml:space="preserve">desenvolvida pela Rhythm Pharmaceuticals; nome comercial Imcivree.</w:t>
      </w:r>
    </w:p>
    <w:p>
      <w:pPr>
        <w:numPr>
          <w:ilvl w:val="0"/>
          <w:numId w:val="1099"/>
        </w:numPr>
        <w:pStyle w:val="Compact"/>
      </w:pPr>
      <w:r>
        <w:rPr>
          <w:bCs/>
          <w:b/>
        </w:rPr>
        <w:t xml:space="preserve">Princípio de ação:</w:t>
      </w:r>
      <w:r>
        <w:t xml:space="preserve"> </w:t>
      </w:r>
      <w:r>
        <w:t xml:space="preserve">agonista do receptor de melanocortina 4 (MC4R) no hipotálamo, um centro de controle essencial para a fome e a saciedade.</w:t>
      </w:r>
    </w:p>
    <w:p>
      <w:pPr>
        <w:numPr>
          <w:ilvl w:val="0"/>
          <w:numId w:val="1099"/>
        </w:numPr>
        <w:pStyle w:val="Compact"/>
      </w:pPr>
      <w:r>
        <w:rPr>
          <w:bCs/>
          <w:b/>
        </w:rPr>
        <w:t xml:space="preserve">Aprovação UE:</w:t>
      </w:r>
      <w:r>
        <w:t xml:space="preserve"> </w:t>
      </w:r>
      <w:r>
        <w:t xml:space="preserve">sim (Imcivree) para obesidade com deficiência de POMC, PCSK1 ou do receptor de leptina confirmada geneticamente, bem como na síndrome de Bardet-Biedl.</w:t>
      </w:r>
    </w:p>
    <w:p>
      <w:pPr>
        <w:numPr>
          <w:ilvl w:val="0"/>
          <w:numId w:val="1099"/>
        </w:numPr>
        <w:pStyle w:val="Compact"/>
      </w:pPr>
      <w:r>
        <w:rPr>
          <w:bCs/>
          <w:b/>
        </w:rPr>
        <w:t xml:space="preserve">Aprovação EUA:</w:t>
      </w:r>
      <w:r>
        <w:t xml:space="preserve"> </w:t>
      </w:r>
      <w:r>
        <w:t xml:space="preserve">sim (Imcivree), pela primeira vez em 2020, para as mesmas formas genéticas raras</w:t>
      </w:r>
      <w:r>
        <w:rPr>
          <w:rStyle w:val="FootnoteReference"/>
        </w:rPr>
        <w:footnoteReference w:id="794"/>
      </w:r>
      <w:r>
        <w:t xml:space="preserve">.</w:t>
      </w:r>
    </w:p>
    <w:p>
      <w:pPr>
        <w:numPr>
          <w:ilvl w:val="0"/>
          <w:numId w:val="1099"/>
        </w:numPr>
        <w:pStyle w:val="Compact"/>
      </w:pPr>
      <w:r>
        <w:rPr>
          <w:bCs/>
          <w:b/>
        </w:rPr>
        <w:t xml:space="preserve">WADA:</w:t>
      </w:r>
      <w:r>
        <w:t xml:space="preserve"> </w:t>
      </w:r>
      <w:r>
        <w:t xml:space="preserve">não listada nominalmente; por ser um medicamento aprovado, não se enquadra na S0.</w:t>
      </w:r>
    </w:p>
    <w:p>
      <w:pPr>
        <w:numPr>
          <w:ilvl w:val="0"/>
          <w:numId w:val="1099"/>
        </w:numPr>
        <w:pStyle w:val="Compact"/>
      </w:pPr>
      <w:r>
        <w:rPr>
          <w:bCs/>
          <w:b/>
        </w:rPr>
        <w:t xml:space="preserve">Nível de evidência:</w:t>
      </w:r>
      <w:r>
        <w:t xml:space="preserve"> </w:t>
      </w:r>
      <w:r>
        <w:rPr>
          <w:bCs/>
          <w:b/>
        </w:rPr>
        <w:t xml:space="preserve">A</w:t>
      </w:r>
      <w:r>
        <w:t xml:space="preserve"> </w:t>
      </w:r>
      <w:r>
        <w:t xml:space="preserve">– aprovação com base em estudos de fase 3; devido à raridade das doenças, porém, os estudos são pequenos e em parte não controlados.</w:t>
      </w:r>
    </w:p>
    <w:bookmarkEnd w:id="795"/>
    <w:bookmarkStart w:id="796" w:name="como-deveria-agir-12"/>
    <w:p>
      <w:pPr>
        <w:pStyle w:val="Heading3"/>
      </w:pPr>
      <w:r>
        <w:t xml:space="preserve">Como deveria agir</w:t>
      </w:r>
    </w:p>
    <w:p>
      <w:pPr>
        <w:pStyle w:val="FirstParagraph"/>
      </w:pPr>
      <w:r>
        <w:t xml:space="preserve">A setmelanotida difere fundamentalmente de todas as outras substâncias desta parte. Ela não é um medicamento geral para emagrecer, mas um tratamento direcionado para pessoas nas quais uma determinada cadeia de sinalização no cérebro está defeituosa.</w:t>
      </w:r>
    </w:p>
    <w:p>
      <w:pPr>
        <w:pStyle w:val="BodyText"/>
      </w:pPr>
      <w:r>
        <w:t xml:space="preserve">Essa cadeia se chama via de sinalização leptina-melanocortina. De forma simplificada: o tecido adiposo libera o hormônio leptina. A leptina age no hipotálamo sobre células nervosas que produzem, a partir de uma molécula precursora chamada POMC, o mensageiro alfa-MSH. Para essa produção é necessária uma enzima chamada PCSK1. O alfa-MSH ativa, por fim, o receptor MC4 – e o sinal diz:</w:t>
      </w:r>
      <w:r>
        <w:t xml:space="preserve"> </w:t>
      </w:r>
      <w:r>
        <w:t xml:space="preserve">“</w:t>
      </w:r>
      <w:r>
        <w:t xml:space="preserve">Já comi o suficiente.</w:t>
      </w:r>
      <w:r>
        <w:t xml:space="preserve">”</w:t>
      </w:r>
    </w:p>
    <w:p>
      <w:pPr>
        <w:pStyle w:val="BodyText"/>
      </w:pPr>
      <w:r>
        <w:t xml:space="preserve">Se um desses elos falha por uma alteração genética congênita, surge uma fome torturante e insaciável (hiperfagia), que já na primeira infância leva a obesidade grave. Dieta e exercício sozinhos pouco podem fazer contra isso. A setmelanotida atua no final da cadeia e ativa diretamente o receptor MC4 – ela faz, por assim dizer, uma ponte sobre os elos defeituosos anteriores.</w:t>
      </w:r>
    </w:p>
    <w:p>
      <w:pPr>
        <w:pStyle w:val="BodyText"/>
      </w:pPr>
      <w:r>
        <w:t xml:space="preserve">A setmelanotida também age no receptor de melanocortina 1, intimamente aparentado, na pele. Isso explica o efeito colateral mais frequente: um bronzeamento da pele (veja abaixo) – e liga a setmelanotida aos peptídeos bronzeadores, como o melanotan II e a afamelanotida (Parte II, grupo E).</w:t>
      </w:r>
    </w:p>
    <w:bookmarkEnd w:id="796"/>
    <w:bookmarkStart w:id="812" w:name="estudos-em-humanos-12"/>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15 estudos em humanos. No ClinicalTrials.gov havia 27 estudos registrados. Devido à raridade das doenças-alvo, os estudos muitas vezes incluem apenas 10 a 40 participantes; o maior estudo randomizado publicado (sobre obesidade hipotalâmica) incluiu 120 pessoas.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pessoas com deficiência de POMC, aberto</w:t>
            </w:r>
          </w:p>
        </w:tc>
        <w:tc>
          <w:tcPr/>
          <w:p>
            <w:pPr>
              <w:pStyle w:val="Compact"/>
              <w:jc w:val="left"/>
            </w:pPr>
            <w:r>
              <w:t xml:space="preserve">12 e 42 semanas</w:t>
            </w:r>
          </w:p>
        </w:tc>
        <w:tc>
          <w:tcPr/>
          <w:p>
            <w:pPr>
              <w:pStyle w:val="Compact"/>
              <w:jc w:val="left"/>
            </w:pPr>
            <w:r>
              <w:t xml:space="preserve">−20,5 kg e −51,0 kg; menos fome</w:t>
            </w:r>
          </w:p>
        </w:tc>
      </w:tr>
      <w:tr>
        <w:tc>
          <w:tcPr/>
          <w:p>
            <w:pPr>
              <w:pStyle w:val="Compact"/>
              <w:jc w:val="left"/>
            </w:pPr>
            <w:r>
              <w:t xml:space="preserve">Clément 2020 (POMC/LEPR), PMID 33137293</w:t>
            </w:r>
          </w:p>
        </w:tc>
        <w:tc>
          <w:tcPr/>
          <w:p>
            <w:pPr>
              <w:pStyle w:val="Compact"/>
              <w:jc w:val="left"/>
            </w:pPr>
            <w:r>
              <w:t xml:space="preserve">10 pessoas com deficiência de POMC e 11 com deficiência de LEPR; braço único, com fase de suspensão</w:t>
            </w:r>
          </w:p>
        </w:tc>
        <w:tc>
          <w:tcPr/>
          <w:p>
            <w:pPr>
              <w:pStyle w:val="Compact"/>
              <w:jc w:val="left"/>
            </w:pPr>
            <w:r>
              <w:t xml:space="preserve">cerca de 1 ano</w:t>
            </w:r>
          </w:p>
        </w:tc>
        <w:tc>
          <w:tcPr/>
          <w:p>
            <w:pPr>
              <w:pStyle w:val="Compact"/>
              <w:jc w:val="left"/>
            </w:pPr>
            <w:r>
              <w:t xml:space="preserve">perda de peso ≥10% em 80% (POMC) e 45% (LEPR)</w:t>
            </w:r>
          </w:p>
        </w:tc>
      </w:tr>
      <w:tr>
        <w:tc>
          <w:tcPr/>
          <w:p>
            <w:pPr>
              <w:pStyle w:val="Compact"/>
              <w:jc w:val="left"/>
            </w:pPr>
            <w:r>
              <w:t xml:space="preserve">Haqq 2022 (BBS/Alström), PMID 36356613</w:t>
            </w:r>
          </w:p>
        </w:tc>
        <w:tc>
          <w:tcPr/>
          <w:p>
            <w:pPr>
              <w:pStyle w:val="Compact"/>
              <w:jc w:val="left"/>
            </w:pPr>
            <w:r>
              <w:t xml:space="preserve">38 pessoas com síndrome de Bardet-Biedl ou de Alström; 14 semanas contra placebo, depois aberto</w:t>
            </w:r>
          </w:p>
        </w:tc>
        <w:tc>
          <w:tcPr/>
          <w:p>
            <w:pPr>
              <w:pStyle w:val="Compact"/>
              <w:jc w:val="left"/>
            </w:pPr>
            <w:r>
              <w:t xml:space="preserve">66 semanas</w:t>
            </w:r>
          </w:p>
        </w:tc>
        <w:tc>
          <w:tcPr/>
          <w:p>
            <w:pPr>
              <w:pStyle w:val="Compact"/>
              <w:jc w:val="left"/>
            </w:pPr>
            <w:r>
              <w:t xml:space="preserve">perda de peso ≥10% em 32,3% dos pacientes com BBS a partir de 12 anos</w:t>
            </w:r>
          </w:p>
        </w:tc>
      </w:tr>
      <w:tr>
        <w:tc>
          <w:tcPr/>
          <w:p>
            <w:pPr>
              <w:pStyle w:val="Compact"/>
              <w:jc w:val="left"/>
            </w:pPr>
            <w:r>
              <w:t xml:space="preserve">VENTURE (Argente 2025), PMID 39549719</w:t>
            </w:r>
          </w:p>
        </w:tc>
        <w:tc>
          <w:tcPr/>
          <w:p>
            <w:pPr>
              <w:pStyle w:val="Compact"/>
              <w:jc w:val="left"/>
            </w:pPr>
            <w:r>
              <w:t xml:space="preserve">12 crianças de 2 a 5 anos, aberto</w:t>
            </w:r>
          </w:p>
        </w:tc>
        <w:tc>
          <w:tcPr/>
          <w:p>
            <w:pPr>
              <w:pStyle w:val="Compact"/>
              <w:jc w:val="left"/>
            </w:pPr>
            <w:r>
              <w:t xml:space="preserve">52 semanas</w:t>
            </w:r>
          </w:p>
        </w:tc>
        <w:tc>
          <w:tcPr/>
          <w:p>
            <w:pPr>
              <w:pStyle w:val="Compact"/>
              <w:jc w:val="left"/>
            </w:pPr>
            <w:r>
              <w:t xml:space="preserve">IMC −18% em média</w:t>
            </w:r>
          </w:p>
        </w:tc>
      </w:tr>
      <w:tr>
        <w:tc>
          <w:tcPr/>
          <w:p>
            <w:pPr>
              <w:pStyle w:val="Compact"/>
              <w:jc w:val="left"/>
            </w:pPr>
            <w:r>
              <w:t xml:space="preserve">Roth 2024 (obesidade hipotalâmica), PMID 38697184</w:t>
            </w:r>
          </w:p>
        </w:tc>
        <w:tc>
          <w:tcPr/>
          <w:p>
            <w:pPr>
              <w:pStyle w:val="Compact"/>
              <w:jc w:val="left"/>
            </w:pPr>
            <w:r>
              <w:t xml:space="preserve">18 pessoas, aberto</w:t>
            </w:r>
          </w:p>
        </w:tc>
        <w:tc>
          <w:tcPr/>
          <w:p>
            <w:pPr>
              <w:pStyle w:val="Compact"/>
              <w:jc w:val="left"/>
            </w:pPr>
            <w:r>
              <w:t xml:space="preserve">16 semanas</w:t>
            </w:r>
          </w:p>
        </w:tc>
        <w:tc>
          <w:tcPr/>
          <w:p>
            <w:pPr>
              <w:pStyle w:val="Compact"/>
              <w:jc w:val="left"/>
            </w:pPr>
            <w:r>
              <w:t xml:space="preserve">IMC −15% em média</w:t>
            </w:r>
          </w:p>
        </w:tc>
      </w:tr>
      <w:tr>
        <w:tc>
          <w:tcPr/>
          <w:p>
            <w:pPr>
              <w:pStyle w:val="Compact"/>
              <w:jc w:val="left"/>
            </w:pPr>
            <w:r>
              <w:t xml:space="preserve">TRANSCEND (Miller 2026), PMID 42418774</w:t>
            </w:r>
          </w:p>
        </w:tc>
        <w:tc>
          <w:tcPr/>
          <w:p>
            <w:pPr>
              <w:pStyle w:val="Compact"/>
              <w:jc w:val="left"/>
            </w:pPr>
            <w:r>
              <w:t xml:space="preserve">120 pessoas com obesidade hipotalâmica adquirida, contra placebo</w:t>
            </w:r>
          </w:p>
        </w:tc>
        <w:tc>
          <w:tcPr/>
          <w:p>
            <w:pPr>
              <w:pStyle w:val="Compact"/>
              <w:jc w:val="left"/>
            </w:pPr>
            <w:r>
              <w:t xml:space="preserve">52 semanas</w:t>
            </w:r>
          </w:p>
        </w:tc>
        <w:tc>
          <w:tcPr/>
          <w:p>
            <w:pPr>
              <w:pStyle w:val="Compact"/>
              <w:jc w:val="left"/>
            </w:pPr>
            <w:r>
              <w:t xml:space="preserve">IMC −16,5% vs. +3,3%</w:t>
            </w:r>
          </w:p>
        </w:tc>
      </w:tr>
    </w:tbl>
    <w:bookmarkStart w:id="800" w:name="X4af75add1e47b49a1d1cd867f7eb5dda64b702d"/>
    <w:p>
      <w:pPr>
        <w:pStyle w:val="Heading4"/>
      </w:pPr>
      <w:r>
        <w:t xml:space="preserve">Deficiência de POMC, PCSK1 e do receptor de leptina</w:t>
      </w:r>
    </w:p>
    <w:p>
      <w:pPr>
        <w:pStyle w:val="FirstParagraph"/>
      </w:pPr>
      <w:r>
        <w:t xml:space="preserve">Os primeiros relatos foram casos isolados: dois pacientes com deficiência de POMC perderam, em um estudo iniciado por médicos, 51,0 kg após 42 semanas e 20,5 kg após 12 semanas, respectivamente, e sua fome diminuiu de forma duradoura</w:t>
      </w:r>
      <w:r>
        <w:rPr>
          <w:rStyle w:val="FootnoteReference"/>
        </w:rPr>
        <w:footnoteReference w:id="797"/>
      </w:r>
      <w:r>
        <w:t xml:space="preserve">. Algo semelhante foi descrito para três pessoas com deficiência do receptor de leptina</w:t>
      </w:r>
      <w:r>
        <w:rPr>
          <w:rStyle w:val="FootnoteReference"/>
        </w:rPr>
        <w:footnoteReference w:id="798"/>
      </w:r>
      <w:r>
        <w:t xml:space="preserve">.</w:t>
      </w:r>
    </w:p>
    <w:p>
      <w:pPr>
        <w:pStyle w:val="BodyText"/>
      </w:pPr>
      <w:r>
        <w:t xml:space="preserve">Os estudos de aprovação</w:t>
      </w:r>
      <w:r>
        <w:rPr>
          <w:rStyle w:val="FootnoteReference"/>
        </w:rPr>
        <w:footnoteReference w:id="799"/>
      </w:r>
      <w:r>
        <w:t xml:space="preserve"> </w:t>
      </w:r>
      <w:r>
        <w:t xml:space="preserve">tiveram braço único – não havia, portanto, um grupo placebo contínuo –, mas incluíram uma curta fase de suspensão cega. Após cerca de um ano, 8 de 10 pessoas com deficiência de POMC e 5 de 11 com deficiência do receptor de leptina haviam perdido pelo menos 10% do peso. A fome, em uma escala de 0 a 10, diminuiu 27,1% e 43,7%, respectivamente. Para doenças tão raras, estudos pequenos e não controlados muitas vezes são a única opção viável. Em uma doença na qual, sem tratamento, praticamente não se espera perda de peso, os resultados são ainda assim significativos.</w:t>
      </w:r>
    </w:p>
    <w:bookmarkEnd w:id="800"/>
    <w:bookmarkStart w:id="803" w:name="síndrome-de-bardet-biedl"/>
    <w:p>
      <w:pPr>
        <w:pStyle w:val="Heading4"/>
      </w:pPr>
      <w:r>
        <w:t xml:space="preserve">Síndrome de Bardet-Biedl</w:t>
      </w:r>
    </w:p>
    <w:p>
      <w:pPr>
        <w:pStyle w:val="FirstParagraph"/>
      </w:pPr>
      <w:r>
        <w:t xml:space="preserve">A síndrome de Bardet-Biedl (BBS) é uma doença hereditária rara na qual os finos prolongamentos celulares (cílios) estão alterados; além de danos à retina, problemas renais e dedos extras nas mãos ou nos pés, fazem parte dela fome intensa e obesidade. No estudo de fase 3</w:t>
      </w:r>
      <w:r>
        <w:rPr>
          <w:rStyle w:val="FootnoteReference"/>
        </w:rPr>
        <w:footnoteReference w:id="801"/>
      </w:r>
      <w:r>
        <w:t xml:space="preserve">, após 52 semanas, 32,3% das pessoas com BBS a partir de 12 anos alcançaram uma perda de peso de pelo menos 10%. Na síndrome de Alström, aparentada, os resultados não foram claros. Uma comparação com um grupo de controle adequado de um registro de BBS mostrou que 58,6% dos pacientes tratados contra 6,9% dos não tratados alcançaram o respectivo critério de sucesso</w:t>
      </w:r>
      <w:r>
        <w:rPr>
          <w:rStyle w:val="FootnoteReference"/>
        </w:rPr>
        <w:footnoteReference w:id="802"/>
      </w:r>
      <w:r>
        <w:t xml:space="preserve"> </w:t>
      </w:r>
      <w:r>
        <w:t xml:space="preserve">– uma contextualização indireta, mas útil.</w:t>
      </w:r>
    </w:p>
    <w:bookmarkEnd w:id="803"/>
    <w:bookmarkStart w:id="805" w:name="crianças-pequenas"/>
    <w:p>
      <w:pPr>
        <w:pStyle w:val="Heading4"/>
      </w:pPr>
      <w:r>
        <w:t xml:space="preserve">Crianças pequenas</w:t>
      </w:r>
    </w:p>
    <w:p>
      <w:pPr>
        <w:pStyle w:val="FirstParagraph"/>
      </w:pPr>
      <w:r>
        <w:t xml:space="preserve">No estudo aberto VENTURE, com 12 crianças entre 2 e 5 anos, o IMC caiu após um ano em média 18%: 26% na deficiência de POMC ou do receptor de leptina e 10% na BBS. 91% dos cuidadores relataram que as crianças tinham menos fome</w:t>
      </w:r>
      <w:r>
        <w:rPr>
          <w:rStyle w:val="FootnoteReference"/>
        </w:rPr>
        <w:footnoteReference w:id="804"/>
      </w:r>
      <w:r>
        <w:t xml:space="preserve">.</w:t>
      </w:r>
    </w:p>
    <w:bookmarkEnd w:id="805"/>
    <w:bookmarkStart w:id="808" w:name="obesidade-hipotalâmica"/>
    <w:p>
      <w:pPr>
        <w:pStyle w:val="Heading4"/>
      </w:pPr>
      <w:r>
        <w:t xml:space="preserve">Obesidade hipotalâmica</w:t>
      </w:r>
    </w:p>
    <w:p>
      <w:pPr>
        <w:pStyle w:val="FirstParagraph"/>
      </w:pPr>
      <w:r>
        <w:t xml:space="preserve">Um segundo grupo-alvo, mais frequente, são pessoas cujo hipotálamo foi danificado por um tumor (muitas vezes um craniofaringioma), uma cirurgia ou radioterapia. Elas desenvolvem com frequência uma obesidade difícil de tratar. Depois de um estudo aberto de fase 2 com 18 pessoas, no qual o IMC caiu em média 15% após 16 semanas</w:t>
      </w:r>
      <w:r>
        <w:rPr>
          <w:rStyle w:val="FootnoteReference"/>
        </w:rPr>
        <w:footnoteReference w:id="806"/>
      </w:r>
      <w:r>
        <w:t xml:space="preserve">, seguiu-se o estudo randomizado de fase 3 TRANSCEND</w:t>
      </w:r>
      <w:r>
        <w:rPr>
          <w:rStyle w:val="FootnoteReference"/>
        </w:rPr>
        <w:footnoteReference w:id="807"/>
      </w:r>
      <w:r>
        <w:t xml:space="preserve">:</w:t>
      </w:r>
    </w:p>
    <w:p>
      <w:pPr>
        <w:numPr>
          <w:ilvl w:val="0"/>
          <w:numId w:val="1100"/>
        </w:numPr>
        <w:pStyle w:val="Compact"/>
      </w:pPr>
      <w:r>
        <w:t xml:space="preserve">120 pessoas entre 4 e 66 anos, proporção de 2:1 setmelanotida para placebo.</w:t>
      </w:r>
    </w:p>
    <w:p>
      <w:pPr>
        <w:numPr>
          <w:ilvl w:val="0"/>
          <w:numId w:val="1100"/>
        </w:numPr>
        <w:pStyle w:val="Compact"/>
      </w:pPr>
      <w:r>
        <w:t xml:space="preserve">Após 52 semanas: IMC −16,5% com setmelanotida, +3,3% com placebo.</w:t>
      </w:r>
    </w:p>
    <w:p>
      <w:pPr>
        <w:numPr>
          <w:ilvl w:val="0"/>
          <w:numId w:val="1100"/>
        </w:numPr>
        <w:pStyle w:val="Compact"/>
      </w:pPr>
      <w:r>
        <w:t xml:space="preserve">Pontuação de fome: −2,73 contra −1,45 ponto.</w:t>
      </w:r>
    </w:p>
    <w:p>
      <w:pPr>
        <w:numPr>
          <w:ilvl w:val="0"/>
          <w:numId w:val="1100"/>
        </w:numPr>
        <w:pStyle w:val="Compact"/>
      </w:pPr>
      <w:r>
        <w:t xml:space="preserve">Eventos adversos graves: 28% contra 8%.</w:t>
      </w:r>
    </w:p>
    <w:bookmarkEnd w:id="808"/>
    <w:bookmarkStart w:id="811" w:name="variantes-genéticas-mais-frequentes"/>
    <w:p>
      <w:pPr>
        <w:pStyle w:val="Heading4"/>
      </w:pPr>
      <w:r>
        <w:t xml:space="preserve">Variantes genéticas mais frequentes</w:t>
      </w:r>
    </w:p>
    <w:p>
      <w:pPr>
        <w:pStyle w:val="FirstParagraph"/>
      </w:pPr>
      <w:r>
        <w:t xml:space="preserve">Menos convincentes são os dados em pessoas com apenas uma cópia alterada do gene MC4R – uma das causas genéticas mais frequentes de obesidade grave. Em um pequeno estudo de 28 dias, essas pessoas perderam peso, mas bem menos do que pessoas com defeitos de POMC</w:t>
      </w:r>
      <w:r>
        <w:rPr>
          <w:rStyle w:val="FootnoteReference"/>
        </w:rPr>
        <w:footnoteReference w:id="809"/>
      </w:r>
      <w:r>
        <w:t xml:space="preserve">. O estudo de fase 3 maior EMANATE, sobre diferentes variantes na via de sinalização do MC4R, está concluído segundo o registro</w:t>
      </w:r>
      <w:r>
        <w:rPr>
          <w:rStyle w:val="FootnoteReference"/>
        </w:rPr>
        <w:footnoteReference w:id="810"/>
      </w:r>
      <w:r>
        <w:t xml:space="preserve">; uma publicação revisada por pares ainda não estava disponível no momento da pesquisa.</w:t>
      </w:r>
    </w:p>
    <w:bookmarkEnd w:id="811"/>
    <w:bookmarkEnd w:id="812"/>
    <w:bookmarkStart w:id="814" w:name="estudos-em-animais-e-em-laboratório-12"/>
    <w:p>
      <w:pPr>
        <w:pStyle w:val="Heading3"/>
      </w:pPr>
      <w:r>
        <w:t xml:space="preserve">Estudos em animais e em laboratório</w:t>
      </w:r>
    </w:p>
    <w:p>
      <w:pPr>
        <w:pStyle w:val="FirstParagraph"/>
      </w:pPr>
      <w:r>
        <w:t xml:space="preserve">Em experimentos com células, a setmelanotida é bem mais eficaz no receptor MC4 do que o alfa-MSH endógeno e consegue reativar parcialmente uma parte das variantes defeituosas do receptor. Em roedores normais levou a perda de peso, mas não em camundongos totalmente sem receptor MC4</w:t>
      </w:r>
      <w:r>
        <w:rPr>
          <w:rStyle w:val="FootnoteReference"/>
        </w:rPr>
        <w:footnoteReference w:id="813"/>
      </w:r>
      <w:r>
        <w:t xml:space="preserve">. Isso confirma que o efeito ocorre de fato por meio desse receptor.</w:t>
      </w:r>
    </w:p>
    <w:bookmarkEnd w:id="814"/>
    <w:bookmarkStart w:id="820" w:name="riscos-e-efeitos-colaterais-12"/>
    <w:p>
      <w:pPr>
        <w:pStyle w:val="Heading3"/>
      </w:pPr>
      <w:r>
        <w:t xml:space="preserve">Riscos e efeitos colaterais</w:t>
      </w:r>
    </w:p>
    <w:p>
      <w:pPr>
        <w:pStyle w:val="FirstParagraph"/>
      </w:pPr>
      <w:r>
        <w:rPr>
          <w:bCs/>
          <w:b/>
        </w:rPr>
        <w:t xml:space="preserve">Comprovados em estudos:</w:t>
      </w:r>
    </w:p>
    <w:p>
      <w:pPr>
        <w:numPr>
          <w:ilvl w:val="0"/>
          <w:numId w:val="1101"/>
        </w:numPr>
        <w:pStyle w:val="Compact"/>
      </w:pPr>
      <w:r>
        <w:rPr>
          <w:bCs/>
          <w:b/>
        </w:rPr>
        <w:t xml:space="preserve">Reações cutâneas no local da injeção</w:t>
      </w:r>
      <w:r>
        <w:t xml:space="preserve"> </w:t>
      </w:r>
      <w:r>
        <w:t xml:space="preserve">(vermelhidão, inchaço): em uma metanálise de sete estudos com 185 pessoas, em 96%</w:t>
      </w:r>
      <w:r>
        <w:rPr>
          <w:rStyle w:val="FootnoteReference"/>
        </w:rPr>
        <w:footnoteReference w:id="815"/>
      </w:r>
      <w:r>
        <w:t xml:space="preserve">.</w:t>
      </w:r>
    </w:p>
    <w:p>
      <w:pPr>
        <w:numPr>
          <w:ilvl w:val="0"/>
          <w:numId w:val="1101"/>
        </w:numPr>
        <w:pStyle w:val="Compact"/>
      </w:pPr>
      <w:r>
        <w:rPr>
          <w:bCs/>
          <w:b/>
        </w:rPr>
        <w:t xml:space="preserve">Pele mais escura (hiperpigmentação):</w:t>
      </w:r>
      <w:r>
        <w:t xml:space="preserve"> </w:t>
      </w:r>
      <w:r>
        <w:t xml:space="preserve">em 62% na mesma metanálise. Pelo efeito no receptor de melanocortina 1, a pele bronzeia, lábios e pintas ficam mais escuros, e cabelos ruivos podem ficar castanhos. Em uma observação de até 46 meses, o bronzeamento se estabilizou com o tempo; não ocorreram alterações cutâneas malignas</w:t>
      </w:r>
      <w:r>
        <w:rPr>
          <w:rStyle w:val="FootnoteReference"/>
        </w:rPr>
        <w:footnoteReference w:id="816"/>
      </w:r>
      <w:r>
        <w:t xml:space="preserve">. Especialistas recomendam exames regulares da pele.</w:t>
      </w:r>
    </w:p>
    <w:p>
      <w:pPr>
        <w:numPr>
          <w:ilvl w:val="0"/>
          <w:numId w:val="1101"/>
        </w:numPr>
        <w:pStyle w:val="Compact"/>
      </w:pPr>
      <w:r>
        <w:rPr>
          <w:bCs/>
          <w:b/>
        </w:rPr>
        <w:t xml:space="preserve">Náusea e vômitos:</w:t>
      </w:r>
      <w:r>
        <w:t xml:space="preserve"> </w:t>
      </w:r>
      <w:r>
        <w:t xml:space="preserve">em 36% e 26%, respectivamente; diarreia em 21%</w:t>
      </w:r>
      <w:r>
        <w:rPr>
          <w:rStyle w:val="FootnoteReference"/>
        </w:rPr>
        <w:footnoteReference w:id="817"/>
      </w:r>
      <w:r>
        <w:t xml:space="preserve">.</w:t>
      </w:r>
    </w:p>
    <w:p>
      <w:pPr>
        <w:numPr>
          <w:ilvl w:val="0"/>
          <w:numId w:val="1101"/>
        </w:numPr>
        <w:pStyle w:val="Compact"/>
      </w:pPr>
      <w:r>
        <w:rPr>
          <w:bCs/>
          <w:b/>
        </w:rPr>
        <w:t xml:space="preserve">Eventos adversos graves:</w:t>
      </w:r>
      <w:r>
        <w:t xml:space="preserve"> </w:t>
      </w:r>
      <w:r>
        <w:t xml:space="preserve">no TRANSCEND, mais frequentes com setmelanotida (28% vs. 8%)</w:t>
      </w:r>
      <w:r>
        <w:rPr>
          <w:rStyle w:val="FootnoteReference"/>
        </w:rPr>
        <w:footnoteReference w:id="818"/>
      </w:r>
      <w:r>
        <w:t xml:space="preserve">; o resumo não os detalha individualmente.</w:t>
      </w:r>
    </w:p>
    <w:p>
      <w:pPr>
        <w:numPr>
          <w:ilvl w:val="0"/>
          <w:numId w:val="1101"/>
        </w:numPr>
        <w:pStyle w:val="Compact"/>
      </w:pPr>
      <w:r>
        <w:t xml:space="preserve">No estudo de BBS, foram relatados como eventos graves, entre outros, pensamentos suicidas, que não foram classificados como relacionados ao tratamento</w:t>
      </w:r>
      <w:r>
        <w:rPr>
          <w:rStyle w:val="FootnoteReference"/>
        </w:rPr>
        <w:footnoteReference w:id="819"/>
      </w:r>
      <w:r>
        <w:t xml:space="preserve">. A bula profissional contém advertências sobre depressão e pensamentos suicidas, bem como sobre ereções espontâneas em homens.</w:t>
      </w:r>
    </w:p>
    <w:p>
      <w:pPr>
        <w:pStyle w:val="FirstParagraph"/>
      </w:pPr>
      <w:r>
        <w:rPr>
          <w:bCs/>
          <w:b/>
        </w:rPr>
        <w:t xml:space="preserve">Teórico:</w:t>
      </w:r>
      <w:r>
        <w:t xml:space="preserve"> </w:t>
      </w:r>
      <w:r>
        <w:t xml:space="preserve">se a estimulação contínua das células pigmentares influencia a longo prazo o risco de câncer de pele não está esclarecido; as observações até agora, ao longo de alguns anos, não mostram sinal.</w:t>
      </w:r>
    </w:p>
    <w:p>
      <w:pPr>
        <w:pStyle w:val="BodyText"/>
      </w:pPr>
      <w:r>
        <w:rPr>
          <w:bCs/>
          <w:b/>
        </w:rPr>
        <w:t xml:space="preserve">Potencial de uso indevido:</w:t>
      </w:r>
      <w:r>
        <w:t xml:space="preserve"> </w:t>
      </w:r>
      <w:r>
        <w:t xml:space="preserve">por causa do efeito bronzeador, a setmelanotida é ocasionalmente associada ao melanotan II em fóruns na internet. Para pessoas sem defeito genético comprovado, ela não é um meio adequado para emagrecer e não foi estudada para isso.</w:t>
      </w:r>
    </w:p>
    <w:bookmarkEnd w:id="820"/>
    <w:bookmarkStart w:id="821" w:name="situação-legal-12"/>
    <w:p>
      <w:pPr>
        <w:pStyle w:val="Heading3"/>
      </w:pPr>
      <w:r>
        <w:t xml:space="preserve">Situação legal</w:t>
      </w:r>
    </w:p>
    <w:p>
      <w:pPr>
        <w:numPr>
          <w:ilvl w:val="0"/>
          <w:numId w:val="1102"/>
        </w:numPr>
        <w:pStyle w:val="Compact"/>
      </w:pPr>
      <w:r>
        <w:rPr>
          <w:bCs/>
          <w:b/>
        </w:rPr>
        <w:t xml:space="preserve">UE / Áustria / Alemanha:</w:t>
      </w:r>
      <w:r>
        <w:t xml:space="preserve"> </w:t>
      </w:r>
      <w:r>
        <w:t xml:space="preserve">aprovada (Imcivree), sujeita a prescrição médica, apenas para formas confirmadas geneticamente (deficiência de POMC, PCSK1, receptor de leptina, síndrome de Bardet-Biedl). O diagnóstico exige um exame genético; o início e o acompanhamento cabem a centros especializados. Detalhes sobre a ampliação para obesidade hipotalâmica:</w:t>
      </w:r>
    </w:p>
    <w:p>
      <w:pPr>
        <w:numPr>
          <w:ilvl w:val="0"/>
          <w:numId w:val="1102"/>
        </w:numPr>
        <w:pStyle w:val="Compact"/>
      </w:pPr>
      <w:r>
        <w:rPr>
          <w:bCs/>
          <w:b/>
        </w:rPr>
        <w:t xml:space="preserve">EUA:</w:t>
      </w:r>
      <w:r>
        <w:t xml:space="preserve"> </w:t>
      </w:r>
      <w:r>
        <w:t xml:space="preserve">aprovada desde 2020 (POMC, PCSK1, LEPR), depois ampliada para a síndrome de Bardet-Biedl e para crianças mais novas; um pedido para obesidade hipotalâmica foi apresentado com base no TRANSCEND.</w:t>
      </w:r>
    </w:p>
    <w:p>
      <w:pPr>
        <w:numPr>
          <w:ilvl w:val="0"/>
          <w:numId w:val="1102"/>
        </w:numPr>
        <w:pStyle w:val="Compact"/>
      </w:pPr>
      <w:r>
        <w:rPr>
          <w:bCs/>
          <w:b/>
        </w:rPr>
        <w:t xml:space="preserve">Esporte:</w:t>
      </w:r>
      <w:r>
        <w:t xml:space="preserve"> </w:t>
      </w:r>
      <w:r>
        <w:t xml:space="preserve">não mencionada na lista da WADA (situação em 2026, verificar atualização).</w:t>
      </w:r>
    </w:p>
    <w:bookmarkEnd w:id="821"/>
    <w:bookmarkStart w:id="828" w:name="estudos-em-andamento-e-perspectivas-1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03"/>
        </w:numPr>
        <w:pStyle w:val="Compact"/>
      </w:pPr>
      <w:r>
        <w:t xml:space="preserve">O</w:t>
      </w:r>
      <w:r>
        <w:t xml:space="preserve"> </w:t>
      </w:r>
      <w:r>
        <w:rPr>
          <w:bCs/>
          <w:b/>
        </w:rPr>
        <w:t xml:space="preserve">TRANSCEND</w:t>
      </w:r>
      <w:r>
        <w:rPr>
          <w:rStyle w:val="FootnoteReference"/>
        </w:rPr>
        <w:footnoteReference w:id="822"/>
      </w:r>
      <w:r>
        <w:t xml:space="preserve"> </w:t>
      </w:r>
      <w:r>
        <w:t xml:space="preserve">continua em uma extensão; um subestudo investiga a obesidade hipotalâmica congênita</w:t>
      </w:r>
      <w:r>
        <w:rPr>
          <w:rStyle w:val="FootnoteReference"/>
        </w:rPr>
        <w:footnoteReference w:id="823"/>
      </w:r>
      <w:r>
        <w:t xml:space="preserve">.</w:t>
      </w:r>
    </w:p>
    <w:p>
      <w:pPr>
        <w:numPr>
          <w:ilvl w:val="0"/>
          <w:numId w:val="1103"/>
        </w:numPr>
        <w:pStyle w:val="Compact"/>
      </w:pPr>
      <w:r>
        <w:rPr>
          <w:bCs/>
          <w:b/>
        </w:rPr>
        <w:t xml:space="preserve">Síndrome de Prader-Willi</w:t>
      </w:r>
      <w:r>
        <w:rPr>
          <w:rStyle w:val="FootnoteReference"/>
        </w:rPr>
        <w:footnoteReference w:id="824"/>
      </w:r>
      <w:r>
        <w:t xml:space="preserve">: fase 2 com 18 participantes.</w:t>
      </w:r>
    </w:p>
    <w:p>
      <w:pPr>
        <w:numPr>
          <w:ilvl w:val="0"/>
          <w:numId w:val="1103"/>
        </w:numPr>
        <w:pStyle w:val="Compact"/>
      </w:pPr>
      <w:r>
        <w:rPr>
          <w:bCs/>
          <w:b/>
        </w:rPr>
        <w:t xml:space="preserve">Observação de longo prazo</w:t>
      </w:r>
      <w:r>
        <w:t xml:space="preserve"> </w:t>
      </w:r>
      <w:r>
        <w:t xml:space="preserve">em BBS e obesidade genética grave na prática clínica</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e</w:t>
      </w:r>
      <w:r>
        <w:t xml:space="preserve"> </w:t>
      </w:r>
      <w:r>
        <w:rPr>
          <w:bCs/>
          <w:b/>
        </w:rPr>
        <w:t xml:space="preserve">DAYBREAK</w:t>
      </w:r>
      <w:r>
        <w:rPr>
          <w:rStyle w:val="FootnoteReference"/>
        </w:rPr>
        <w:footnoteReference w:id="827"/>
      </w:r>
      <w:r>
        <w:t xml:space="preserve"> </w:t>
      </w:r>
      <w:r>
        <w:t xml:space="preserve">sobre outras variantes genéticas: concluídos, publicação pendente.</w:t>
      </w:r>
    </w:p>
    <w:p>
      <w:pPr>
        <w:pStyle w:val="FirstParagraph"/>
      </w:pPr>
      <w:r>
        <w:rPr>
          <w:bCs/>
          <w:b/>
        </w:rPr>
        <w:t xml:space="preserve">Avaliação:</w:t>
      </w:r>
      <w:r>
        <w:t xml:space="preserve"> </w:t>
      </w:r>
      <w:r>
        <w:t xml:space="preserve">a setmelanotida mostrou que a medicina de precisão é possível na obesidade: quem conhece a causa pode tratar de forma direcionada. O grupo-alvo continua pequeno; com a obesidade hipotalâmica, porém, poderia se ampliar consideravelmente. Para a grande maioria das pessoas com obesidade, nas quais não há esse tipo de defeito genético, os medicamentos baseados em GLP-1 são mais eficazes e mais bem estudados.</w:t>
      </w:r>
    </w:p>
    <w:bookmarkEnd w:id="828"/>
    <w:bookmarkStart w:id="829" w:name="conclusão-12"/>
    <w:p>
      <w:pPr>
        <w:pStyle w:val="Heading3"/>
      </w:pPr>
      <w:r>
        <w:t xml:space="preserve">Conclusão</w:t>
      </w:r>
    </w:p>
    <w:p>
      <w:pPr>
        <w:pStyle w:val="FirstParagraph"/>
      </w:pPr>
      <w:r>
        <w:t xml:space="preserve">A setmelanotida é um pequeno peptídeo cíclico que ativa o receptor MC4 no cérebro e assim faz uma ponte sobre elos defeituosos da via de sinalização leptina-melanocortina. Em pequenos estudos de aprovação, 80% das pessoas com deficiência de POMC e 45% com deficiência do receptor de leptina perderam pelo menos 10% do peso; na obesidade hipotalâmica, o IMC caiu 16,5% após um ano, contra um aumento com placebo. Quase todas as pessoas tratadas apresentam reações cutâneas no local da injeção, e a maioria, pele mais escura. A setmelanotida está aprovada na UE e nos EUA para formas genéticas raras de obesidade e não é um medicamento para a perda de peso em geral.</w:t>
      </w:r>
    </w:p>
    <w:bookmarkEnd w:id="829"/>
    <w:bookmarkEnd w:id="830"/>
    <w:bookmarkStart w:id="855" w:name="aod-9604"/>
    <w:p>
      <w:pPr>
        <w:pStyle w:val="Heading2"/>
      </w:pPr>
      <w:r>
        <w:t xml:space="preserve">AOD-9604</w:t>
      </w:r>
    </w:p>
    <w:bookmarkStart w:id="832" w:name="ficha-técnica-13"/>
    <w:p>
      <w:pPr>
        <w:pStyle w:val="Heading3"/>
      </w:pPr>
      <w:r>
        <w:t xml:space="preserve">Ficha técnica</w:t>
      </w:r>
    </w:p>
    <w:p>
      <w:pPr>
        <w:numPr>
          <w:ilvl w:val="0"/>
          <w:numId w:val="1104"/>
        </w:numPr>
        <w:pStyle w:val="Compact"/>
      </w:pPr>
      <w:r>
        <w:rPr>
          <w:bCs/>
          <w:b/>
        </w:rPr>
        <w:t xml:space="preserve">Tipo/estrutura:</w:t>
      </w:r>
      <w:r>
        <w:t xml:space="preserve"> </w:t>
      </w:r>
      <w:r>
        <w:t xml:space="preserve">peptídeo sintético da extremidade final (C-terminal) do hormônio do crescimento humano: os aminoácidos 177 a 191, acrescidos de uma tirosina adicional no início</w:t>
      </w:r>
      <w:r>
        <w:rPr>
          <w:rStyle w:val="FootnoteReference"/>
        </w:rPr>
        <w:footnoteReference w:id="831"/>
      </w:r>
      <w:r>
        <w:t xml:space="preserve">. Na internet, muitas vezes oferecido com denominações como</w:t>
      </w:r>
      <w:r>
        <w:t xml:space="preserve"> </w:t>
      </w:r>
      <w:r>
        <w:t xml:space="preserve">“</w:t>
      </w:r>
      <w:r>
        <w:t xml:space="preserve">hGH Fragment 176-191</w:t>
      </w:r>
      <w:r>
        <w:t xml:space="preserve">”</w:t>
      </w:r>
      <w:r>
        <w:t xml:space="preserve"> </w:t>
      </w:r>
      <w:r>
        <w:t xml:space="preserve">ou</w:t>
      </w:r>
      <w:r>
        <w:t xml:space="preserve"> </w:t>
      </w:r>
      <w:r>
        <w:t xml:space="preserve">“</w:t>
      </w:r>
      <w:r>
        <w:t xml:space="preserve">Frag 176-191</w:t>
      </w:r>
      <w:r>
        <w:t xml:space="preserve">”</w:t>
      </w:r>
      <w:r>
        <w:t xml:space="preserve">. O nome significa</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Origem:</w:t>
      </w:r>
      <w:r>
        <w:t xml:space="preserve"> </w:t>
      </w:r>
      <w:r>
        <w:t xml:space="preserve">desenvolvido nos anos 1990 na Monash University, em Melbourne, e levado adiante pela empresa australiana Metabolic Pharmaceuticals como medicamento para emagrecer.</w:t>
      </w:r>
    </w:p>
    <w:p>
      <w:pPr>
        <w:numPr>
          <w:ilvl w:val="0"/>
          <w:numId w:val="1104"/>
        </w:numPr>
        <w:pStyle w:val="Compact"/>
      </w:pPr>
      <w:r>
        <w:rPr>
          <w:bCs/>
          <w:b/>
        </w:rPr>
        <w:t xml:space="preserve">Princípio de ação (hipótese):</w:t>
      </w:r>
      <w:r>
        <w:t xml:space="preserve"> </w:t>
      </w:r>
      <w:r>
        <w:t xml:space="preserve">deveria imitar o efeito de degradação de gordura do hormônio do crescimento, sem o seu efeito sobre a glicemia e o crescimento.</w:t>
      </w:r>
    </w:p>
    <w:p>
      <w:pPr>
        <w:numPr>
          <w:ilvl w:val="0"/>
          <w:numId w:val="1104"/>
        </w:numPr>
        <w:pStyle w:val="Compact"/>
      </w:pPr>
      <w:r>
        <w:rPr>
          <w:bCs/>
          <w:b/>
        </w:rPr>
        <w:t xml:space="preserve">Aprovação UE / EUA:</w:t>
      </w:r>
      <w:r>
        <w:t xml:space="preserve"> </w:t>
      </w:r>
      <w:r>
        <w:t xml:space="preserve">não. O desenvolvimento como medicamento foi encerrado após estudos de fase 2.</w:t>
      </w:r>
    </w:p>
    <w:p>
      <w:pPr>
        <w:numPr>
          <w:ilvl w:val="0"/>
          <w:numId w:val="1104"/>
        </w:numPr>
        <w:pStyle w:val="Compact"/>
      </w:pPr>
      <w:r>
        <w:rPr>
          <w:bCs/>
          <w:b/>
        </w:rPr>
        <w:t xml:space="preserve">WADA:</w:t>
      </w:r>
      <w:r>
        <w:t xml:space="preserve"> </w:t>
      </w:r>
      <w:r>
        <w:t xml:space="preserve">proibido – fragmentos do hormônio do crescimento como o AOD-9604 são mencionados expressamente na lista de proibições, na classe S2.</w:t>
      </w:r>
    </w:p>
    <w:p>
      <w:pPr>
        <w:numPr>
          <w:ilvl w:val="0"/>
          <w:numId w:val="1104"/>
        </w:numPr>
        <w:pStyle w:val="Compact"/>
      </w:pPr>
      <w:r>
        <w:rPr>
          <w:bCs/>
          <w:b/>
        </w:rPr>
        <w:t xml:space="preserve">Nível de evidência:</w:t>
      </w:r>
      <w:r>
        <w:t xml:space="preserve"> </w:t>
      </w:r>
      <w:r>
        <w:rPr>
          <w:bCs/>
          <w:b/>
        </w:rPr>
        <w:t xml:space="preserve">D</w:t>
      </w:r>
      <w:r>
        <w:t xml:space="preserve"> </w:t>
      </w:r>
      <w:r>
        <w:t xml:space="preserve">– nenhum resultado publicado de estudos em humanos localizável no PubMed; dados de estudos em animais e em laboratório.</w:t>
      </w:r>
    </w:p>
    <w:bookmarkEnd w:id="832"/>
    <w:bookmarkStart w:id="836" w:name="como-deveria-agir-13"/>
    <w:p>
      <w:pPr>
        <w:pStyle w:val="Heading3"/>
      </w:pPr>
      <w:r>
        <w:t xml:space="preserve">Como deveria agir</w:t>
      </w:r>
    </w:p>
    <w:p>
      <w:pPr>
        <w:pStyle w:val="FirstParagraph"/>
      </w:pPr>
      <w:r>
        <w:t xml:space="preserve">O hormônio do crescimento (hGH) tem muitos efeitos: favorece o crescimento em altura, age sobre músculos e ossos, estimula a queima de gordura – e eleva a glicemia ao enfraquecer o efeito da insulina. Já nos anos 1970 e 1980, pesquisadores investigaram em animais se segmentos isolados do hormônio carregam efeitos parciais distintos. Digno de nota: em um estudo com ratos, versões quimicamente modificadas justamente desse segmento (aminoácidos 177 a 191) provocaram glicemia elevada e resistência à insulina</w:t>
      </w:r>
      <w:r>
        <w:rPr>
          <w:rStyle w:val="FootnoteReference"/>
        </w:rPr>
        <w:footnoteReference w:id="833"/>
      </w:r>
      <w:r>
        <w:t xml:space="preserve"> </w:t>
      </w:r>
      <w:r>
        <w:t xml:space="preserve">– ou seja, exatamente o efeito que o AOD-9604 deveria evitar mais tarde. Os resultados dependem, ao que parece, fortemente da forma química exata do peptídeo.</w:t>
      </w:r>
    </w:p>
    <w:p>
      <w:pPr>
        <w:pStyle w:val="BodyText"/>
      </w:pPr>
      <w:r>
        <w:t xml:space="preserve">A ideia por trás do AOD-9604: um pequeno trecho do final do hormônio deveria manter apenas o efeito de degradação de gordura. Pesquisas de laboratório mostraram que o AOD-9604 não se liga ao receptor do hormônio do crescimento e também não estimula ali a divisão celular</w:t>
      </w:r>
      <w:r>
        <w:rPr>
          <w:rStyle w:val="FootnoteReference"/>
        </w:rPr>
        <w:footnoteReference w:id="834"/>
      </w:r>
      <w:r>
        <w:t xml:space="preserve">. Ele não seria, portanto, um</w:t>
      </w:r>
      <w:r>
        <w:t xml:space="preserve"> </w:t>
      </w:r>
      <w:r>
        <w:t xml:space="preserve">“</w:t>
      </w:r>
      <w:r>
        <w:t xml:space="preserve">pequeno hormônio do crescimento</w:t>
      </w:r>
      <w:r>
        <w:t xml:space="preserve">”</w:t>
      </w:r>
      <w:r>
        <w:t xml:space="preserve">, mas uma molécula com um mecanismo de ação próprio, ainda não totalmente compreendido. Em experimentos com camundongos sem o adrenorreceptor beta-3 (um receptor importante para a degradação de gordura), o efeito de redução de peso a longo prazo não ocorreu; as autoras e autores concluíram que o receptor está envolvido, mas não é o alvo direto</w:t>
      </w:r>
      <w:r>
        <w:rPr>
          <w:rStyle w:val="FootnoteReference"/>
        </w:rPr>
        <w:footnoteReference w:id="835"/>
      </w:r>
      <w:r>
        <w:t xml:space="preserve">.</w:t>
      </w:r>
    </w:p>
    <w:bookmarkEnd w:id="836"/>
    <w:bookmarkStart w:id="838" w:name="estudos-em-humanos-13"/>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w:t>
      </w:r>
      <w:r>
        <w:t xml:space="preserve"> </w:t>
      </w:r>
      <w:r>
        <w:rPr>
          <w:bCs/>
          <w:b/>
        </w:rPr>
        <w:t xml:space="preserve">não</w:t>
      </w:r>
      <w:r>
        <w:t xml:space="preserve"> </w:t>
      </w:r>
      <w:r>
        <w:t xml:space="preserve">encontrou nenhum estudo em humanos publicado. No ClinicalTrials.gov, não há nenhum estudo registrado sob</w:t>
      </w:r>
      <w:r>
        <w:t xml:space="preserve"> </w:t>
      </w:r>
      <w:r>
        <w:t xml:space="preserve">“</w:t>
      </w:r>
      <w:r>
        <w:t xml:space="preserve">AOD9604</w:t>
      </w:r>
      <w:r>
        <w:t xml:space="preserve">”</w:t>
      </w:r>
      <w:r>
        <w:t xml:space="preserve"> </w:t>
      </w:r>
      <w:r>
        <w:t xml:space="preserve">ou</w:t>
      </w:r>
      <w:r>
        <w:t xml:space="preserve"> </w:t>
      </w:r>
      <w:r>
        <w:t xml:space="preserve">“</w:t>
      </w:r>
      <w:r>
        <w:t xml:space="preserve">AOD-9604</w:t>
      </w:r>
      <w:r>
        <w:t xml:space="preserve">”</w:t>
      </w:r>
      <w:r>
        <w:t xml:space="preserve">.</w:t>
      </w:r>
    </w:p>
    <w:p>
      <w:pPr>
        <w:pStyle w:val="BodyText"/>
      </w:pPr>
      <w:r>
        <w:t xml:space="preserve">Isso não significa que o AOD-9604 nunca tenha sido testado em humanos. Artigos de revisão dos anos 2004 a 2006 relatam que o AOD-9604 estava em estudos de fase 2 para o tratamento da obesidade</w:t>
      </w:r>
      <w:r>
        <w:rPr>
          <w:rStyle w:val="FootnoteReference"/>
        </w:rPr>
        <w:footnoteReference w:id="837"/>
      </w:r>
      <w:r>
        <w:t xml:space="preserve">. Os resultados desses estudos, porém, não foram publicados em uma revista revisada por pares indexada no PubMed. Segundo informações publicamente acessíveis, o desenvolvedor encerrou o programa de emagrecimento na segunda metade dos anos 2000, porque não se observou um efeito suficiente. Como essas informações não vêm de uma publicação de estudo verificável, este livro não cita números a respeito.</w:t>
      </w:r>
    </w:p>
    <w:p>
      <w:pPr>
        <w:pStyle w:val="BodyText"/>
      </w:pPr>
      <w:r>
        <w:t xml:space="preserve">Para as leitoras e os leitores, isso significa: a quem hoje é oferecido o AOD-9604 como peptídeo para emagrecer ou</w:t>
      </w:r>
      <w:r>
        <w:t xml:space="preserve"> </w:t>
      </w:r>
      <w:r>
        <w:t xml:space="preserve">“</w:t>
      </w:r>
      <w:r>
        <w:t xml:space="preserve">queimador de gordura</w:t>
      </w:r>
      <w:r>
        <w:t xml:space="preserve">”</w:t>
      </w:r>
      <w:r>
        <w:t xml:space="preserve">, não há nenhum estudo publicado em humanos que comprove um efeito.</w:t>
      </w:r>
    </w:p>
    <w:bookmarkEnd w:id="838"/>
    <w:bookmarkStart w:id="843" w:name="estudos-em-animais-e-em-laboratório-13"/>
    <w:p>
      <w:pPr>
        <w:pStyle w:val="Heading3"/>
      </w:pPr>
      <w:r>
        <w:t xml:space="preserve">Estudos em animais e em laboratório</w:t>
      </w:r>
    </w:p>
    <w:p>
      <w:pPr>
        <w:pStyle w:val="FirstParagraph"/>
      </w:pPr>
      <w:r>
        <w:t xml:space="preserve">Todos os resultados a seguir vêm de experimentos com animais ou de pesquisas de laboratório:</w:t>
      </w:r>
    </w:p>
    <w:p>
      <w:pPr>
        <w:numPr>
          <w:ilvl w:val="0"/>
          <w:numId w:val="1105"/>
        </w:numPr>
        <w:pStyle w:val="Compact"/>
      </w:pPr>
      <w:r>
        <w:rPr>
          <w:bCs/>
          <w:b/>
        </w:rPr>
        <w:t xml:space="preserve">Em ratos com excesso de peso</w:t>
      </w:r>
      <w:r>
        <w:t xml:space="preserve"> </w:t>
      </w:r>
      <w:r>
        <w:t xml:space="preserve">(ratos Zucker), o AOD-9604, administrado na ração durante 19 dias, reduziu o ganho de peso em mais da metade; o tecido adiposo mostrou maior atividade de degradação de gordura. Diferentemente do hormônio do crescimento completo, a sensibilidade à insulina não piorou</w:t>
      </w:r>
      <w:r>
        <w:rPr>
          <w:rStyle w:val="FootnoteReference"/>
        </w:rPr>
        <w:footnoteReference w:id="839"/>
      </w:r>
      <w:r>
        <w:t xml:space="preserve">.</w:t>
      </w:r>
    </w:p>
    <w:p>
      <w:pPr>
        <w:numPr>
          <w:ilvl w:val="0"/>
          <w:numId w:val="1105"/>
        </w:numPr>
        <w:pStyle w:val="Compact"/>
      </w:pPr>
      <w:r>
        <w:rPr>
          <w:bCs/>
          <w:b/>
        </w:rPr>
        <w:t xml:space="preserve">Em camundongos com excesso de peso</w:t>
      </w:r>
      <w:r>
        <w:t xml:space="preserve">, tanto o hormônio do crescimento quanto o AOD-9604 reduziram em 14 dias o ganho de peso e aumentaram a queima de gordura. Ao contrário do hormônio do crescimento, o AOD-9604 não provocou glicemia elevada</w:t>
      </w:r>
      <w:r>
        <w:rPr>
          <w:rStyle w:val="FootnoteReference"/>
        </w:rPr>
        <w:footnoteReference w:id="840"/>
      </w:r>
      <w:r>
        <w:t xml:space="preserve">.</w:t>
      </w:r>
    </w:p>
    <w:p>
      <w:pPr>
        <w:numPr>
          <w:ilvl w:val="0"/>
          <w:numId w:val="1105"/>
        </w:numPr>
        <w:pStyle w:val="Compact"/>
      </w:pPr>
      <w:r>
        <w:rPr>
          <w:bCs/>
          <w:b/>
        </w:rPr>
        <w:t xml:space="preserve">Trabalhos preliminares mais antigos</w:t>
      </w:r>
      <w:r>
        <w:t xml:space="preserve"> </w:t>
      </w:r>
      <w:r>
        <w:t xml:space="preserve">em camundongos com o peptídeo aparentado hGH 177–191 mostraram um aumento menor do peso corporal e do tecido adiposo</w:t>
      </w:r>
      <w:r>
        <w:rPr>
          <w:rStyle w:val="FootnoteReference"/>
        </w:rPr>
        <w:footnoteReference w:id="841"/>
      </w:r>
      <w:r>
        <w:t xml:space="preserve">.</w:t>
      </w:r>
    </w:p>
    <w:p>
      <w:pPr>
        <w:numPr>
          <w:ilvl w:val="0"/>
          <w:numId w:val="1105"/>
        </w:numPr>
        <w:pStyle w:val="Compact"/>
      </w:pPr>
      <w:r>
        <w:rPr>
          <w:bCs/>
          <w:b/>
        </w:rPr>
        <w:t xml:space="preserve">Em coelhos</w:t>
      </w:r>
      <w:r>
        <w:t xml:space="preserve"> </w:t>
      </w:r>
      <w:r>
        <w:t xml:space="preserve">com artrose de joelho induzida artificialmente, injeções de AOD-9604 na articulação – sozinho ou junto com ácido hialurônico – melhoraram o estado da cartilagem</w:t>
      </w:r>
      <w:r>
        <w:rPr>
          <w:rStyle w:val="FootnoteReference"/>
        </w:rPr>
        <w:footnoteReference w:id="842"/>
      </w:r>
      <w:r>
        <w:t xml:space="preserve">. Esse achado é citado com frequência na internet como prova de um efeito</w:t>
      </w:r>
      <w:r>
        <w:t xml:space="preserve"> </w:t>
      </w:r>
      <w:r>
        <w:t xml:space="preserve">“</w:t>
      </w:r>
      <w:r>
        <w:t xml:space="preserve">regenerador das articulações</w:t>
      </w:r>
      <w:r>
        <w:t xml:space="preserve">”</w:t>
      </w:r>
      <w:r>
        <w:t xml:space="preserve"> </w:t>
      </w:r>
      <w:r>
        <w:t xml:space="preserve">em humanos; um estudo desse tipo em humanos não existe.</w:t>
      </w:r>
    </w:p>
    <w:p>
      <w:pPr>
        <w:pStyle w:val="FirstParagraph"/>
      </w:pPr>
      <w:r>
        <w:t xml:space="preserve">Os estudos em animais são pequenos, em parte antigos, e vêm predominantemente do círculo dos desenvolvedores.</w:t>
      </w:r>
    </w:p>
    <w:bookmarkEnd w:id="843"/>
    <w:bookmarkStart w:id="849" w:name="riscos-e-efeitos-colaterais-13"/>
    <w:p>
      <w:pPr>
        <w:pStyle w:val="Heading3"/>
      </w:pPr>
      <w:r>
        <w:t xml:space="preserve">Riscos e efeitos colaterais</w:t>
      </w:r>
    </w:p>
    <w:p>
      <w:pPr>
        <w:pStyle w:val="FirstParagraph"/>
      </w:pPr>
      <w:r>
        <w:rPr>
          <w:bCs/>
          <w:b/>
        </w:rPr>
        <w:t xml:space="preserve">Comprovados:</w:t>
      </w:r>
      <w:r>
        <w:t xml:space="preserve"> </w:t>
      </w:r>
      <w:r>
        <w:t xml:space="preserve">por falta de estudos em humanos publicados, não há dados confiáveis sobre efeitos colaterais em humanos.</w:t>
      </w:r>
    </w:p>
    <w:p>
      <w:pPr>
        <w:pStyle w:val="BodyText"/>
      </w:pPr>
      <w:r>
        <w:rPr>
          <w:bCs/>
          <w:b/>
        </w:rPr>
        <w:t xml:space="preserve">A partir de análises de produtos do mercado cinza e do controle antidoping:</w:t>
      </w:r>
    </w:p>
    <w:p>
      <w:pPr>
        <w:numPr>
          <w:ilvl w:val="0"/>
          <w:numId w:val="1106"/>
        </w:numPr>
        <w:pStyle w:val="Compact"/>
      </w:pPr>
      <w:r>
        <w:t xml:space="preserve">O AOD-9604 é oferecido há anos em sites da internet e foi encontrado em frascos apreendidos, entre outros nos EUA</w:t>
      </w:r>
      <w:r>
        <w:rPr>
          <w:rStyle w:val="FootnoteReference"/>
        </w:rPr>
        <w:footnoteReference w:id="844"/>
      </w:r>
      <w:r>
        <w:t xml:space="preserve"> </w:t>
      </w:r>
      <w:r>
        <w:t xml:space="preserve">e na Bélgica, onde autoridades analisaram preparações de peptídeos desconhecidas</w:t>
      </w:r>
      <w:r>
        <w:rPr>
          <w:rStyle w:val="FootnoteReference"/>
        </w:rPr>
        <w:footnoteReference w:id="845"/>
      </w:r>
      <w:r>
        <w:t xml:space="preserve">.</w:t>
      </w:r>
    </w:p>
    <w:p>
      <w:pPr>
        <w:numPr>
          <w:ilvl w:val="0"/>
          <w:numId w:val="1106"/>
        </w:numPr>
        <w:pStyle w:val="Compact"/>
      </w:pPr>
      <w:r>
        <w:t xml:space="preserve">Artigos de revisão sobre peptídeos no esporte e no mercado cinza enfatizam que, para o AOD-9604 e substâncias semelhantes, quase não há dados de segurança confiáveis em humanos e que a composição, a dose e a pureza dos produtos são incertas</w:t>
      </w:r>
      <w:r>
        <w:rPr>
          <w:rStyle w:val="FootnoteReference"/>
        </w:rPr>
        <w:footnoteReference w:id="846"/>
      </w:r>
      <w:r>
        <w:t xml:space="preserve">. Outra revisão aponta para produtos rotulados incorretamente ou contaminados no comércio não regulamentado</w:t>
      </w:r>
      <w:r>
        <w:rPr>
          <w:rStyle w:val="FootnoteReference"/>
        </w:rPr>
        <w:footnoteReference w:id="847"/>
      </w:r>
      <w:r>
        <w:t xml:space="preserve">.</w:t>
      </w:r>
    </w:p>
    <w:p>
      <w:pPr>
        <w:pStyle w:val="FirstParagraph"/>
      </w:pPr>
      <w:r>
        <w:rPr>
          <w:bCs/>
          <w:b/>
        </w:rPr>
        <w:t xml:space="preserve">Teóricos:</w:t>
      </w:r>
      <w:r>
        <w:t xml:space="preserve"> </w:t>
      </w:r>
      <w:r>
        <w:t xml:space="preserve">em todo produto injetável de fabricação não controlada há riscos por contaminantes, bactérias ou ingredientes errados (veja a Parte I e a Parte IV). Se o AOD-9604 – como o hormônio do crescimento – influencia a longo prazo o metabolismo ou o crescimento celular não foi estudado em humanos. Os dados de laboratório depõem contra um efeito direto no receptor do hormônio do crescimento</w:t>
      </w:r>
      <w:r>
        <w:rPr>
          <w:rStyle w:val="FootnoteReference"/>
        </w:rPr>
        <w:footnoteReference w:id="848"/>
      </w:r>
      <w:r>
        <w:t xml:space="preserve">.</w:t>
      </w:r>
    </w:p>
    <w:bookmarkEnd w:id="849"/>
    <w:bookmarkStart w:id="852" w:name="situação-legal-13"/>
    <w:p>
      <w:pPr>
        <w:pStyle w:val="Heading3"/>
      </w:pPr>
      <w:r>
        <w:t xml:space="preserve">Situação legal</w:t>
      </w:r>
    </w:p>
    <w:p>
      <w:pPr>
        <w:numPr>
          <w:ilvl w:val="0"/>
          <w:numId w:val="1107"/>
        </w:numPr>
        <w:pStyle w:val="Compact"/>
      </w:pPr>
      <w:r>
        <w:rPr>
          <w:bCs/>
          <w:b/>
        </w:rPr>
        <w:t xml:space="preserve">UE / Áustria / Alemanha:</w:t>
      </w:r>
      <w:r>
        <w:t xml:space="preserve"> </w:t>
      </w:r>
      <w:r>
        <w:t xml:space="preserve">não aprovado como medicamento. Produtos oferecidos para uso em humanos não podem ser comercializados segundo a legislação de medicamentos; avisos de</w:t>
      </w:r>
      <w:r>
        <w:t xml:space="preserve"> </w:t>
      </w:r>
      <w:r>
        <w:t xml:space="preserve">“</w:t>
      </w:r>
      <w:r>
        <w:t xml:space="preserve">for research use only</w:t>
      </w:r>
      <w:r>
        <w:t xml:space="preserve">”</w:t>
      </w:r>
      <w:r>
        <w:t xml:space="preserve"> </w:t>
      </w:r>
      <w:r>
        <w:t xml:space="preserve">não mudam isso.</w:t>
      </w:r>
    </w:p>
    <w:p>
      <w:pPr>
        <w:numPr>
          <w:ilvl w:val="0"/>
          <w:numId w:val="1107"/>
        </w:numPr>
        <w:pStyle w:val="Compact"/>
      </w:pPr>
      <w:r>
        <w:rPr>
          <w:bCs/>
          <w:b/>
        </w:rPr>
        <w:t xml:space="preserve">EUA:</w:t>
      </w:r>
      <w:r>
        <w:t xml:space="preserve"> </w:t>
      </w:r>
      <w:r>
        <w:t xml:space="preserve">não aprovado como medicamento. A FDA incluiu o AOD-9604 na lista de substâncias que, por preocupações de segurança, não podem ser manipuladas livremente por farmácias para a produção de medicamentos.</w:t>
      </w:r>
    </w:p>
    <w:p>
      <w:pPr>
        <w:numPr>
          <w:ilvl w:val="0"/>
          <w:numId w:val="1107"/>
        </w:numPr>
        <w:pStyle w:val="Compact"/>
      </w:pPr>
      <w:r>
        <w:rPr>
          <w:bCs/>
          <w:b/>
        </w:rPr>
        <w:t xml:space="preserve">Esporte:</w:t>
      </w:r>
      <w:r>
        <w:t xml:space="preserve"> </w:t>
      </w:r>
      <w:r>
        <w:t xml:space="preserve">expressamente proibido (lista de proibições da WADA, classe S2 – hormônios peptídicos, fatores de crescimento e substâncias relacionadas; fragmentos do hormônio do crescimento). O AOD-9604 ficou conhecido de um público mais amplo pelo escândalo de doping do clube de futebol australiano Essendon em 2013. Para controles antidoping, foram desenvolvidos métodos específicos de detecção na urina</w:t>
      </w:r>
      <w:r>
        <w:rPr>
          <w:rStyle w:val="FootnoteReference"/>
        </w:rPr>
        <w:footnoteReference w:id="850"/>
      </w:r>
      <w:r>
        <w:t xml:space="preserve">. O teste habitual de hormônio do crescimento não é influenciado pelo AOD-9604</w:t>
      </w:r>
      <w:r>
        <w:rPr>
          <w:rStyle w:val="FootnoteReference"/>
        </w:rPr>
        <w:footnoteReference w:id="851"/>
      </w:r>
      <w:r>
        <w:t xml:space="preserve"> </w:t>
      </w:r>
      <w:r>
        <w:t xml:space="preserve">– o fragmento precisa, portanto, ser procurado de forma específica. Situação em 2026, verificar atualização.</w:t>
      </w:r>
    </w:p>
    <w:bookmarkEnd w:id="852"/>
    <w:bookmarkStart w:id="853" w:name="estudos-em-andamento-e-perspectivas-13"/>
    <w:p>
      <w:pPr>
        <w:pStyle w:val="Heading3"/>
      </w:pPr>
      <w:r>
        <w:t xml:space="preserve">Estudos em andamento e perspectivas</w:t>
      </w:r>
    </w:p>
    <w:p>
      <w:pPr>
        <w:pStyle w:val="FirstParagraph"/>
      </w:pPr>
      <w:r>
        <w:rPr>
          <w:bCs/>
          <w:b/>
        </w:rPr>
        <w:t xml:space="preserve">Confirmado:</w:t>
      </w:r>
      <w:r>
        <w:t xml:space="preserve"> </w:t>
      </w:r>
      <w:r>
        <w:t xml:space="preserve">no ClinicalTrials.gov não há nenhum estudo em andamento sobre AOD-9604 registrado (consulta de outubro de 2026).</w:t>
      </w:r>
    </w:p>
    <w:p>
      <w:pPr>
        <w:pStyle w:val="BodyText"/>
      </w:pPr>
      <w:r>
        <w:rPr>
          <w:bCs/>
          <w:b/>
        </w:rPr>
        <w:t xml:space="preserve">Avaliação:</w:t>
      </w:r>
      <w:r>
        <w:t xml:space="preserve"> </w:t>
      </w:r>
      <w:r>
        <w:t xml:space="preserve">não há caminho visível pelo qual o AOD-9604 possa se tornar um medicamento aprovado em um futuro previsível. Com as substâncias baseadas em GLP-1, existem hoje medicamentos para emagrecer com eficácia grande e bem documentada; um peptídeo cujo próprio desenvolvimento como agente para emagrecer não teve sucesso dificilmente despertará novo interesse de investidores. O AOD-9604 provavelmente continuará sendo um produto do mercado cinza.</w:t>
      </w:r>
    </w:p>
    <w:bookmarkEnd w:id="853"/>
    <w:bookmarkStart w:id="854" w:name="conclusão-13"/>
    <w:p>
      <w:pPr>
        <w:pStyle w:val="Heading3"/>
      </w:pPr>
      <w:r>
        <w:t xml:space="preserve">Conclusão</w:t>
      </w:r>
    </w:p>
    <w:p>
      <w:pPr>
        <w:pStyle w:val="FirstParagraph"/>
      </w:pPr>
      <w:r>
        <w:t xml:space="preserve">O AOD-9604 é um pequeno trecho do hormônio do crescimento que, em ratos e camundongos, estimulou a degradação de gordura sem elevar a glicemia. Estudos em humanos chegaram a ser realizados nos anos 2000, mas seus resultados não foram publicados em revistas revisadas por pares, e o desenvolvimento como medicamento para emagrecer foi encerrado. Por isso, faltam completamente dados confiáveis sobre eficácia e segurança em humanos. O AOD-9604 não está aprovado como medicamento em lugar nenhum e é expressamente proibido no esporte.</w:t>
      </w:r>
    </w:p>
    <w:bookmarkEnd w:id="854"/>
    <w:bookmarkEnd w:id="855"/>
    <w:bookmarkStart w:id="892" w:name="orforglipron-para-comparação"/>
    <w:p>
      <w:pPr>
        <w:pStyle w:val="Heading2"/>
      </w:pPr>
      <w:r>
        <w:t xml:space="preserve">Orforglipron (para comparação)</w:t>
      </w:r>
    </w:p>
    <w:bookmarkStart w:id="856" w:name="ficha-técnica-14"/>
    <w:p>
      <w:pPr>
        <w:pStyle w:val="Heading3"/>
      </w:pPr>
      <w:r>
        <w:t xml:space="preserve">Ficha técnica</w:t>
      </w:r>
    </w:p>
    <w:p>
      <w:pPr>
        <w:numPr>
          <w:ilvl w:val="0"/>
          <w:numId w:val="1108"/>
        </w:numPr>
        <w:pStyle w:val="Compact"/>
      </w:pPr>
      <w:r>
        <w:rPr>
          <w:bCs/>
          <w:b/>
        </w:rPr>
        <w:t xml:space="preserve">Tipo/estrutura:</w:t>
      </w:r>
      <w:r>
        <w:t xml:space="preserve"> </w:t>
      </w:r>
      <w:r>
        <w:rPr>
          <w:bCs/>
          <w:b/>
        </w:rPr>
        <w:t xml:space="preserve">não é um peptídeo</w:t>
      </w:r>
      <w:r>
        <w:t xml:space="preserve">, mas uma molécula pequena, produzida quimicamente (</w:t>
      </w:r>
      <w:r>
        <w:t xml:space="preserve">“</w:t>
      </w:r>
      <w:r>
        <w:t xml:space="preserve">small molecule</w:t>
      </w:r>
      <w:r>
        <w:t xml:space="preserve">”</w:t>
      </w:r>
      <w:r>
        <w:t xml:space="preserve">), que age no receptor de GLP-1 como um peptídeo. Código de desenvolvimento LY3502970. Tomado uma vez ao dia como comprimido ou cápsula.</w:t>
      </w:r>
    </w:p>
    <w:p>
      <w:pPr>
        <w:numPr>
          <w:ilvl w:val="0"/>
          <w:numId w:val="1108"/>
        </w:numPr>
        <w:pStyle w:val="Compact"/>
      </w:pPr>
      <w:r>
        <w:rPr>
          <w:bCs/>
          <w:b/>
        </w:rPr>
        <w:t xml:space="preserve">Origem:</w:t>
      </w:r>
      <w:r>
        <w:t xml:space="preserve"> </w:t>
      </w:r>
      <w:r>
        <w:t xml:space="preserve">descoberto originalmente pela Chugai Pharmaceutical, licenciado e desenvolvido pela Eli Lilly.</w:t>
      </w:r>
    </w:p>
    <w:p>
      <w:pPr>
        <w:numPr>
          <w:ilvl w:val="0"/>
          <w:numId w:val="1108"/>
        </w:numPr>
        <w:pStyle w:val="Compact"/>
      </w:pPr>
      <w:r>
        <w:rPr>
          <w:bCs/>
          <w:b/>
        </w:rPr>
        <w:t xml:space="preserve">Princípio de ação:</w:t>
      </w:r>
      <w:r>
        <w:t xml:space="preserve"> </w:t>
      </w:r>
      <w:r>
        <w:t xml:space="preserve">agonista do receptor de GLP-1 – o mesmo alvo da semaglutida ou da liraglutida, mas com uma estrutura química completamente diferente.</w:t>
      </w:r>
    </w:p>
    <w:p>
      <w:pPr>
        <w:numPr>
          <w:ilvl w:val="0"/>
          <w:numId w:val="1108"/>
        </w:numPr>
        <w:pStyle w:val="Compact"/>
      </w:pPr>
      <w:r>
        <w:rPr>
          <w:bCs/>
          <w:b/>
        </w:rPr>
        <w:t xml:space="preserve">Aprovação UE / EUA:</w:t>
      </w:r>
      <w:r>
        <w:t xml:space="preserve"> </w:t>
      </w:r>
      <w:r>
        <w:t xml:space="preserve">segundo a situação da pesquisa para este livro (outubro de 2026), não registrado como aprovado; pedidos de aprovação foram apresentados ou anunciados com base nos estudos de fase 3 – verificar atualização.</w:t>
      </w:r>
    </w:p>
    <w:p>
      <w:pPr>
        <w:numPr>
          <w:ilvl w:val="0"/>
          <w:numId w:val="1108"/>
        </w:numPr>
        <w:pStyle w:val="Compact"/>
      </w:pPr>
      <w:r>
        <w:rPr>
          <w:bCs/>
          <w:b/>
        </w:rPr>
        <w:t xml:space="preserve">WADA:</w:t>
      </w:r>
      <w:r>
        <w:t xml:space="preserve"> </w:t>
      </w:r>
      <w:r>
        <w:t xml:space="preserve">não listado nominalmente; enquanto não estiver aprovado em lugar nenhum, proibido sob S0.</w:t>
      </w:r>
    </w:p>
    <w:p>
      <w:pPr>
        <w:numPr>
          <w:ilvl w:val="0"/>
          <w:numId w:val="1108"/>
        </w:numPr>
        <w:pStyle w:val="Compact"/>
      </w:pPr>
      <w:r>
        <w:rPr>
          <w:bCs/>
          <w:b/>
        </w:rPr>
        <w:t xml:space="preserve">Nível de evidência:</w:t>
      </w:r>
      <w:r>
        <w:t xml:space="preserve"> </w:t>
      </w:r>
      <w:r>
        <w:rPr>
          <w:bCs/>
          <w:b/>
        </w:rPr>
        <w:t xml:space="preserve">A</w:t>
      </w:r>
      <w:r>
        <w:t xml:space="preserve"> </w:t>
      </w:r>
      <w:r>
        <w:t xml:space="preserve">pela base de dados (vários grandes estudos de fase 3, incluindo estudo de segurança cardiovascular); a aprovação formal ainda está pendente ou deve ser verificada.</w:t>
      </w:r>
    </w:p>
    <w:bookmarkEnd w:id="856"/>
    <w:bookmarkStart w:id="858" w:name="X78bd2e39c76ad595e9c474c3f837793a7218dbd"/>
    <w:p>
      <w:pPr>
        <w:pStyle w:val="Heading3"/>
      </w:pPr>
      <w:r>
        <w:t xml:space="preserve">Por que este capítulo está em um livro sobre peptídeos</w:t>
      </w:r>
    </w:p>
    <w:p>
      <w:pPr>
        <w:pStyle w:val="FirstParagraph"/>
      </w:pPr>
      <w:r>
        <w:t xml:space="preserve">Todos os medicamentos GLP-1 até 2025 eram peptídeos. Peptídeos são em grande parte digeridos no trato gastrointestinal e quase não são absorvidos – por isso precisam ser injetados. A única exceção, a semaglutida em comprimido, precisa de um excipiente que facilita a absorção pela mucosa gástrica e de regras rígidas de uso: em jejum, com pouca água e com intervalo antes do café da manhã (veja o capítulo Semaglutida e a Parte I sobre a questão de como os peptídeos entram no corpo).</w:t>
      </w:r>
    </w:p>
    <w:p>
      <w:pPr>
        <w:pStyle w:val="BodyText"/>
      </w:pPr>
      <w:r>
        <w:t xml:space="preserve">O orforglipron contorna esse problema por princípio: como molécula pequena, é absorvido pelo intestino como um comprimido comum. Segundo os estudos, pode ser tomado sem levar em conta as refeições ou a quantidade de água</w:t>
      </w:r>
      <w:r>
        <w:rPr>
          <w:rStyle w:val="FootnoteReference"/>
        </w:rPr>
        <w:footnoteReference w:id="857"/>
      </w:r>
      <w:r>
        <w:t xml:space="preserve">. Com isso, o orforglipron é o caso de comparação mais importante para a questão de se o futuro dos medicamentos para emagrecer está mesmo nos peptídeos (veja a Parte V).</w:t>
      </w:r>
    </w:p>
    <w:bookmarkEnd w:id="858"/>
    <w:bookmarkStart w:id="860" w:name="como-deveria-agir-14"/>
    <w:p>
      <w:pPr>
        <w:pStyle w:val="Heading3"/>
      </w:pPr>
      <w:r>
        <w:t xml:space="preserve">Como deveria agir</w:t>
      </w:r>
    </w:p>
    <w:p>
      <w:pPr>
        <w:pStyle w:val="FirstParagraph"/>
      </w:pPr>
      <w:r>
        <w:t xml:space="preserve">O orforglipron se liga ao receptor de GLP-1 e desencadeia efeitos semelhantes aos dos agonistas peptídicos: menos apetite, esvaziamento gástrico retardado, mais insulina de forma dependente da glicose. Ele ativa apenas o receptor de GLP-1, não os receptores de GIP ou de glucagon. Pesquisas em pessoas com diabetes tipo 2 mostraram melhoras de marcadores da função das células beta e da sensibilidade à insulina</w:t>
      </w:r>
      <w:r>
        <w:rPr>
          <w:rStyle w:val="FootnoteReference"/>
        </w:rPr>
        <w:footnoteReference w:id="859"/>
      </w:r>
      <w:r>
        <w:t xml:space="preserve">.</w:t>
      </w:r>
    </w:p>
    <w:bookmarkEnd w:id="860"/>
    <w:bookmarkStart w:id="871" w:name="estudos-em-humanos-14"/>
    <w:p>
      <w:pPr>
        <w:pStyle w:val="Heading3"/>
      </w:pPr>
      <w:r>
        <w:t xml:space="preserve">Estudos em humanos</w:t>
      </w:r>
    </w:p>
    <w:p>
      <w:pPr>
        <w:pStyle w:val="FirstParagraph"/>
      </w:pPr>
      <w:r>
        <w:rPr>
          <w:bCs/>
          <w:b/>
        </w:rPr>
        <w:t xml:space="preserve">Dimensão da base de estudos:</w:t>
      </w:r>
      <w:r>
        <w:t xml:space="preserve"> </w:t>
      </w:r>
      <w:r>
        <w:t xml:space="preserve">a consulta automatizada ao PubMed (outubro de 2026) encontrou 20 estudos em humanos. No ClinicalTrials.gov havia 53 estudos registrados. Os programas de aprovação se chamam</w:t>
      </w:r>
      <w:r>
        <w:t xml:space="preserve"> </w:t>
      </w:r>
      <w:r>
        <w:rPr>
          <w:bCs/>
          <w:b/>
        </w:rPr>
        <w:t xml:space="preserve">ATTAIN</w:t>
      </w:r>
      <w:r>
        <w:t xml:space="preserve"> </w:t>
      </w:r>
      <w:r>
        <w:t xml:space="preserve">(obesidade) e</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2 obesidade (Wharton 2023), PMID 37351564</w:t>
            </w:r>
          </w:p>
        </w:tc>
        <w:tc>
          <w:tcPr/>
          <w:p>
            <w:pPr>
              <w:pStyle w:val="Compact"/>
              <w:jc w:val="left"/>
            </w:pPr>
            <w:r>
              <w:t xml:space="preserve">272 adultos sem diabetes, contra placebo</w:t>
            </w:r>
          </w:p>
        </w:tc>
        <w:tc>
          <w:tcPr/>
          <w:p>
            <w:pPr>
              <w:pStyle w:val="Compact"/>
              <w:jc w:val="left"/>
            </w:pPr>
            <w:r>
              <w:t xml:space="preserve">36 semanas</w:t>
            </w:r>
          </w:p>
        </w:tc>
        <w:tc>
          <w:tcPr/>
          <w:p>
            <w:pPr>
              <w:pStyle w:val="Compact"/>
              <w:jc w:val="left"/>
            </w:pPr>
            <w:r>
              <w:t xml:space="preserve">−9,4 a −14,7% de peso vs. −2,3%</w:t>
            </w:r>
          </w:p>
        </w:tc>
      </w:tr>
      <w:tr>
        <w:tc>
          <w:tcPr/>
          <w:p>
            <w:pPr>
              <w:pStyle w:val="Compact"/>
              <w:jc w:val="left"/>
            </w:pPr>
            <w:r>
              <w:t xml:space="preserve">ATTAIN-1 (Wharton 2025), PMID 40960239</w:t>
            </w:r>
          </w:p>
        </w:tc>
        <w:tc>
          <w:tcPr/>
          <w:p>
            <w:pPr>
              <w:pStyle w:val="Compact"/>
              <w:jc w:val="left"/>
            </w:pPr>
            <w:r>
              <w:t xml:space="preserve">3.127 adultos com obesidade sem diabetes, contra placebo</w:t>
            </w:r>
          </w:p>
        </w:tc>
        <w:tc>
          <w:tcPr/>
          <w:p>
            <w:pPr>
              <w:pStyle w:val="Compact"/>
              <w:jc w:val="left"/>
            </w:pPr>
            <w:r>
              <w:t xml:space="preserve">72 semanas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adultos com obesidade e diabetes tipo 2</w:t>
            </w:r>
          </w:p>
        </w:tc>
        <w:tc>
          <w:tcPr/>
          <w:p>
            <w:pPr>
              <w:pStyle w:val="Compact"/>
              <w:jc w:val="left"/>
            </w:pPr>
            <w:r>
              <w:t xml:space="preserve">72 semanas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adultos após tirzepatida ou semaglutida, troca vs. placebo</w:t>
            </w:r>
          </w:p>
        </w:tc>
        <w:tc>
          <w:tcPr/>
          <w:p>
            <w:pPr>
              <w:pStyle w:val="Compact"/>
              <w:jc w:val="left"/>
            </w:pPr>
            <w:r>
              <w:t xml:space="preserve">52 semanas</w:t>
            </w:r>
          </w:p>
        </w:tc>
        <w:tc>
          <w:tcPr/>
          <w:p>
            <w:pPr>
              <w:pStyle w:val="Compact"/>
              <w:jc w:val="left"/>
            </w:pPr>
            <w:r>
              <w:t xml:space="preserve">74,7% e 79,3% da perda de peso mantidos (placebo 49,2% e 37,6%)</w:t>
            </w:r>
          </w:p>
        </w:tc>
      </w:tr>
      <w:tr>
        <w:tc>
          <w:tcPr/>
          <w:p>
            <w:pPr>
              <w:pStyle w:val="Compact"/>
              <w:jc w:val="left"/>
            </w:pPr>
            <w:r>
              <w:t xml:space="preserve">ACHIEVE-1 (Rosenstock 2025), PMID 40544435</w:t>
            </w:r>
          </w:p>
        </w:tc>
        <w:tc>
          <w:tcPr/>
          <w:p>
            <w:pPr>
              <w:pStyle w:val="Compact"/>
              <w:jc w:val="left"/>
            </w:pPr>
            <w:r>
              <w:t xml:space="preserve">559 adultos com diabetes tipo 2 inicial</w:t>
            </w:r>
          </w:p>
        </w:tc>
        <w:tc>
          <w:tcPr/>
          <w:p>
            <w:pPr>
              <w:pStyle w:val="Compact"/>
              <w:jc w:val="left"/>
            </w:pPr>
            <w:r>
              <w:t xml:space="preserve">40 semanas</w:t>
            </w:r>
          </w:p>
        </w:tc>
        <w:tc>
          <w:tcPr/>
          <w:p>
            <w:pPr>
              <w:pStyle w:val="Compact"/>
              <w:jc w:val="left"/>
            </w:pPr>
            <w:r>
              <w:t xml:space="preserve">HbA1c −1,24 a −1,48 vs. −0,41</w:t>
            </w:r>
          </w:p>
        </w:tc>
      </w:tr>
      <w:tr>
        <w:tc>
          <w:tcPr/>
          <w:p>
            <w:pPr>
              <w:pStyle w:val="Compact"/>
              <w:jc w:val="left"/>
            </w:pPr>
            <w:r>
              <w:t xml:space="preserve">ACHIEVE-3 (Rosenstock 2026), PMID 41765029</w:t>
            </w:r>
          </w:p>
        </w:tc>
        <w:tc>
          <w:tcPr/>
          <w:p>
            <w:pPr>
              <w:pStyle w:val="Compact"/>
              <w:jc w:val="left"/>
            </w:pPr>
            <w:r>
              <w:t xml:space="preserve">1.698 adultos com diabetes tipo 2, aberto contra semaglutida em comprimido</w:t>
            </w:r>
          </w:p>
        </w:tc>
        <w:tc>
          <w:tcPr/>
          <w:p>
            <w:pPr>
              <w:pStyle w:val="Compact"/>
              <w:jc w:val="left"/>
            </w:pPr>
            <w:r>
              <w:t xml:space="preserve">52 semanas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adultos com diabetes tipo 2 e alto risco cardiovascular, contra insulina glargina</w:t>
            </w:r>
          </w:p>
        </w:tc>
        <w:tc>
          <w:tcPr/>
          <w:p>
            <w:pPr>
              <w:pStyle w:val="Compact"/>
              <w:jc w:val="left"/>
            </w:pPr>
            <w:r>
              <w:t xml:space="preserve">mediana de 2 anos</w:t>
            </w:r>
          </w:p>
        </w:tc>
        <w:tc>
          <w:tcPr/>
          <w:p>
            <w:pPr>
              <w:pStyle w:val="Compact"/>
              <w:jc w:val="left"/>
            </w:pPr>
            <w:r>
              <w:t xml:space="preserve">MACE-4: 4,2% vs. 5,0% (não inferior)</w:t>
            </w:r>
          </w:p>
        </w:tc>
      </w:tr>
    </w:tbl>
    <w:bookmarkStart w:id="865" w:name="obesidade-attain"/>
    <w:p>
      <w:pPr>
        <w:pStyle w:val="Heading4"/>
      </w:pPr>
      <w:r>
        <w:t xml:space="preserve">Obesidade: ATTAIN</w:t>
      </w:r>
    </w:p>
    <w:p>
      <w:pPr>
        <w:pStyle w:val="FirstParagraph"/>
      </w:pPr>
      <w:r>
        <w:t xml:space="preserve">O</w:t>
      </w:r>
      <w:r>
        <w:t xml:space="preserve"> </w:t>
      </w:r>
      <w:r>
        <w:rPr>
          <w:bCs/>
          <w:b/>
        </w:rPr>
        <w:t xml:space="preserve">ATTAIN-1</w:t>
      </w:r>
      <w:r>
        <w:rPr>
          <w:rStyle w:val="FootnoteReference"/>
        </w:rPr>
        <w:footnoteReference w:id="861"/>
      </w:r>
      <w:r>
        <w:t xml:space="preserve"> </w:t>
      </w:r>
      <w:r>
        <w:t xml:space="preserve">é o estudo principal. Após 72 semanas, os 3.127 participantes perderam, com a dose mais alta, em média 11,2% do peso; com placebo, 2,1%. Com a dose mais alta, 54,6% alcançaram pelo menos 10% e 18,4% pelo menos 20% de perda de peso. Por efeitos colaterais, 5,3 a 10,3% interromperam o tratamento (placebo 2,7%).</w:t>
      </w:r>
    </w:p>
    <w:p>
      <w:pPr>
        <w:pStyle w:val="BodyText"/>
      </w:pPr>
      <w:r>
        <w:t xml:space="preserve">Para contextualizar: isso é bem menos do que com semaglutida ou tirzepatida injetáveis em seus estudos de aprovação, e menos do que o estudo de fase 2, com até 14,7% após 36 semanas, havia feito esperar</w:t>
      </w:r>
      <w:r>
        <w:rPr>
          <w:rStyle w:val="FootnoteReference"/>
        </w:rPr>
        <w:footnoteReference w:id="862"/>
      </w:r>
      <w:r>
        <w:t xml:space="preserve">. Comparações cruzadas entre estudos são, no entanto, apenas uma orientação grosseira.</w:t>
      </w:r>
    </w:p>
    <w:p>
      <w:pPr>
        <w:pStyle w:val="BodyText"/>
      </w:pPr>
      <w:r>
        <w:t xml:space="preserve">O</w:t>
      </w:r>
      <w:r>
        <w:t xml:space="preserve"> </w:t>
      </w:r>
      <w:r>
        <w:rPr>
          <w:bCs/>
          <w:b/>
        </w:rPr>
        <w:t xml:space="preserve">ATTAIN-2</w:t>
      </w:r>
      <w:r>
        <w:rPr>
          <w:rStyle w:val="FootnoteReference"/>
        </w:rPr>
        <w:footnoteReference w:id="863"/>
      </w:r>
      <w:r>
        <w:t xml:space="preserve"> </w:t>
      </w:r>
      <w:r>
        <w:t xml:space="preserve">mostrou em pessoas com diabetes tipo 2 uma perda de peso de até 9,6% contra 2,5% com placebo.</w:t>
      </w:r>
    </w:p>
    <w:p>
      <w:pPr>
        <w:pStyle w:val="BodyText"/>
      </w:pPr>
      <w:r>
        <w:t xml:space="preserve">O</w:t>
      </w:r>
      <w:r>
        <w:t xml:space="preserve"> </w:t>
      </w:r>
      <w:r>
        <w:rPr>
          <w:bCs/>
          <w:b/>
        </w:rPr>
        <w:t xml:space="preserve">ATTAIN-MAINTAIN</w:t>
      </w:r>
      <w:r>
        <w:rPr>
          <w:rStyle w:val="FootnoteReference"/>
        </w:rPr>
        <w:footnoteReference w:id="864"/>
      </w:r>
      <w:r>
        <w:t xml:space="preserve"> </w:t>
      </w:r>
      <w:r>
        <w:t xml:space="preserve">é especialmente interessante para a prática. Participantes que antes haviam perdido peso no estudo SURMOUNT-5 com tirzepatida ou semaglutida injetáveis passaram para orforglipron ou placebo. Após 52 semanas, os que antes haviam sido tratados com tirzepatida mantiveram com orforglipron 74,7% da perda de peso (placebo 49,2%), e os que antes haviam sido tratados com semaglutida, 79,3% (placebo 37,6%). Não houve um grupo de comparação que simplesmente continuasse recebendo a injeção – as próprias autoras e autores citam isso como limitação. O conceito</w:t>
      </w:r>
      <w:r>
        <w:t xml:space="preserve"> </w:t>
      </w:r>
      <w:r>
        <w:t xml:space="preserve">“</w:t>
      </w:r>
      <w:r>
        <w:t xml:space="preserve">perder peso com a injeção, manter com o comprimido</w:t>
      </w:r>
      <w:r>
        <w:t xml:space="preserve">”</w:t>
      </w:r>
      <w:r>
        <w:t xml:space="preserve"> </w:t>
      </w:r>
      <w:r>
        <w:t xml:space="preserve">é assim comprovado pela primeira vez, mas ainda não foi testado contra a alternativa</w:t>
      </w:r>
      <w:r>
        <w:t xml:space="preserve"> </w:t>
      </w:r>
      <w:r>
        <w:t xml:space="preserve">“</w:t>
      </w:r>
      <w:r>
        <w:t xml:space="preserve">continuar com a injeção</w:t>
      </w:r>
      <w:r>
        <w:t xml:space="preserve">”</w:t>
      </w:r>
      <w:r>
        <w:t xml:space="preserve">.</w:t>
      </w:r>
    </w:p>
    <w:bookmarkEnd w:id="865"/>
    <w:bookmarkStart w:id="870" w:name="diabetes-tipo-2-achieve"/>
    <w:p>
      <w:pPr>
        <w:pStyle w:val="Heading4"/>
      </w:pPr>
      <w:r>
        <w:t xml:space="preserve">Diabetes tipo 2: ACHIEVE</w:t>
      </w:r>
    </w:p>
    <w:p>
      <w:pPr>
        <w:numPr>
          <w:ilvl w:val="0"/>
          <w:numId w:val="1109"/>
        </w:numPr>
        <w:pStyle w:val="Compact"/>
      </w:pPr>
      <w:r>
        <w:rPr>
          <w:bCs/>
          <w:b/>
        </w:rPr>
        <w:t xml:space="preserve">ACHIEVE-1</w:t>
      </w:r>
      <w:r>
        <w:rPr>
          <w:rStyle w:val="FootnoteReference"/>
        </w:rPr>
        <w:footnoteReference w:id="866"/>
      </w:r>
      <w:r>
        <w:t xml:space="preserve">: no diabetes tipo 2 inicial sem outros medicamentos, a HbA1c caiu após 40 semanas até 1,48 ponto percentual (placebo −0,41), e o peso até 7,6%. Não ocorreram hipoglicemias graves.</w:t>
      </w:r>
    </w:p>
    <w:p>
      <w:pPr>
        <w:numPr>
          <w:ilvl w:val="0"/>
          <w:numId w:val="1109"/>
        </w:numPr>
        <w:pStyle w:val="Compact"/>
      </w:pPr>
      <w:r>
        <w:rPr>
          <w:bCs/>
          <w:b/>
        </w:rPr>
        <w:t xml:space="preserve">ACHIEVE-2</w:t>
      </w:r>
      <w:r>
        <w:rPr>
          <w:rStyle w:val="FootnoteReference"/>
        </w:rPr>
        <w:footnoteReference w:id="867"/>
      </w:r>
      <w:r>
        <w:t xml:space="preserve">: contra o inibidor de SGLT2 dapagliflozina, o orforglipron foi não inferior na HbA1c e mais forte em todas as doses (até −1,56 vs. −0,81 ponto percentual).</w:t>
      </w:r>
    </w:p>
    <w:p>
      <w:pPr>
        <w:numPr>
          <w:ilvl w:val="0"/>
          <w:numId w:val="1109"/>
        </w:numPr>
        <w:pStyle w:val="Compact"/>
      </w:pPr>
      <w:r>
        <w:rPr>
          <w:bCs/>
          <w:b/>
        </w:rPr>
        <w:t xml:space="preserve">ACHIEVE-3</w:t>
      </w:r>
      <w:r>
        <w:rPr>
          <w:rStyle w:val="FootnoteReference"/>
        </w:rPr>
        <w:footnoteReference w:id="868"/>
      </w:r>
      <w:r>
        <w:t xml:space="preserve">: na comparação direta com a semaglutida em comprimido, o orforglipron reduziu mais a HbA1c (−1,91 vs. −1,47 ponto percentual nas respectivas doses mais altas). O estudo foi aberto, ou seja, não cego. Queixas gastrointestinais foram mais frequentes com orforglipron (58–59% vs. 37–45%), assim como interrupções por efeitos colaterais (9–10% vs. 4–5%).</w:t>
      </w:r>
    </w:p>
    <w:p>
      <w:pPr>
        <w:numPr>
          <w:ilvl w:val="0"/>
          <w:numId w:val="1109"/>
        </w:numPr>
        <w:pStyle w:val="Compact"/>
      </w:pPr>
      <w:r>
        <w:rPr>
          <w:bCs/>
          <w:b/>
        </w:rPr>
        <w:t xml:space="preserve">ACHIEVE-4</w:t>
      </w:r>
      <w:r>
        <w:rPr>
          <w:rStyle w:val="FootnoteReference"/>
        </w:rPr>
        <w:footnoteReference w:id="869"/>
      </w:r>
      <w:r>
        <w:t xml:space="preserve">: o estudo de segurança cardiovascular (veja abaixo).</w:t>
      </w:r>
    </w:p>
    <w:bookmarkEnd w:id="870"/>
    <w:bookmarkEnd w:id="871"/>
    <w:bookmarkStart w:id="873" w:name="estudos-em-animais-e-em-laboratório-14"/>
    <w:p>
      <w:pPr>
        <w:pStyle w:val="Heading3"/>
      </w:pPr>
      <w:r>
        <w:t xml:space="preserve">Estudos em animais e em laboratório</w:t>
      </w:r>
    </w:p>
    <w:p>
      <w:pPr>
        <w:pStyle w:val="FirstParagraph"/>
      </w:pPr>
      <w:r>
        <w:t xml:space="preserve">Para este capítulo de comparação, os dados pré-clínicos não são apresentados em detalhe. Importante é uma diferença farmacológica: como molécula pequena, o orforglipron é degradado por enzimas hepáticas. Por isso foram realizados numerosos estudos sobre interações com outros medicamentos, por exemplo com claritromicina, ciclosporina, carbamazepina ou quinidina</w:t>
      </w:r>
      <w:r>
        <w:rPr>
          <w:rStyle w:val="FootnoteReference"/>
        </w:rPr>
        <w:footnoteReference w:id="872"/>
      </w:r>
      <w:r>
        <w:t xml:space="preserve">. Os agonistas peptídicos, em contrapartida, são degradados como proteínas e quase não têm interações desse tipo.</w:t>
      </w:r>
    </w:p>
    <w:bookmarkEnd w:id="873"/>
    <w:bookmarkStart w:id="881" w:name="riscos-e-efeitos-colaterais-14"/>
    <w:p>
      <w:pPr>
        <w:pStyle w:val="Heading3"/>
      </w:pPr>
      <w:r>
        <w:t xml:space="preserve">Riscos e efeitos colaterais</w:t>
      </w:r>
    </w:p>
    <w:p>
      <w:pPr>
        <w:pStyle w:val="FirstParagraph"/>
      </w:pPr>
      <w:r>
        <w:rPr>
          <w:bCs/>
          <w:b/>
        </w:rPr>
        <w:t xml:space="preserve">Comprovados em estudos:</w:t>
      </w:r>
    </w:p>
    <w:p>
      <w:pPr>
        <w:numPr>
          <w:ilvl w:val="0"/>
          <w:numId w:val="1110"/>
        </w:numPr>
        <w:pStyle w:val="Compact"/>
      </w:pPr>
      <w:r>
        <w:rPr>
          <w:bCs/>
          <w:b/>
        </w:rPr>
        <w:t xml:space="preserve">Queixas gastrointestinais</w:t>
      </w:r>
      <w:r>
        <w:t xml:space="preserve">, como em todos os agonistas de GLP-1, predominantemente leves a moderadas e durante o escalonamento da dose. No ACHIEVE-4, 62,1% com orforglipron contra 14,2% com insulina glargina relataram queixas gastrointestinais</w:t>
      </w:r>
      <w:r>
        <w:rPr>
          <w:rStyle w:val="FootnoteReference"/>
        </w:rPr>
        <w:footnoteReference w:id="874"/>
      </w:r>
      <w:r>
        <w:t xml:space="preserve">.</w:t>
      </w:r>
    </w:p>
    <w:p>
      <w:pPr>
        <w:numPr>
          <w:ilvl w:val="0"/>
          <w:numId w:val="1110"/>
        </w:numPr>
        <w:pStyle w:val="Compact"/>
      </w:pPr>
      <w:r>
        <w:rPr>
          <w:bCs/>
          <w:b/>
        </w:rPr>
        <w:t xml:space="preserve">Interrupções por efeitos colaterais:</w:t>
      </w:r>
      <w:r>
        <w:t xml:space="preserve"> </w:t>
      </w:r>
      <w:r>
        <w:t xml:space="preserve">no ATTAIN-1, até 10,3%</w:t>
      </w:r>
      <w:r>
        <w:rPr>
          <w:rStyle w:val="FootnoteReference"/>
        </w:rPr>
        <w:footnoteReference w:id="875"/>
      </w:r>
      <w:r>
        <w:t xml:space="preserve">; em comparação com a semaglutida em comprimido, cerca do dobro</w:t>
      </w:r>
      <w:r>
        <w:rPr>
          <w:rStyle w:val="FootnoteReference"/>
        </w:rPr>
        <w:footnoteReference w:id="876"/>
      </w:r>
      <w:r>
        <w:t xml:space="preserve">.</w:t>
      </w:r>
    </w:p>
    <w:p>
      <w:pPr>
        <w:numPr>
          <w:ilvl w:val="0"/>
          <w:numId w:val="1110"/>
        </w:numPr>
        <w:pStyle w:val="Compact"/>
      </w:pPr>
      <w:r>
        <w:rPr>
          <w:bCs/>
          <w:b/>
        </w:rPr>
        <w:t xml:space="preserve">Pulso:</w:t>
      </w:r>
      <w:r>
        <w:t xml:space="preserve"> </w:t>
      </w:r>
      <w:r>
        <w:t xml:space="preserve">no ACHIEVE-3, a frequência cardíaca subiu com orforglipron 3,7 a 4,7 batimentos por minuto, com a semaglutida em comprimido 1,0 a 1,5</w:t>
      </w:r>
      <w:r>
        <w:rPr>
          <w:rStyle w:val="FootnoteReference"/>
        </w:rPr>
        <w:footnoteReference w:id="877"/>
      </w:r>
      <w:r>
        <w:t xml:space="preserve">.</w:t>
      </w:r>
    </w:p>
    <w:p>
      <w:pPr>
        <w:numPr>
          <w:ilvl w:val="0"/>
          <w:numId w:val="1110"/>
        </w:numPr>
        <w:pStyle w:val="Compact"/>
      </w:pPr>
      <w:r>
        <w:rPr>
          <w:bCs/>
          <w:b/>
        </w:rPr>
        <w:t xml:space="preserve">Segurança cardiovascular:</w:t>
      </w:r>
      <w:r>
        <w:t xml:space="preserve"> </w:t>
      </w:r>
      <w:r>
        <w:t xml:space="preserve">no ACHIEVE-4, eventos cardiovasculares graves ocorreram em 4,2% com orforglipron e em 5,0% com insulina glargina (hazard ratio 0,84; IC 95% 0,59–1,20) – o orforglipron foi, portanto, não inferior. Hipoglicemias clinicamente relevantes ou graves foram mais raras (6,8% vs. 19,2%)</w:t>
      </w:r>
      <w:r>
        <w:rPr>
          <w:rStyle w:val="FootnoteReference"/>
        </w:rPr>
        <w:footnoteReference w:id="878"/>
      </w:r>
      <w:r>
        <w:t xml:space="preserve">. Se o orforglipron, como alguns agonistas peptídicos,</w:t>
      </w:r>
      <w:r>
        <w:t xml:space="preserve"> </w:t>
      </w:r>
      <w:r>
        <w:rPr>
          <w:iCs/>
          <w:i/>
        </w:rPr>
        <w:t xml:space="preserve">reduz</w:t>
      </w:r>
      <w:r>
        <w:t xml:space="preserve"> </w:t>
      </w:r>
      <w:r>
        <w:t xml:space="preserve">eventos cardiovasculares, um estudo de desfechos próprio deverá mostrar</w:t>
      </w:r>
      <w:r>
        <w:rPr>
          <w:rStyle w:val="FootnoteReference"/>
        </w:rPr>
        <w:footnoteReference w:id="879"/>
      </w:r>
      <w:r>
        <w:t xml:space="preserve">.</w:t>
      </w:r>
    </w:p>
    <w:p>
      <w:pPr>
        <w:numPr>
          <w:ilvl w:val="0"/>
          <w:numId w:val="1110"/>
        </w:numPr>
        <w:pStyle w:val="Compact"/>
      </w:pPr>
      <w:r>
        <w:rPr>
          <w:bCs/>
          <w:b/>
        </w:rPr>
        <w:t xml:space="preserve">Fígado:</w:t>
      </w:r>
      <w:r>
        <w:t xml:space="preserve"> </w:t>
      </w:r>
      <w:r>
        <w:t xml:space="preserve">com pequenas moléculas de GLP-1 de outros fabricantes, elevações das enzimas hepáticas foram um problema. Uma análise agrupada de sete estudos de fase 3 com 11.220 participantes não encontrou para o orforglipron nenhum caso de lesão hepática induzida por medicamento; as enzimas hepáticas chegaram a cair em média</w:t>
      </w:r>
      <w:r>
        <w:rPr>
          <w:rStyle w:val="FootnoteReference"/>
        </w:rPr>
        <w:footnoteReference w:id="880"/>
      </w:r>
      <w:r>
        <w:t xml:space="preserve">.</w:t>
      </w:r>
    </w:p>
    <w:bookmarkEnd w:id="881"/>
    <w:bookmarkStart w:id="882" w:name="situação-legal-14"/>
    <w:p>
      <w:pPr>
        <w:pStyle w:val="Heading3"/>
      </w:pPr>
      <w:r>
        <w:t xml:space="preserve">Situação legal</w:t>
      </w:r>
    </w:p>
    <w:p>
      <w:pPr>
        <w:numPr>
          <w:ilvl w:val="0"/>
          <w:numId w:val="1111"/>
        </w:numPr>
        <w:pStyle w:val="Compact"/>
      </w:pPr>
      <w:r>
        <w:rPr>
          <w:bCs/>
          <w:b/>
        </w:rPr>
        <w:t xml:space="preserve">UE / Áustria / Alemanha:</w:t>
      </w:r>
      <w:r>
        <w:t xml:space="preserve"> </w:t>
      </w:r>
      <w:r>
        <w:t xml:space="preserve">situação em outubro de 2026 registrada como não aprovado; um processo de aprovação é esperado ou pode já estar em curso – verificar atualização.</w:t>
      </w:r>
    </w:p>
    <w:p>
      <w:pPr>
        <w:numPr>
          <w:ilvl w:val="0"/>
          <w:numId w:val="1111"/>
        </w:numPr>
        <w:pStyle w:val="Compact"/>
      </w:pPr>
      <w:r>
        <w:rPr>
          <w:bCs/>
          <w:b/>
        </w:rPr>
        <w:t xml:space="preserve">EUA:</w:t>
      </w:r>
      <w:r>
        <w:t xml:space="preserve"> </w:t>
      </w:r>
      <w:r>
        <w:t xml:space="preserve">pedidos de aprovação para obesidade e diabetes tipo 2 foram apresentados ou anunciados com base nos dados ATTAIN e ACHIEVE; situação da decisão, verificar atualização.</w:t>
      </w:r>
    </w:p>
    <w:p>
      <w:pPr>
        <w:numPr>
          <w:ilvl w:val="0"/>
          <w:numId w:val="1111"/>
        </w:numPr>
        <w:pStyle w:val="Compact"/>
      </w:pPr>
      <w:r>
        <w:rPr>
          <w:bCs/>
          <w:b/>
        </w:rPr>
        <w:t xml:space="preserve">Esporte:</w:t>
      </w:r>
      <w:r>
        <w:t xml:space="preserve"> </w:t>
      </w:r>
      <w:r>
        <w:t xml:space="preserve">enquanto não estiver aprovado em lugar nenhum, classe S0 da WADA (situação em 2026, verificar atualização).</w:t>
      </w:r>
    </w:p>
    <w:p>
      <w:pPr>
        <w:numPr>
          <w:ilvl w:val="0"/>
          <w:numId w:val="1111"/>
        </w:numPr>
        <w:pStyle w:val="Compact"/>
      </w:pPr>
      <w:r>
        <w:t xml:space="preserve">Ofertas não aprovadas de</w:t>
      </w:r>
      <w:r>
        <w:t xml:space="preserve"> </w:t>
      </w:r>
      <w:r>
        <w:t xml:space="preserve">“</w:t>
      </w:r>
      <w:r>
        <w:t xml:space="preserve">Orforglipron</w:t>
      </w:r>
      <w:r>
        <w:t xml:space="preserve">”</w:t>
      </w:r>
      <w:r>
        <w:t xml:space="preserve"> </w:t>
      </w:r>
      <w:r>
        <w:t xml:space="preserve">na internet não são medicamentos verificados.</w:t>
      </w:r>
    </w:p>
    <w:bookmarkEnd w:id="882"/>
    <w:bookmarkStart w:id="890" w:name="estudos-em-andamento-e-perspectivas-1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112"/>
        </w:numPr>
        <w:pStyle w:val="Compact"/>
      </w:pPr>
      <w:r>
        <w:rPr>
          <w:bCs/>
          <w:b/>
        </w:rPr>
        <w:t xml:space="preserve">Estudo de desfechos cardiovasculares</w:t>
      </w:r>
      <w:r>
        <w:t xml:space="preserve"> </w:t>
      </w:r>
      <w:r>
        <w:t xml:space="preserve">na aterosclerose (NCT07241390, 7.140 participantes, até 2031).</w:t>
      </w:r>
    </w:p>
    <w:p>
      <w:pPr>
        <w:numPr>
          <w:ilvl w:val="0"/>
          <w:numId w:val="1112"/>
        </w:numPr>
        <w:pStyle w:val="Compact"/>
      </w:pPr>
      <w:r>
        <w:rPr>
          <w:bCs/>
          <w:b/>
        </w:rPr>
        <w:t xml:space="preserve">Doença arterial obstrutiva periférica</w:t>
      </w:r>
      <w:r>
        <w:rPr>
          <w:rStyle w:val="FootnoteReference"/>
        </w:rPr>
        <w:footnoteReference w:id="883"/>
      </w:r>
      <w:r>
        <w:t xml:space="preserve">,</w:t>
      </w:r>
      <w:r>
        <w:t xml:space="preserve"> </w:t>
      </w:r>
      <w:r>
        <w:rPr>
          <w:bCs/>
          <w:b/>
        </w:rPr>
        <w:t xml:space="preserve">hipertensão</w:t>
      </w:r>
      <w:r>
        <w:rPr>
          <w:rStyle w:val="FootnoteReference"/>
        </w:rPr>
        <w:footnoteReference w:id="884"/>
      </w:r>
      <w:r>
        <w:t xml:space="preserve">,</w:t>
      </w:r>
      <w:r>
        <w:t xml:space="preserve"> </w:t>
      </w:r>
      <w:r>
        <w:rPr>
          <w:bCs/>
          <w:b/>
        </w:rPr>
        <w:t xml:space="preserve">artrose de joelho</w:t>
      </w:r>
      <w:r>
        <w:rPr>
          <w:rStyle w:val="FootnoteReference"/>
        </w:rPr>
        <w:footnoteReference w:id="885"/>
      </w:r>
      <w:r>
        <w:t xml:space="preserve">,</w:t>
      </w:r>
      <w:r>
        <w:t xml:space="preserve"> </w:t>
      </w:r>
      <w:r>
        <w:rPr>
          <w:bCs/>
          <w:b/>
        </w:rPr>
        <w:t xml:space="preserve">incontinência de esforço</w:t>
      </w:r>
      <w:r>
        <w:t xml:space="preserve"> </w:t>
      </w:r>
      <w:r>
        <w:t xml:space="preserve">em mulheres com obesidade</w:t>
      </w:r>
      <w:r>
        <w:rPr>
          <w:rStyle w:val="FootnoteReference"/>
        </w:rPr>
        <w:footnoteReference w:id="886"/>
      </w:r>
      <w:r>
        <w:t xml:space="preserve">.</w:t>
      </w:r>
    </w:p>
    <w:p>
      <w:pPr>
        <w:numPr>
          <w:ilvl w:val="0"/>
          <w:numId w:val="1112"/>
        </w:numPr>
        <w:pStyle w:val="Compact"/>
      </w:pPr>
      <w:r>
        <w:rPr>
          <w:bCs/>
          <w:b/>
        </w:rPr>
        <w:t xml:space="preserve">Adolescentes</w:t>
      </w:r>
      <w:r>
        <w:rPr>
          <w:rStyle w:val="FootnoteReference"/>
        </w:rPr>
        <w:footnoteReference w:id="887"/>
      </w:r>
      <w:r>
        <w:t xml:space="preserve"> </w:t>
      </w:r>
      <w:r>
        <w:t xml:space="preserve">e</w:t>
      </w:r>
      <w:r>
        <w:t xml:space="preserve"> </w:t>
      </w:r>
      <w:r>
        <w:rPr>
          <w:bCs/>
          <w:b/>
        </w:rPr>
        <w:t xml:space="preserve">crianças com diabetes tipo 2</w:t>
      </w:r>
      <w:r>
        <w:t xml:space="preserve"> </w:t>
      </w:r>
      <w:r>
        <w:t xml:space="preserve">em comparação com dulaglutida</w:t>
      </w:r>
      <w:r>
        <w:rPr>
          <w:rStyle w:val="FootnoteReference"/>
        </w:rPr>
        <w:footnoteReference w:id="888"/>
      </w:r>
      <w:r>
        <w:t xml:space="preserve">.</w:t>
      </w:r>
    </w:p>
    <w:p>
      <w:pPr>
        <w:numPr>
          <w:ilvl w:val="0"/>
          <w:numId w:val="1112"/>
        </w:numPr>
        <w:pStyle w:val="Compact"/>
      </w:pPr>
      <w:r>
        <w:t xml:space="preserve">Estudo sobre</w:t>
      </w:r>
      <w:r>
        <w:t xml:space="preserve"> </w:t>
      </w:r>
      <w:r>
        <w:rPr>
          <w:bCs/>
          <w:b/>
        </w:rPr>
        <w:t xml:space="preserve">apneia do sono</w:t>
      </w:r>
      <w:r>
        <w:rPr>
          <w:rStyle w:val="FootnoteReference"/>
        </w:rPr>
        <w:footnoteReference w:id="889"/>
      </w:r>
      <w:r>
        <w:t xml:space="preserve"> </w:t>
      </w:r>
      <w:r>
        <w:t xml:space="preserve">concluído, publicação pendente.</w:t>
      </w:r>
    </w:p>
    <w:p>
      <w:pPr>
        <w:pStyle w:val="FirstParagraph"/>
      </w:pPr>
      <w:r>
        <w:rPr>
          <w:bCs/>
          <w:b/>
        </w:rPr>
        <w:t xml:space="preserve">Avaliação:</w:t>
      </w:r>
      <w:r>
        <w:t xml:space="preserve"> </w:t>
      </w:r>
      <w:r>
        <w:t xml:space="preserve">o orforglipron provavelmente será o primeiro medicamento GLP-1 não peptídico amplamente disponível. Seu ponto forte não é a perda de peso máxima – aqui os peptídeos injetáveis estão à frente –, mas a facilidade de uso, a fabricação provavelmente mais barata e a adequação ao tratamento contínuo após uma fase com injeções. Para o mercado de peptídeos, isso significa uma concorrência séria, especialmente na terapia de longo prazo e de manutenção (veja a Parte V).</w:t>
      </w:r>
    </w:p>
    <w:bookmarkEnd w:id="890"/>
    <w:bookmarkStart w:id="891" w:name="conclusão-14"/>
    <w:p>
      <w:pPr>
        <w:pStyle w:val="Heading3"/>
      </w:pPr>
      <w:r>
        <w:t xml:space="preserve">Conclusão</w:t>
      </w:r>
    </w:p>
    <w:p>
      <w:pPr>
        <w:pStyle w:val="FirstParagraph"/>
      </w:pPr>
      <w:r>
        <w:t xml:space="preserve">O orforglipron não é um peptídeo, mas uma molécula pequena que, como comprimido, ativa o receptor de GLP-1 e pode ser engolida sem regras de uso. No ATTAIN-1, o peso caiu após 72 semanas até 11,2% – menos do que com semaglutida ou tirzepatida injetáveis –, e após a troca a partir de uma injeção os participantes mantiveram cerca de três quartos da perda de peso. No diabetes tipo 2, reduziu a HbA1c mais do que a semaglutida em comprimido e se mostrou seguro do ponto de vista cardiovascular em comparação com a insulina. Queixas gastrointestinais e interrupções do tratamento são um pouco mais frequentes do que com a semaglutida em comprimido.</w:t>
      </w:r>
    </w:p>
    <w:bookmarkEnd w:id="891"/>
    <w:bookmarkEnd w:id="892"/>
    <w:bookmarkEnd w:id="893"/>
    <w:bookmarkStart w:id="1223" w:name="Xf8c1490f33329a07848ede2e6a36ab8baa75d21"/>
    <w:p>
      <w:pPr>
        <w:pStyle w:val="Heading1"/>
      </w:pPr>
      <w:r>
        <w:t xml:space="preserve">Parte II · B – Cura, regeneração e sistema imunológico</w:t>
      </w:r>
    </w:p>
    <w:p>
      <w:pPr>
        <w:pStyle w:val="FirstParagraph"/>
      </w:pPr>
      <w:r>
        <w:t xml:space="preserve">Os peptídeos deste grupo prometem o que muitos desejam: cura mais rápida de tendões e músculos, uma parede intestinal mais firme, um sistema imunológico mais forte, menos inflamação. Em lojas on-line, fóruns de musculação e clínicas de longevidade, BPC-157, TB-500 e timosina alfa 1 estão entre os</w:t>
      </w:r>
      <w:r>
        <w:t xml:space="preserve"> </w:t>
      </w:r>
      <w:r>
        <w:t xml:space="preserve">“</w:t>
      </w:r>
      <w:r>
        <w:t xml:space="preserve">peptídeos de pesquisa</w:t>
      </w:r>
      <w:r>
        <w:t xml:space="preserve">”</w:t>
      </w:r>
      <w:r>
        <w:t xml:space="preserve"> </w:t>
      </w:r>
      <w:r>
        <w:t xml:space="preserve">mais vendidos de todos.</w:t>
      </w:r>
    </w:p>
    <w:bookmarkStart w:id="894" w:name="o-que-une-esses-peptídeos"/>
    <w:p>
      <w:pPr>
        <w:pStyle w:val="Heading3"/>
      </w:pPr>
      <w:r>
        <w:t xml:space="preserve">O que une esses peptídeos</w:t>
      </w:r>
    </w:p>
    <w:p>
      <w:pPr>
        <w:pStyle w:val="FirstParagraph"/>
      </w:pPr>
      <w:r>
        <w:t xml:space="preserve">Nenhuma das oito substâncias pretende alterar um único alvo claramente mensurável – como a glicemia ou o peso corporal –, mas sim</w:t>
      </w:r>
      <w:r>
        <w:t xml:space="preserve"> </w:t>
      </w:r>
      <w:r>
        <w:t xml:space="preserve">“</w:t>
      </w:r>
      <w:r>
        <w:t xml:space="preserve">estimular</w:t>
      </w:r>
      <w:r>
        <w:t xml:space="preserve">”</w:t>
      </w:r>
      <w:r>
        <w:t xml:space="preserve"> </w:t>
      </w:r>
      <w:r>
        <w:t xml:space="preserve">ou</w:t>
      </w:r>
      <w:r>
        <w:t xml:space="preserve"> </w:t>
      </w:r>
      <w:r>
        <w:t xml:space="preserve">“</w:t>
      </w:r>
      <w:r>
        <w:t xml:space="preserve">normalizar</w:t>
      </w:r>
      <w:r>
        <w:t xml:space="preserve">”</w:t>
      </w:r>
      <w:r>
        <w:t xml:space="preserve"> </w:t>
      </w:r>
      <w:r>
        <w:t xml:space="preserve">processos de reparo e de defesa do próprio corpo. Isso tem duas consequências que atravessam todos os capítulos:</w:t>
      </w:r>
    </w:p>
    <w:p>
      <w:pPr>
        <w:numPr>
          <w:ilvl w:val="0"/>
          <w:numId w:val="1113"/>
        </w:numPr>
        <w:pStyle w:val="Compact"/>
      </w:pPr>
      <w:r>
        <w:rPr>
          <w:bCs/>
          <w:b/>
        </w:rPr>
        <w:t xml:space="preserve">O efeito é difícil de medir.</w:t>
      </w:r>
      <w:r>
        <w:t xml:space="preserve"> </w:t>
      </w:r>
      <w:r>
        <w:t xml:space="preserve">Cura, dor e função imunológica variam muito, dependem de muitos fatores e são suscetíveis a efeitos placebo. Estudos pequenos sem grupo de controle são, por isso, especialmente pouco conclusivos.</w:t>
      </w:r>
    </w:p>
    <w:p>
      <w:pPr>
        <w:numPr>
          <w:ilvl w:val="0"/>
          <w:numId w:val="1113"/>
        </w:numPr>
        <w:pStyle w:val="Compact"/>
      </w:pPr>
      <w:r>
        <w:rPr>
          <w:bCs/>
          <w:b/>
        </w:rPr>
        <w:t xml:space="preserve">A plausibilidade muitas vezes substitui as provas.</w:t>
      </w:r>
      <w:r>
        <w:t xml:space="preserve"> </w:t>
      </w:r>
      <w:r>
        <w:t xml:space="preserve">Quase todos os peptídeos deste grupo derivam de substâncias do próprio corpo: do suco gástrico (BPC-157), do timo (timosina alfa 1, timalina), da defesa da pele (LL-37), do hormônio alfa-MSH (KPV) ou da eritropoetina (ARA-290).</w:t>
      </w:r>
      <w:r>
        <w:t xml:space="preserve"> </w:t>
      </w:r>
      <w:r>
        <w:t xml:space="preserve">“</w:t>
      </w:r>
      <w:r>
        <w:t xml:space="preserve">Do próprio corpo</w:t>
      </w:r>
      <w:r>
        <w:t xml:space="preserve">”</w:t>
      </w:r>
      <w:r>
        <w:t xml:space="preserve"> </w:t>
      </w:r>
      <w:r>
        <w:t xml:space="preserve">soa inofensivo, mas não diz nada sobre o benefício e a segurança de uma administração externa em dose alta.</w:t>
      </w:r>
    </w:p>
    <w:p>
      <w:pPr>
        <w:pStyle w:val="FirstParagraph"/>
      </w:pPr>
      <w:r>
        <w:t xml:space="preserve">Chama atenção, além disso, um padrão recorrente: estudos iniciais pequenos parecem promissores, e estudos maiores e mais cuidadosamente cegos não os confirmam. Isso se vê com a timosina alfa 1 na sepse, com a timosina beta-4 como colírio, com o LL-37 em úlceras de perna e com a larazotida na doença celíaca.</w:t>
      </w:r>
    </w:p>
    <w:bookmarkEnd w:id="894"/>
    <w:bookmarkStart w:id="895" w:name="o-grupo-em-resumo"/>
    <w:p>
      <w:pPr>
        <w:pStyle w:val="Heading3"/>
      </w:pPr>
      <w:r>
        <w:t xml:space="preserve">O grupo em resumo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w:t>
            </w:r>
          </w:p>
        </w:tc>
        <w:tc>
          <w:tcPr/>
          <w:p>
            <w:pPr>
              <w:pStyle w:val="Compact"/>
              <w:jc w:val="left"/>
            </w:pPr>
            <w:r>
              <w:t xml:space="preserve">centenas de estudos em animais, quase todos de um único grupo; em humanos, três minúsculos estudos-piloto</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w:t>
            </w:r>
          </w:p>
        </w:tc>
        <w:tc>
          <w:tcPr/>
          <w:p>
            <w:pPr>
              <w:pStyle w:val="Compact"/>
              <w:jc w:val="left"/>
            </w:pPr>
            <w:r>
              <w:t xml:space="preserve">Tβ4 testada em ECRs, grandes estudos oftalmológicos sem benefício claro; TB-500 nunca em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 outros, não UE/EUA</w:t>
            </w:r>
          </w:p>
        </w:tc>
        <w:tc>
          <w:tcPr/>
          <w:p>
            <w:pPr>
              <w:pStyle w:val="Compact"/>
              <w:jc w:val="left"/>
            </w:pPr>
            <w:r>
              <w:t xml:space="preserve">muitos ECRs; grande estudo de sepse sem diferença em relação ao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w:t>
            </w:r>
          </w:p>
        </w:tc>
        <w:tc>
          <w:tcPr/>
          <w:p>
            <w:pPr>
              <w:pStyle w:val="Compact"/>
              <w:jc w:val="left"/>
            </w:pPr>
            <w:r>
              <w:t xml:space="preserve">eficaz em camundongos com colite; nenhum estudo em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peptídeo de defesa do próprio corpo; estudo de feridas com 148 pessoas sem vantagem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w:t>
            </w:r>
          </w:p>
        </w:tc>
        <w:tc>
          <w:tcPr/>
          <w:p>
            <w:pPr>
              <w:pStyle w:val="Compact"/>
              <w:jc w:val="left"/>
            </w:pPr>
            <w:r>
              <w:t xml:space="preserve">pequenos ECRs em lesões nervosas por sarcoidose; desde 2015 sem novos estudos</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w:t>
            </w:r>
          </w:p>
        </w:tc>
        <w:tc>
          <w:tcPr/>
          <w:p>
            <w:pPr>
              <w:pStyle w:val="Compact"/>
              <w:jc w:val="left"/>
            </w:pPr>
            <w:r>
              <w:t xml:space="preserve">candidata para doença celíaca; fase 3 interrompida</w:t>
            </w:r>
          </w:p>
        </w:tc>
      </w:tr>
      <w:tr>
        <w:tc>
          <w:tcPr/>
          <w:p>
            <w:pPr>
              <w:pStyle w:val="Compact"/>
              <w:jc w:val="left"/>
            </w:pPr>
            <w:r>
              <w:t xml:space="preserve">Timalina / timogênio</w:t>
            </w:r>
          </w:p>
        </w:tc>
        <w:tc>
          <w:tcPr/>
          <w:p>
            <w:pPr>
              <w:pStyle w:val="Compact"/>
              <w:jc w:val="left"/>
            </w:pPr>
            <w:r>
              <w:t xml:space="preserve">C</w:t>
            </w:r>
          </w:p>
        </w:tc>
        <w:tc>
          <w:tcPr/>
          <w:p>
            <w:pPr>
              <w:pStyle w:val="Compact"/>
              <w:jc w:val="left"/>
            </w:pPr>
            <w:r>
              <w:t xml:space="preserve">Rússia</w:t>
            </w:r>
          </w:p>
        </w:tc>
        <w:tc>
          <w:tcPr/>
          <w:p>
            <w:pPr>
              <w:pStyle w:val="Compact"/>
              <w:jc w:val="left"/>
            </w:pPr>
            <w:r>
              <w:t xml:space="preserve">quase só estudos russos de uma única escola, raramente randomizados</w:t>
            </w:r>
          </w:p>
        </w:tc>
      </w:tr>
    </w:tbl>
    <w:p>
      <w:pPr>
        <w:pStyle w:val="BodyText"/>
      </w:pPr>
      <w:r>
        <w:t xml:space="preserve">Níveis de evidência:</w:t>
      </w:r>
      <w:r>
        <w:t xml:space="preserve"> </w:t>
      </w:r>
      <w:r>
        <w:rPr>
          <w:bCs/>
          <w:b/>
        </w:rPr>
        <w:t xml:space="preserve">A</w:t>
      </w:r>
      <w:r>
        <w:t xml:space="preserve"> </w:t>
      </w:r>
      <w:r>
        <w:t xml:space="preserve">vários grandes ECRs ou aprovação ·</w:t>
      </w:r>
      <w:r>
        <w:t xml:space="preserve"> </w:t>
      </w:r>
      <w:r>
        <w:rPr>
          <w:bCs/>
          <w:b/>
        </w:rPr>
        <w:t xml:space="preserve">B</w:t>
      </w:r>
      <w:r>
        <w:t xml:space="preserve"> </w:t>
      </w:r>
      <w:r>
        <w:t xml:space="preserve">ECRs isolados ·</w:t>
      </w:r>
      <w:r>
        <w:t xml:space="preserve"> </w:t>
      </w:r>
      <w:r>
        <w:rPr>
          <w:bCs/>
          <w:b/>
        </w:rPr>
        <w:t xml:space="preserve">C</w:t>
      </w:r>
      <w:r>
        <w:t xml:space="preserve"> </w:t>
      </w:r>
      <w:r>
        <w:t xml:space="preserve">apenas estudos em humanos pequenos ou não controlados ·</w:t>
      </w:r>
      <w:r>
        <w:t xml:space="preserve"> </w:t>
      </w:r>
      <w:r>
        <w:rPr>
          <w:bCs/>
          <w:b/>
        </w:rPr>
        <w:t xml:space="preserve">D</w:t>
      </w:r>
      <w:r>
        <w:t xml:space="preserve"> </w:t>
      </w:r>
      <w:r>
        <w:t xml:space="preserve">apenas estudos em animais e em laboratório. Aprovação refere-se à aprovação como medicamento, situação em 2026.</w:t>
      </w:r>
    </w:p>
    <w:p>
      <w:pPr>
        <w:pStyle w:val="BodyText"/>
      </w:pPr>
      <w:r>
        <w:t xml:space="preserve">Nenhum peptídeo deste grupo está aprovado como medicamento na UE ou nos EUA. As duas substâncias com aprovações fora do Ocidente – timosina alfa 1 e timalina – foram aprovadas com base em estudos que só em parte resistem aos padrões atuais.</w:t>
      </w:r>
    </w:p>
    <w:bookmarkEnd w:id="895"/>
    <w:bookmarkStart w:id="896" w:name="orientação-de-leitura-1"/>
    <w:p>
      <w:pPr>
        <w:pStyle w:val="Heading3"/>
      </w:pPr>
      <w:r>
        <w:t xml:space="preserve">Orientação de leitura</w:t>
      </w:r>
    </w:p>
    <w:p>
      <w:pPr>
        <w:pStyle w:val="FirstParagraph"/>
      </w:pPr>
      <w:r>
        <w:t xml:space="preserve">Os capítulos seguem a estrutura uniforme deste livro. Neste grupo, preste atenção especialmente a três distinções:</w:t>
      </w:r>
    </w:p>
    <w:p>
      <w:pPr>
        <w:numPr>
          <w:ilvl w:val="0"/>
          <w:numId w:val="1114"/>
        </w:numPr>
        <w:pStyle w:val="Compact"/>
      </w:pPr>
      <w:r>
        <w:rPr>
          <w:bCs/>
          <w:b/>
        </w:rPr>
        <w:t xml:space="preserve">Humano ou animal?</w:t>
      </w:r>
      <w:r>
        <w:t xml:space="preserve"> </w:t>
      </w:r>
      <w:r>
        <w:t xml:space="preserve">No caso de BPC-157, KPV e TB-500, quase tudo o que se afirma na internet se baseia em experimentos com ratos, camundongos ou culturas de células. Os capítulos sinalizam isso expressamente em cada caso.</w:t>
      </w:r>
    </w:p>
    <w:p>
      <w:pPr>
        <w:numPr>
          <w:ilvl w:val="0"/>
          <w:numId w:val="1114"/>
        </w:numPr>
        <w:pStyle w:val="Compact"/>
      </w:pPr>
      <w:r>
        <w:rPr>
          <w:bCs/>
          <w:b/>
        </w:rPr>
        <w:t xml:space="preserve">Substância ou valor medido?</w:t>
      </w:r>
      <w:r>
        <w:t xml:space="preserve"> </w:t>
      </w:r>
      <w:r>
        <w:t xml:space="preserve">No caso do LL-37, há muitos estudos que</w:t>
      </w:r>
      <w:r>
        <w:t xml:space="preserve"> </w:t>
      </w:r>
      <w:r>
        <w:rPr>
          <w:iCs/>
          <w:i/>
        </w:rPr>
        <w:t xml:space="preserve">medem</w:t>
      </w:r>
      <w:r>
        <w:t xml:space="preserve"> </w:t>
      </w:r>
      <w:r>
        <w:t xml:space="preserve">a substância no sangue, mas poucos que a</w:t>
      </w:r>
      <w:r>
        <w:t xml:space="preserve"> </w:t>
      </w:r>
      <w:r>
        <w:rPr>
          <w:iCs/>
          <w:i/>
        </w:rPr>
        <w:t xml:space="preserve">administram</w:t>
      </w:r>
      <w:r>
        <w:t xml:space="preserve"> </w:t>
      </w:r>
      <w:r>
        <w:t xml:space="preserve">como medicamento. Somente estes últimos dizem algo sobre um tratamento.</w:t>
      </w:r>
    </w:p>
    <w:p>
      <w:pPr>
        <w:numPr>
          <w:ilvl w:val="0"/>
          <w:numId w:val="1114"/>
        </w:numPr>
        <w:pStyle w:val="Compact"/>
      </w:pPr>
      <w:r>
        <w:rPr>
          <w:bCs/>
          <w:b/>
        </w:rPr>
        <w:t xml:space="preserve">Original ou derivado?</w:t>
      </w:r>
      <w:r>
        <w:t xml:space="preserve"> </w:t>
      </w:r>
      <w:r>
        <w:t xml:space="preserve">TB-500 não é timosina beta-4, timogênio não é timalina, e o produto vendido na internet não é a forma farmacêutica usada nos estudos.</w:t>
      </w:r>
    </w:p>
    <w:p>
      <w:pPr>
        <w:pStyle w:val="FirstParagraph"/>
      </w:pPr>
      <w:r>
        <w:t xml:space="preserve">Dois capítulos contêm observações sobre registros cuja autenticidade é questionável: um patrocinador registrou no ClinicalTrials.gov tanto um estudo de fase 2 sobre BPC-157 quanto um estudo sobre TB-500, um dos quais se descreve a si mesmo como</w:t>
      </w:r>
      <w:r>
        <w:t xml:space="preserve"> </w:t>
      </w:r>
      <w:r>
        <w:t xml:space="preserve">“</w:t>
      </w:r>
      <w:r>
        <w:t xml:space="preserve">exemplo fictício</w:t>
      </w:r>
      <w:r>
        <w:t xml:space="preserve">”</w:t>
      </w:r>
      <w:r>
        <w:t xml:space="preserve">. Portanto, nem mesmo um registro é prova de que um estudo esteja de fato acontecendo.</w:t>
      </w:r>
    </w:p>
    <w:p>
      <w:pPr>
        <w:pStyle w:val="BodyText"/>
      </w:pPr>
      <w:r>
        <w:t xml:space="preserve">Questões sobre produtos do mercado cinza, contaminações e o risco teórico de câncer por sinais de crescimento e de vasos sanguíneos são tratadas de forma mais detalhada e abrangendo todos os peptídeos no capítulo I.5 e na Parte IV. Para atletas vale: BPC-157, TB-500 e ARA-290 são expressamente proibidos pela WADA; no caso dos demais, você deve consultar sua agência nacional antidoping antes de qualquer uso.</w:t>
      </w:r>
    </w:p>
    <w:bookmarkEnd w:id="896"/>
    <w:bookmarkStart w:id="954" w:name="bpc-157"/>
    <w:p>
      <w:pPr>
        <w:pStyle w:val="Heading2"/>
      </w:pPr>
      <w:r>
        <w:t xml:space="preserve">BPC-157</w:t>
      </w:r>
    </w:p>
    <w:p>
      <w:pPr>
        <w:pStyle w:val="FirstParagraph"/>
      </w:pPr>
      <w:r>
        <w:t xml:space="preserve">Poucos peptídeos são tão procurados, recomendados e vendidos na internet quanto o BPC-157. Em fóruns e vídeos, ele é considerado um remédio milagroso para tendões, ligamentos, músculos, intestino e até o cérebro. Quem lê a literatura científica encontra de fato bem mais de duzentas publicações. O quadro muda, porém, assim que se pergunta quantas delas estudaram seres humanos: são apenas um punhado – pequenas, não controladas e de um único consultório particular. Este capítulo situa o que está comprovado, o que só foi mostrado em ratos e onde estão os riscos.</w:t>
      </w:r>
    </w:p>
    <w:bookmarkStart w:id="898" w:name="ficha-técnica-15"/>
    <w:p>
      <w:pPr>
        <w:pStyle w:val="Heading3"/>
      </w:pPr>
      <w:r>
        <w:t xml:space="preserve">Ficha técnica</w:t>
      </w:r>
    </w:p>
    <w:p>
      <w:pPr>
        <w:numPr>
          <w:ilvl w:val="0"/>
          <w:numId w:val="1115"/>
        </w:numPr>
        <w:pStyle w:val="Compact"/>
      </w:pPr>
      <w:r>
        <w:rPr>
          <w:bCs/>
          <w:b/>
        </w:rPr>
        <w:t xml:space="preserve">Tipo e estrutura:</w:t>
      </w:r>
      <w:r>
        <w:t xml:space="preserve"> </w:t>
      </w:r>
      <w:r>
        <w:t xml:space="preserve">peptídeo sintético de 15 aminoácidos (pentadecapeptídeo) com a sequência GEPPPGKPADDAGLV</w:t>
      </w:r>
      <w:r>
        <w:rPr>
          <w:rStyle w:val="FootnoteReference"/>
        </w:rPr>
        <w:footnoteReference w:id="897"/>
      </w:r>
      <w:r>
        <w:t xml:space="preserve">.</w:t>
      </w:r>
    </w:p>
    <w:p>
      <w:pPr>
        <w:numPr>
          <w:ilvl w:val="0"/>
          <w:numId w:val="1115"/>
        </w:numPr>
        <w:pStyle w:val="Compact"/>
      </w:pPr>
      <w:r>
        <w:rPr>
          <w:bCs/>
          <w:b/>
        </w:rPr>
        <w:t xml:space="preserve">Origem:</w:t>
      </w:r>
      <w:r>
        <w:t xml:space="preserve"> </w:t>
      </w:r>
      <w:r>
        <w:t xml:space="preserve">derivado de uma proteína maior, descrita nos anos 1990 a partir do suco gástrico humano (</w:t>
      </w:r>
      <w:r>
        <w:t xml:space="preserve">“</w:t>
      </w:r>
      <w:r>
        <w:t xml:space="preserve">Body Protection Compound</w:t>
      </w:r>
      <w:r>
        <w:t xml:space="preserve">”</w:t>
      </w:r>
      <w:r>
        <w:t xml:space="preserve">, daí BPC). O BPC-157 vendido é um produto de laboratório; se a sequência ocorre nessa forma no corpo não está confirmado de forma independente.</w:t>
      </w:r>
    </w:p>
    <w:p>
      <w:pPr>
        <w:numPr>
          <w:ilvl w:val="0"/>
          <w:numId w:val="1115"/>
        </w:numPr>
        <w:pStyle w:val="Compact"/>
      </w:pPr>
      <w:r>
        <w:rPr>
          <w:bCs/>
          <w:b/>
        </w:rPr>
        <w:t xml:space="preserve">Nomes de desenvolvimento anteriores:</w:t>
      </w:r>
      <w:r>
        <w:t xml:space="preserve"> </w:t>
      </w:r>
      <w:r>
        <w:t xml:space="preserve">PL 14736, PL-10, PLD-116 (empresa Pliva, Croácia), mais tarde</w:t>
      </w:r>
      <w:r>
        <w:t xml:space="preserve"> </w:t>
      </w:r>
      <w:r>
        <w:t xml:space="preserve">“</w:t>
      </w:r>
      <w:r>
        <w:t xml:space="preserve">Bepecin</w:t>
      </w:r>
      <w:r>
        <w:t xml:space="preserve">”</w:t>
      </w:r>
      <w:r>
        <w:t xml:space="preserve"> </w:t>
      </w:r>
      <w:r>
        <w:t xml:space="preserve">ou PCO-02.</w:t>
      </w:r>
    </w:p>
    <w:p>
      <w:pPr>
        <w:numPr>
          <w:ilvl w:val="0"/>
          <w:numId w:val="1115"/>
        </w:numPr>
        <w:pStyle w:val="Compact"/>
      </w:pPr>
      <w:r>
        <w:rPr>
          <w:bCs/>
          <w:b/>
        </w:rPr>
        <w:t xml:space="preserve">Princípio de ação (suposto, a partir de estudos em animais):</w:t>
      </w:r>
      <w:r>
        <w:t xml:space="preserve"> </w:t>
      </w:r>
      <w:r>
        <w:t xml:space="preserve">estímulo à formação de novos vasos sanguíneos (angiogênese) via receptor 2 de VEGF e sistema do óxido nítrico, efeito sobre a migração de células do tecido conjuntivo.</w:t>
      </w:r>
    </w:p>
    <w:p>
      <w:pPr>
        <w:numPr>
          <w:ilvl w:val="0"/>
          <w:numId w:val="1115"/>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classificado pela FDA em 2023 como substância com preocupações de segurança para a manipulação magistral (categoria 2).</w:t>
      </w:r>
    </w:p>
    <w:p>
      <w:pPr>
        <w:numPr>
          <w:ilvl w:val="0"/>
          <w:numId w:val="1115"/>
        </w:numPr>
        <w:pStyle w:val="Compact"/>
      </w:pPr>
      <w:r>
        <w:rPr>
          <w:bCs/>
          <w:b/>
        </w:rPr>
        <w:t xml:space="preserve">WADA:</w:t>
      </w:r>
      <w:r>
        <w:t xml:space="preserve"> </w:t>
      </w:r>
      <w:r>
        <w:t xml:space="preserve">proibido, grupo S0</w:t>
      </w:r>
      <w:r>
        <w:t xml:space="preserve"> </w:t>
      </w:r>
      <w:r>
        <w:t xml:space="preserve">“</w:t>
      </w:r>
      <w:r>
        <w:t xml:space="preserve">substâncias não aprovadas</w:t>
      </w:r>
      <w:r>
        <w:t xml:space="preserve">”</w:t>
      </w:r>
      <w:r>
        <w:t xml:space="preserve"> </w:t>
      </w:r>
      <w:r>
        <w:t xml:space="preserve">(mencionado expressamente).</w:t>
      </w:r>
    </w:p>
    <w:p>
      <w:pPr>
        <w:numPr>
          <w:ilvl w:val="0"/>
          <w:numId w:val="1115"/>
        </w:numPr>
        <w:pStyle w:val="Compact"/>
      </w:pPr>
      <w:r>
        <w:rPr>
          <w:bCs/>
          <w:b/>
        </w:rPr>
        <w:t xml:space="preserve">Nível de evidência: C</w:t>
      </w:r>
      <w:r>
        <w:t xml:space="preserve"> </w:t>
      </w:r>
      <w:r>
        <w:t xml:space="preserve">– apenas três investigações muito pequenas e não controladas em humanos, com cerca de 30 pessoas no total; nenhum estudo randomizado concluído.</w:t>
      </w:r>
    </w:p>
    <w:bookmarkEnd w:id="898"/>
    <w:bookmarkStart w:id="905" w:name="como-deveria-agir-15"/>
    <w:p>
      <w:pPr>
        <w:pStyle w:val="Heading3"/>
      </w:pPr>
      <w:r>
        <w:t xml:space="preserve">Como deveria agir</w:t>
      </w:r>
    </w:p>
    <w:p>
      <w:pPr>
        <w:pStyle w:val="FirstParagraph"/>
      </w:pPr>
      <w:r>
        <w:t xml:space="preserve">A ideia básica vem da pesquisa gástrica. A mucosa do estômago é exposta diariamente a ácido, enzimas e medicamentos como analgésicos e, ainda assim, se repara com uma rapidez impressionante. Pesquisadores em Zagreb suspeitaram, nos anos 1990, que substâncias protetoras no suco gástrico seriam responsáveis por essa capacidade e isolaram um peptídeo que chamaram de</w:t>
      </w:r>
      <w:r>
        <w:t xml:space="preserve"> </w:t>
      </w:r>
      <w:r>
        <w:t xml:space="preserve">“</w:t>
      </w:r>
      <w:r>
        <w:t xml:space="preserve">Body Protection Compound</w:t>
      </w:r>
      <w:r>
        <w:t xml:space="preserve">”</w:t>
      </w:r>
      <w:r>
        <w:t xml:space="preserve">. O BPC-157 é um pequeno trecho dele.</w:t>
      </w:r>
    </w:p>
    <w:p>
      <w:pPr>
        <w:pStyle w:val="BodyText"/>
      </w:pPr>
      <w:r>
        <w:t xml:space="preserve">Incomum é que o BPC-157 permanece estável no suco gástrico. A maioria dos peptídeos é rapidamente decomposta ali. Disso os defensores deduzem que ele também poderia agir como comprimido – em humanos, isso não está comprovado.</w:t>
      </w:r>
    </w:p>
    <w:p>
      <w:pPr>
        <w:pStyle w:val="BodyText"/>
      </w:pPr>
      <w:r>
        <w:t xml:space="preserve">Para o efeito alegado, discutem-se sobretudo três mecanismos, todos provenientes de experimentos com animais e células:</w:t>
      </w:r>
    </w:p>
    <w:p>
      <w:pPr>
        <w:numPr>
          <w:ilvl w:val="0"/>
          <w:numId w:val="1116"/>
        </w:numPr>
        <w:pStyle w:val="Compact"/>
      </w:pPr>
      <w:r>
        <w:rPr>
          <w:bCs/>
          <w:b/>
        </w:rPr>
        <w:t xml:space="preserve">Formação de novos vasos:</w:t>
      </w:r>
      <w:r>
        <w:t xml:space="preserve"> </w:t>
      </w:r>
      <w:r>
        <w:t xml:space="preserve">em culturas de células humanas do revestimento interno dos vasos, o BPC-157 aumentou a quantidade do receptor 2 de VEGF (um interruptor central para o crescimento de novos vasos sanguíneos) e ativou a via de sinalização subsequente Akt-eNOS; em ratos com artéria da perna ligada, a circulação voltou mais rápido</w:t>
      </w:r>
      <w:r>
        <w:rPr>
          <w:rStyle w:val="FootnoteReference"/>
        </w:rPr>
        <w:footnoteReference w:id="899"/>
      </w:r>
      <w:r>
        <w:t xml:space="preserve">. Um trabalho da China descreveu em 2026, em experimentos com células, uma outra via, por meio das proteínas FBXO22 e BACH1</w:t>
      </w:r>
      <w:r>
        <w:rPr>
          <w:rStyle w:val="FootnoteReference"/>
        </w:rPr>
        <w:footnoteReference w:id="900"/>
      </w:r>
      <w:r>
        <w:t xml:space="preserve">.</w:t>
      </w:r>
    </w:p>
    <w:p>
      <w:pPr>
        <w:numPr>
          <w:ilvl w:val="0"/>
          <w:numId w:val="1116"/>
        </w:numPr>
        <w:pStyle w:val="Compact"/>
      </w:pPr>
      <w:r>
        <w:rPr>
          <w:bCs/>
          <w:b/>
        </w:rPr>
        <w:t xml:space="preserve">Migração e sobrevivência celular:</w:t>
      </w:r>
      <w:r>
        <w:t xml:space="preserve"> </w:t>
      </w:r>
      <w:r>
        <w:t xml:space="preserve">em culturas de células de tendão de rato, o BPC-157 acelerou o crescimento das células para fora de pedaços de tendão, melhorou sua sobrevivência sob estresse oxidativo e favoreceu sua migração; a divisão celular em si não foi aumentada diretamente</w:t>
      </w:r>
      <w:r>
        <w:rPr>
          <w:rStyle w:val="FootnoteReference"/>
        </w:rPr>
        <w:footnoteReference w:id="901"/>
      </w:r>
      <w:r>
        <w:t xml:space="preserve">.</w:t>
      </w:r>
    </w:p>
    <w:p>
      <w:pPr>
        <w:numPr>
          <w:ilvl w:val="0"/>
          <w:numId w:val="1116"/>
        </w:numPr>
        <w:pStyle w:val="Compact"/>
      </w:pPr>
      <w:r>
        <w:rPr>
          <w:bCs/>
          <w:b/>
        </w:rPr>
        <w:t xml:space="preserve">Sensibilidade ao hormônio do crescimento:</w:t>
      </w:r>
      <w:r>
        <w:t xml:space="preserve"> </w:t>
      </w:r>
      <w:r>
        <w:t xml:space="preserve">nas mesmas células de tendão de rato, o BPC-157 aumentou o número de receptores do hormônio do crescimento</w:t>
      </w:r>
      <w:r>
        <w:rPr>
          <w:rStyle w:val="FootnoteReference"/>
        </w:rPr>
        <w:footnoteReference w:id="902"/>
      </w:r>
      <w:r>
        <w:t xml:space="preserve">.</w:t>
      </w:r>
    </w:p>
    <w:p>
      <w:pPr>
        <w:pStyle w:val="FirstParagraph"/>
      </w:pPr>
      <w:r>
        <w:t xml:space="preserve">Somam-se a isso inúmeros outros efeitos sobre o óxido nítrico, a coagulação sanguínea e os neurotransmissores, descritos sobretudo em artigos de revisão do grupo de Zagreb</w:t>
      </w:r>
      <w:r>
        <w:rPr>
          <w:rStyle w:val="FootnoteReference"/>
        </w:rPr>
        <w:footnoteReference w:id="903"/>
      </w:r>
      <w:r>
        <w:t xml:space="preserve">. Até hoje não se conhece um receptor definido ao qual o BPC-157 se ligue.</w:t>
      </w:r>
    </w:p>
    <w:p>
      <w:pPr>
        <w:pStyle w:val="BodyText"/>
      </w:pPr>
      <w:r>
        <w:t xml:space="preserve">Chama atenção uma contradição apontada por uma revisão farmacêutica: em animais, o BPC-157 tem uma meia-vida de menos de 30 minutos, mas os efeitos descritos durariam de horas a dias</w:t>
      </w:r>
      <w:r>
        <w:rPr>
          <w:rStyle w:val="FootnoteReference"/>
        </w:rPr>
        <w:footnoteReference w:id="904"/>
      </w:r>
      <w:r>
        <w:t xml:space="preserve">. Como isso se encaixa não está esclarecido.</w:t>
      </w:r>
    </w:p>
    <w:bookmarkEnd w:id="905"/>
    <w:bookmarkStart w:id="918" w:name="estudos-em-humanos-15"/>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w:t>
      </w:r>
      <w:r>
        <w:t xml:space="preserve"> </w:t>
      </w:r>
      <w:r>
        <w:rPr>
          <w:bCs/>
          <w:b/>
        </w:rPr>
        <w:t xml:space="preserve">não</w:t>
      </w:r>
      <w:r>
        <w:t xml:space="preserve"> </w:t>
      </w:r>
      <w:r>
        <w:t xml:space="preserve">encontrou no PubMed nenhum estudo que preencha os critérios de filtro para um estudo em humanos (</w:t>
      </w:r>
      <w:r>
        <w:rPr>
          <w:rStyle w:val="VerbatimChar"/>
        </w:rPr>
        <w:t xml:space="preserve">humanstudien_alle</w:t>
      </w:r>
      <w:r>
        <w:t xml:space="preserve">: 0), e encontrou</w:t>
      </w:r>
      <w:r>
        <w:t xml:space="preserve"> </w:t>
      </w:r>
      <w:r>
        <w:rPr>
          <w:bCs/>
          <w:b/>
        </w:rPr>
        <w:t xml:space="preserve">4</w:t>
      </w:r>
      <w:r>
        <w:t xml:space="preserve"> </w:t>
      </w:r>
      <w:r>
        <w:t xml:space="preserve">registros no registro de estudos ClinicalTrials.gov. No total, o PubMed lista para o BPC-157 cerca de 230 publicações – quase exclusivamente experimentos com animais, trabalhos de laboratório e artigos de revisão.</w:t>
      </w:r>
    </w:p>
    <w:p>
      <w:pPr>
        <w:pStyle w:val="BodyText"/>
      </w:pPr>
      <w:r>
        <w:t xml:space="preserve">Uma busca direcionada adicional encontrou três pequenas investigações em humanos. As três vêm do mesmo primeiro autor, de um consultório particular na Flórida, e foram publicadas em uma revista de medicina alternativa. Uma revisão sistemática publicada em 2026 encontrou exatamente esses três trabalhos, com 30 pessoas no total</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Articulação do joelho (Lee 2021), PMID 34324435</w:t>
            </w:r>
          </w:p>
        </w:tc>
        <w:tc>
          <w:tcPr/>
          <w:p>
            <w:pPr>
              <w:pStyle w:val="Compact"/>
              <w:jc w:val="left"/>
            </w:pPr>
            <w:r>
              <w:t xml:space="preserve">16 pessoas com dor no joelho de diversas causas, análise retrospectiva de prontuários com entrevista telefônica, sem grupo de controle</w:t>
            </w:r>
          </w:p>
        </w:tc>
        <w:tc>
          <w:tcPr/>
          <w:p>
            <w:pPr>
              <w:pStyle w:val="Compact"/>
              <w:jc w:val="left"/>
            </w:pPr>
            <w:r>
              <w:t xml:space="preserve">retrospectiva de 6–12 meses</w:t>
            </w:r>
          </w:p>
        </w:tc>
        <w:tc>
          <w:tcPr/>
          <w:p>
            <w:pPr>
              <w:pStyle w:val="Compact"/>
              <w:jc w:val="left"/>
            </w:pPr>
            <w:r>
              <w:t xml:space="preserve">14 de 16 relataram alívio da dor; 12 receberam só BPC-157, 4 também timosina beta-4</w:t>
            </w:r>
          </w:p>
        </w:tc>
      </w:tr>
      <w:tr>
        <w:tc>
          <w:tcPr/>
          <w:p>
            <w:pPr>
              <w:pStyle w:val="Compact"/>
              <w:jc w:val="left"/>
            </w:pPr>
            <w:r>
              <w:t xml:space="preserve">Cistite intersticial (Lee 2024), PMID 39325560</w:t>
            </w:r>
          </w:p>
        </w:tc>
        <w:tc>
          <w:tcPr/>
          <w:p>
            <w:pPr>
              <w:pStyle w:val="Compact"/>
              <w:jc w:val="left"/>
            </w:pPr>
            <w:r>
              <w:t xml:space="preserve">12 mulheres com doença dolorosa crônica da bexiga, injeções na parede da bexiga durante uma cistoscopia, sem grupo de controle</w:t>
            </w:r>
          </w:p>
        </w:tc>
        <w:tc>
          <w:tcPr/>
          <w:p>
            <w:pPr>
              <w:pStyle w:val="Compact"/>
              <w:jc w:val="left"/>
            </w:pPr>
            <w:r>
              <w:t xml:space="preserve">um tratamento</w:t>
            </w:r>
          </w:p>
        </w:tc>
        <w:tc>
          <w:tcPr/>
          <w:p>
            <w:pPr>
              <w:pStyle w:val="Compact"/>
              <w:jc w:val="left"/>
            </w:pPr>
            <w:r>
              <w:t xml:space="preserve">10 de 12 relataram melhora completa e 2, melhora predominante; nenhum efeito colateral relatado</w:t>
            </w:r>
          </w:p>
        </w:tc>
      </w:tr>
      <w:tr>
        <w:tc>
          <w:tcPr/>
          <w:p>
            <w:pPr>
              <w:pStyle w:val="Compact"/>
              <w:jc w:val="left"/>
            </w:pPr>
            <w:r>
              <w:t xml:space="preserve">Infusão na veia (Lee 2025), PMID 40131143</w:t>
            </w:r>
          </w:p>
        </w:tc>
        <w:tc>
          <w:tcPr/>
          <w:p>
            <w:pPr>
              <w:pStyle w:val="Compact"/>
              <w:jc w:val="left"/>
            </w:pPr>
            <w:r>
              <w:t xml:space="preserve">2 pessoas, teste de segurança em dois dias</w:t>
            </w:r>
          </w:p>
        </w:tc>
        <w:tc>
          <w:tcPr/>
          <w:p>
            <w:pPr>
              <w:pStyle w:val="Compact"/>
              <w:jc w:val="left"/>
            </w:pPr>
            <w:r>
              <w:t xml:space="preserve">3 dias</w:t>
            </w:r>
          </w:p>
        </w:tc>
        <w:tc>
          <w:tcPr/>
          <w:p>
            <w:pPr>
              <w:pStyle w:val="Compact"/>
              <w:jc w:val="left"/>
            </w:pPr>
            <w:r>
              <w:t xml:space="preserve">nenhuma alteração mensurável nos exames de sangue analisados, nenhuma queixa</w:t>
            </w:r>
          </w:p>
        </w:tc>
      </w:tr>
    </w:tbl>
    <w:bookmarkStart w:id="913" w:name="quão-conclusivos-são-esses-dados"/>
    <w:p>
      <w:pPr>
        <w:pStyle w:val="Heading4"/>
      </w:pPr>
      <w:r>
        <w:t xml:space="preserve">Quão conclusivos são esses dados?</w:t>
      </w:r>
    </w:p>
    <w:p>
      <w:pPr>
        <w:pStyle w:val="FirstParagraph"/>
      </w:pPr>
      <w:r>
        <w:t xml:space="preserve">Pouco. A investigação do joelho não foi um estudo planejado, mas uma enquete telefônica posterior entre pacientes que já haviam pago pelo tratamento. Não houve grupo de comparação, nem cegamento, nem instrumentos de medição de função ou qualidade de vida, nem exames de imagem. As causas da dor no joelho iam de artrose a rupturas de menisco. Segundo o resumo, não foram usados questionários padronizados de função</w:t>
      </w:r>
      <w:r>
        <w:rPr>
          <w:rStyle w:val="FootnoteReference"/>
        </w:rPr>
        <w:footnoteReference w:id="907"/>
      </w:r>
      <w:r>
        <w:t xml:space="preserve">.</w:t>
      </w:r>
    </w:p>
    <w:p>
      <w:pPr>
        <w:pStyle w:val="BodyText"/>
      </w:pPr>
      <w:r>
        <w:t xml:space="preserve">O trabalho sobre cistite registrou o resultado com um único questionário global. Que todas as doze mulheres tenham dado a melhor avaliação possível é incomum para uma doença crônica, muitas vezes difícil de tratar, e sem grupo de controle não pode ser distinguido de um efeito placebo ou da oscilação natural dos sintomas. Digno de nota é, além disso, que o BPC-157 utilizado vinha de uma farmácia de manipulação norte-americana</w:t>
      </w:r>
      <w:r>
        <w:rPr>
          <w:rStyle w:val="FootnoteReference"/>
        </w:rPr>
        <w:footnoteReference w:id="908"/>
      </w:r>
      <w:r>
        <w:t xml:space="preserve">.</w:t>
      </w:r>
    </w:p>
    <w:p>
      <w:pPr>
        <w:pStyle w:val="BodyText"/>
      </w:pPr>
      <w:r>
        <w:t xml:space="preserve">O estudo de infusão incluiu duas pessoas que já haviam recebido BPC-157 antes. De duas pessoas não se pode deduzir nenhuma afirmação sobre segurança – efeitos colaterais raros ou tardios permanecem assim invisíveis</w:t>
      </w:r>
      <w:r>
        <w:rPr>
          <w:rStyle w:val="FootnoteReference"/>
        </w:rPr>
        <w:footnoteReference w:id="909"/>
      </w:r>
      <w:r>
        <w:t xml:space="preserve">.</w:t>
      </w:r>
    </w:p>
    <w:p>
      <w:pPr>
        <w:pStyle w:val="BodyText"/>
      </w:pPr>
      <w:r>
        <w:t xml:space="preserve">A revisão sistemática avaliou a qualidade metodológica dos três trabalhos como ruim e a confiabilidade da evidência, pelo sistema GRADE, como</w:t>
      </w:r>
      <w:r>
        <w:t xml:space="preserve"> </w:t>
      </w:r>
      <w:r>
        <w:t xml:space="preserve">“</w:t>
      </w:r>
      <w:r>
        <w:t xml:space="preserve">muito baixa</w:t>
      </w:r>
      <w:r>
        <w:t xml:space="preserve">”</w:t>
      </w:r>
      <w:r>
        <w:t xml:space="preserve">. Sua conclusão: o BPC-157 não deveria ser usado em humanos fora de estudos clínicos de alta qualidade e eticamente aprovados</w:t>
      </w:r>
      <w:r>
        <w:rPr>
          <w:rStyle w:val="FootnoteReference"/>
        </w:rPr>
        <w:footnoteReference w:id="910"/>
      </w:r>
      <w:r>
        <w:t xml:space="preserve">. Outra revisão sistemática da ortopedia esportiva, que pesquisou até junho de 2024, encontrou entre 36 trabalhos incluídos apenas um único estudo clínico</w:t>
      </w:r>
      <w:r>
        <w:rPr>
          <w:rStyle w:val="FootnoteReference"/>
        </w:rPr>
        <w:footnoteReference w:id="911"/>
      </w:r>
      <w:r>
        <w:t xml:space="preserve">. Várias revisões atuais de ortopedia e medicina esportiva chegam à mesma conclusão: um uso rotineiro não pode ser recomendado atualmente</w:t>
      </w:r>
      <w:r>
        <w:rPr>
          <w:rStyle w:val="FootnoteReference"/>
        </w:rPr>
        <w:footnoteReference w:id="912"/>
      </w:r>
      <w:r>
        <w:t xml:space="preserve">.</w:t>
      </w:r>
    </w:p>
    <w:bookmarkEnd w:id="913"/>
    <w:bookmarkStart w:id="917" w:name="Xfad807da4578b8634b34c6d5b6f20e443f13c29"/>
    <w:p>
      <w:pPr>
        <w:pStyle w:val="Heading4"/>
      </w:pPr>
      <w:r>
        <w:t xml:space="preserve">O que aconteceu com os estudos anteriores das empresas</w:t>
      </w:r>
    </w:p>
    <w:p>
      <w:pPr>
        <w:pStyle w:val="FirstParagraph"/>
      </w:pPr>
      <w:r>
        <w:t xml:space="preserve">Nos anos 2000, a empresa farmacêutica croata Pliva desenvolveu o BPC-157, sob o código PL 14736, para doenças inflamatórias intestinais crônicas. Estudos em animais daquela época registram que a substância estaria</w:t>
      </w:r>
      <w:r>
        <w:t xml:space="preserve"> </w:t>
      </w:r>
      <w:r>
        <w:t xml:space="preserve">“</w:t>
      </w:r>
      <w:r>
        <w:t xml:space="preserve">atualmente sendo testada em estudos clínicos</w:t>
      </w:r>
      <w:r>
        <w:t xml:space="preserve">”</w:t>
      </w:r>
      <w:r>
        <w:rPr>
          <w:rStyle w:val="FootnoteReference"/>
        </w:rPr>
        <w:footnoteReference w:id="914"/>
      </w:r>
      <w:r>
        <w:t xml:space="preserve">. Um artigo de revisão do grupo de Zagreb menciona estudos em colite ulcerativa e esclerose múltipla</w:t>
      </w:r>
      <w:r>
        <w:rPr>
          <w:rStyle w:val="FootnoteReference"/>
        </w:rPr>
        <w:footnoteReference w:id="915"/>
      </w:r>
      <w:r>
        <w:t xml:space="preserve">. Resultados completos desses estudos não podem ser encontrados no PubMed como trabalho original. Em 2015, foi registrado ainda um estudo de fase 1 com comprimidos (</w:t>
      </w:r>
      <w:r>
        <w:t xml:space="preserve">“</w:t>
      </w:r>
      <w:r>
        <w:t xml:space="preserve">Bepecin</w:t>
      </w:r>
      <w:r>
        <w:t xml:space="preserve">”</w:t>
      </w:r>
      <w:r>
        <w:t xml:space="preserve">, PCO-02) em 42 voluntários saudáveis</w:t>
      </w:r>
      <w:r>
        <w:rPr>
          <w:rStyle w:val="FootnoteReference"/>
        </w:rPr>
        <w:footnoteReference w:id="916"/>
      </w:r>
      <w:r>
        <w:t xml:space="preserve">; seu status é</w:t>
      </w:r>
      <w:r>
        <w:t xml:space="preserve"> </w:t>
      </w:r>
      <w:r>
        <w:t xml:space="preserve">“</w:t>
      </w:r>
      <w:r>
        <w:t xml:space="preserve">desconhecido</w:t>
      </w:r>
      <w:r>
        <w:t xml:space="preserve">”</w:t>
      </w:r>
      <w:r>
        <w:t xml:space="preserve"> </w:t>
      </w:r>
      <w:r>
        <w:t xml:space="preserve">há anos, e não foram publicados resultados.</w:t>
      </w:r>
    </w:p>
    <w:p>
      <w:pPr>
        <w:pStyle w:val="BodyText"/>
      </w:pPr>
      <w:r>
        <w:t xml:space="preserve">Para as leitoras e os leitores, isso significa: quando sites afirmam que o BPC-157 foi</w:t>
      </w:r>
      <w:r>
        <w:t xml:space="preserve"> </w:t>
      </w:r>
      <w:r>
        <w:t xml:space="preserve">“</w:t>
      </w:r>
      <w:r>
        <w:t xml:space="preserve">seguro em estudos clínicos</w:t>
      </w:r>
      <w:r>
        <w:t xml:space="preserve">”</w:t>
      </w:r>
      <w:r>
        <w:t xml:space="preserve">, eles se referem a estudos cujos dados ninguém pode verificar de forma independente.</w:t>
      </w:r>
    </w:p>
    <w:bookmarkEnd w:id="917"/>
    <w:bookmarkEnd w:id="918"/>
    <w:bookmarkStart w:id="927" w:name="estudos-em-animais-e-em-laboratório-15"/>
    <w:p>
      <w:pPr>
        <w:pStyle w:val="Heading3"/>
      </w:pPr>
      <w:r>
        <w:t xml:space="preserve">Estudos em animais e em laboratório</w:t>
      </w:r>
    </w:p>
    <w:p>
      <w:pPr>
        <w:pStyle w:val="FirstParagraph"/>
      </w:pPr>
      <w:r>
        <w:t xml:space="preserve">A pesquisa pré-clínica é a razão pela qual o BPC-157 ficou tão conhecido. Ela é extensa, mas incomumente unilateral em sua origem.</w:t>
      </w:r>
    </w:p>
    <w:bookmarkStart w:id="922" w:name="um-único-grupo-de-pesquisa-domina"/>
    <w:p>
      <w:pPr>
        <w:pStyle w:val="Heading4"/>
      </w:pPr>
      <w:r>
        <w:t xml:space="preserve">Um único grupo de pesquisa domina</w:t>
      </w:r>
    </w:p>
    <w:p>
      <w:pPr>
        <w:pStyle w:val="FirstParagraph"/>
      </w:pPr>
      <w:r>
        <w:t xml:space="preserve">Dos cerca de 230 resultados no PubMed (consulta de outubro de 2026), aproximadamente 175 citam o farmacologista de Zagreb Predrag Sikirić como autor – ou seja, cerca de três quartos. Uma revisão sobre cicatrização de tendões e músculos registrou que, em duas décadas, apenas um punhado de grupos de pesquisa estudou o BPC-157 a fundo</w:t>
      </w:r>
      <w:r>
        <w:rPr>
          <w:rStyle w:val="FootnoteReference"/>
        </w:rPr>
        <w:footnoteReference w:id="919"/>
      </w:r>
      <w:r>
        <w:t xml:space="preserve">. Isso é importante para a avaliação: resultados científicos só são considerados confiáveis quando grupos independentes os repetem. Uma revisão crítica de 2026 sobre distúrbios circulatórios em roedores critica tempos de observação curtos, experimentos com dose única e riscos de viés descritos de forma incompleta, e exige repetições independentes e cegas</w:t>
      </w:r>
      <w:r>
        <w:rPr>
          <w:rStyle w:val="FootnoteReference"/>
        </w:rPr>
        <w:footnoteReference w:id="920"/>
      </w:r>
      <w:r>
        <w:t xml:space="preserve">. Um breve comentário na revista Inflammopharmacology tratou em 2025 especificamente de um longo artigo de revisão desse grupo</w:t>
      </w:r>
      <w:r>
        <w:rPr>
          <w:rStyle w:val="FootnoteReference"/>
        </w:rPr>
        <w:footnoteReference w:id="921"/>
      </w:r>
      <w:r>
        <w:t xml:space="preserve">.</w:t>
      </w:r>
    </w:p>
    <w:p>
      <w:pPr>
        <w:pStyle w:val="BodyText"/>
      </w:pPr>
      <w:r>
        <w:t xml:space="preserve">Trabalhos independentes existem, sim – sobretudo de Taiwan (células de tendão, vasos), da Coreia do Sul e da China –, mas são bem mais raros e predominantemente experimentos de laboratório ou com células.</w:t>
      </w:r>
    </w:p>
    <w:bookmarkEnd w:id="922"/>
    <w:bookmarkStart w:id="923" w:name="visão-geral-por-sistema-de-órgãos"/>
    <w:p>
      <w:pPr>
        <w:pStyle w:val="Heading4"/>
      </w:pPr>
      <w:r>
        <w:t xml:space="preserve">Visão geral por sistema de órgãos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Área</w:t>
            </w:r>
          </w:p>
        </w:tc>
        <w:tc>
          <w:tcPr/>
          <w:p>
            <w:pPr>
              <w:pStyle w:val="Compact"/>
              <w:jc w:val="left"/>
            </w:pPr>
            <w:r>
              <w:t xml:space="preserve">Modelo típico</w:t>
            </w:r>
          </w:p>
        </w:tc>
        <w:tc>
          <w:tcPr/>
          <w:p>
            <w:pPr>
              <w:pStyle w:val="Compact"/>
              <w:jc w:val="left"/>
            </w:pPr>
            <w:r>
              <w:t xml:space="preserve">Resultado relatado</w:t>
            </w:r>
          </w:p>
        </w:tc>
        <w:tc>
          <w:tcPr/>
          <w:p>
            <w:pPr>
              <w:pStyle w:val="Compact"/>
              <w:jc w:val="left"/>
            </w:pPr>
            <w:r>
              <w:t xml:space="preserve">Exemplo</w:t>
            </w:r>
          </w:p>
        </w:tc>
      </w:tr>
      <w:tr>
        <w:tc>
          <w:tcPr/>
          <w:p>
            <w:pPr>
              <w:pStyle w:val="Compact"/>
              <w:jc w:val="left"/>
            </w:pPr>
            <w:r>
              <w:t xml:space="preserve">Tendão</w:t>
            </w:r>
          </w:p>
        </w:tc>
        <w:tc>
          <w:tcPr/>
          <w:p>
            <w:pPr>
              <w:pStyle w:val="Compact"/>
              <w:jc w:val="left"/>
            </w:pPr>
            <w:r>
              <w:t xml:space="preserve">tendão de Aquiles seccionado em ratos</w:t>
            </w:r>
          </w:p>
        </w:tc>
        <w:tc>
          <w:tcPr/>
          <w:p>
            <w:pPr>
              <w:pStyle w:val="Compact"/>
              <w:jc w:val="left"/>
            </w:pPr>
            <w:r>
              <w:t xml:space="preserve">melhor resistência, função e estrutura do tecido</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colateral do joelho lesionado em ratos</w:t>
            </w:r>
          </w:p>
        </w:tc>
        <w:tc>
          <w:tcPr/>
          <w:p>
            <w:pPr>
              <w:pStyle w:val="Compact"/>
              <w:jc w:val="left"/>
            </w:pPr>
            <w:r>
              <w:t xml:space="preserve">melhor cicatrização</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da coxa seccionado em ratos</w:t>
            </w:r>
          </w:p>
        </w:tc>
        <w:tc>
          <w:tcPr/>
          <w:p>
            <w:pPr>
              <w:pStyle w:val="Compact"/>
              <w:jc w:val="left"/>
            </w:pPr>
            <w:r>
              <w:t xml:space="preserve">melhor função</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defeito ósseo em coelhos</w:t>
            </w:r>
          </w:p>
        </w:tc>
        <w:tc>
          <w:tcPr/>
          <w:p>
            <w:pPr>
              <w:pStyle w:val="Compact"/>
              <w:jc w:val="left"/>
            </w:pPr>
            <w:r>
              <w:t xml:space="preserve">cicatrização do defeito claramente melhor na radiografia e no tecido</w:t>
            </w:r>
          </w:p>
        </w:tc>
        <w:tc>
          <w:tcPr/>
          <w:p>
            <w:pPr>
              <w:pStyle w:val="Compact"/>
              <w:jc w:val="left"/>
            </w:pPr>
            <w:r>
              <w:t xml:space="preserve">Sebecić 1999, PMID 10071911</w:t>
            </w:r>
          </w:p>
        </w:tc>
      </w:tr>
      <w:tr>
        <w:tc>
          <w:tcPr/>
          <w:p>
            <w:pPr>
              <w:pStyle w:val="Compact"/>
              <w:jc w:val="left"/>
            </w:pPr>
            <w:r>
              <w:t xml:space="preserve">Pele</w:t>
            </w:r>
          </w:p>
        </w:tc>
        <w:tc>
          <w:tcPr/>
          <w:p>
            <w:pPr>
              <w:pStyle w:val="Compact"/>
              <w:jc w:val="left"/>
            </w:pPr>
            <w:r>
              <w:t xml:space="preserve">feridas incisas, queimaduras e feridas diabéticas em ratos</w:t>
            </w:r>
          </w:p>
        </w:tc>
        <w:tc>
          <w:tcPr/>
          <w:p>
            <w:pPr>
              <w:pStyle w:val="Compact"/>
              <w:jc w:val="left"/>
            </w:pPr>
            <w:r>
              <w:t xml:space="preserve">cicatrização mais rápida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colite, anastomoses em ratos</w:t>
            </w:r>
          </w:p>
        </w:tc>
        <w:tc>
          <w:tcPr/>
          <w:p>
            <w:pPr>
              <w:pStyle w:val="Compact"/>
              <w:jc w:val="left"/>
            </w:pPr>
            <w:r>
              <w:t xml:space="preserve">cicatrização das fístulas e suturas</w:t>
            </w:r>
          </w:p>
        </w:tc>
        <w:tc>
          <w:tcPr/>
          <w:p>
            <w:pPr>
              <w:pStyle w:val="Compact"/>
              <w:jc w:val="left"/>
            </w:pPr>
            <w:r>
              <w:t xml:space="preserve">Sikiric 2020, PMID 32329684</w:t>
            </w:r>
          </w:p>
        </w:tc>
      </w:tr>
      <w:tr>
        <w:tc>
          <w:tcPr/>
          <w:p>
            <w:pPr>
              <w:pStyle w:val="Compact"/>
              <w:jc w:val="left"/>
            </w:pPr>
            <w:r>
              <w:t xml:space="preserve">Estômago</w:t>
            </w:r>
          </w:p>
        </w:tc>
        <w:tc>
          <w:tcPr/>
          <w:p>
            <w:pPr>
              <w:pStyle w:val="Compact"/>
              <w:jc w:val="left"/>
            </w:pPr>
            <w:r>
              <w:t xml:space="preserve">lesões por analgésicos e álcool</w:t>
            </w:r>
          </w:p>
        </w:tc>
        <w:tc>
          <w:tcPr/>
          <w:p>
            <w:pPr>
              <w:pStyle w:val="Compact"/>
              <w:jc w:val="left"/>
            </w:pPr>
            <w:r>
              <w:t xml:space="preserve">proteção da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artérias e veias ligadas</w:t>
            </w:r>
          </w:p>
        </w:tc>
        <w:tc>
          <w:tcPr/>
          <w:p>
            <w:pPr>
              <w:pStyle w:val="Compact"/>
              <w:jc w:val="left"/>
            </w:pPr>
            <w:r>
              <w:t xml:space="preserve">circulações colaterais, melhor perfusão</w:t>
            </w:r>
          </w:p>
        </w:tc>
        <w:tc>
          <w:tcPr/>
          <w:p>
            <w:pPr>
              <w:pStyle w:val="Compact"/>
              <w:jc w:val="left"/>
            </w:pPr>
            <w:r>
              <w:t xml:space="preserve">Sikiric 2022, PMID 35125818</w:t>
            </w:r>
          </w:p>
        </w:tc>
      </w:tr>
    </w:tbl>
    <w:p>
      <w:pPr>
        <w:pStyle w:val="BodyText"/>
      </w:pPr>
      <w:r>
        <w:t xml:space="preserve">Somam-se trabalhos sobre cérebro, olho, coração, bexiga, intoxicações e descompensações metabólicas – em ratos e camundongos. Essa enorme amplitude é lida pelos defensores como um ponto forte. Do ponto de vista metodológico, é antes um sinal de alerta: uma substância que melhora quase todo distúrbio em quase todo modelo testado exige uma verificação independente especialmente cuidadosa.</w:t>
      </w:r>
    </w:p>
    <w:bookmarkEnd w:id="923"/>
    <w:bookmarkStart w:id="926" w:name="farmacocinética-e-toxicologia"/>
    <w:p>
      <w:pPr>
        <w:pStyle w:val="Heading4"/>
      </w:pPr>
      <w:r>
        <w:t xml:space="preserve">Farmacocinética e toxicologia</w:t>
      </w:r>
    </w:p>
    <w:p>
      <w:pPr>
        <w:pStyle w:val="FirstParagraph"/>
      </w:pPr>
      <w:r>
        <w:t xml:space="preserve">Um grupo de pesquisa chinês estudou o BPC-157 segundo as regras habituais do desenvolvimento de medicamentos. Em ratos e cães da raça beagle, a meia-vida do peptídeo inalterado foi inferior a 30 minutos; após injeção no músculo, cerca de 14 a 19 por cento chegaram à corrente sanguínea em ratos, e 45 a 51 por cento em cães. O BPC-157 foi rapidamente decomposto em pequenos fragmentos e aminoácidos e eliminado pela urina e pela bile</w:t>
      </w:r>
      <w:r>
        <w:rPr>
          <w:rStyle w:val="FootnoteReference"/>
        </w:rPr>
        <w:footnoteReference w:id="924"/>
      </w:r>
      <w:r>
        <w:t xml:space="preserve">. Em testes de toxicidade em camundongos, ratos, coelhos e cães, os mesmos pesquisadores não encontraram danos graves, nem dano ao material genético, nem dano a embriões; em cães, com a dose mais alta, o valor de creatinina caiu temporariamente</w:t>
      </w:r>
      <w:r>
        <w:rPr>
          <w:rStyle w:val="FootnoteReference"/>
        </w:rPr>
        <w:footnoteReference w:id="925"/>
      </w:r>
      <w:r>
        <w:t xml:space="preserve">. Esses dados de animais são um pré-requisito para estudos em humanos, mas não os substituem.</w:t>
      </w:r>
    </w:p>
    <w:bookmarkEnd w:id="926"/>
    <w:bookmarkEnd w:id="927"/>
    <w:bookmarkStart w:id="940" w:name="riscos-e-efeitos-colaterais-15"/>
    <w:p>
      <w:pPr>
        <w:pStyle w:val="Heading3"/>
      </w:pPr>
      <w:r>
        <w:t xml:space="preserve">Riscos e efeitos colaterais</w:t>
      </w:r>
    </w:p>
    <w:bookmarkStart w:id="929" w:name="comprovados"/>
    <w:p>
      <w:pPr>
        <w:pStyle w:val="Heading4"/>
      </w:pPr>
      <w:r>
        <w:t xml:space="preserve">Comprovados</w:t>
      </w:r>
    </w:p>
    <w:p>
      <w:pPr>
        <w:pStyle w:val="FirstParagraph"/>
      </w:pPr>
      <w:r>
        <w:t xml:space="preserve">Efeitos colaterais comprovados em humanos praticamente não existem – mas não porque o BPC-157 seja comprovadamente seguro, e sim porque quase ninguém os procurou de forma sistemática. As três investigações-piloto, com cerca de 30 pessoas no total, não relataram efeitos colaterais</w:t>
      </w:r>
      <w:r>
        <w:rPr>
          <w:rStyle w:val="FootnoteReference"/>
        </w:rPr>
        <w:footnoteReference w:id="928"/>
      </w:r>
      <w:r>
        <w:t xml:space="preserve">. Com 30 pessoas, só é possível identificar problemas frequentes e imediatos. Um efeito colateral que afetasse uma em cada mil pessoas permaneceria invisível.</w:t>
      </w:r>
    </w:p>
    <w:bookmarkEnd w:id="929"/>
    <w:bookmarkStart w:id="933" w:name="Xeb2fbb3c3aebdb8b13b59394f7c626a6ed0d529"/>
    <w:p>
      <w:pPr>
        <w:pStyle w:val="Heading4"/>
      </w:pPr>
      <w:r>
        <w:t xml:space="preserve">Teórico: formação de novos vasos e crescimento tumoral</w:t>
      </w:r>
    </w:p>
    <w:p>
      <w:pPr>
        <w:pStyle w:val="FirstParagraph"/>
      </w:pPr>
      <w:r>
        <w:t xml:space="preserve">O risco teórico mais discutido decorre diretamente do mecanismo de ação suposto. Se o BPC-157 favorece a formação de novos vasos sanguíneos, ele poderia – é o que se teme – também melhorar a irrigação de tumores já existentes, talvez ainda não descobertos. Tumores a partir de poucos milímetros precisam de vasos sanguíneos próprios para continuar crescendo. Por isso, inibidores da via de sinalização do VEGF são medicamentos estabelecidos contra o câncer. Uma substância que aumenta o receptor 2 de VEGF em culturas de células</w:t>
      </w:r>
      <w:r>
        <w:rPr>
          <w:rStyle w:val="FootnoteReference"/>
        </w:rPr>
        <w:footnoteReference w:id="930"/>
      </w:r>
      <w:r>
        <w:t xml:space="preserve"> </w:t>
      </w:r>
      <w:r>
        <w:t xml:space="preserve">merece cautela aqui. Várias revisões citam expressamente a formação patológica de vasos e um possível estímulo ao câncer como risco não esclarecido</w:t>
      </w:r>
      <w:r>
        <w:rPr>
          <w:rStyle w:val="FootnoteReference"/>
        </w:rPr>
        <w:footnoteReference w:id="931"/>
      </w:r>
      <w:r>
        <w:t xml:space="preserve">.</w:t>
      </w:r>
    </w:p>
    <w:p>
      <w:pPr>
        <w:pStyle w:val="BodyText"/>
      </w:pPr>
      <w:r>
        <w:t xml:space="preserve">O grupo de Zagreb contesta isso: o BPC-157 regularia a formação de vasos em vez de estimulá-la cegamente, impediria, por exemplo na córnea do olho, a invasão patológica de vasos e mostraria, em experimentos com animais e células, até mesmo efeitos contra tumores</w:t>
      </w:r>
      <w:r>
        <w:rPr>
          <w:rStyle w:val="FootnoteReference"/>
        </w:rPr>
        <w:footnoteReference w:id="932"/>
      </w:r>
      <w:r>
        <w:t xml:space="preserve">. Esses dados, por sua vez, vêm predominantemente do mesmo grupo. Estudos de longo prazo sobre o surgimento de câncer (estudos de carcinogenicidade), habituais para medicamentos aprovados, não foram publicados para o BPC-157. A questão está, portanto, em aberto – nem confirmada nem refutada. A Parte IV deste livro trata em detalhe do tema sinais de crescimento e risco de câncer.</w:t>
      </w:r>
    </w:p>
    <w:bookmarkEnd w:id="933"/>
    <w:bookmarkStart w:id="936" w:name="riscos-do-mercado-cinza"/>
    <w:p>
      <w:pPr>
        <w:pStyle w:val="Heading4"/>
      </w:pPr>
      <w:r>
        <w:t xml:space="preserve">Riscos do mercado cinza</w:t>
      </w:r>
    </w:p>
    <w:p>
      <w:pPr>
        <w:pStyle w:val="FirstParagraph"/>
      </w:pPr>
      <w:r>
        <w:t xml:space="preserve">O maior risco prático provavelmente não está na substância em si, mas nos produtos. O BPC-157 é vendido predominantemente como</w:t>
      </w:r>
      <w:r>
        <w:t xml:space="preserve"> </w:t>
      </w:r>
      <w:r>
        <w:t xml:space="preserve">“</w:t>
      </w:r>
      <w:r>
        <w:t xml:space="preserve">research chemical</w:t>
      </w:r>
      <w:r>
        <w:t xml:space="preserve">”</w:t>
      </w:r>
      <w:r>
        <w:t xml:space="preserve">, sem qualidade farmacêutica. Revisões citam contaminações, concentrações erradas, falta de esterilidade e qualidade de fabricação variável como perigos concretos</w:t>
      </w:r>
      <w:r>
        <w:rPr>
          <w:rStyle w:val="FootnoteReference"/>
        </w:rPr>
        <w:footnoteReference w:id="934"/>
      </w:r>
      <w:r>
        <w:t xml:space="preserve">. Já em 2017, um laboratório antidoping descreveu BPC-157 de frascos apreendidos</w:t>
      </w:r>
      <w:r>
        <w:rPr>
          <w:rStyle w:val="FootnoteReference"/>
        </w:rPr>
        <w:footnoteReference w:id="935"/>
      </w:r>
      <w:r>
        <w:t xml:space="preserve">. Com injeções, somam-se riscos de infecção por soluções não estéreis. O capítulo I.5 e a Parte IV tratam em detalhe de análises laboratoriais de peptídeos do mercado cinza.</w:t>
      </w:r>
    </w:p>
    <w:bookmarkEnd w:id="936"/>
    <w:bookmarkStart w:id="939" w:name="outras-questões-em-aberto"/>
    <w:p>
      <w:pPr>
        <w:pStyle w:val="Heading4"/>
      </w:pPr>
      <w:r>
        <w:t xml:space="preserve">Outras questões em aberto</w:t>
      </w:r>
    </w:p>
    <w:p>
      <w:pPr>
        <w:numPr>
          <w:ilvl w:val="0"/>
          <w:numId w:val="1117"/>
        </w:numPr>
        <w:pStyle w:val="Compact"/>
      </w:pPr>
      <w:r>
        <w:rPr>
          <w:bCs/>
          <w:b/>
        </w:rPr>
        <w:t xml:space="preserve">Interações:</w:t>
      </w:r>
      <w:r>
        <w:t xml:space="preserve"> </w:t>
      </w:r>
      <w:r>
        <w:t xml:space="preserve">em experimentos com animais, o BPC-157 influenciou a coagulação sanguínea, a pressão arterial e mensageiros do sistema nervoso</w:t>
      </w:r>
      <w:r>
        <w:rPr>
          <w:rStyle w:val="FootnoteReference"/>
        </w:rPr>
        <w:footnoteReference w:id="937"/>
      </w:r>
      <w:r>
        <w:t xml:space="preserve">. Se isso é relevante em humanos para pessoas com anticoagulantes, doenças cardiovasculares ou medicamentos psiquiátricos, ninguém sabe.</w:t>
      </w:r>
    </w:p>
    <w:p>
      <w:pPr>
        <w:numPr>
          <w:ilvl w:val="0"/>
          <w:numId w:val="1117"/>
        </w:numPr>
        <w:pStyle w:val="Compact"/>
      </w:pPr>
      <w:r>
        <w:rPr>
          <w:bCs/>
          <w:b/>
        </w:rPr>
        <w:t xml:space="preserve">Gravidez e amamentação, crianças e adolescentes:</w:t>
      </w:r>
      <w:r>
        <w:t xml:space="preserve"> </w:t>
      </w:r>
      <w:r>
        <w:t xml:space="preserve">sem dados em humanos.</w:t>
      </w:r>
    </w:p>
    <w:p>
      <w:pPr>
        <w:numPr>
          <w:ilvl w:val="0"/>
          <w:numId w:val="1117"/>
        </w:numPr>
        <w:pStyle w:val="Compact"/>
      </w:pPr>
      <w:r>
        <w:rPr>
          <w:bCs/>
          <w:b/>
        </w:rPr>
        <w:t xml:space="preserve">Efeito placebo:</w:t>
      </w:r>
      <w:r>
        <w:t xml:space="preserve"> </w:t>
      </w:r>
      <w:r>
        <w:t xml:space="preserve">uma revisão de medicina esportiva aponta que as redes sociais podem intensificar o efeito placebo com esses peptídeos</w:t>
      </w:r>
      <w:r>
        <w:rPr>
          <w:rStyle w:val="FootnoteReference"/>
        </w:rPr>
        <w:footnoteReference w:id="938"/>
      </w:r>
      <w:r>
        <w:t xml:space="preserve">. Relatos pessoais de sucesso não são, portanto, prova de eficácia.</w:t>
      </w:r>
    </w:p>
    <w:bookmarkEnd w:id="939"/>
    <w:bookmarkEnd w:id="940"/>
    <w:bookmarkStart w:id="944" w:name="situação-legal-15"/>
    <w:p>
      <w:pPr>
        <w:pStyle w:val="Heading3"/>
      </w:pPr>
      <w:r>
        <w:t xml:space="preserve">Situação legal</w:t>
      </w:r>
    </w:p>
    <w:p>
      <w:pPr>
        <w:pStyle w:val="FirstParagraph"/>
      </w:pPr>
      <w:r>
        <w:rPr>
          <w:iCs/>
          <w:i/>
        </w:rPr>
        <w:t xml:space="preserve">Situação em 2026, verificar atualização.</w:t>
      </w:r>
    </w:p>
    <w:p>
      <w:pPr>
        <w:numPr>
          <w:ilvl w:val="0"/>
          <w:numId w:val="1118"/>
        </w:numPr>
        <w:pStyle w:val="Compact"/>
      </w:pPr>
      <w:r>
        <w:rPr>
          <w:bCs/>
          <w:b/>
        </w:rPr>
        <w:t xml:space="preserve">UE:</w:t>
      </w:r>
      <w:r>
        <w:t xml:space="preserve"> </w:t>
      </w:r>
      <w:r>
        <w:t xml:space="preserve">o BPC-157 não está aprovado como medicamento em nenhum Estado-membro. Uma substância oferecida para o tratamento de doenças em humanos é juridicamente considerada um medicamento; sem aprovação, não pode ser colocada no mercado. A indicação</w:t>
      </w:r>
      <w:r>
        <w:t xml:space="preserve"> </w:t>
      </w:r>
      <w:r>
        <w:t xml:space="preserve">“</w:t>
      </w:r>
      <w:r>
        <w:t xml:space="preserve">apenas para fins de pesquisa</w:t>
      </w:r>
      <w:r>
        <w:t xml:space="preserve">”</w:t>
      </w:r>
      <w:r>
        <w:t xml:space="preserve"> </w:t>
      </w:r>
      <w:r>
        <w:t xml:space="preserve">não muda isso quando o produto se destina claramente ao uso em humanos.</w:t>
      </w:r>
    </w:p>
    <w:p>
      <w:pPr>
        <w:numPr>
          <w:ilvl w:val="0"/>
          <w:numId w:val="1118"/>
        </w:numPr>
        <w:pStyle w:val="Compact"/>
      </w:pPr>
      <w:r>
        <w:rPr>
          <w:bCs/>
          <w:b/>
        </w:rPr>
        <w:t xml:space="preserve">Alemanha e Áustria:</w:t>
      </w:r>
      <w:r>
        <w:t xml:space="preserve"> </w:t>
      </w:r>
      <w:r>
        <w:t xml:space="preserve">sem aprovação, também sem base para manipulação magistral. O fornecimento para uso em humanos é inadmissível segundo a respectiva lei de medicamentos. No esporte, aplicam-se adicionalmente as regras antidoping.</w:t>
      </w:r>
    </w:p>
    <w:p>
      <w:pPr>
        <w:numPr>
          <w:ilvl w:val="0"/>
          <w:numId w:val="1118"/>
        </w:numPr>
        <w:pStyle w:val="Compact"/>
      </w:pPr>
      <w:r>
        <w:rPr>
          <w:bCs/>
          <w:b/>
        </w:rPr>
        <w:t xml:space="preserve">EUA:</w:t>
      </w:r>
      <w:r>
        <w:t xml:space="preserve"> </w:t>
      </w:r>
      <w:r>
        <w:t xml:space="preserve">sem aprovação da FDA. Em 2023, a FDA classificou o BPC-157, entre as substâncias de partida para manipulação magistral (o chamado compounding), na categoria 2 – substâncias para as quais existem preocupações de segurança consideráveis. Com isso, farmácias de manipulação, na visão da autoridade, não podem processá-lo. A classificação de peptídeos foi desde então discutida de forma controversa no comitê consultivo da FDA para manipulação magistral (PCAC) e nos meios especializados</w:t>
      </w:r>
      <w:r>
        <w:rPr>
          <w:rStyle w:val="FootnoteReference"/>
        </w:rPr>
        <w:footnoteReference w:id="941"/>
      </w:r>
      <w:r>
        <w:t xml:space="preserve">; mudanças são possíveis.</w:t>
      </w:r>
    </w:p>
    <w:p>
      <w:pPr>
        <w:numPr>
          <w:ilvl w:val="0"/>
          <w:numId w:val="1118"/>
        </w:numPr>
        <w:pStyle w:val="Compact"/>
      </w:pPr>
      <w:r>
        <w:rPr>
          <w:bCs/>
          <w:b/>
        </w:rPr>
        <w:t xml:space="preserve">WADA:</w:t>
      </w:r>
      <w:r>
        <w:t xml:space="preserve"> </w:t>
      </w:r>
      <w:r>
        <w:t xml:space="preserve">o BPC-157 consta nominalmente desde 2022 no grupo S0 (substâncias não aprovadas) da lista de proibições e é, portanto, proibido em competição e fora dela. Uma revisão de 2025 afirma, divergindo disso, que o BPC-157 atualmente não estaria listado</w:t>
      </w:r>
      <w:r>
        <w:rPr>
          <w:rStyle w:val="FootnoteReference"/>
        </w:rPr>
        <w:footnoteReference w:id="942"/>
      </w:r>
      <w:r>
        <w:t xml:space="preserve"> </w:t>
      </w:r>
      <w:r>
        <w:t xml:space="preserve">– segundo o conhecimento do autor, isso não se aplica à lista atual. Laboratórios antidoping desenvolveram métodos de detecção na urina</w:t>
      </w:r>
      <w:r>
        <w:rPr>
          <w:rStyle w:val="FootnoteReference"/>
        </w:rPr>
        <w:footnoteReference w:id="943"/>
      </w:r>
      <w:r>
        <w:t xml:space="preserve">.</w:t>
      </w:r>
    </w:p>
    <w:bookmarkEnd w:id="944"/>
    <w:bookmarkStart w:id="950" w:name="estudos-em-andamento-e-perspectivas-15"/>
    <w:p>
      <w:pPr>
        <w:pStyle w:val="Heading3"/>
      </w:pPr>
      <w:r>
        <w:t xml:space="preserve">Estudos em andamento e perspectivas</w:t>
      </w:r>
    </w:p>
    <w:p>
      <w:pPr>
        <w:pStyle w:val="FirstParagraph"/>
      </w:pPr>
      <w:r>
        <w:t xml:space="preserve">Em outubro de 2026, há quatro estudos com BPC-157 registrados no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randomizado, duplo-cego, placebo, 120 pessoas previstas</w:t>
            </w:r>
          </w:p>
        </w:tc>
        <w:tc>
          <w:tcPr/>
          <w:p>
            <w:pPr>
              <w:pStyle w:val="Compact"/>
              <w:jc w:val="left"/>
            </w:pPr>
            <w:r>
              <w:t xml:space="preserve">segundo o registro, recrutando desde fevereiro de 2026; autenticidade questionável (veja o texto)</w:t>
            </w:r>
          </w:p>
        </w:tc>
        <w:tc>
          <w:tcPr/>
          <w:p>
            <w:pPr>
              <w:pStyle w:val="Compact"/>
              <w:jc w:val="left"/>
            </w:pPr>
            <w:r>
              <w:t xml:space="preserve">estiramento agudo da musculatura posterior da coxa; tempo até o retorno ao esporte, achado de ressonância</w:t>
            </w:r>
          </w:p>
        </w:tc>
      </w:tr>
      <w:tr>
        <w:tc>
          <w:tcPr/>
          <w:p>
            <w:pPr>
              <w:pStyle w:val="Compact"/>
              <w:jc w:val="left"/>
            </w:pPr>
            <w:r>
              <w:t xml:space="preserve">NCT07803250</w:t>
            </w:r>
          </w:p>
        </w:tc>
        <w:tc>
          <w:tcPr/>
          <w:p>
            <w:pPr>
              <w:pStyle w:val="Compact"/>
              <w:jc w:val="left"/>
            </w:pPr>
            <w:r>
              <w:t xml:space="preserve">fase 1, randomizado, 30 pessoas previstas</w:t>
            </w:r>
          </w:p>
        </w:tc>
        <w:tc>
          <w:tcPr/>
          <w:p>
            <w:pPr>
              <w:pStyle w:val="Compact"/>
              <w:jc w:val="left"/>
            </w:pPr>
            <w:r>
              <w:t xml:space="preserve">ainda não recrutando, início previsto em 2027</w:t>
            </w:r>
          </w:p>
        </w:tc>
        <w:tc>
          <w:tcPr/>
          <w:p>
            <w:pPr>
              <w:pStyle w:val="Compact"/>
              <w:jc w:val="left"/>
            </w:pPr>
            <w:r>
              <w:t xml:space="preserve">cicatrização após cirurgia do manguito rotador (ombro)</w:t>
            </w:r>
          </w:p>
        </w:tc>
      </w:tr>
      <w:tr>
        <w:tc>
          <w:tcPr/>
          <w:p>
            <w:pPr>
              <w:pStyle w:val="Compact"/>
              <w:jc w:val="left"/>
            </w:pPr>
            <w:r>
              <w:t xml:space="preserve">NCT07752381</w:t>
            </w:r>
          </w:p>
        </w:tc>
        <w:tc>
          <w:tcPr/>
          <w:p>
            <w:pPr>
              <w:pStyle w:val="Compact"/>
              <w:jc w:val="left"/>
            </w:pPr>
            <w:r>
              <w:t xml:space="preserve">um grupo sem controle, 40 pessoas</w:t>
            </w:r>
          </w:p>
        </w:tc>
        <w:tc>
          <w:tcPr/>
          <w:p>
            <w:pPr>
              <w:pStyle w:val="Compact"/>
              <w:jc w:val="left"/>
            </w:pPr>
            <w:r>
              <w:t xml:space="preserve">concluído em 2025, sem resultados no registro</w:t>
            </w:r>
          </w:p>
        </w:tc>
        <w:tc>
          <w:tcPr/>
          <w:p>
            <w:pPr>
              <w:pStyle w:val="Compact"/>
              <w:jc w:val="left"/>
            </w:pPr>
            <w:r>
              <w:t xml:space="preserve">balas de goma de um fabricante; marcadores inflamatórios e autoavaliação</w:t>
            </w:r>
          </w:p>
        </w:tc>
      </w:tr>
      <w:tr>
        <w:tc>
          <w:tcPr/>
          <w:p>
            <w:pPr>
              <w:pStyle w:val="Compact"/>
              <w:jc w:val="left"/>
            </w:pPr>
            <w:r>
              <w:t xml:space="preserve">NCT02637284</w:t>
            </w:r>
          </w:p>
        </w:tc>
        <w:tc>
          <w:tcPr/>
          <w:p>
            <w:pPr>
              <w:pStyle w:val="Compact"/>
              <w:jc w:val="left"/>
            </w:pPr>
            <w:r>
              <w:t xml:space="preserve">fase 1, comprimidos, 42 pessoas saudáveis previstas</w:t>
            </w:r>
          </w:p>
        </w:tc>
        <w:tc>
          <w:tcPr/>
          <w:p>
            <w:pPr>
              <w:pStyle w:val="Compact"/>
              <w:jc w:val="left"/>
            </w:pPr>
            <w:r>
              <w:t xml:space="preserve">status desconhecido desde 2016</w:t>
            </w:r>
          </w:p>
        </w:tc>
        <w:tc>
          <w:tcPr/>
          <w:p>
            <w:pPr>
              <w:pStyle w:val="Compact"/>
              <w:jc w:val="left"/>
            </w:pPr>
            <w:r>
              <w:t xml:space="preserve">segurança e farmacocinética</w:t>
            </w:r>
          </w:p>
        </w:tc>
      </w:tr>
    </w:tbl>
    <w:p>
      <w:pPr>
        <w:pStyle w:val="BodyText"/>
      </w:pPr>
      <w:r>
        <w:rPr>
          <w:bCs/>
          <w:b/>
        </w:rPr>
        <w:t xml:space="preserve">Confirmado</w:t>
      </w:r>
      <w:r>
        <w:t xml:space="preserve"> </w:t>
      </w:r>
      <w:r>
        <w:t xml:space="preserve">há pouco. No papel, o estudo de fase 2 sobre estiramentos da musculatura posterior da coxa</w:t>
      </w:r>
      <w:r>
        <w:rPr>
          <w:rStyle w:val="FootnoteReference"/>
        </w:rPr>
        <w:footnoteReference w:id="945"/>
      </w:r>
      <w:r>
        <w:t xml:space="preserve"> </w:t>
      </w:r>
      <w:r>
        <w:t xml:space="preserve">seria o primeiro estudo randomizado, controlado por placebo, com desfecho objetivo (ressonância) e tamanho suficiente. Na verificação para este livro, porém, chamou atenção: o mesmo patrocinador (</w:t>
      </w:r>
      <w:r>
        <w:t xml:space="preserve">“</w:t>
      </w:r>
      <w:r>
        <w:t xml:space="preserve">Hudson Biotech</w:t>
      </w:r>
      <w:r>
        <w:t xml:space="preserve">”</w:t>
      </w:r>
      <w:r>
        <w:t xml:space="preserve">), com centro de estudo e pessoa de contato idênticos, criou um segundo registro sobre TB-500</w:t>
      </w:r>
      <w:r>
        <w:rPr>
          <w:rStyle w:val="FootnoteReference"/>
        </w:rPr>
        <w:footnoteReference w:id="946"/>
      </w:r>
      <w:r>
        <w:t xml:space="preserve">, que em sua própria descrição se denomina expressamente um exemplo</w:t>
      </w:r>
      <w:r>
        <w:t xml:space="preserve"> </w:t>
      </w:r>
      <w:r>
        <w:t xml:space="preserve">“</w:t>
      </w:r>
      <w:r>
        <w:t xml:space="preserve">fictício</w:t>
      </w:r>
      <w:r>
        <w:t xml:space="preserve">”</w:t>
      </w:r>
      <w:r>
        <w:t xml:space="preserve"> </w:t>
      </w:r>
      <w:r>
        <w:t xml:space="preserve">de registro. Se o estudo de BPC-157 será de fato realizado não pode, por isso, ser afirmado com segurança. O ClinicalTrials.gov verifica os registros apenas formalmente, não quanto ao conteúdo – um registro, por si só, não prova que um estudo esteja acontecendo.</w:t>
      </w:r>
    </w:p>
    <w:p>
      <w:pPr>
        <w:pStyle w:val="BodyText"/>
      </w:pPr>
      <w:r>
        <w:t xml:space="preserve">O estudo de ombro da University of Arkansas</w:t>
      </w:r>
      <w:r>
        <w:rPr>
          <w:rStyle w:val="FootnoteReference"/>
        </w:rPr>
        <w:footnoteReference w:id="947"/>
      </w:r>
      <w:r>
        <w:t xml:space="preserve"> </w:t>
      </w:r>
      <w:r>
        <w:t xml:space="preserve">é randomizado e cego, mas pequeno e ainda não começou. O estudo das balas de goma de um fabricante</w:t>
      </w:r>
      <w:r>
        <w:rPr>
          <w:rStyle w:val="FootnoteReference"/>
        </w:rPr>
        <w:footnoteReference w:id="948"/>
      </w:r>
      <w:r>
        <w:t xml:space="preserve"> </w:t>
      </w:r>
      <w:r>
        <w:t xml:space="preserve">não tem grupo de controle e mede predominantemente autorrelatos; ele não responderá às questões em aberto.</w:t>
      </w:r>
    </w:p>
    <w:p>
      <w:pPr>
        <w:pStyle w:val="BodyText"/>
      </w:pPr>
      <w:r>
        <w:rPr>
          <w:bCs/>
          <w:b/>
        </w:rPr>
        <w:t xml:space="preserve">Avaliação do autor:</w:t>
      </w:r>
      <w:r>
        <w:t xml:space="preserve"> </w:t>
      </w:r>
      <w:r>
        <w:t xml:space="preserve">antes de 2028, não são esperados dados de eficácia confiáveis em humanos. Mesmo um resultado positivo de um pequeno estudo-piloto seria apenas um primeiro indício – ainda não uma base para uma aprovação, que exige vários estudos maiores e dados de segurança de longo prazo. Um resultado negativo provavelmente pouco mudaria a reputação do peptídeo na internet. Uma revisão farmacêutica enfatiza que até hoje não existe uma forma farmacêutica padronizada e validada</w:t>
      </w:r>
      <w:r>
        <w:rPr>
          <w:rStyle w:val="FootnoteReference"/>
        </w:rPr>
        <w:footnoteReference w:id="949"/>
      </w:r>
      <w:r>
        <w:t xml:space="preserve"> </w:t>
      </w:r>
      <w:r>
        <w:t xml:space="preserve">– também isso precisa ser resolvido antes de uma aprovação.</w:t>
      </w:r>
    </w:p>
    <w:bookmarkEnd w:id="950"/>
    <w:bookmarkStart w:id="953" w:name="conclusão-15"/>
    <w:p>
      <w:pPr>
        <w:pStyle w:val="Heading3"/>
      </w:pPr>
      <w:r>
        <w:t xml:space="preserve">Conclusão</w:t>
      </w:r>
    </w:p>
    <w:p>
      <w:pPr>
        <w:pStyle w:val="FirstParagraph"/>
      </w:pPr>
      <w:r>
        <w:t xml:space="preserve">O BPC-157 é um peptídeo com um número incomumente grande de estudos em animais, que quase todos relatam resultados positivos – predominantemente de um único grupo de pesquisa de Zagreb e sem repetição independente suficiente. Em humanos, há apenas três pequenas investigações não controladas, com cerca de 30 pessoas no total, cuja qualidade é avaliada como muito baixa</w:t>
      </w:r>
      <w:r>
        <w:rPr>
          <w:rStyle w:val="FootnoteReference"/>
        </w:rPr>
        <w:footnoteReference w:id="951"/>
      </w:r>
      <w:r>
        <w:t xml:space="preserve">. A segurança a longo prazo, em especial a questão teórica de um estímulo ao crescimento tumoral por formação de novos vasos, não foi estudada, e os produtos do mercado cinza trazem riscos próprios. Estudos randomizados estão apenas registrados ou planejados</w:t>
      </w:r>
      <w:r>
        <w:rPr>
          <w:rStyle w:val="FootnoteReference"/>
        </w:rPr>
        <w:footnoteReference w:id="952"/>
      </w:r>
      <w:r>
        <w:t xml:space="preserve">; até que haja resultados confiáveis, o BPC-157 continua sendo uma substância experimental cujo benefício em humanos não está comprovado. Para atletas, ele é proibido pelas regras da WADA.</w:t>
      </w:r>
    </w:p>
    <w:bookmarkEnd w:id="953"/>
    <w:bookmarkEnd w:id="954"/>
    <w:bookmarkStart w:id="1004" w:name="tb-500-e-timosina-beta-4"/>
    <w:p>
      <w:pPr>
        <w:pStyle w:val="Heading2"/>
      </w:pPr>
      <w:r>
        <w:t xml:space="preserve">TB-500 e timosina beta-4</w:t>
      </w:r>
    </w:p>
    <w:p>
      <w:pPr>
        <w:pStyle w:val="FirstParagraph"/>
      </w:pPr>
      <w:r>
        <w:t xml:space="preserve">Na internet,</w:t>
      </w:r>
      <w:r>
        <w:t xml:space="preserve"> </w:t>
      </w:r>
      <w:r>
        <w:t xml:space="preserve">“</w:t>
      </w:r>
      <w:r>
        <w:t xml:space="preserve">TB-500</w:t>
      </w:r>
      <w:r>
        <w:t xml:space="preserve">”</w:t>
      </w:r>
      <w:r>
        <w:t xml:space="preserve"> </w:t>
      </w:r>
      <w:r>
        <w:t xml:space="preserve">e</w:t>
      </w:r>
      <w:r>
        <w:t xml:space="preserve"> </w:t>
      </w:r>
      <w:r>
        <w:t xml:space="preserve">“</w:t>
      </w:r>
      <w:r>
        <w:t xml:space="preserve">timosina beta-4</w:t>
      </w:r>
      <w:r>
        <w:t xml:space="preserve">”</w:t>
      </w:r>
      <w:r>
        <w:t xml:space="preserve"> </w:t>
      </w:r>
      <w:r>
        <w:t xml:space="preserve">costumam ser vendidos como se fossem a mesma coisa. Isso está errado, e a diferença é decisiva para a avaliação. A timosina beta-4 é uma proteína do próprio corpo, com 43 aminoácidos, estudada em vários estudos clínicos – sobretudo como colírio e como infusão após infarto do miocárdio. O TB-500, por outro lado, é um fragmento curto e modificado artificialmente dela, que nunca foi testado em um estudo publicado em humanos. Este capítulo separa as duas coisas com clareza.</w:t>
      </w:r>
    </w:p>
    <w:bookmarkStart w:id="956" w:name="ficha-técnica-16"/>
    <w:p>
      <w:pPr>
        <w:pStyle w:val="Heading3"/>
      </w:pPr>
      <w:r>
        <w:t xml:space="preserve">Ficha técnica</w:t>
      </w:r>
    </w:p>
    <w:p>
      <w:pPr>
        <w:numPr>
          <w:ilvl w:val="0"/>
          <w:numId w:val="1119"/>
        </w:numPr>
        <w:pStyle w:val="Compact"/>
      </w:pPr>
      <w:r>
        <w:rPr>
          <w:bCs/>
          <w:b/>
        </w:rPr>
        <w:t xml:space="preserve">Timosina beta-4 (Tβ4):</w:t>
      </w:r>
      <w:r>
        <w:t xml:space="preserve"> </w:t>
      </w:r>
      <w:r>
        <w:t xml:space="preserve">peptídeo do próprio corpo, com 43 aminoácidos, presente em quase todas as células; função principal: liga-se à proteína estrutural actina e assim regula a forma e o movimento das células. Para estudos, é produzida de forma sintética ou por engenharia genética (recombinante); nomes de desenvolvimento RGN-259 (colírio), RGN-352 (injeção), NL005 (recombinante, China).</w:t>
      </w:r>
    </w:p>
    <w:p>
      <w:pPr>
        <w:numPr>
          <w:ilvl w:val="0"/>
          <w:numId w:val="1119"/>
        </w:numPr>
        <w:pStyle w:val="Compact"/>
      </w:pPr>
      <w:r>
        <w:rPr>
          <w:bCs/>
          <w:b/>
        </w:rPr>
        <w:t xml:space="preserve">TB-500:</w:t>
      </w:r>
      <w:r>
        <w:t xml:space="preserve"> </w:t>
      </w:r>
      <w:r>
        <w:t xml:space="preserve">o fragmento dos aminoácidos 17 a 23 da Tβ4, modificado quimicamente no início (acetilado), sequência Ac-LKKTETQ</w:t>
      </w:r>
      <w:r>
        <w:rPr>
          <w:rStyle w:val="FootnoteReference"/>
        </w:rPr>
        <w:footnoteReference w:id="955"/>
      </w:r>
      <w:r>
        <w:t xml:space="preserve">. Surgiu originalmente como medicamento veterinário no turfe.</w:t>
      </w:r>
    </w:p>
    <w:p>
      <w:pPr>
        <w:numPr>
          <w:ilvl w:val="0"/>
          <w:numId w:val="1119"/>
        </w:numPr>
        <w:pStyle w:val="Compact"/>
      </w:pPr>
      <w:r>
        <w:rPr>
          <w:bCs/>
          <w:b/>
        </w:rPr>
        <w:t xml:space="preserve">Princípio de ação (suposto):</w:t>
      </w:r>
      <w:r>
        <w:t xml:space="preserve"> </w:t>
      </w:r>
      <w:r>
        <w:t xml:space="preserve">estímulo à migração celular, à formação de novos vasos e à cicatrização de feridas, atenuação da inflamação.</w:t>
      </w:r>
    </w:p>
    <w:p>
      <w:pPr>
        <w:numPr>
          <w:ilvl w:val="0"/>
          <w:numId w:val="1119"/>
        </w:numPr>
        <w:pStyle w:val="Compact"/>
      </w:pPr>
      <w:r>
        <w:rPr>
          <w:bCs/>
          <w:b/>
        </w:rPr>
        <w:t xml:space="preserve">Aprovação UE/EUA:</w:t>
      </w:r>
      <w:r>
        <w:t xml:space="preserve"> </w:t>
      </w:r>
      <w:r>
        <w:t xml:space="preserve">nem a Tβ4 nem o TB-500 estão aprovados.</w:t>
      </w:r>
    </w:p>
    <w:p>
      <w:pPr>
        <w:numPr>
          <w:ilvl w:val="0"/>
          <w:numId w:val="1119"/>
        </w:numPr>
        <w:pStyle w:val="Compact"/>
      </w:pPr>
      <w:r>
        <w:rPr>
          <w:bCs/>
          <w:b/>
        </w:rPr>
        <w:t xml:space="preserve">WADA:</w:t>
      </w:r>
      <w:r>
        <w:t xml:space="preserve"> </w:t>
      </w:r>
      <w:r>
        <w:t xml:space="preserve">proibidos (S2, fatores de crescimento;</w:t>
      </w:r>
      <w:r>
        <w:t xml:space="preserve"> </w:t>
      </w:r>
      <w:r>
        <w:t xml:space="preserve">“</w:t>
      </w:r>
      <w:r>
        <w:t xml:space="preserve">timosina-β4 e seus derivados, p. ex. TB-500</w:t>
      </w:r>
      <w:r>
        <w:t xml:space="preserve">”</w:t>
      </w:r>
      <w:r>
        <w:t xml:space="preserve"> </w:t>
      </w:r>
      <w:r>
        <w:t xml:space="preserve">são mencionados expressamente).</w:t>
      </w:r>
    </w:p>
    <w:p>
      <w:pPr>
        <w:numPr>
          <w:ilvl w:val="0"/>
          <w:numId w:val="1119"/>
        </w:numPr>
        <w:pStyle w:val="Compact"/>
      </w:pPr>
      <w:r>
        <w:rPr>
          <w:bCs/>
          <w:b/>
        </w:rPr>
        <w:t xml:space="preserve">Nível de evidência:</w:t>
      </w:r>
      <w:r>
        <w:t xml:space="preserve"> </w:t>
      </w:r>
      <w:r>
        <w:rPr>
          <w:bCs/>
          <w:b/>
        </w:rPr>
        <w:t xml:space="preserve">B</w:t>
      </w:r>
      <w:r>
        <w:t xml:space="preserve"> </w:t>
      </w:r>
      <w:r>
        <w:t xml:space="preserve">para a timosina beta-4 (estudos randomizados, predominantemente pequenos; grandes estudos de fase 3 em olho seco sem benefício claro) ·</w:t>
      </w:r>
      <w:r>
        <w:t xml:space="preserve"> </w:t>
      </w:r>
      <w:r>
        <w:rPr>
          <w:bCs/>
          <w:b/>
        </w:rPr>
        <w:t xml:space="preserve">D</w:t>
      </w:r>
      <w:r>
        <w:t xml:space="preserve"> </w:t>
      </w:r>
      <w:r>
        <w:t xml:space="preserve">para o TB-500 (nenhum estudo publicado em humanos).</w:t>
      </w:r>
    </w:p>
    <w:bookmarkEnd w:id="956"/>
    <w:bookmarkStart w:id="961" w:name="como-deveria-agir-16"/>
    <w:p>
      <w:pPr>
        <w:pStyle w:val="Heading3"/>
      </w:pPr>
      <w:r>
        <w:t xml:space="preserve">Como deveria agir</w:t>
      </w:r>
    </w:p>
    <w:p>
      <w:pPr>
        <w:pStyle w:val="FirstParagraph"/>
      </w:pPr>
      <w:r>
        <w:t xml:space="preserve">A Tβ4 é, nas células, a proteína mais importante que liga e</w:t>
      </w:r>
      <w:r>
        <w:t xml:space="preserve"> </w:t>
      </w:r>
      <w:r>
        <w:t xml:space="preserve">“</w:t>
      </w:r>
      <w:r>
        <w:t xml:space="preserve">estaciona</w:t>
      </w:r>
      <w:r>
        <w:t xml:space="preserve">”</w:t>
      </w:r>
      <w:r>
        <w:t xml:space="preserve"> </w:t>
      </w:r>
      <w:r>
        <w:t xml:space="preserve">as unidades individuais de actina. A actina forma o esqueleto interno da célula; quando uma célula precisa se mover – por exemplo, para fechar uma ferida –, esse esqueleto tem de ser reorganizado rapidamente. A Tβ4 fornece as unidades para isso.</w:t>
      </w:r>
    </w:p>
    <w:p>
      <w:pPr>
        <w:pStyle w:val="BodyText"/>
      </w:pPr>
      <w:r>
        <w:t xml:space="preserve">Além disso, a Tβ4 tem, ao que parece, efeitos de sinalização próprios fora da célula. Um artigo de revisão descreve vários segmentos ativos na molécula: o pequeno trecho do início (Ac-SDKP) age, em experimentos de laboratório, contra a inflamação e a cicatrização fibrosa, e o segmento 17 a 23 (LKKTETQ) favorece a formação de novos vasos, a cicatrização de feridas e a migração celular</w:t>
      </w:r>
      <w:r>
        <w:rPr>
          <w:rStyle w:val="FootnoteReference"/>
        </w:rPr>
        <w:footnoteReference w:id="957"/>
      </w:r>
      <w:r>
        <w:t xml:space="preserve">. Em experimentos com células, o motivo de ligação à actina de sete aminoácidos mostrou o mesmo efeito sobre a migração de células vasculares que a molécula inteira</w:t>
      </w:r>
      <w:r>
        <w:rPr>
          <w:rStyle w:val="FootnoteReference"/>
        </w:rPr>
        <w:footnoteReference w:id="958"/>
      </w:r>
      <w:r>
        <w:t xml:space="preserve">.</w:t>
      </w:r>
    </w:p>
    <w:p>
      <w:pPr>
        <w:pStyle w:val="BodyText"/>
      </w:pPr>
      <w:r>
        <w:t xml:space="preserve">Nesse achado de laboratório se baseia a ideia do TB-500: se o trecho curto carrega o efeito, basta produzir apenas ele – mais barato e mais simples do que a proteína inteira. No entanto, não foi usada exatamente a sequência natural, mas uma forma acetilada no início. Um estudo sobre a degradação verificou que o TB-500 é rapidamente decomposto e que, em experimentos com células, não o peptídeo original, mas um produto de degradação (Ac-LKKTE) favoreceu a cicatrização</w:t>
      </w:r>
      <w:r>
        <w:rPr>
          <w:rStyle w:val="FootnoteReference"/>
        </w:rPr>
        <w:footnoteReference w:id="959"/>
      </w:r>
      <w:r>
        <w:t xml:space="preserve">. Que o TB-500 faça no corpo o mesmo que a Tβ4 não está, portanto, demonstrado. Uma revisão ortopédica de 2026 enfatiza que o TB-500 é frequentemente equiparado à Tβ4, embora nenhuma equivalência biológica ou clínica esteja comprovada</w:t>
      </w:r>
      <w:r>
        <w:rPr>
          <w:rStyle w:val="FootnoteReference"/>
        </w:rPr>
        <w:footnoteReference w:id="960"/>
      </w:r>
      <w:r>
        <w:t xml:space="preserve">.</w:t>
      </w:r>
    </w:p>
    <w:bookmarkEnd w:id="961"/>
    <w:bookmarkStart w:id="976" w:name="estudos-em-humanos-16"/>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w:t>
      </w:r>
      <w:r>
        <w:t xml:space="preserve"> </w:t>
      </w:r>
      <w:r>
        <w:t xml:space="preserve">publicações classificadas como estudo em humanos e</w:t>
      </w:r>
      <w:r>
        <w:t xml:space="preserve"> </w:t>
      </w:r>
      <w:r>
        <w:rPr>
          <w:bCs/>
          <w:b/>
        </w:rPr>
        <w:t xml:space="preserve">18</w:t>
      </w:r>
      <w:r>
        <w:t xml:space="preserve"> </w:t>
      </w:r>
      <w:r>
        <w:t xml:space="preserve">registros no ClinicalTrials.gov. Das nove publicações, apenas seis estudam de fato a Tβ4 como substância ativa; as demais medem a Tβ4 no sangue ou tratam de outras questões.</w:t>
      </w:r>
      <w:r>
        <w:t xml:space="preserve"> </w:t>
      </w:r>
      <w:r>
        <w:rPr>
          <w:bCs/>
          <w:b/>
        </w:rPr>
        <w:t xml:space="preserve">Nenhum</w:t>
      </w:r>
      <w:r>
        <w:t xml:space="preserve"> </w:t>
      </w:r>
      <w:r>
        <w:t xml:space="preserve">estudo publicado investigou o TB-500 em humanos.</w:t>
      </w:r>
    </w:p>
    <w:bookmarkStart w:id="967" w:name="colírio-rgn-259"/>
    <w:p>
      <w:pPr>
        <w:pStyle w:val="Heading4"/>
      </w:pPr>
      <w:r>
        <w:t xml:space="preserve">Colírio (RGN-259)</w:t>
      </w:r>
    </w:p>
    <w:p>
      <w:pPr>
        <w:pStyle w:val="FirstParagraph"/>
      </w:pPr>
      <w:r>
        <w:t xml:space="preserve">O estágio mais avançado é o da Tβ4 como colírio. A empresa RegeneRx e sua parceira ReGenTree a testaram no olho seco e na ceratopatia neurotrófica – uma doença rara na qual a córnea cicatriza mal por causa de nervos danificados.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Olho seco grave (Sosne 2015, PMID 25826322; NCT01393132)</w:t>
            </w:r>
          </w:p>
        </w:tc>
        <w:tc>
          <w:tcPr/>
          <w:p>
            <w:pPr>
              <w:pStyle w:val="Compact"/>
              <w:jc w:val="left"/>
            </w:pPr>
            <w:r>
              <w:t xml:space="preserve">9 pessoas, randomizado contra veículo</w:t>
            </w:r>
          </w:p>
        </w:tc>
        <w:tc>
          <w:tcPr/>
          <w:p>
            <w:pPr>
              <w:pStyle w:val="Compact"/>
              <w:jc w:val="left"/>
            </w:pPr>
            <w:r>
              <w:t xml:space="preserve">28 dias mais 28 dias de acompanhamento</w:t>
            </w:r>
          </w:p>
        </w:tc>
        <w:tc>
          <w:tcPr/>
          <w:p>
            <w:pPr>
              <w:pStyle w:val="Compact"/>
              <w:jc w:val="left"/>
            </w:pPr>
            <w:r>
              <w:t xml:space="preserve">no dia 56, queixas 35,1% e coloração da córnea 59,1% menores do que com veículo</w:t>
            </w:r>
          </w:p>
        </w:tc>
      </w:tr>
      <w:tr>
        <w:tc>
          <w:tcPr/>
          <w:p>
            <w:pPr>
              <w:pStyle w:val="Compact"/>
              <w:jc w:val="left"/>
            </w:pPr>
            <w:r>
              <w:t xml:space="preserve">Olho seco, modelo de provocação (Sosne 2015, PMID 26056426)</w:t>
            </w:r>
          </w:p>
        </w:tc>
        <w:tc>
          <w:tcPr/>
          <w:p>
            <w:pPr>
              <w:pStyle w:val="Compact"/>
              <w:jc w:val="left"/>
            </w:pPr>
            <w:r>
              <w:t xml:space="preserve">72 pessoas, ECR</w:t>
            </w:r>
          </w:p>
        </w:tc>
        <w:tc>
          <w:tcPr/>
          <w:p>
            <w:pPr>
              <w:pStyle w:val="Compact"/>
              <w:jc w:val="left"/>
            </w:pPr>
            <w:r>
              <w:t xml:space="preserve">28 dias</w:t>
            </w:r>
          </w:p>
        </w:tc>
        <w:tc>
          <w:tcPr/>
          <w:p>
            <w:pPr>
              <w:pStyle w:val="Compact"/>
              <w:jc w:val="left"/>
            </w:pPr>
            <w:r>
              <w:t xml:space="preserve">ambos os desfechos primários não significativos; alguns desfechos secundários melhores</w:t>
            </w:r>
          </w:p>
        </w:tc>
      </w:tr>
      <w:tr>
        <w:tc>
          <w:tcPr/>
          <w:p>
            <w:pPr>
              <w:pStyle w:val="Compact"/>
              <w:jc w:val="left"/>
            </w:pPr>
            <w:r>
              <w:t xml:space="preserve">ARISE-2 (NCT02974907)</w:t>
            </w:r>
          </w:p>
        </w:tc>
        <w:tc>
          <w:tcPr/>
          <w:p>
            <w:pPr>
              <w:pStyle w:val="Compact"/>
              <w:jc w:val="left"/>
            </w:pPr>
            <w:r>
              <w:t xml:space="preserve">601 pessoas, fase 3, ECR</w:t>
            </w:r>
          </w:p>
        </w:tc>
        <w:tc>
          <w:tcPr/>
          <w:p>
            <w:pPr>
              <w:pStyle w:val="Compact"/>
              <w:jc w:val="left"/>
            </w:pPr>
            <w:r>
              <w:t xml:space="preserve">28 dias</w:t>
            </w:r>
          </w:p>
        </w:tc>
        <w:tc>
          <w:tcPr/>
          <w:p>
            <w:pPr>
              <w:pStyle w:val="Compact"/>
              <w:jc w:val="left"/>
            </w:pPr>
            <w:r>
              <w:t xml:space="preserve">desfechos primários, segundo os resultados do registro, praticamente iguais nos dois grupos</w:t>
            </w:r>
          </w:p>
        </w:tc>
      </w:tr>
      <w:tr>
        <w:tc>
          <w:tcPr/>
          <w:p>
            <w:pPr>
              <w:pStyle w:val="Compact"/>
              <w:jc w:val="left"/>
            </w:pPr>
            <w:r>
              <w:t xml:space="preserve">ARISE-3 (NCT03937882)</w:t>
            </w:r>
          </w:p>
        </w:tc>
        <w:tc>
          <w:tcPr/>
          <w:p>
            <w:pPr>
              <w:pStyle w:val="Compact"/>
              <w:jc w:val="left"/>
            </w:pPr>
            <w:r>
              <w:t xml:space="preserve">700 pessoas, fase 3, ECR</w:t>
            </w:r>
          </w:p>
        </w:tc>
        <w:tc>
          <w:tcPr/>
          <w:p>
            <w:pPr>
              <w:pStyle w:val="Compact"/>
              <w:jc w:val="left"/>
            </w:pPr>
            <w:r>
              <w:t xml:space="preserve">14 dias</w:t>
            </w:r>
          </w:p>
        </w:tc>
        <w:tc>
          <w:tcPr/>
          <w:p>
            <w:pPr>
              <w:pStyle w:val="Compact"/>
              <w:jc w:val="left"/>
            </w:pPr>
            <w:r>
              <w:t xml:space="preserve">coloração da córnea −0,41 vs. −0,46 ponto, queixas −0,4 vs. −0,4 ponto (Tβ4 vs. placebo)</w:t>
            </w:r>
          </w:p>
        </w:tc>
      </w:tr>
      <w:tr>
        <w:tc>
          <w:tcPr/>
          <w:p>
            <w:pPr>
              <w:pStyle w:val="Compact"/>
              <w:jc w:val="left"/>
            </w:pPr>
            <w:r>
              <w:t xml:space="preserve">SEER-1, ceratopatia neurotrófica (Sosne 2022, PMID 36613994)</w:t>
            </w:r>
          </w:p>
        </w:tc>
        <w:tc>
          <w:tcPr/>
          <w:p>
            <w:pPr>
              <w:pStyle w:val="Compact"/>
              <w:jc w:val="left"/>
            </w:pPr>
            <w:r>
              <w:t xml:space="preserve">18 pessoas, fase 3, ECR</w:t>
            </w:r>
          </w:p>
        </w:tc>
        <w:tc>
          <w:tcPr/>
          <w:p>
            <w:pPr>
              <w:pStyle w:val="Compact"/>
              <w:jc w:val="left"/>
            </w:pPr>
            <w:r>
              <w:t xml:space="preserve">4 semanas mais 2 semanas</w:t>
            </w:r>
          </w:p>
        </w:tc>
        <w:tc>
          <w:tcPr/>
          <w:p>
            <w:pPr>
              <w:pStyle w:val="Compact"/>
              <w:jc w:val="left"/>
            </w:pPr>
            <w:r>
              <w:t xml:space="preserve">cicatrização completa em 6 de 10 vs. 1 de 8 (p = 0,0656, não significativo)</w:t>
            </w:r>
          </w:p>
        </w:tc>
      </w:tr>
    </w:tbl>
    <w:p>
      <w:pPr>
        <w:pStyle w:val="BodyText"/>
      </w:pPr>
      <w:r>
        <w:t xml:space="preserve">O padrão é típico de um medicamento de benefício incerto: estudos pequenos mostram sinais favoráveis, e estudos grandes não os confirmam. O pequeno estudo com nove pessoas encontrou melhoras claras</w:t>
      </w:r>
      <w:r>
        <w:rPr>
          <w:rStyle w:val="FootnoteReference"/>
        </w:rPr>
        <w:footnoteReference w:id="962"/>
      </w:r>
      <w:r>
        <w:t xml:space="preserve">. Já o estudo com 72 pessoas, porém, não atingiu nenhum dos dois desfechos primários definidos previamente; os autores enfatizaram, em vez disso, melhoras em desfechos secundários</w:t>
      </w:r>
      <w:r>
        <w:rPr>
          <w:rStyle w:val="FootnoteReference"/>
        </w:rPr>
        <w:footnoteReference w:id="963"/>
      </w:r>
      <w:r>
        <w:t xml:space="preserve">. Nos dois grandes estudos de fase 3, ARISE-2 e ARISE-3, com cerca de 1.300 participantes no total, os valores dos desfechos primários ficaram, segundo os resultados publicados no registro, praticamente iguais nos grupos de Tβ4 e de placebo</w:t>
      </w:r>
      <w:r>
        <w:rPr>
          <w:rStyle w:val="FootnoteReference"/>
        </w:rPr>
        <w:footnoteReference w:id="964"/>
      </w:r>
      <w:r>
        <w:t xml:space="preserve">. Uma publicação desses resultados em revista não foi encontrada no PubMed.</w:t>
      </w:r>
    </w:p>
    <w:p>
      <w:pPr>
        <w:pStyle w:val="BodyText"/>
      </w:pPr>
      <w:r>
        <w:t xml:space="preserve">Na ceratopatia neurotrófica, no pequeno estudo de fase 3 SEER-1, mais olhos cicatrizaram com Tβ4 do que com placebo; a diferença, porém, ficou um pouco aquém da significância estatística, e o estudo incluiu apenas 18 pessoas</w:t>
      </w:r>
      <w:r>
        <w:rPr>
          <w:rStyle w:val="FootnoteReference"/>
        </w:rPr>
        <w:footnoteReference w:id="965"/>
      </w:r>
      <w:r>
        <w:t xml:space="preserve">. Uma revisão Cochrane de 2025 avaliou o estudo com</w:t>
      </w:r>
      <w:r>
        <w:t xml:space="preserve"> </w:t>
      </w:r>
      <w:r>
        <w:t xml:space="preserve">“</w:t>
      </w:r>
      <w:r>
        <w:t xml:space="preserve">baixa confiabilidade</w:t>
      </w:r>
      <w:r>
        <w:t xml:space="preserve">”</w:t>
      </w:r>
      <w:r>
        <w:t xml:space="preserve"> </w:t>
      </w:r>
      <w:r>
        <w:t xml:space="preserve">e não encontrou diferença comprovada</w:t>
      </w:r>
      <w:r>
        <w:rPr>
          <w:rStyle w:val="FootnoteReference"/>
        </w:rPr>
        <w:footnoteReference w:id="966"/>
      </w:r>
      <w:r>
        <w:t xml:space="preserve">. Um estudo de seguimento maior (SEER-2) está em andamento.</w:t>
      </w:r>
    </w:p>
    <w:bookmarkEnd w:id="967"/>
    <w:bookmarkStart w:id="969" w:name="coração"/>
    <w:p>
      <w:pPr>
        <w:pStyle w:val="Heading4"/>
      </w:pPr>
      <w:r>
        <w:t xml:space="preserve">Coração</w:t>
      </w:r>
    </w:p>
    <w:p>
      <w:pPr>
        <w:pStyle w:val="FirstParagraph"/>
      </w:pPr>
      <w:r>
        <w:t xml:space="preserve">A Tβ4 foi desenvolvida como medicamento cardíaco por causa de experimentos espetaculares com camundongos (veja Estudos em animais e em laboratório).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Segurança, infusão (Ruff 2010, PMID 20536472)</w:t>
            </w:r>
          </w:p>
        </w:tc>
        <w:tc>
          <w:tcPr/>
          <w:p>
            <w:pPr>
              <w:pStyle w:val="Compact"/>
              <w:jc w:val="left"/>
            </w:pPr>
            <w:r>
              <w:t xml:space="preserve">40 pessoas saudáveis em 4 grupos de dose, ECR</w:t>
            </w:r>
          </w:p>
        </w:tc>
        <w:tc>
          <w:tcPr/>
          <w:p>
            <w:pPr>
              <w:pStyle w:val="Compact"/>
              <w:jc w:val="left"/>
            </w:pPr>
            <w:r>
              <w:t xml:space="preserve">dose única, depois diariamente por 14 dias</w:t>
            </w:r>
          </w:p>
        </w:tc>
        <w:tc>
          <w:tcPr/>
          <w:p>
            <w:pPr>
              <w:pStyle w:val="Compact"/>
              <w:jc w:val="left"/>
            </w:pPr>
            <w:r>
              <w:t xml:space="preserve">nenhuma toxicidade limitante de dose, nenhum efeito colateral grave</w:t>
            </w:r>
          </w:p>
        </w:tc>
      </w:tr>
      <w:tr>
        <w:tc>
          <w:tcPr/>
          <w:p>
            <w:pPr>
              <w:pStyle w:val="Compact"/>
              <w:jc w:val="left"/>
            </w:pPr>
            <w:r>
              <w:t xml:space="preserve">Tβ4 recombinante NL005, fase 1 (Wang 2021, PMID 34346165)</w:t>
            </w:r>
          </w:p>
        </w:tc>
        <w:tc>
          <w:tcPr/>
          <w:p>
            <w:pPr>
              <w:pStyle w:val="Compact"/>
              <w:jc w:val="left"/>
            </w:pPr>
            <w:r>
              <w:t xml:space="preserve">54 pessoas saudáveis (dose única) e 30 pessoas saudáveis (doses múltiplas), ECR</w:t>
            </w:r>
          </w:p>
        </w:tc>
        <w:tc>
          <w:tcPr/>
          <w:p>
            <w:pPr>
              <w:pStyle w:val="Compact"/>
              <w:jc w:val="left"/>
            </w:pPr>
            <w:r>
              <w:t xml:space="preserve">até 10 dias mais 28 dias</w:t>
            </w:r>
          </w:p>
        </w:tc>
        <w:tc>
          <w:tcPr/>
          <w:p>
            <w:pPr>
              <w:pStyle w:val="Compact"/>
              <w:jc w:val="left"/>
            </w:pPr>
            <w:r>
              <w:t xml:space="preserve">efeitos colaterais leves a moderados, nenhum grave</w:t>
            </w:r>
          </w:p>
        </w:tc>
      </w:tr>
      <w:tr>
        <w:tc>
          <w:tcPr/>
          <w:p>
            <w:pPr>
              <w:pStyle w:val="Compact"/>
              <w:jc w:val="left"/>
            </w:pPr>
            <w:r>
              <w:t xml:space="preserve">NL005 no infarto do miocárdio (Zhang 2025, PMID 41229390)</w:t>
            </w:r>
          </w:p>
        </w:tc>
        <w:tc>
          <w:tcPr/>
          <w:p>
            <w:pPr>
              <w:pStyle w:val="Compact"/>
              <w:jc w:val="left"/>
            </w:pPr>
            <w:r>
              <w:t xml:space="preserve">96 pessoas com IAMCSST após cateterismo, ECR contra placebo</w:t>
            </w:r>
          </w:p>
        </w:tc>
        <w:tc>
          <w:tcPr/>
          <w:p>
            <w:pPr>
              <w:pStyle w:val="Compact"/>
              <w:jc w:val="left"/>
            </w:pPr>
            <w:r>
              <w:t xml:space="preserve">90 dias</w:t>
            </w:r>
          </w:p>
        </w:tc>
        <w:tc>
          <w:tcPr/>
          <w:p>
            <w:pPr>
              <w:pStyle w:val="Compact"/>
              <w:jc w:val="left"/>
            </w:pPr>
            <w:r>
              <w:t xml:space="preserve">no geral, nenhuma diferença significativa no tamanho do infarto; vantagem apenas no subgrupo com administração em até 8 horas (n = 43)</w:t>
            </w:r>
          </w:p>
        </w:tc>
      </w:tr>
      <w:tr>
        <w:tc>
          <w:tcPr/>
          <w:p>
            <w:pPr>
              <w:pStyle w:val="Compact"/>
              <w:jc w:val="left"/>
            </w:pPr>
            <w:r>
              <w:t xml:space="preserve">Células-tronco pré-tratadas com Tβ4 (Zhu 2016, PMID 27288307)</w:t>
            </w:r>
          </w:p>
        </w:tc>
        <w:tc>
          <w:tcPr/>
          <w:p>
            <w:pPr>
              <w:pStyle w:val="Compact"/>
              <w:jc w:val="left"/>
            </w:pPr>
            <w:r>
              <w:t xml:space="preserve">10 pessoas com infarto do miocárdio, estudo-piloto randomizado</w:t>
            </w:r>
          </w:p>
        </w:tc>
        <w:tc>
          <w:tcPr/>
          <w:p>
            <w:pPr>
              <w:pStyle w:val="Compact"/>
              <w:jc w:val="left"/>
            </w:pPr>
            <w:r>
              <w:t xml:space="preserve">6 meses</w:t>
            </w:r>
          </w:p>
        </w:tc>
        <w:tc>
          <w:tcPr/>
          <w:p>
            <w:pPr>
              <w:pStyle w:val="Compact"/>
              <w:jc w:val="left"/>
            </w:pPr>
            <w:r>
              <w:t xml:space="preserve">distância de caminhada mais melhorada; a Tβ4 foi adicionada apenas às células em laboratório, não administrada aos pacientes</w:t>
            </w:r>
          </w:p>
        </w:tc>
      </w:tr>
    </w:tbl>
    <w:p>
      <w:pPr>
        <w:pStyle w:val="BodyText"/>
      </w:pPr>
      <w:r>
        <w:t xml:space="preserve">O estudo cardíaco mais importante é o estudo chinês com 96 pacientes com infarto. Considerando todos os participantes, a Tβ4 recombinante não reduziu significativamente o tamanho do infarto após 90 dias; uma vantagem apareceu apenas no subgrupo que recebeu a primeira dose em até oito horas</w:t>
      </w:r>
      <w:r>
        <w:rPr>
          <w:rStyle w:val="FootnoteReference"/>
        </w:rPr>
        <w:footnoteReference w:id="968"/>
      </w:r>
      <w:r>
        <w:t xml:space="preserve">. Resultados de subgrupos são considerados indícios, não provas. Os próprios autores pedem mais estudos randomizados.</w:t>
      </w:r>
    </w:p>
    <w:bookmarkEnd w:id="969"/>
    <w:bookmarkStart w:id="972" w:name="pele-e-feridas"/>
    <w:p>
      <w:pPr>
        <w:pStyle w:val="Heading4"/>
      </w:pPr>
      <w:r>
        <w:t xml:space="preserve">Pele e feridas</w:t>
      </w:r>
    </w:p>
    <w:p>
      <w:pPr>
        <w:pStyle w:val="FirstParagraph"/>
      </w:pPr>
      <w:r>
        <w:t xml:space="preserve">Nos anos 2000, a RegeneRx testou um gel de Tβ4 em úlceras venosas de perna, úlceras por pressão e na doença bolhosa hereditária epidermólise bolhosa. O estudo sobre úlceras venosas randomizou 73 pessoas; a segurança foi comparável à do placebo, e um efeito só pôde ser descrito como tendência para a concentração de 0,03%</w:t>
      </w:r>
      <w:r>
        <w:rPr>
          <w:rStyle w:val="FootnoteReference"/>
        </w:rPr>
        <w:footnoteReference w:id="970"/>
      </w:r>
      <w:r>
        <w:t xml:space="preserve">. O estudo sobre epidermólise bolhosa foi encerrado antes do tempo</w:t>
      </w:r>
      <w:r>
        <w:rPr>
          <w:rStyle w:val="FootnoteReference"/>
        </w:rPr>
        <w:footnoteReference w:id="971"/>
      </w:r>
      <w:r>
        <w:t xml:space="preserve">. Nenhum desses estudos levou a uma aprovação.</w:t>
      </w:r>
    </w:p>
    <w:bookmarkEnd w:id="972"/>
    <w:bookmarkStart w:id="975" w:name="tb-500-em-humanos"/>
    <w:p>
      <w:pPr>
        <w:pStyle w:val="Heading4"/>
      </w:pPr>
      <w:r>
        <w:t xml:space="preserve">TB-500 em humanos</w:t>
      </w:r>
    </w:p>
    <w:p>
      <w:pPr>
        <w:pStyle w:val="FirstParagraph"/>
      </w:pPr>
      <w:r>
        <w:t xml:space="preserve">Para o fragmento TB-500, não há nenhum estudo publicado em humanos. Um registro de 2026 sobre TB-500 em doença cardiovascular</w:t>
      </w:r>
      <w:r>
        <w:rPr>
          <w:rStyle w:val="FootnoteReference"/>
        </w:rPr>
        <w:footnoteReference w:id="973"/>
      </w:r>
      <w:r>
        <w:t xml:space="preserve"> </w:t>
      </w:r>
      <w:r>
        <w:t xml:space="preserve">se descreve, em sua própria descrição, como um exemplo</w:t>
      </w:r>
      <w:r>
        <w:t xml:space="preserve"> </w:t>
      </w:r>
      <w:r>
        <w:t xml:space="preserve">“</w:t>
      </w:r>
      <w:r>
        <w:t xml:space="preserve">fictício</w:t>
      </w:r>
      <w:r>
        <w:t xml:space="preserve">”</w:t>
      </w:r>
      <w:r>
        <w:t xml:space="preserve"> </w:t>
      </w:r>
      <w:r>
        <w:t xml:space="preserve">de registro; por isso, não deve ser considerado um estudo real. A única publicação em humanos que menciona Tβ4 em queixas articulares é uma entrevista telefônica retrospectiva na qual quatro pessoas receberam BPC-157 junto com Tβ4 injetados no joelho</w:t>
      </w:r>
      <w:r>
        <w:rPr>
          <w:rStyle w:val="FootnoteReference"/>
        </w:rPr>
        <w:footnoteReference w:id="974"/>
      </w:r>
      <w:r>
        <w:t xml:space="preserve"> </w:t>
      </w:r>
      <w:r>
        <w:t xml:space="preserve">– pouco demais para qualquer afirmação.</w:t>
      </w:r>
    </w:p>
    <w:bookmarkEnd w:id="975"/>
    <w:bookmarkEnd w:id="976"/>
    <w:bookmarkStart w:id="984" w:name="estudos-em-animais-e-em-laboratório-16"/>
    <w:p>
      <w:pPr>
        <w:pStyle w:val="Heading3"/>
      </w:pPr>
      <w:r>
        <w:t xml:space="preserve">Estudos em animais e em laboratório</w:t>
      </w:r>
    </w:p>
    <w:p>
      <w:pPr>
        <w:pStyle w:val="FirstParagraph"/>
      </w:pPr>
      <w:r>
        <w:t xml:space="preserve">A reputação da Tβ4 como</w:t>
      </w:r>
      <w:r>
        <w:t xml:space="preserve"> </w:t>
      </w:r>
      <w:r>
        <w:t xml:space="preserve">“</w:t>
      </w:r>
      <w:r>
        <w:t xml:space="preserve">peptídeo de reparo</w:t>
      </w:r>
      <w:r>
        <w:t xml:space="preserve">”</w:t>
      </w:r>
      <w:r>
        <w:t xml:space="preserve"> </w:t>
      </w:r>
      <w:r>
        <w:t xml:space="preserve">vem sobretudo de dois trabalhos na revista científica Nature. Em camundongos com infarto do miocárdio induzido artificialmente, a Tβ4 melhorou a sobrevivência das células do músculo cardíaco e a função cardíaca</w:t>
      </w:r>
      <w:r>
        <w:rPr>
          <w:rStyle w:val="FootnoteReference"/>
        </w:rPr>
        <w:footnoteReference w:id="977"/>
      </w:r>
      <w:r>
        <w:t xml:space="preserve">. Um trabalho posterior mostrou em camundongos que a Tβ4 ativa células precursoras do epicárdio e estimula a formação de novos vasos</w:t>
      </w:r>
      <w:r>
        <w:rPr>
          <w:rStyle w:val="FootnoteReference"/>
        </w:rPr>
        <w:footnoteReference w:id="978"/>
      </w:r>
      <w:r>
        <w:t xml:space="preserve">. Um grupo independente, porém, não conseguiu confirmar que a Tβ4, após um infarto, faça surgir novas células musculares cardíacas a partir dessas células</w:t>
      </w:r>
      <w:r>
        <w:rPr>
          <w:rStyle w:val="FootnoteReference"/>
        </w:rPr>
        <w:footnoteReference w:id="979"/>
      </w:r>
      <w:r>
        <w:t xml:space="preserve"> </w:t>
      </w:r>
      <w:r>
        <w:t xml:space="preserve">– um exemplo de como repetições independentes são importantes.</w:t>
      </w:r>
    </w:p>
    <w:p>
      <w:pPr>
        <w:pStyle w:val="BodyText"/>
      </w:pPr>
      <w:r>
        <w:t xml:space="preserve">Outros achados em animais e em laboratório dizem respeito a pele, córnea, cérebro, rim e fígado. Em ratos, a Tβ4 melhorou a viabilidade de retalhos de pele</w:t>
      </w:r>
      <w:r>
        <w:rPr>
          <w:rStyle w:val="FootnoteReference"/>
        </w:rPr>
        <w:footnoteReference w:id="980"/>
      </w:r>
      <w:r>
        <w:t xml:space="preserve">, e em camundongos, a consolidação de fraturas ósseas</w:t>
      </w:r>
      <w:r>
        <w:rPr>
          <w:rStyle w:val="FootnoteReference"/>
        </w:rPr>
        <w:footnoteReference w:id="981"/>
      </w:r>
      <w:r>
        <w:t xml:space="preserve">. Para tendões, ligamentos e músculos – ou seja, exatamente as áreas de uso para as quais o TB-500 é anunciado na internet – só há dados de células e de roedores</w:t>
      </w:r>
      <w:r>
        <w:rPr>
          <w:rStyle w:val="FootnoteReference"/>
        </w:rPr>
        <w:footnoteReference w:id="982"/>
      </w:r>
      <w:r>
        <w:t xml:space="preserve">. Um estudo com ratos de 2026 encontrou, após secção do tendão de Aquiles em 32 animais, maior resistência à ruptura e melhor estrutura do tecido no grupo TB-500 do que no grupo de controle</w:t>
      </w:r>
      <w:r>
        <w:rPr>
          <w:rStyle w:val="FootnoteReference"/>
        </w:rPr>
        <w:footnoteReference w:id="983"/>
      </w:r>
      <w:r>
        <w:t xml:space="preserve">. Esse é um dos poucos estudos em animais com o fragmento efetivamente vendido.</w:t>
      </w:r>
    </w:p>
    <w:bookmarkEnd w:id="984"/>
    <w:bookmarkStart w:id="994" w:name="riscos-e-efeitos-colaterais-16"/>
    <w:p>
      <w:pPr>
        <w:pStyle w:val="Heading3"/>
      </w:pPr>
      <w:r>
        <w:t xml:space="preserve">Riscos e efeitos colaterais</w:t>
      </w:r>
    </w:p>
    <w:bookmarkStart w:id="987" w:name="comprovados-timosina-beta-4"/>
    <w:p>
      <w:pPr>
        <w:pStyle w:val="Heading4"/>
      </w:pPr>
      <w:r>
        <w:t xml:space="preserve">Comprovados (timosina beta-4)</w:t>
      </w:r>
    </w:p>
    <w:p>
      <w:pPr>
        <w:pStyle w:val="FirstParagraph"/>
      </w:pPr>
      <w:r>
        <w:t xml:space="preserve">Nos estudos randomizados com colírio, gel e infusão, a Tβ4 foi bem tolerada. Em 40 pessoas saudáveis, com infusões de até 1.260 mg diários durante 14 dias, não ocorreram efeitos colaterais limitantes de dose</w:t>
      </w:r>
      <w:r>
        <w:rPr>
          <w:rStyle w:val="FootnoteReference"/>
        </w:rPr>
        <w:footnoteReference w:id="985"/>
      </w:r>
      <w:r>
        <w:t xml:space="preserve">. No estudo chinês de fase 1, os efeitos colaterais foram leves a moderados</w:t>
      </w:r>
      <w:r>
        <w:rPr>
          <w:rStyle w:val="FootnoteReference"/>
        </w:rPr>
        <w:footnoteReference w:id="986"/>
      </w:r>
      <w:r>
        <w:t xml:space="preserve">. Esses estudos, porém, são curtos e dizem respeito à proteína inteira em qualidade farmacêutica – não a produtos do mercado cinza.</w:t>
      </w:r>
    </w:p>
    <w:bookmarkEnd w:id="987"/>
    <w:bookmarkStart w:id="990" w:name="teórico-câncer"/>
    <w:p>
      <w:pPr>
        <w:pStyle w:val="Heading4"/>
      </w:pPr>
      <w:r>
        <w:t xml:space="preserve">Teórico: câncer</w:t>
      </w:r>
    </w:p>
    <w:p>
      <w:pPr>
        <w:pStyle w:val="FirstParagraph"/>
      </w:pPr>
      <w:r>
        <w:t xml:space="preserve">A Tβ4 favorece a migração celular e a formação de novos vasos – duas propriedades que os tumores também usam para crescer e se espalhar. Em amostras de tecido de 138 pacientes com câncer de bexiga, uma forte produção de Tβ4 estava associada a estágio avançado, comprometimento de linfonodos e sobrevida mais curta</w:t>
      </w:r>
      <w:r>
        <w:rPr>
          <w:rStyle w:val="FootnoteReference"/>
        </w:rPr>
        <w:footnoteReference w:id="988"/>
      </w:r>
      <w:r>
        <w:t xml:space="preserve">. Em culturas de células de câncer de mama, a Tβ4 adicionada aumentou o número de células</w:t>
      </w:r>
      <w:r>
        <w:rPr>
          <w:rStyle w:val="FootnoteReference"/>
        </w:rPr>
        <w:footnoteReference w:id="989"/>
      </w:r>
      <w:r>
        <w:t xml:space="preserve">. Essas associações não provam que a Tβ4 administrada externamente cause câncer. Mas são uma razão pela qual especialistas recomendam cautela em pessoas com câncer ou com risco aumentado de câncer. Faltam dados de longo prazo. A Parte IV trata do tema em detalhe.</w:t>
      </w:r>
    </w:p>
    <w:bookmarkEnd w:id="990"/>
    <w:bookmarkStart w:id="993" w:name="mercado-cinza"/>
    <w:p>
      <w:pPr>
        <w:pStyle w:val="Heading4"/>
      </w:pPr>
      <w:r>
        <w:t xml:space="preserve">Mercado cinza</w:t>
      </w:r>
    </w:p>
    <w:p>
      <w:pPr>
        <w:pStyle w:val="FirstParagraph"/>
      </w:pPr>
      <w:r>
        <w:t xml:space="preserve">O que é vendido como</w:t>
      </w:r>
      <w:r>
        <w:t xml:space="preserve"> </w:t>
      </w:r>
      <w:r>
        <w:t xml:space="preserve">“</w:t>
      </w:r>
      <w:r>
        <w:t xml:space="preserve">TB-500</w:t>
      </w:r>
      <w:r>
        <w:t xml:space="preserve">”</w:t>
      </w:r>
      <w:r>
        <w:t xml:space="preserve"> </w:t>
      </w:r>
      <w:r>
        <w:t xml:space="preserve">não contém de forma confiável o que está no rótulo. Um laboratório de doping equino analisou produtos oferecidos na internet e verificou que o conteúdo de</w:t>
      </w:r>
      <w:r>
        <w:t xml:space="preserve"> </w:t>
      </w:r>
      <w:r>
        <w:t xml:space="preserve">“</w:t>
      </w:r>
      <w:r>
        <w:t xml:space="preserve">TB500</w:t>
      </w:r>
      <w:r>
        <w:t xml:space="preserve">”</w:t>
      </w:r>
      <w:r>
        <w:t xml:space="preserve"> </w:t>
      </w:r>
      <w:r>
        <w:t xml:space="preserve">e</w:t>
      </w:r>
      <w:r>
        <w:t xml:space="preserve"> </w:t>
      </w:r>
      <w:r>
        <w:t xml:space="preserve">“</w:t>
      </w:r>
      <w:r>
        <w:t xml:space="preserve">TB1000</w:t>
      </w:r>
      <w:r>
        <w:t xml:space="preserve">”</w:t>
      </w:r>
      <w:r>
        <w:t xml:space="preserve"> </w:t>
      </w:r>
      <w:r>
        <w:t xml:space="preserve">não correspondia sempre à composição declarada</w:t>
      </w:r>
      <w:r>
        <w:rPr>
          <w:rStyle w:val="FootnoteReference"/>
        </w:rPr>
        <w:footnoteReference w:id="991"/>
      </w:r>
      <w:r>
        <w:t xml:space="preserve">. Alguns produtos contêm o fragmento, outros possivelmente a Tβ4 inteira, e outros ainda contaminantes. Somam-se os riscos conhecidos de injeções não estéreis. O fato de laboratórios de doping equino já terem desenvolvido métodos de detecção para o TB-500 em 2012</w:t>
      </w:r>
      <w:r>
        <w:rPr>
          <w:rStyle w:val="FootnoteReference"/>
        </w:rPr>
        <w:footnoteReference w:id="992"/>
      </w:r>
      <w:r>
        <w:t xml:space="preserve"> </w:t>
      </w:r>
      <w:r>
        <w:t xml:space="preserve">mostra de onde vem o produto: da área veterinária, não da medicina humana.</w:t>
      </w:r>
    </w:p>
    <w:bookmarkEnd w:id="993"/>
    <w:bookmarkEnd w:id="994"/>
    <w:bookmarkStart w:id="997" w:name="situação-legal-16"/>
    <w:p>
      <w:pPr>
        <w:pStyle w:val="Heading3"/>
      </w:pPr>
      <w:r>
        <w:t xml:space="preserve">Situação legal</w:t>
      </w:r>
    </w:p>
    <w:p>
      <w:pPr>
        <w:pStyle w:val="FirstParagraph"/>
      </w:pPr>
      <w:r>
        <w:rPr>
          <w:iCs/>
          <w:i/>
        </w:rPr>
        <w:t xml:space="preserve">Situação em 2026, verificar atualização.</w:t>
      </w:r>
    </w:p>
    <w:p>
      <w:pPr>
        <w:numPr>
          <w:ilvl w:val="0"/>
          <w:numId w:val="1120"/>
        </w:numPr>
        <w:pStyle w:val="Compact"/>
      </w:pPr>
      <w:r>
        <w:rPr>
          <w:bCs/>
          <w:b/>
        </w:rPr>
        <w:t xml:space="preserve">UE, Alemanha, Áustria:</w:t>
      </w:r>
      <w:r>
        <w:t xml:space="preserve"> </w:t>
      </w:r>
      <w:r>
        <w:t xml:space="preserve">nem a Tβ4 nem o TB-500 estão aprovados como medicamento. O fornecimento para uso em humanos não é permitido; produtos com a indicação</w:t>
      </w:r>
      <w:r>
        <w:t xml:space="preserve"> </w:t>
      </w:r>
      <w:r>
        <w:t xml:space="preserve">“</w:t>
      </w:r>
      <w:r>
        <w:t xml:space="preserve">apenas para fins de pesquisa</w:t>
      </w:r>
      <w:r>
        <w:t xml:space="preserve">”</w:t>
      </w:r>
      <w:r>
        <w:t xml:space="preserve"> </w:t>
      </w:r>
      <w:r>
        <w:t xml:space="preserve">não mudam isso.</w:t>
      </w:r>
    </w:p>
    <w:p>
      <w:pPr>
        <w:numPr>
          <w:ilvl w:val="0"/>
          <w:numId w:val="1120"/>
        </w:numPr>
        <w:pStyle w:val="Compact"/>
      </w:pPr>
      <w:r>
        <w:rPr>
          <w:bCs/>
          <w:b/>
        </w:rPr>
        <w:t xml:space="preserve">EUA:</w:t>
      </w:r>
      <w:r>
        <w:t xml:space="preserve"> </w:t>
      </w:r>
      <w:r>
        <w:t xml:space="preserve">sem aprovação da FDA. Segundo o conhecimento do autor, a FDA classificou em 2023 o fragmento de Tβ4 (TB-500), assim como o BPC-157, na categoria 2 das substâncias de partida para manipulação magistral, ou seja, entre as substâncias com preocupações de segurança consideráveis; a avaliação de peptídeos para manipulação magistral está sendo atualmente discutida de forma controversa</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a Tβ4 e seus derivados, como o TB-500, são expressamente proibidos na classe S2 (hormônios peptídicos, fatores de crescimento), em competição e fora dela. No turfe, também é proibido</w:t>
      </w:r>
      <w:r>
        <w:rPr>
          <w:rStyle w:val="FootnoteReference"/>
        </w:rPr>
        <w:footnoteReference w:id="996"/>
      </w:r>
      <w:r>
        <w:t xml:space="preserve">.</w:t>
      </w:r>
    </w:p>
    <w:bookmarkEnd w:id="997"/>
    <w:bookmarkStart w:id="1001" w:name="estudos-em-andamento-e-perspectivas-16"/>
    <w:p>
      <w:pPr>
        <w:pStyle w:val="Heading3"/>
      </w:pPr>
      <w:r>
        <w:t xml:space="preserve">Estudos em andamento e perspectivas</w:t>
      </w:r>
    </w:p>
    <w:p>
      <w:pPr>
        <w:pStyle w:val="FirstParagraph"/>
      </w:pPr>
      <w:r>
        <w:rPr>
          <w:bCs/>
          <w:b/>
        </w:rPr>
        <w:t xml:space="preserve">Confirmado (segundo o registro):</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estudo de fase 3 com colírio RGN-259 na ceratopatia neurotrófica, 70 pessoas previstas, recrutando, término do estudo estimado no registro para maio de 2026. Os resultados não estavam publicados em outubro de 2026.</w:t>
      </w:r>
    </w:p>
    <w:p>
      <w:pPr>
        <w:numPr>
          <w:ilvl w:val="0"/>
          <w:numId w:val="1121"/>
        </w:numPr>
        <w:pStyle w:val="Compact"/>
      </w:pPr>
      <w:r>
        <w:rPr>
          <w:bCs/>
          <w:b/>
        </w:rPr>
        <w:t xml:space="preserve">NL005 no infarto do miocárdio</w:t>
      </w:r>
      <w:r>
        <w:rPr>
          <w:rStyle w:val="FootnoteReference"/>
        </w:rPr>
        <w:footnoteReference w:id="999"/>
      </w:r>
      <w:r>
        <w:rPr>
          <w:bCs/>
          <w:b/>
        </w:rPr>
        <w:t xml:space="preserve">:</w:t>
      </w:r>
      <w:r>
        <w:t xml:space="preserve"> </w:t>
      </w:r>
      <w:r>
        <w:t xml:space="preserve">estudo chinês de fase 2c com Tβ4 recombinante, 189 pessoas previstas, desfecho primário tamanho do infarto na ressonância cardíaca após 90 dias; ainda não recrutando, término estimado em 2028. Dois estudos de fase 2 anteriores do mesmo fabricante, com 62 e 90 pessoas, estão concluídos segundo o registro</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nenhum estudo em humanos registrado digno de crédito.</w:t>
      </w:r>
    </w:p>
    <w:p>
      <w:pPr>
        <w:pStyle w:val="FirstParagraph"/>
      </w:pPr>
      <w:r>
        <w:rPr>
          <w:bCs/>
          <w:b/>
        </w:rPr>
        <w:t xml:space="preserve">Avaliação do autor:</w:t>
      </w:r>
      <w:r>
        <w:t xml:space="preserve"> </w:t>
      </w:r>
      <w:r>
        <w:t xml:space="preserve">a chance mais realista de aprovação é a da Tβ4 como colírio na rara ceratopatia neurotrófica, onde estudos pequenos já podem bastar para uma aprovação como medicamento para doenças raras – caso o SEER-2 seja positivo. No olho seco, os grandes dados de fase 3 depõem contra um benefício clinicamente relevante. No infarto do miocárdio, tudo depende do estudo chinês em andamento. Para o TB-500 como meio de cicatrização de tendões e músculos, não há pesquisa séria em humanos à vista em um futuro previsível.</w:t>
      </w:r>
    </w:p>
    <w:bookmarkEnd w:id="1001"/>
    <w:bookmarkStart w:id="1003" w:name="conclusão-16"/>
    <w:p>
      <w:pPr>
        <w:pStyle w:val="Heading3"/>
      </w:pPr>
      <w:r>
        <w:t xml:space="preserve">Conclusão</w:t>
      </w:r>
    </w:p>
    <w:p>
      <w:pPr>
        <w:pStyle w:val="FirstParagraph"/>
      </w:pPr>
      <w:r>
        <w:t xml:space="preserve">A timosina beta-4 é um peptídeo do próprio corpo que foi bem tolerado em estudos randomizados como colírio e infusão, mas cujo benefício não se confirmou nos grandes estudos sobre olho seco e, no infarto do miocárdio, até agora só se insinuou em um subgrupo</w:t>
      </w:r>
      <w:r>
        <w:rPr>
          <w:rStyle w:val="FootnoteReference"/>
        </w:rPr>
        <w:footnoteReference w:id="1002"/>
      </w:r>
      <w:r>
        <w:t xml:space="preserve">. O TB-500 é outra coisa: um fragmento modificado que nunca foi testado em um estudo publicado em humanos e cujos produtos do mercado cinza comprovadamente nem sempre contêm o que é declarado. A publicidade do TB-500 se apoia em estudos com a proteína inteira – e também estes quase não dizem respeito a tendões, ligamentos ou músculos. Para atletas, ambas as substâncias são proibidas.</w:t>
      </w:r>
    </w:p>
    <w:bookmarkEnd w:id="1003"/>
    <w:bookmarkEnd w:id="1004"/>
    <w:bookmarkStart w:id="1064" w:name="timosina-alfa-1-timalfasina"/>
    <w:p>
      <w:pPr>
        <w:pStyle w:val="Heading2"/>
      </w:pPr>
      <w:r>
        <w:t xml:space="preserve">Timosina alfa 1 (timalfasina)</w:t>
      </w:r>
    </w:p>
    <w:p>
      <w:pPr>
        <w:pStyle w:val="FirstParagraph"/>
      </w:pPr>
      <w:r>
        <w:t xml:space="preserve">A timosina alfa 1 é um caso especial neste grupo. Diferentemente do BPC-157 ou do TB-500, ela é um medicamento aprovado em vários países (nome comercial Zadaxin), foi testada em dezenas de estudos randomizados com milhares de pessoas e, na China, faz parte da rotina em algumas clínicas. Ao mesmo tempo, justamente esse peptídeo mostra como um quadro muda quando estudos pequenos e mais antigos são substituídos por estudos grandes e bem conduzidos. Na Europa e nos EUA, ela não está aprovada, mas é comercializada na cena de</w:t>
      </w:r>
      <w:r>
        <w:t xml:space="preserve"> </w:t>
      </w:r>
      <w:r>
        <w:t xml:space="preserve">“</w:t>
      </w:r>
      <w:r>
        <w:t xml:space="preserve">longevidade</w:t>
      </w:r>
      <w:r>
        <w:t xml:space="preserve">”</w:t>
      </w:r>
      <w:r>
        <w:t xml:space="preserve"> </w:t>
      </w:r>
      <w:r>
        <w:t xml:space="preserve">e de biohacking como estimulante imunológico.</w:t>
      </w:r>
    </w:p>
    <w:bookmarkStart w:id="1007" w:name="ficha-técnica-17"/>
    <w:p>
      <w:pPr>
        <w:pStyle w:val="Heading3"/>
      </w:pPr>
      <w:r>
        <w:t xml:space="preserve">Ficha técnica</w:t>
      </w:r>
    </w:p>
    <w:p>
      <w:pPr>
        <w:numPr>
          <w:ilvl w:val="0"/>
          <w:numId w:val="1122"/>
        </w:numPr>
        <w:pStyle w:val="Compact"/>
      </w:pPr>
      <w:r>
        <w:rPr>
          <w:bCs/>
          <w:b/>
        </w:rPr>
        <w:t xml:space="preserve">Tipo e estrutura:</w:t>
      </w:r>
      <w:r>
        <w:t xml:space="preserve"> </w:t>
      </w:r>
      <w:r>
        <w:t xml:space="preserve">peptídeo de 28 aminoácidos, acetilado no início</w:t>
      </w:r>
      <w:r>
        <w:rPr>
          <w:rStyle w:val="FootnoteReference"/>
        </w:rPr>
        <w:footnoteReference w:id="1005"/>
      </w:r>
      <w:r>
        <w:t xml:space="preserve">; fragmento da proteína maior protimosina alfa.</w:t>
      </w:r>
    </w:p>
    <w:p>
      <w:pPr>
        <w:numPr>
          <w:ilvl w:val="0"/>
          <w:numId w:val="1122"/>
        </w:numPr>
        <w:pStyle w:val="Compact"/>
      </w:pPr>
      <w:r>
        <w:rPr>
          <w:bCs/>
          <w:b/>
        </w:rPr>
        <w:t xml:space="preserve">Origem:</w:t>
      </w:r>
      <w:r>
        <w:t xml:space="preserve"> </w:t>
      </w:r>
      <w:r>
        <w:t xml:space="preserve">isolada nos anos 1970 de um extrato do timo (</w:t>
      </w:r>
      <w:r>
        <w:t xml:space="preserve">“</w:t>
      </w:r>
      <w:r>
        <w:t xml:space="preserve">fração 5 de timosina</w:t>
      </w:r>
      <w:r>
        <w:t xml:space="preserve">”</w:t>
      </w:r>
      <w:r>
        <w:t xml:space="preserve">); hoje sintetizada quimicamente. Nome da substância: timalfasina.</w:t>
      </w:r>
    </w:p>
    <w:p>
      <w:pPr>
        <w:numPr>
          <w:ilvl w:val="0"/>
          <w:numId w:val="1122"/>
        </w:numPr>
        <w:pStyle w:val="Compact"/>
      </w:pPr>
      <w:r>
        <w:rPr>
          <w:bCs/>
          <w:b/>
        </w:rPr>
        <w:t xml:space="preserve">Princípio de ação:</w:t>
      </w:r>
      <w:r>
        <w:t xml:space="preserve"> </w:t>
      </w:r>
      <w:r>
        <w:t xml:space="preserve">imunomodulador – deveria favorecer a maturação e a atividade de células T e de células dendríticas.</w:t>
      </w:r>
    </w:p>
    <w:p>
      <w:pPr>
        <w:numPr>
          <w:ilvl w:val="0"/>
          <w:numId w:val="1122"/>
        </w:numPr>
        <w:pStyle w:val="Compact"/>
      </w:pPr>
      <w:r>
        <w:rPr>
          <w:bCs/>
          <w:b/>
        </w:rPr>
        <w:t xml:space="preserve">Aprovação UE:</w:t>
      </w:r>
      <w:r>
        <w:t xml:space="preserve"> </w:t>
      </w:r>
      <w:r>
        <w:t xml:space="preserve">sem aprovação centralizada.</w:t>
      </w:r>
      <w:r>
        <w:t xml:space="preserve"> </w:t>
      </w:r>
      <w:r>
        <w:rPr>
          <w:bCs/>
          <w:b/>
        </w:rPr>
        <w:t xml:space="preserve">EUA:</w:t>
      </w:r>
      <w:r>
        <w:t xml:space="preserve"> </w:t>
      </w:r>
      <w:r>
        <w:t xml:space="preserve">não aprovada; a FDA restringiu em 2023 o uso em farmácias de manipulação</w:t>
      </w:r>
      <w:r>
        <w:rPr>
          <w:rStyle w:val="FootnoteReference"/>
        </w:rPr>
        <w:footnoteReference w:id="1006"/>
      </w:r>
      <w:r>
        <w:t xml:space="preserve">.</w:t>
      </w:r>
      <w:r>
        <w:t xml:space="preserve"> </w:t>
      </w:r>
      <w:r>
        <w:rPr>
          <w:bCs/>
          <w:b/>
        </w:rPr>
        <w:t xml:space="preserve">Outros países:</w:t>
      </w:r>
      <w:r>
        <w:t xml:space="preserve"> </w:t>
      </w:r>
      <w:r>
        <w:t xml:space="preserve">aprovada como Zadaxin, sobretudo na China e em outros países asiáticos, geralmente para hepatite B crônica e como terapia complementar para fortalecer o sistema imunológico.</w:t>
      </w:r>
    </w:p>
    <w:p>
      <w:pPr>
        <w:numPr>
          <w:ilvl w:val="0"/>
          <w:numId w:val="1122"/>
        </w:numPr>
        <w:pStyle w:val="Compact"/>
      </w:pPr>
      <w:r>
        <w:rPr>
          <w:bCs/>
          <w:b/>
        </w:rPr>
        <w:t xml:space="preserve">WADA:</w:t>
      </w:r>
      <w:r>
        <w:t xml:space="preserve"> </w:t>
      </w:r>
      <w:r>
        <w:t xml:space="preserve">não listada expressamente.</w:t>
      </w:r>
    </w:p>
    <w:p>
      <w:pPr>
        <w:numPr>
          <w:ilvl w:val="0"/>
          <w:numId w:val="1122"/>
        </w:numPr>
        <w:pStyle w:val="Compact"/>
      </w:pPr>
      <w:r>
        <w:rPr>
          <w:bCs/>
          <w:b/>
        </w:rPr>
        <w:t xml:space="preserve">Nível de evidência: B</w:t>
      </w:r>
      <w:r>
        <w:t xml:space="preserve"> </w:t>
      </w:r>
      <w:r>
        <w:t xml:space="preserve">– formalmente há muitos estudos randomizados; os grandes estudos, metodologicamente melhores, porém, não atingiram seus desfechos primários, e os resultados positivos vêm predominantemente de estudos pequenos com alto risco de viés.</w:t>
      </w:r>
    </w:p>
    <w:bookmarkEnd w:id="1007"/>
    <w:bookmarkStart w:id="1010" w:name="como-deveria-agir-17"/>
    <w:p>
      <w:pPr>
        <w:pStyle w:val="Heading3"/>
      </w:pPr>
      <w:r>
        <w:t xml:space="preserve">Como deveria agir</w:t>
      </w:r>
    </w:p>
    <w:p>
      <w:pPr>
        <w:pStyle w:val="FirstParagraph"/>
      </w:pPr>
      <w:r>
        <w:t xml:space="preserve">O timo, atrás do esterno, é a</w:t>
      </w:r>
      <w:r>
        <w:t xml:space="preserve"> </w:t>
      </w:r>
      <w:r>
        <w:t xml:space="preserve">“</w:t>
      </w:r>
      <w:r>
        <w:t xml:space="preserve">escola</w:t>
      </w:r>
      <w:r>
        <w:t xml:space="preserve">”</w:t>
      </w:r>
      <w:r>
        <w:t xml:space="preserve"> </w:t>
      </w:r>
      <w:r>
        <w:t xml:space="preserve">das células T: aqui esses glóbulos brancos aprendem a distinguir o estranho do próprio. Com a idade, o timo encolhe. Desde cedo se suspeitou que mensageiros do timo controlassem a defesa, e eles foram procurados em extratos de timo. A timosina alfa 1 foi uma das primeiras substâncias identificadas dessa forma.</w:t>
      </w:r>
    </w:p>
    <w:p>
      <w:pPr>
        <w:pStyle w:val="BodyText"/>
      </w:pPr>
      <w:r>
        <w:t xml:space="preserve">Em experimentos de laboratório e com animais, a timosina alfa 1 ativa células dendríticas – os</w:t>
      </w:r>
      <w:r>
        <w:t xml:space="preserve"> </w:t>
      </w:r>
      <w:r>
        <w:t xml:space="preserve">“</w:t>
      </w:r>
      <w:r>
        <w:t xml:space="preserve">batedores</w:t>
      </w:r>
      <w:r>
        <w:t xml:space="preserve">”</w:t>
      </w:r>
      <w:r>
        <w:t xml:space="preserve"> </w:t>
      </w:r>
      <w:r>
        <w:t xml:space="preserve">do sistema imunológico – por meio dos chamados receptores do tipo Toll, aumenta a expressão de moléculas de reconhecimento nas células e intensifica o efeito do interferon</w:t>
      </w:r>
      <w:r>
        <w:rPr>
          <w:rStyle w:val="FootnoteReference"/>
        </w:rPr>
        <w:footnoteReference w:id="1008"/>
      </w:r>
      <w:r>
        <w:t xml:space="preserve">. Disso derivaram as três grandes ideias de aplicação:</w:t>
      </w:r>
    </w:p>
    <w:p>
      <w:pPr>
        <w:numPr>
          <w:ilvl w:val="0"/>
          <w:numId w:val="1123"/>
        </w:numPr>
        <w:pStyle w:val="Compact"/>
      </w:pPr>
      <w:r>
        <w:rPr>
          <w:bCs/>
          <w:b/>
        </w:rPr>
        <w:t xml:space="preserve">Infecções virais crônicas</w:t>
      </w:r>
      <w:r>
        <w:t xml:space="preserve"> </w:t>
      </w:r>
      <w:r>
        <w:t xml:space="preserve">(hepatites B e C), nas quais o sistema imunológico não elimina o vírus por conta própria.</w:t>
      </w:r>
    </w:p>
    <w:p>
      <w:pPr>
        <w:numPr>
          <w:ilvl w:val="0"/>
          <w:numId w:val="1123"/>
        </w:numPr>
        <w:pStyle w:val="Compact"/>
      </w:pPr>
      <w:r>
        <w:rPr>
          <w:bCs/>
          <w:b/>
        </w:rPr>
        <w:t xml:space="preserve">Sepse e infecções graves</w:t>
      </w:r>
      <w:r>
        <w:t xml:space="preserve">, nas quais, após uma reação exagerada inicial, muitas vezes segue-se uma fase de imunodeficiência.</w:t>
      </w:r>
    </w:p>
    <w:p>
      <w:pPr>
        <w:numPr>
          <w:ilvl w:val="0"/>
          <w:numId w:val="1123"/>
        </w:numPr>
        <w:pStyle w:val="Compact"/>
      </w:pPr>
      <w:r>
        <w:rPr>
          <w:bCs/>
          <w:b/>
        </w:rPr>
        <w:t xml:space="preserve">Câncer</w:t>
      </w:r>
      <w:r>
        <w:t xml:space="preserve">, como complemento à quimioterapia, à radioterapia e à imunoterapia.</w:t>
      </w:r>
    </w:p>
    <w:p>
      <w:pPr>
        <w:pStyle w:val="FirstParagraph"/>
      </w:pPr>
      <w:r>
        <w:t xml:space="preserve">A meia-vida no sangue é de cerca de duas horas; após 24 horas, o nível volta ao valor inicial</w:t>
      </w:r>
      <w:r>
        <w:rPr>
          <w:rStyle w:val="FootnoteReference"/>
        </w:rPr>
        <w:footnoteReference w:id="1009"/>
      </w:r>
      <w:r>
        <w:t xml:space="preserve">.</w:t>
      </w:r>
    </w:p>
    <w:bookmarkEnd w:id="1010"/>
    <w:bookmarkStart w:id="1040" w:name="estudos-em-humanos-17"/>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90</w:t>
      </w:r>
      <w:r>
        <w:t xml:space="preserve"> </w:t>
      </w:r>
      <w:r>
        <w:t xml:space="preserve">estudos em humanos no PubMed e</w:t>
      </w:r>
      <w:r>
        <w:t xml:space="preserve"> </w:t>
      </w:r>
      <w:r>
        <w:rPr>
          <w:bCs/>
          <w:b/>
        </w:rPr>
        <w:t xml:space="preserve">66</w:t>
      </w:r>
      <w:r>
        <w:t xml:space="preserve"> </w:t>
      </w:r>
      <w:r>
        <w:t xml:space="preserve">registros no ClinicalTrials.gov, além de 15 metanálises e revisões sistemáticas. Grande parte dos estudos vem da China e é pequena. Uma revisão de 2024, que resume mais de 30 estudos com mais de 11.000 pessoas, foi redigida expressamente para argumentar contra a restrição da FDA</w:t>
      </w:r>
      <w:r>
        <w:rPr>
          <w:rStyle w:val="FootnoteReference"/>
        </w:rPr>
        <w:footnoteReference w:id="1011"/>
      </w:r>
      <w:r>
        <w:t xml:space="preserve"> </w:t>
      </w:r>
      <w:r>
        <w:t xml:space="preserve">– por isso não deve ser lida como uma avaliação neutra.</w:t>
      </w:r>
    </w:p>
    <w:bookmarkStart w:id="1012" w:name="os-estudos-grandes-mais-importantes"/>
    <w:p>
      <w:pPr>
        <w:pStyle w:val="Heading4"/>
      </w:pPr>
      <w:r>
        <w:t xml:space="preserve">Os estudos grandes mais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TESTS, sepse (Wu 2025, PMID 39814420)</w:t>
            </w:r>
          </w:p>
        </w:tc>
        <w:tc>
          <w:tcPr/>
          <w:p>
            <w:pPr>
              <w:pStyle w:val="Compact"/>
              <w:jc w:val="left"/>
            </w:pPr>
            <w:r>
              <w:t xml:space="preserve">1.106 adultos com sepse, 22 centros na China, ECR duplo-cego contra placebo</w:t>
            </w:r>
          </w:p>
        </w:tc>
        <w:tc>
          <w:tcPr/>
          <w:p>
            <w:pPr>
              <w:pStyle w:val="Compact"/>
              <w:jc w:val="left"/>
            </w:pPr>
            <w:r>
              <w:t xml:space="preserve">7 dias de tratamento, 28 dias de observação</w:t>
            </w:r>
          </w:p>
        </w:tc>
        <w:tc>
          <w:tcPr/>
          <w:p>
            <w:pPr>
              <w:pStyle w:val="Compact"/>
              <w:jc w:val="left"/>
            </w:pPr>
            <w:r>
              <w:t xml:space="preserve">mortalidade 23,4% vs. 24,1%; nenhuma diferença</w:t>
            </w:r>
          </w:p>
        </w:tc>
      </w:tr>
      <w:tr>
        <w:tc>
          <w:tcPr/>
          <w:p>
            <w:pPr>
              <w:pStyle w:val="Compact"/>
              <w:jc w:val="left"/>
            </w:pPr>
            <w:r>
              <w:t xml:space="preserve">Pancreatite necrosante (Ke 2022, PMID 35713670)</w:t>
            </w:r>
          </w:p>
        </w:tc>
        <w:tc>
          <w:tcPr/>
          <w:p>
            <w:pPr>
              <w:pStyle w:val="Compact"/>
              <w:jc w:val="left"/>
            </w:pPr>
            <w:r>
              <w:t xml:space="preserve">508 pessoas, ECR duplo-cego contra placebo</w:t>
            </w:r>
          </w:p>
        </w:tc>
        <w:tc>
          <w:tcPr/>
          <w:p>
            <w:pPr>
              <w:pStyle w:val="Compact"/>
              <w:jc w:val="left"/>
            </w:pPr>
            <w:r>
              <w:t xml:space="preserve">14 dias de tratamento</w:t>
            </w:r>
          </w:p>
        </w:tc>
        <w:tc>
          <w:tcPr/>
          <w:p>
            <w:pPr>
              <w:pStyle w:val="Compact"/>
              <w:jc w:val="left"/>
            </w:pPr>
            <w:r>
              <w:t xml:space="preserve">necroses infectadas 15,7% vs. 18,1%; nenhuma diferença significativa</w:t>
            </w:r>
          </w:p>
        </w:tc>
      </w:tr>
      <w:tr>
        <w:tc>
          <w:tcPr/>
          <w:p>
            <w:pPr>
              <w:pStyle w:val="Compact"/>
              <w:jc w:val="left"/>
            </w:pPr>
            <w:r>
              <w:t xml:space="preserve">Melanoma (Maio 2010, PMID 20194853)</w:t>
            </w:r>
          </w:p>
        </w:tc>
        <w:tc>
          <w:tcPr/>
          <w:p>
            <w:pPr>
              <w:pStyle w:val="Compact"/>
              <w:jc w:val="left"/>
            </w:pPr>
            <w:r>
              <w:t xml:space="preserve">488 pessoas com melanoma metastático, ECR com 5 grupos</w:t>
            </w:r>
          </w:p>
        </w:tc>
        <w:tc>
          <w:tcPr/>
          <w:p>
            <w:pPr>
              <w:pStyle w:val="Compact"/>
              <w:jc w:val="left"/>
            </w:pPr>
            <w:r>
              <w:t xml:space="preserve">até 24 meses</w:t>
            </w:r>
          </w:p>
        </w:tc>
        <w:tc>
          <w:tcPr/>
          <w:p>
            <w:pPr>
              <w:pStyle w:val="Compact"/>
              <w:jc w:val="left"/>
            </w:pPr>
            <w:r>
              <w:t xml:space="preserve">mais resposta tumoral em dois grupos com Tα1; sobrevida global 9,4 vs. 6,6 meses, não significativa (p = 0,08)</w:t>
            </w:r>
          </w:p>
        </w:tc>
      </w:tr>
      <w:tr>
        <w:tc>
          <w:tcPr/>
          <w:p>
            <w:pPr>
              <w:pStyle w:val="Compact"/>
              <w:jc w:val="left"/>
            </w:pPr>
            <w:r>
              <w:t xml:space="preserve">Cirrose por hepatite B (Wu 2018, PMID 30063860)</w:t>
            </w:r>
          </w:p>
        </w:tc>
        <w:tc>
          <w:tcPr/>
          <w:p>
            <w:pPr>
              <w:pStyle w:val="Compact"/>
              <w:jc w:val="left"/>
            </w:pPr>
            <w:r>
              <w:t xml:space="preserve">690 pessoas, ECR aberto, Tα1 mais entecavir vs. entecavir isolado</w:t>
            </w:r>
          </w:p>
        </w:tc>
        <w:tc>
          <w:tcPr/>
          <w:p>
            <w:pPr>
              <w:pStyle w:val="Compact"/>
              <w:jc w:val="left"/>
            </w:pPr>
            <w:r>
              <w:t xml:space="preserve">mediana de 38,2 meses</w:t>
            </w:r>
          </w:p>
        </w:tc>
        <w:tc>
          <w:tcPr/>
          <w:p>
            <w:pPr>
              <w:pStyle w:val="Compact"/>
              <w:jc w:val="left"/>
            </w:pPr>
            <w:r>
              <w:t xml:space="preserve">nenhuma diferença em insuficiência hepática, câncer de fígado ou morte</w:t>
            </w:r>
          </w:p>
        </w:tc>
      </w:tr>
      <w:tr>
        <w:tc>
          <w:tcPr/>
          <w:p>
            <w:pPr>
              <w:pStyle w:val="Compact"/>
              <w:jc w:val="left"/>
            </w:pPr>
            <w:r>
              <w:t xml:space="preserve">Hepatite B, Japão (Iino 2005, PMID 15850471)</w:t>
            </w:r>
          </w:p>
        </w:tc>
        <w:tc>
          <w:tcPr/>
          <w:p>
            <w:pPr>
              <w:pStyle w:val="Compact"/>
              <w:jc w:val="left"/>
            </w:pPr>
            <w:r>
              <w:t xml:space="preserve">316 pessoas, comparação de duas doses, sem grupo placebo</w:t>
            </w:r>
          </w:p>
        </w:tc>
        <w:tc>
          <w:tcPr/>
          <w:p>
            <w:pPr>
              <w:pStyle w:val="Compact"/>
              <w:jc w:val="left"/>
            </w:pPr>
            <w:r>
              <w:t xml:space="preserve">24 semanas mais 48 semanas</w:t>
            </w:r>
          </w:p>
        </w:tc>
        <w:tc>
          <w:tcPr/>
          <w:p>
            <w:pPr>
              <w:pStyle w:val="Compact"/>
              <w:jc w:val="left"/>
            </w:pPr>
            <w:r>
              <w:t xml:space="preserve">perda do antígeno HBe em 22,8% com a dose mais alta</w:t>
            </w:r>
          </w:p>
        </w:tc>
      </w:tr>
      <w:tr>
        <w:tc>
          <w:tcPr/>
          <w:p>
            <w:pPr>
              <w:pStyle w:val="Compact"/>
              <w:jc w:val="left"/>
            </w:pPr>
            <w:r>
              <w:t xml:space="preserve">Hepatite B, fase 3 (Mutchnick 1999, PMID 10607256)</w:t>
            </w:r>
          </w:p>
        </w:tc>
        <w:tc>
          <w:tcPr/>
          <w:p>
            <w:pPr>
              <w:pStyle w:val="Compact"/>
              <w:jc w:val="left"/>
            </w:pPr>
            <w:r>
              <w:t xml:space="preserve">97 pessoas, ECR duplo-cego contra placebo</w:t>
            </w:r>
          </w:p>
        </w:tc>
        <w:tc>
          <w:tcPr/>
          <w:p>
            <w:pPr>
              <w:pStyle w:val="Compact"/>
              <w:jc w:val="left"/>
            </w:pPr>
            <w:r>
              <w:t xml:space="preserve">12 meses</w:t>
            </w:r>
          </w:p>
        </w:tc>
        <w:tc>
          <w:tcPr/>
          <w:p>
            <w:pPr>
              <w:pStyle w:val="Compact"/>
              <w:jc w:val="left"/>
            </w:pPr>
            <w:r>
              <w:t xml:space="preserve">resposta completa 14% vs. 4%, não significativa</w:t>
            </w:r>
          </w:p>
        </w:tc>
      </w:tr>
    </w:tbl>
    <w:bookmarkEnd w:id="1012"/>
    <w:bookmarkStart w:id="1020" w:name="hepatites-b-e-c"/>
    <w:p>
      <w:pPr>
        <w:pStyle w:val="Heading4"/>
      </w:pPr>
      <w:r>
        <w:t xml:space="preserve">Hepatites B e C</w:t>
      </w:r>
    </w:p>
    <w:p>
      <w:pPr>
        <w:pStyle w:val="FirstParagraph"/>
      </w:pPr>
      <w:r>
        <w:t xml:space="preserve">As aprovações na Ásia se baseiam sobretudo em estudos sobre hepatite B crônica dos anos 1990. Um estudo randomizado com 98 pessoas encontrou, 18 meses após o início, uma resposta virológica completa em 40,6 por cento após seis meses de tratamento, contra 9,4 por cento no grupo de controle não tratado</w:t>
      </w:r>
      <w:r>
        <w:rPr>
          <w:rStyle w:val="FootnoteReference"/>
        </w:rPr>
        <w:footnoteReference w:id="1013"/>
      </w:r>
      <w:r>
        <w:t xml:space="preserve">. O estudo de fase 3 duplo-cego, controlado por placebo, não conseguiu confirmar isso: 14 por cento vs. 4 por cento, estatisticamente não significativo; os próprios autores escrevem que os resultados não confirmaram observações anteriores</w:t>
      </w:r>
      <w:r>
        <w:rPr>
          <w:rStyle w:val="FootnoteReference"/>
        </w:rPr>
        <w:footnoteReference w:id="1014"/>
      </w:r>
      <w:r>
        <w:t xml:space="preserve">.</w:t>
      </w:r>
    </w:p>
    <w:p>
      <w:pPr>
        <w:pStyle w:val="BodyText"/>
      </w:pPr>
      <w:r>
        <w:t xml:space="preserve">Uma metanálise de quatro estudos pequenos com 199 pessoas verificou que a timosina alfa 1 teve resultado pior que o interferon alfa ao final do tratamento, mas melhor seis meses depois</w:t>
      </w:r>
      <w:r>
        <w:rPr>
          <w:rStyle w:val="FootnoteReference"/>
        </w:rPr>
        <w:footnoteReference w:id="1015"/>
      </w:r>
      <w:r>
        <w:t xml:space="preserve">. Hoje, a questão está em grande parte superada: comprimidos modernos contra a hepatite B (como o entecavir) suprimem o vírus de forma confiável. No grande estudo com 690 pessoas com cirrose hepática, a adição de timosina alfa 1 ao entecavir não trouxe vantagem no desfecho primário composto de descompensação hepática, câncer de fígado ou morte</w:t>
      </w:r>
      <w:r>
        <w:rPr>
          <w:rStyle w:val="FootnoteReference"/>
        </w:rPr>
        <w:footnoteReference w:id="1016"/>
      </w:r>
      <w:r>
        <w:t xml:space="preserve">. Uma metanálise de estudos chineses sobre a mesma combinação encontrou, é verdade, melhores taxas de resposta após 24 semanas, mas nenhuma diferença após 48 a 52 semanas</w:t>
      </w:r>
      <w:r>
        <w:rPr>
          <w:rStyle w:val="FootnoteReference"/>
        </w:rPr>
        <w:footnoteReference w:id="1017"/>
      </w:r>
      <w:r>
        <w:t xml:space="preserve">.</w:t>
      </w:r>
    </w:p>
    <w:p>
      <w:pPr>
        <w:pStyle w:val="BodyText"/>
      </w:pPr>
      <w:r>
        <w:t xml:space="preserve">Em uma forma de evolução especialmente grave – a insuficiência hepática aguda sobre crônica na hepatite B –, a sobrevida de 90 dias livre de transplante, em um estudo aberto com 120 pessoas, foi de 75,0 por cento com timosina alfa 1, contra 53,4 por cento; novas infecções foram mais raras</w:t>
      </w:r>
      <w:r>
        <w:rPr>
          <w:rStyle w:val="FootnoteReference"/>
        </w:rPr>
        <w:footnoteReference w:id="1018"/>
      </w:r>
      <w:r>
        <w:t xml:space="preserve">. O estudo não foi cego, e em uma análise que considerou riscos concorrentes a diferença de sobrevida não foi significativa.</w:t>
      </w:r>
    </w:p>
    <w:p>
      <w:pPr>
        <w:pStyle w:val="BodyText"/>
      </w:pPr>
      <w:r>
        <w:t xml:space="preserve">Na hepatite C, a combinação com interferon melhorou, em estudos menores, os valores ao final do tratamento</w:t>
      </w:r>
      <w:r>
        <w:rPr>
          <w:rStyle w:val="FootnoteReference"/>
        </w:rPr>
        <w:footnoteReference w:id="1019"/>
      </w:r>
      <w:r>
        <w:t xml:space="preserve">, mas a resposta sustentada não diferiu de forma relevante. Desde que existem comprimidos de ação direta que eliminam a hepatite C na grande maioria dos casos, a timosina alfa 1 não tem mais papel aqui.</w:t>
      </w:r>
    </w:p>
    <w:bookmarkEnd w:id="1020"/>
    <w:bookmarkStart w:id="1025" w:name="sepse"/>
    <w:p>
      <w:pPr>
        <w:pStyle w:val="Heading4"/>
      </w:pPr>
      <w:r>
        <w:t xml:space="preserve">Sepse</w:t>
      </w:r>
    </w:p>
    <w:p>
      <w:pPr>
        <w:pStyle w:val="FirstParagraph"/>
      </w:pPr>
      <w:r>
        <w:t xml:space="preserve">Na sepse, a evolução da evidência pode ser mostrada especialmente bem. Metanálises iniciais de estudos chineses predominantemente pequenos encontraram uma mortalidade claramente menor (Li 2015, PMID 25532482: risco relativo 0,68 em 12 estudos com 1.480 pessoas), mas elas próprias apontavam a má qualidade dos estudos. O primeiro estudo randomizado maior (ETASS), com 361 pessoas, encontrou uma mortalidade em 28 dias de 26,0 vs. 35,0 por cento – no limite da significância estatística, com cegamento simples</w:t>
      </w:r>
      <w:r>
        <w:rPr>
          <w:rStyle w:val="FootnoteReference"/>
        </w:rPr>
        <w:footnoteReference w:id="1021"/>
      </w:r>
      <w:r>
        <w:t xml:space="preserve">.</w:t>
      </w:r>
    </w:p>
    <w:p>
      <w:pPr>
        <w:pStyle w:val="BodyText"/>
      </w:pPr>
      <w:r>
        <w:t xml:space="preserve">Em seguida, o mesmo grupo de trabalho planejou o maior e melhor estudo até agora: TESTS, duplo-cego, controlado por placebo, 1.106 adultos em 22 centros. Resultado: a mortalidade em 28 dias foi de 23,4 por cento com timosina alfa 1 e de 24,1 por cento com placebo – nenhuma diferença. Também nenhum desfecho secundário diferiu</w:t>
      </w:r>
      <w:r>
        <w:rPr>
          <w:rStyle w:val="FootnoteReference"/>
        </w:rPr>
        <w:footnoteReference w:id="1022"/>
      </w:r>
      <w:r>
        <w:t xml:space="preserve">. Em subgrupos, insinuaram-se vantagens em pessoas com mais de 60 anos e com diabetes, mas desvantagens em pessoas com menos de 60 anos – achados de subgrupo desse tipo são incertos.</w:t>
      </w:r>
    </w:p>
    <w:p>
      <w:pPr>
        <w:pStyle w:val="BodyText"/>
      </w:pPr>
      <w:r>
        <w:t xml:space="preserve">Uma metanálise de 2025 com 11 estudos randomizados encontrou, no total, uma mortalidade menor, mas não quando se consideravam apenas os estudos de alta qualidade ou apenas os multicêntricos; a quantidade de dados disponível seria pequena demais para uma conclusão definitiva</w:t>
      </w:r>
      <w:r>
        <w:rPr>
          <w:rStyle w:val="FootnoteReference"/>
        </w:rPr>
        <w:footnoteReference w:id="1023"/>
      </w:r>
      <w:r>
        <w:t xml:space="preserve">. Muitos estudos chineses combinam, além disso, a timosina alfa 1 com ulinastatina, outro agente usado na China; metanálises em rede avaliam a confiabilidade desses resultados como predominantemente baixa</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Na pandemia, a timosina alfa 1 foi amplamente usada na China. Uma análise retrospectiva inicial de 76 pacientes graves em Wuhan relatou uma mortalidade de 11,1 vs. 30,0 por cento</w:t>
      </w:r>
      <w:r>
        <w:rPr>
          <w:rStyle w:val="FootnoteReference"/>
        </w:rPr>
        <w:footnoteReference w:id="1026"/>
      </w:r>
      <w:r>
        <w:t xml:space="preserve">. Um estudo retrospectivo maior, em cinco hospitais, com mais de 2.200 pessoas, encontrou o oposto: após consideração de fatores de confusão, o tratamento esteve associado a uma taxa maior de não recuperação</w:t>
      </w:r>
      <w:r>
        <w:rPr>
          <w:rStyle w:val="FootnoteReference"/>
        </w:rPr>
        <w:footnoteReference w:id="1027"/>
      </w:r>
      <w:r>
        <w:t xml:space="preserve">. Um pequeno estudo-piloto randomizado com 49 pessoas encontrou aumentos mais rápidos das células T auxiliares, mas nenhuma diferença significativa na recuperação</w:t>
      </w:r>
      <w:r>
        <w:rPr>
          <w:rStyle w:val="FootnoteReference"/>
        </w:rPr>
        <w:footnoteReference w:id="1028"/>
      </w:r>
      <w:r>
        <w:t xml:space="preserve">.</w:t>
      </w:r>
    </w:p>
    <w:p>
      <w:pPr>
        <w:pStyle w:val="BodyText"/>
      </w:pPr>
      <w:r>
        <w:t xml:space="preserve">Duas metanálises chegaram a conclusões opostas: uma, com 9 estudos e 5.352 pessoas, não encontrou efeito sobre a mortalidade e desaconselha o uso em adultos hospitalizados</w:t>
      </w:r>
      <w:r>
        <w:rPr>
          <w:rStyle w:val="FootnoteReference"/>
        </w:rPr>
        <w:footnoteReference w:id="1029"/>
      </w:r>
      <w:r>
        <w:t xml:space="preserve">; outra, com 8 estudos, encontrou uma mortalidade menor, porém com heterogeneidade muito grande entre os estudos</w:t>
      </w:r>
      <w:r>
        <w:rPr>
          <w:rStyle w:val="FootnoteReference"/>
        </w:rPr>
        <w:footnoteReference w:id="1030"/>
      </w:r>
      <w:r>
        <w:t xml:space="preserve">. Quase todos os dados vêm de estudos observacionais não randomizados. Um benefício na COVID-19 não está, portanto, comprovado.</w:t>
      </w:r>
    </w:p>
    <w:bookmarkEnd w:id="1031"/>
    <w:bookmarkStart w:id="1035" w:name="câncer"/>
    <w:p>
      <w:pPr>
        <w:pStyle w:val="Heading4"/>
      </w:pPr>
      <w:r>
        <w:t xml:space="preserve">Câncer</w:t>
      </w:r>
    </w:p>
    <w:p>
      <w:pPr>
        <w:pStyle w:val="FirstParagraph"/>
      </w:pPr>
      <w:r>
        <w:t xml:space="preserve">O maior estudo randomizado em câncer testou a timosina alfa 1 no melanoma metastático, como complemento à quimioterapia com dacarbazina. Em dois grupos com Tα1, mais tumores responderam do que no grupo de controle (10 e 12 vs. 4 respostas); a sobrevida global média foi de 9,4 contra 6,6 meses, mas a diferença não foi significativa</w:t>
      </w:r>
      <w:r>
        <w:rPr>
          <w:rStyle w:val="FootnoteReference"/>
        </w:rPr>
        <w:footnoteReference w:id="1032"/>
      </w:r>
      <w:r>
        <w:t xml:space="preserve">. Não se seguiu uma aprovação, e a terapia do melanoma mudou fundamentalmente desde então com os inibidores de checkpoint imunológico.</w:t>
      </w:r>
    </w:p>
    <w:p>
      <w:pPr>
        <w:pStyle w:val="BodyText"/>
      </w:pPr>
      <w:r>
        <w:t xml:space="preserve">Metanálises de estudos chineses sobre câncer de pulmão e de estômago relatam melhores taxas de resposta, melhor qualidade de vida e menos efeitos colaterais da quimioterapia quando peptídeos tímicos foram acrescentados (Zeng 2019, PMID 31326719: 27 estudos, 1.925 pessoas; Wang 2026, PMID 42827862: 20 estudos, 1.704 pessoas). Os dois trabalhos, porém, avaliam a qualidade da evidência como moderada a muito baixa, e faltam em grande parte dados sobre sobrevida de longo prazo. Uma revisão de estudos em câncer de 2016 a 2026 encontrou predominantemente estudos observacionais retrospectivos e relatos de caso da China e um registro heterogêneo de efeitos colaterais</w:t>
      </w:r>
      <w:r>
        <w:rPr>
          <w:rStyle w:val="FootnoteReference"/>
        </w:rPr>
        <w:footnoteReference w:id="1033"/>
      </w:r>
      <w:r>
        <w:t xml:space="preserve">. Estudos de fase 2 mais recentes combinam a timosina alfa 1 com inibidores de checkpoint imunológico, por exemplo antes da cirurgia de câncer de estômago, com 30 pessoas</w:t>
      </w:r>
      <w:r>
        <w:rPr>
          <w:rStyle w:val="FootnoteReference"/>
        </w:rPr>
        <w:footnoteReference w:id="1034"/>
      </w:r>
      <w:r>
        <w:t xml:space="preserve">; sem grupo de controle, não é possível deduzir disso a contribuição da timosina alfa 1.</w:t>
      </w:r>
    </w:p>
    <w:bookmarkEnd w:id="1035"/>
    <w:bookmarkStart w:id="1039" w:name="reforço-de-vacinas"/>
    <w:p>
      <w:pPr>
        <w:pStyle w:val="Heading4"/>
      </w:pPr>
      <w:r>
        <w:t xml:space="preserve">Reforço de vacinas</w:t>
      </w:r>
    </w:p>
    <w:p>
      <w:pPr>
        <w:pStyle w:val="FirstParagraph"/>
      </w:pPr>
      <w:r>
        <w:t xml:space="preserve">Já em 1989, 90 homens entre 65 e 99 anos receberam, além da vacina contra a gripe, timosina alfa 1 ou placebo; não foram observados efeitos colaterais</w:t>
      </w:r>
      <w:r>
        <w:rPr>
          <w:rStyle w:val="FootnoteReference"/>
        </w:rPr>
        <w:footnoteReference w:id="1036"/>
      </w:r>
      <w:r>
        <w:t xml:space="preserve">. Essa ideia está sendo retomada hoje, por exemplo em pacientes em diálise no contexto da COVID-19</w:t>
      </w:r>
      <w:r>
        <w:rPr>
          <w:rStyle w:val="FootnoteReference"/>
        </w:rPr>
        <w:footnoteReference w:id="1037"/>
      </w:r>
      <w:r>
        <w:t xml:space="preserve"> </w:t>
      </w:r>
      <w:r>
        <w:t xml:space="preserve">e em um estudo em andamento sobre a dose de reforço em idosos</w:t>
      </w:r>
      <w:r>
        <w:rPr>
          <w:rStyle w:val="FootnoteReference"/>
        </w:rPr>
        <w:footnoteReference w:id="1038"/>
      </w:r>
      <w:r>
        <w:t xml:space="preserve">. Faltam dados confiáveis de desfechos – ou seja, menos doenças ou mortes.</w:t>
      </w:r>
    </w:p>
    <w:bookmarkEnd w:id="1039"/>
    <w:bookmarkEnd w:id="1040"/>
    <w:bookmarkStart w:id="1042" w:name="estudos-em-animais-e-em-laboratório-17"/>
    <w:p>
      <w:pPr>
        <w:pStyle w:val="Heading3"/>
      </w:pPr>
      <w:r>
        <w:t xml:space="preserve">Estudos em animais e em laboratório</w:t>
      </w:r>
    </w:p>
    <w:p>
      <w:pPr>
        <w:pStyle w:val="FirstParagraph"/>
      </w:pPr>
      <w:r>
        <w:t xml:space="preserve">Como a timosina alfa 1 é estudada em humanos há décadas, os estudos em animais têm um papel menor na avaliação. Foram importantes para a ideia do câncer: em modelos de camundongos para câncer de pulmão, leucemia e melanoma, bem como em um modelo de ratos para metástases hepáticas, a combinação de timosina alfa 1 com interferon ou interleucina-2 e quimioterapia funcionou melhor do que os tratamentos isolados</w:t>
      </w:r>
      <w:r>
        <w:rPr>
          <w:rStyle w:val="FootnoteReference"/>
        </w:rPr>
        <w:footnoteReference w:id="1041"/>
      </w:r>
      <w:r>
        <w:t xml:space="preserve">. Esses achados não puderam, até agora, ser repetidos de forma convincente em humanos.</w:t>
      </w:r>
    </w:p>
    <w:bookmarkEnd w:id="1042"/>
    <w:bookmarkStart w:id="1051" w:name="riscos-e-efeitos-colaterais-17"/>
    <w:p>
      <w:pPr>
        <w:pStyle w:val="Heading3"/>
      </w:pPr>
      <w:r>
        <w:t xml:space="preserve">Riscos e efeitos colaterais</w:t>
      </w:r>
    </w:p>
    <w:bookmarkStart w:id="1046" w:name="comprovados-1"/>
    <w:p>
      <w:pPr>
        <w:pStyle w:val="Heading4"/>
      </w:pPr>
      <w:r>
        <w:t xml:space="preserve">Comprovados</w:t>
      </w:r>
    </w:p>
    <w:p>
      <w:pPr>
        <w:pStyle w:val="FirstParagraph"/>
      </w:pPr>
      <w:r>
        <w:t xml:space="preserve">A timosina alfa 1 é considerada bem tolerada nos estudos. Nos estudos mais antigos, observou-se em geral apenas uma irritação local no ponto de injeção</w:t>
      </w:r>
      <w:r>
        <w:rPr>
          <w:rStyle w:val="FootnoteReference"/>
        </w:rPr>
        <w:footnoteReference w:id="1043"/>
      </w:r>
      <w:r>
        <w:t xml:space="preserve">. No grande estudo de sepse TESTS, os desfechos de segurança não diferiram do placebo</w:t>
      </w:r>
      <w:r>
        <w:rPr>
          <w:rStyle w:val="FootnoteReference"/>
        </w:rPr>
        <w:footnoteReference w:id="1044"/>
      </w:r>
      <w:r>
        <w:t xml:space="preserve">. Na hepatite B, houve em parte oscilações das enzimas hepáticas, interpretadas como expressão da reação imunológica</w:t>
      </w:r>
      <w:r>
        <w:rPr>
          <w:rStyle w:val="FootnoteReference"/>
        </w:rPr>
        <w:footnoteReference w:id="1045"/>
      </w:r>
      <w:r>
        <w:t xml:space="preserve">.</w:t>
      </w:r>
    </w:p>
    <w:bookmarkEnd w:id="1046"/>
    <w:bookmarkStart w:id="1050" w:name="a-considerar"/>
    <w:p>
      <w:pPr>
        <w:pStyle w:val="Heading4"/>
      </w:pPr>
      <w:r>
        <w:t xml:space="preserve">A considerar</w:t>
      </w:r>
    </w:p>
    <w:p>
      <w:pPr>
        <w:numPr>
          <w:ilvl w:val="0"/>
          <w:numId w:val="1124"/>
        </w:numPr>
        <w:pStyle w:val="Compact"/>
      </w:pPr>
      <w:r>
        <w:rPr>
          <w:bCs/>
          <w:b/>
        </w:rPr>
        <w:t xml:space="preserve">Subgrupos com possível dano:</w:t>
      </w:r>
      <w:r>
        <w:t xml:space="preserve"> </w:t>
      </w:r>
      <w:r>
        <w:t xml:space="preserve">no TESTS, a mortalidade em pessoas com menos de 60 anos foi maior com timosina alfa 1 do que com placebo (hazard ratio 1,67)</w:t>
      </w:r>
      <w:r>
        <w:rPr>
          <w:rStyle w:val="FootnoteReference"/>
        </w:rPr>
        <w:footnoteReference w:id="1047"/>
      </w:r>
      <w:r>
        <w:t xml:space="preserve">; na COVID-19, o tratamento esteve associado a uma evolução pior em um grande estudo observacional</w:t>
      </w:r>
      <w:r>
        <w:rPr>
          <w:rStyle w:val="FootnoteReference"/>
        </w:rPr>
        <w:footnoteReference w:id="1048"/>
      </w:r>
      <w:r>
        <w:t xml:space="preserve">. Ambos podem ser acaso ou viés, mas mostram que</w:t>
      </w:r>
      <w:r>
        <w:t xml:space="preserve"> </w:t>
      </w:r>
      <w:r>
        <w:t xml:space="preserve">“</w:t>
      </w:r>
      <w:r>
        <w:t xml:space="preserve">estimulante imunológico inofensivo</w:t>
      </w:r>
      <w:r>
        <w:t xml:space="preserve">”</w:t>
      </w:r>
      <w:r>
        <w:t xml:space="preserve"> </w:t>
      </w:r>
      <w:r>
        <w:t xml:space="preserve">não é uma descrição comprovada.</w:t>
      </w:r>
    </w:p>
    <w:p>
      <w:pPr>
        <w:numPr>
          <w:ilvl w:val="0"/>
          <w:numId w:val="1124"/>
        </w:numPr>
        <w:pStyle w:val="Compact"/>
      </w:pPr>
      <w:r>
        <w:rPr>
          <w:bCs/>
          <w:b/>
        </w:rPr>
        <w:t xml:space="preserve">Doenças autoimunes e transplante:</w:t>
      </w:r>
      <w:r>
        <w:t xml:space="preserve"> </w:t>
      </w:r>
      <w:r>
        <w:t xml:space="preserve">uma substância que deveria estimular o sistema imunológico poderia, teoricamente, agravar doenças autoimunes ou favorecer a rejeição de órgãos transplantados. Faltam dados sistemáticos sobre isso.</w:t>
      </w:r>
    </w:p>
    <w:p>
      <w:pPr>
        <w:numPr>
          <w:ilvl w:val="0"/>
          <w:numId w:val="1124"/>
        </w:numPr>
        <w:pStyle w:val="Compact"/>
      </w:pPr>
      <w:r>
        <w:rPr>
          <w:bCs/>
          <w:b/>
        </w:rPr>
        <w:t xml:space="preserve">Combinação com imunoterapia:</w:t>
      </w:r>
      <w:r>
        <w:t xml:space="preserve"> </w:t>
      </w:r>
      <w:r>
        <w:t xml:space="preserve">um artigo de revisão menciona um relato de caso no qual, sob um tratamento combinado, ocorreu uma reação imunológica grave em vários órgãos, sem que a timosina alfa 1 tenha sido estabelecida com segurança como causa</w:t>
      </w:r>
      <w:r>
        <w:rPr>
          <w:rStyle w:val="FootnoteReference"/>
        </w:rPr>
        <w:footnoteReference w:id="1049"/>
      </w:r>
      <w:r>
        <w:t xml:space="preserve">.</w:t>
      </w:r>
    </w:p>
    <w:p>
      <w:pPr>
        <w:numPr>
          <w:ilvl w:val="0"/>
          <w:numId w:val="1124"/>
        </w:numPr>
        <w:pStyle w:val="Compact"/>
      </w:pPr>
      <w:r>
        <w:rPr>
          <w:bCs/>
          <w:b/>
        </w:rPr>
        <w:t xml:space="preserve">Mercado cinza:</w:t>
      </w:r>
      <w:r>
        <w:t xml:space="preserve"> </w:t>
      </w:r>
      <w:r>
        <w:t xml:space="preserve">fora dos países com aprovação, a timosina alfa 1 é vendida como</w:t>
      </w:r>
      <w:r>
        <w:t xml:space="preserve"> </w:t>
      </w:r>
      <w:r>
        <w:t xml:space="preserve">“</w:t>
      </w:r>
      <w:r>
        <w:t xml:space="preserve">peptídeo de pesquisa</w:t>
      </w:r>
      <w:r>
        <w:t xml:space="preserve">”</w:t>
      </w:r>
      <w:r>
        <w:t xml:space="preserve">. Para esses produtos, os estudos sobre o Zadaxin não valem – pureza, teor e esterilidade são desconhecidos.</w:t>
      </w:r>
    </w:p>
    <w:bookmarkEnd w:id="1050"/>
    <w:bookmarkEnd w:id="1051"/>
    <w:bookmarkStart w:id="1054" w:name="situação-legal-17"/>
    <w:p>
      <w:pPr>
        <w:pStyle w:val="Heading3"/>
      </w:pPr>
      <w:r>
        <w:t xml:space="preserve">Situação legal</w:t>
      </w:r>
    </w:p>
    <w:p>
      <w:pPr>
        <w:pStyle w:val="FirstParagraph"/>
      </w:pPr>
      <w:r>
        <w:rPr>
          <w:iCs/>
          <w:i/>
        </w:rPr>
        <w:t xml:space="preserve">Situação em 2026, verificar atualização.</w:t>
      </w:r>
    </w:p>
    <w:p>
      <w:pPr>
        <w:numPr>
          <w:ilvl w:val="0"/>
          <w:numId w:val="1125"/>
        </w:numPr>
        <w:pStyle w:val="Compact"/>
      </w:pPr>
      <w:r>
        <w:rPr>
          <w:bCs/>
          <w:b/>
        </w:rPr>
        <w:t xml:space="preserve">UE, Alemanha, Áustria:</w:t>
      </w:r>
      <w:r>
        <w:t xml:space="preserve"> </w:t>
      </w:r>
      <w:r>
        <w:t xml:space="preserve">sem aprovação como medicamento. Uma prescrição em caso individual, por importação individual de um país com aprovação, pode ser possível segundo o direito nacional, sob condições estritas; a venda como</w:t>
      </w:r>
      <w:r>
        <w:t xml:space="preserve"> </w:t>
      </w:r>
      <w:r>
        <w:t xml:space="preserve">“</w:t>
      </w:r>
      <w:r>
        <w:t xml:space="preserve">research peptide</w:t>
      </w:r>
      <w:r>
        <w:t xml:space="preserve">”</w:t>
      </w:r>
      <w:r>
        <w:t xml:space="preserve"> </w:t>
      </w:r>
      <w:r>
        <w:t xml:space="preserve">para uso em humanos não é permitida.</w:t>
      </w:r>
    </w:p>
    <w:p>
      <w:pPr>
        <w:numPr>
          <w:ilvl w:val="0"/>
          <w:numId w:val="1125"/>
        </w:numPr>
        <w:pStyle w:val="Compact"/>
      </w:pPr>
      <w:r>
        <w:rPr>
          <w:bCs/>
          <w:b/>
        </w:rPr>
        <w:t xml:space="preserve">EUA:</w:t>
      </w:r>
      <w:r>
        <w:t xml:space="preserve"> </w:t>
      </w:r>
      <w:r>
        <w:t xml:space="preserve">sem aprovação da FDA. Em 2023, a FDA incluiu a timosina alfa 1, junto com outros peptídeos, na lista de substâncias com preocupações de segurança para a manipulação magistral; defensores criticam isso</w:t>
      </w:r>
      <w:r>
        <w:rPr>
          <w:rStyle w:val="FootnoteReference"/>
        </w:rPr>
        <w:footnoteReference w:id="1052"/>
      </w:r>
      <w:r>
        <w:t xml:space="preserve">. A classificação de peptídeos continua sendo discutida no comitê consultivo da FDA</w:t>
      </w:r>
      <w:r>
        <w:rPr>
          <w:rStyle w:val="FootnoteReference"/>
        </w:rPr>
        <w:footnoteReference w:id="1053"/>
      </w:r>
      <w:r>
        <w:t xml:space="preserve">.</w:t>
      </w:r>
    </w:p>
    <w:p>
      <w:pPr>
        <w:numPr>
          <w:ilvl w:val="0"/>
          <w:numId w:val="1125"/>
        </w:numPr>
        <w:pStyle w:val="Compact"/>
      </w:pPr>
      <w:r>
        <w:rPr>
          <w:bCs/>
          <w:b/>
        </w:rPr>
        <w:t xml:space="preserve">China e outros países:</w:t>
      </w:r>
      <w:r>
        <w:t xml:space="preserve"> </w:t>
      </w:r>
      <w:r>
        <w:t xml:space="preserve">aprovada como Zadaxin ou timalfasina; na China há também uma série de preparações similares.</w:t>
      </w:r>
    </w:p>
    <w:p>
      <w:pPr>
        <w:numPr>
          <w:ilvl w:val="0"/>
          <w:numId w:val="1125"/>
        </w:numPr>
        <w:pStyle w:val="Compact"/>
      </w:pPr>
      <w:r>
        <w:rPr>
          <w:bCs/>
          <w:b/>
        </w:rPr>
        <w:t xml:space="preserve">WADA:</w:t>
      </w:r>
      <w:r>
        <w:t xml:space="preserve"> </w:t>
      </w:r>
      <w:r>
        <w:t xml:space="preserve">não consta expressamente da lista de proibições. Atletas devem, ainda assim, consultar sua agência nacional antidoping antes de um uso.</w:t>
      </w:r>
    </w:p>
    <w:bookmarkEnd w:id="1054"/>
    <w:bookmarkStart w:id="1059" w:name="estudos-em-andamento-e-perspectivas-17"/>
    <w:p>
      <w:pPr>
        <w:pStyle w:val="Heading3"/>
      </w:pPr>
      <w:r>
        <w:t xml:space="preserve">Estudos em andamento e perspectivas</w:t>
      </w:r>
    </w:p>
    <w:p>
      <w:pPr>
        <w:pStyle w:val="FirstParagraph"/>
      </w:pPr>
      <w:r>
        <w:rPr>
          <w:bCs/>
          <w:b/>
        </w:rPr>
        <w:t xml:space="preserve">Confirmado (segundo o registro):</w:t>
      </w:r>
    </w:p>
    <w:p>
      <w:pPr>
        <w:numPr>
          <w:ilvl w:val="0"/>
          <w:numId w:val="1126"/>
        </w:numPr>
        <w:pStyle w:val="Compact"/>
      </w:pPr>
      <w:r>
        <w:rPr>
          <w:bCs/>
          <w:b/>
        </w:rPr>
        <w:t xml:space="preserve">Câncer colorretal após cirurgia</w:t>
      </w:r>
      <w:r>
        <w:rPr>
          <w:rStyle w:val="FootnoteReference"/>
        </w:rPr>
        <w:footnoteReference w:id="1055"/>
      </w:r>
      <w:r>
        <w:rPr>
          <w:bCs/>
          <w:b/>
        </w:rPr>
        <w:t xml:space="preserve">:</w:t>
      </w:r>
      <w:r>
        <w:t xml:space="preserve"> </w:t>
      </w:r>
      <w:r>
        <w:t xml:space="preserve">estudo de fase 3 da Universidade Fudan, em Xangai, 2.500 pessoas previstas com câncer colorretal em estágio II ou III, desfecho primário sobrevida livre de doença após três anos; término estimado em março de 2027. O estudo tem apenas cegamento simples.</w:t>
      </w:r>
    </w:p>
    <w:p>
      <w:pPr>
        <w:numPr>
          <w:ilvl w:val="0"/>
          <w:numId w:val="1126"/>
        </w:numPr>
        <w:pStyle w:val="Compact"/>
      </w:pPr>
      <w:r>
        <w:rPr>
          <w:bCs/>
          <w:b/>
        </w:rPr>
        <w:t xml:space="preserve">Câncer e imunoterapia:</w:t>
      </w:r>
      <w:r>
        <w:t xml:space="preserve"> </w:t>
      </w:r>
      <w:r>
        <w:t xml:space="preserve">numerosos estudos chineses de fase 2 menores que combinam timosina alfa 1 com inibidores de checkpoint imunológico e quimioterapia ou radioterapia, por exemplo no câncer de mama triplo-negativo, com 572 pessoas previstas</w:t>
      </w:r>
      <w:r>
        <w:rPr>
          <w:rStyle w:val="FootnoteReference"/>
        </w:rPr>
        <w:footnoteReference w:id="1056"/>
      </w:r>
      <w:r>
        <w:t xml:space="preserve">.</w:t>
      </w:r>
    </w:p>
    <w:p>
      <w:pPr>
        <w:numPr>
          <w:ilvl w:val="0"/>
          <w:numId w:val="1126"/>
        </w:numPr>
        <w:pStyle w:val="Compact"/>
      </w:pPr>
      <w:r>
        <w:rPr>
          <w:bCs/>
          <w:b/>
        </w:rPr>
        <w:t xml:space="preserve">Sepse:</w:t>
      </w:r>
      <w:r>
        <w:t xml:space="preserve"> </w:t>
      </w:r>
      <w:r>
        <w:t xml:space="preserve">um estudo menor sobre a recuperação da função imunológica em 60 pessoas</w:t>
      </w:r>
      <w:r>
        <w:rPr>
          <w:rStyle w:val="FootnoteReference"/>
        </w:rPr>
        <w:footnoteReference w:id="1057"/>
      </w:r>
      <w:r>
        <w:t xml:space="preserve">.</w:t>
      </w:r>
    </w:p>
    <w:p>
      <w:pPr>
        <w:numPr>
          <w:ilvl w:val="0"/>
          <w:numId w:val="1126"/>
        </w:numPr>
        <w:pStyle w:val="Compact"/>
      </w:pPr>
      <w:r>
        <w:rPr>
          <w:bCs/>
          <w:b/>
        </w:rPr>
        <w:t xml:space="preserve">Resposta vacinal em idosos</w:t>
      </w:r>
      <w:r>
        <w:rPr>
          <w:rStyle w:val="FootnoteReference"/>
        </w:rPr>
        <w:footnoteReference w:id="1058"/>
      </w:r>
      <w:r>
        <w:rPr>
          <w:bCs/>
          <w:b/>
        </w:rPr>
        <w:t xml:space="preserve">:</w:t>
      </w:r>
      <w:r>
        <w:t xml:space="preserve"> </w:t>
      </w:r>
      <w:r>
        <w:t xml:space="preserve">fase 1, 75 pessoas previstas.</w:t>
      </w:r>
    </w:p>
    <w:p>
      <w:pPr>
        <w:pStyle w:val="FirstParagraph"/>
      </w:pPr>
      <w:r>
        <w:rPr>
          <w:bCs/>
          <w:b/>
        </w:rPr>
        <w:t xml:space="preserve">Avaliação do autor:</w:t>
      </w:r>
      <w:r>
        <w:t xml:space="preserve"> </w:t>
      </w:r>
      <w:r>
        <w:t xml:space="preserve">o grande estudo de câncer colorretal é a questão em aberto mais importante. Se for positivo, seria a primeira grande prova de um benefício em uma doença oncológica – mas, pela falta de duplo-cegamento, com ressalvas. Na sepse, o TESTS provavelmente respondeu à questão do uso amplo por ora; estudos futuros se concentrarão em subgrupos com imunodeficiência comprovada. Uma aprovação na UE ou nos EUA não é esperada nos próximos anos.</w:t>
      </w:r>
    </w:p>
    <w:bookmarkEnd w:id="1059"/>
    <w:bookmarkStart w:id="1063" w:name="conclusão-17"/>
    <w:p>
      <w:pPr>
        <w:pStyle w:val="Heading3"/>
      </w:pPr>
      <w:r>
        <w:t xml:space="preserve">Conclusão</w:t>
      </w:r>
    </w:p>
    <w:p>
      <w:pPr>
        <w:pStyle w:val="FirstParagraph"/>
      </w:pPr>
      <w:r>
        <w:t xml:space="preserve">A timosina alfa 1 é o peptídeo mais bem estudado deste grupo e, em alguns países, um medicamento aprovado. Os estudos iniciais, pequenos, pareciam promissores, mas os grandes estudos, cuidadosamente cegos, não mostraram vantagem em seus desfechos primários na sepse</w:t>
      </w:r>
      <w:r>
        <w:rPr>
          <w:rStyle w:val="FootnoteReference"/>
        </w:rPr>
        <w:footnoteReference w:id="1060"/>
      </w:r>
      <w:r>
        <w:t xml:space="preserve">, na pancreatite grave</w:t>
      </w:r>
      <w:r>
        <w:rPr>
          <w:rStyle w:val="FootnoteReference"/>
        </w:rPr>
        <w:footnoteReference w:id="1061"/>
      </w:r>
      <w:r>
        <w:t xml:space="preserve"> </w:t>
      </w:r>
      <w:r>
        <w:t xml:space="preserve">e na cirrose por hepatite B</w:t>
      </w:r>
      <w:r>
        <w:rPr>
          <w:rStyle w:val="FootnoteReference"/>
        </w:rPr>
        <w:footnoteReference w:id="1062"/>
      </w:r>
      <w:r>
        <w:t xml:space="preserve">. Na COVID-19 e no câncer, as afirmações positivas se baseiam predominantemente em estudos observacionais e estudos de baixa qualidade. O peptídeo é bem tolerado nos estudos – mas não existe um benefício comprovado como</w:t>
      </w:r>
      <w:r>
        <w:t xml:space="preserve"> </w:t>
      </w:r>
      <w:r>
        <w:t xml:space="preserve">“</w:t>
      </w:r>
      <w:r>
        <w:t xml:space="preserve">estimulante imunológico</w:t>
      </w:r>
      <w:r>
        <w:t xml:space="preserve">”</w:t>
      </w:r>
      <w:r>
        <w:t xml:space="preserve"> </w:t>
      </w:r>
      <w:r>
        <w:t xml:space="preserve">geral para pessoas saudáveis.</w:t>
      </w:r>
    </w:p>
    <w:bookmarkEnd w:id="1063"/>
    <w:bookmarkEnd w:id="1064"/>
    <w:bookmarkStart w:id="1087" w:name="kpv"/>
    <w:p>
      <w:pPr>
        <w:pStyle w:val="Heading2"/>
      </w:pPr>
      <w:r>
        <w:t xml:space="preserve">KPV</w:t>
      </w:r>
    </w:p>
    <w:p>
      <w:pPr>
        <w:pStyle w:val="FirstParagraph"/>
      </w:pPr>
      <w:r>
        <w:t xml:space="preserve">O KPV é o menor peptídeo deste livro: tem apenas três aminoácidos. Na internet, é oferecido como agente anti-inflamatório para intestino e pele, muitas vezes em cápsula ou creme, às vezes para injeção. A base científica para isso são experimentos com células e modelos com camundongos – estudos em humanos não existem.</w:t>
      </w:r>
    </w:p>
    <w:bookmarkStart w:id="1066" w:name="ficha-técnica-18"/>
    <w:p>
      <w:pPr>
        <w:pStyle w:val="Heading3"/>
      </w:pPr>
      <w:r>
        <w:t xml:space="preserve">Ficha técnica</w:t>
      </w:r>
    </w:p>
    <w:p>
      <w:pPr>
        <w:numPr>
          <w:ilvl w:val="0"/>
          <w:numId w:val="1127"/>
        </w:numPr>
        <w:pStyle w:val="Compact"/>
      </w:pPr>
      <w:r>
        <w:rPr>
          <w:bCs/>
          <w:b/>
        </w:rPr>
        <w:t xml:space="preserve">Tipo e estrutura:</w:t>
      </w:r>
      <w:r>
        <w:t xml:space="preserve"> </w:t>
      </w:r>
      <w:r>
        <w:t xml:space="preserve">tripeptídeo formado pelos aminoácidos lisina, prolina e valina (Lys-Pro-Val, daí KPV).</w:t>
      </w:r>
    </w:p>
    <w:p>
      <w:pPr>
        <w:numPr>
          <w:ilvl w:val="0"/>
          <w:numId w:val="1127"/>
        </w:numPr>
        <w:pStyle w:val="Compact"/>
      </w:pPr>
      <w:r>
        <w:rPr>
          <w:bCs/>
          <w:b/>
        </w:rPr>
        <w:t xml:space="preserve">Origem:</w:t>
      </w:r>
      <w:r>
        <w:t xml:space="preserve"> </w:t>
      </w:r>
      <w:r>
        <w:t xml:space="preserve">corresponde aos três últimos aminoácidos (posições 11 a 13) do hormônio endógeno alfa-MSH (hormônio estimulante dos melanócitos alfa), que participa, entre outras coisas, do bronzeamento da pele e do controle da inflamação</w:t>
      </w:r>
      <w:r>
        <w:rPr>
          <w:rStyle w:val="FootnoteReference"/>
        </w:rPr>
        <w:footnoteReference w:id="1065"/>
      </w:r>
      <w:r>
        <w:t xml:space="preserve">.</w:t>
      </w:r>
    </w:p>
    <w:p>
      <w:pPr>
        <w:numPr>
          <w:ilvl w:val="0"/>
          <w:numId w:val="1127"/>
        </w:numPr>
        <w:pStyle w:val="Compact"/>
      </w:pPr>
      <w:r>
        <w:rPr>
          <w:bCs/>
          <w:b/>
        </w:rPr>
        <w:t xml:space="preserve">Princípio de ação (suposto, a partir de estudos de laboratório e em animais):</w:t>
      </w:r>
      <w:r>
        <w:t xml:space="preserve"> </w:t>
      </w:r>
      <w:r>
        <w:t xml:space="preserve">inibição de vias de sinalização pró-inflamatórias em células intestinais e imunológicas após absorção pelo transportador de peptídeos PepT1.</w:t>
      </w:r>
    </w:p>
    <w:p>
      <w:pPr>
        <w:numPr>
          <w:ilvl w:val="0"/>
          <w:numId w:val="1127"/>
        </w:numPr>
        <w:pStyle w:val="Compact"/>
      </w:pPr>
      <w:r>
        <w:rPr>
          <w:bCs/>
          <w:b/>
        </w:rPr>
        <w:t xml:space="preserve">Aprovação UE/EUA:</w:t>
      </w:r>
      <w:r>
        <w:t xml:space="preserve"> </w:t>
      </w:r>
      <w:r>
        <w:t xml:space="preserve">não.</w:t>
      </w:r>
    </w:p>
    <w:p>
      <w:pPr>
        <w:numPr>
          <w:ilvl w:val="0"/>
          <w:numId w:val="1127"/>
        </w:numPr>
        <w:pStyle w:val="Compact"/>
      </w:pPr>
      <w:r>
        <w:rPr>
          <w:bCs/>
          <w:b/>
        </w:rPr>
        <w:t xml:space="preserve">WADA:</w:t>
      </w:r>
      <w:r>
        <w:t xml:space="preserve"> </w:t>
      </w:r>
      <w:r>
        <w:t xml:space="preserve">não listado expressamente; por ser uma substância não aprovada, enquadra-se, na opinião do autor, no grupo S0.</w:t>
      </w:r>
    </w:p>
    <w:p>
      <w:pPr>
        <w:numPr>
          <w:ilvl w:val="0"/>
          <w:numId w:val="1127"/>
        </w:numPr>
        <w:pStyle w:val="Compact"/>
      </w:pPr>
      <w:r>
        <w:rPr>
          <w:bCs/>
          <w:b/>
        </w:rPr>
        <w:t xml:space="preserve">Nível de evidência: D</w:t>
      </w:r>
      <w:r>
        <w:t xml:space="preserve"> </w:t>
      </w:r>
      <w:r>
        <w:t xml:space="preserve">– nenhum estudo publicado em humanos.</w:t>
      </w:r>
    </w:p>
    <w:bookmarkEnd w:id="1066"/>
    <w:bookmarkStart w:id="1071" w:name="como-deveria-agir-18"/>
    <w:p>
      <w:pPr>
        <w:pStyle w:val="Heading3"/>
      </w:pPr>
      <w:r>
        <w:t xml:space="preserve">Como deveria agir</w:t>
      </w:r>
    </w:p>
    <w:p>
      <w:pPr>
        <w:pStyle w:val="FirstParagraph"/>
      </w:pPr>
      <w:r>
        <w:t xml:space="preserve">O alfa-MSH é conhecido sobretudo como hormônio do bronzeamento, mas também tem ação anti-inflamatória. Já nos anos 1990, pesquisadores notaram que parte desse efeito depende dos três últimos aminoácidos. Em sangue humano de pessoas infectadas pelo HIV, o alfa-MSH e seu fragmento final KPV reduziram, em tubo de ensaio, a produção dos mensageiros inflamatórios interleucina-1 e TNF-alfa</w:t>
      </w:r>
      <w:r>
        <w:rPr>
          <w:rStyle w:val="FootnoteReference"/>
        </w:rPr>
        <w:footnoteReference w:id="1067"/>
      </w:r>
      <w:r>
        <w:t xml:space="preserve">.</w:t>
      </w:r>
    </w:p>
    <w:p>
      <w:pPr>
        <w:pStyle w:val="BodyText"/>
      </w:pPr>
      <w:r>
        <w:t xml:space="preserve">Diferentemente do hormônio completo, o KPV aparentemente não age pelos receptores de melanocortina clássicos. Em camundongos com peritonite, o KPV inibiu a migração de células inflamatórias sem aumentar o mensageiro típico cAMP; os autores supõem uma inibição do efeito da interleucina-1</w:t>
      </w:r>
      <w:r>
        <w:rPr>
          <w:rStyle w:val="FootnoteReference"/>
        </w:rPr>
        <w:footnoteReference w:id="1068"/>
      </w:r>
      <w:r>
        <w:t xml:space="preserve">. Isso tem uma vantagem prática: o KPV, diferentemente do melanotan ou de derivados do alfa-MSH, não deveria bronzear a pele.</w:t>
      </w:r>
    </w:p>
    <w:p>
      <w:pPr>
        <w:pStyle w:val="BodyText"/>
      </w:pPr>
      <w:r>
        <w:t xml:space="preserve">Um segundo mecanismo diz respeito ao intestino. Lá se encontra o transportador PepT1, que normalmente absorve pequenos fragmentos de proteínas da alimentação. Nas doenças inflamatórias intestinais crônicas, o PepT1 também é produzido em maior quantidade no intestino grosso. Em culturas de células intestinais e imunológicas humanas, o KPV foi absorvido pelo PepT1 e inibiu, em concentrações muito baixas, os interruptores inflamatórios NF-kappaB e MAP-quinases</w:t>
      </w:r>
      <w:r>
        <w:rPr>
          <w:rStyle w:val="FootnoteReference"/>
        </w:rPr>
        <w:footnoteReference w:id="1069"/>
      </w:r>
      <w:r>
        <w:t xml:space="preserve">. Daí surgiu a ideia de usar o KPV como comprimido contra inflamações intestinais.</w:t>
      </w:r>
    </w:p>
    <w:p>
      <w:pPr>
        <w:pStyle w:val="BodyText"/>
      </w:pPr>
      <w:r>
        <w:t xml:space="preserve">Além disso, alfa-MSH e KPV inibiram em laboratório o crescimento da bactéria Staphylococcus aureus e do fungo Candida albicans</w:t>
      </w:r>
      <w:r>
        <w:rPr>
          <w:rStyle w:val="FootnoteReference"/>
        </w:rPr>
        <w:footnoteReference w:id="1070"/>
      </w:r>
      <w:r>
        <w:t xml:space="preserve">.</w:t>
      </w:r>
    </w:p>
    <w:bookmarkEnd w:id="1071"/>
    <w:bookmarkStart w:id="1076" w:name="estudos-em-humanos-18"/>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0</w:t>
      </w:r>
      <w:r>
        <w:t xml:space="preserve"> </w:t>
      </w:r>
      <w:r>
        <w:t xml:space="preserve">estudos em humanos no PubMed e</w:t>
      </w:r>
      <w:r>
        <w:t xml:space="preserve"> </w:t>
      </w:r>
      <w:r>
        <w:rPr>
          <w:bCs/>
          <w:b/>
        </w:rPr>
        <w:t xml:space="preserve">0</w:t>
      </w:r>
      <w:r>
        <w:t xml:space="preserve"> </w:t>
      </w:r>
      <w:r>
        <w:t xml:space="preserve">registros no ClinicalTrials.gov. Também uma busca direcionada adicional por estudos-piloto, relatos de caso ou notificações de efeitos colaterais não encontrou nenhuma publicação na qual pessoas tenham recebido KPV.</w:t>
      </w:r>
    </w:p>
    <w:p>
      <w:pPr>
        <w:pStyle w:val="BodyText"/>
      </w:pPr>
      <w:r>
        <w:t xml:space="preserve">O que existe são experimentos de laboratório com células ou tecidos humanos, por exemplo:</w:t>
      </w:r>
    </w:p>
    <w:p>
      <w:pPr>
        <w:numPr>
          <w:ilvl w:val="0"/>
          <w:numId w:val="1128"/>
        </w:numPr>
        <w:pStyle w:val="Compact"/>
      </w:pPr>
      <w:r>
        <w:t xml:space="preserve">amostras de sangue de pessoas infectadas pelo HIV, nas quais o KPV reduziu a produção de mensageiros inflamatórios</w:t>
      </w:r>
      <w:r>
        <w:rPr>
          <w:rStyle w:val="FootnoteReference"/>
        </w:rPr>
        <w:footnoteReference w:id="1072"/>
      </w:r>
      <w:r>
        <w:t xml:space="preserve">,</w:t>
      </w:r>
    </w:p>
    <w:p>
      <w:pPr>
        <w:numPr>
          <w:ilvl w:val="0"/>
          <w:numId w:val="1128"/>
        </w:numPr>
        <w:pStyle w:val="Compact"/>
      </w:pPr>
      <w:r>
        <w:t xml:space="preserve">linhagens de células de pele humana</w:t>
      </w:r>
      <w:r>
        <w:rPr>
          <w:rStyle w:val="FootnoteReference"/>
        </w:rPr>
        <w:footnoteReference w:id="1073"/>
      </w:r>
      <w:r>
        <w:t xml:space="preserve">,</w:t>
      </w:r>
    </w:p>
    <w:p>
      <w:pPr>
        <w:numPr>
          <w:ilvl w:val="0"/>
          <w:numId w:val="1128"/>
        </w:numPr>
        <w:pStyle w:val="Compact"/>
      </w:pPr>
      <w:r>
        <w:t xml:space="preserve">pele humana doada, na qual se testou se o KPV atravessa a pele com microagulhas e corrente elétrica fraca – sem auxílio, não penetrou de forma mensurável</w:t>
      </w:r>
      <w:r>
        <w:rPr>
          <w:rStyle w:val="FootnoteReference"/>
        </w:rPr>
        <w:footnoteReference w:id="1074"/>
      </w:r>
      <w:r>
        <w:t xml:space="preserve">.</w:t>
      </w:r>
    </w:p>
    <w:p>
      <w:pPr>
        <w:pStyle w:val="FirstParagraph"/>
      </w:pPr>
      <w:r>
        <w:t xml:space="preserve">Esses trabalhos dizem algo sobre mecanismos e formas farmacêuticas, mas nada sobre eficácia ou segurança em humanos.</w:t>
      </w:r>
    </w:p>
    <w:p>
      <w:pPr>
        <w:pStyle w:val="BodyText"/>
      </w:pPr>
      <w:r>
        <w:t xml:space="preserve">Um parente próximo, a molécula dupla artificial (CKPV)2, foi estudada clinicamente em meados dos anos 2000 como agente contra infecções fúngicas; um trabalho de 2006 menciona que ela estaria</w:t>
      </w:r>
      <w:r>
        <w:t xml:space="preserve"> </w:t>
      </w:r>
      <w:r>
        <w:t xml:space="preserve">“</w:t>
      </w:r>
      <w:r>
        <w:t xml:space="preserve">atualmente em teste clínico</w:t>
      </w:r>
      <w:r>
        <w:t xml:space="preserve">”</w:t>
      </w:r>
      <w:r>
        <w:rPr>
          <w:rStyle w:val="FootnoteReference"/>
        </w:rPr>
        <w:footnoteReference w:id="1075"/>
      </w:r>
      <w:r>
        <w:t xml:space="preserve">. Os resultados desses estudos não foram publicados no PubMed. Além disso, o (CKPV)2 é uma substância diferente do KPV vendido na internet.</w:t>
      </w:r>
    </w:p>
    <w:bookmarkEnd w:id="1076"/>
    <w:bookmarkStart w:id="1077" w:name="estudos-em-animais-e-em-laboratório-18"/>
    <w:p>
      <w:pPr>
        <w:pStyle w:val="Heading3"/>
      </w:pPr>
      <w:r>
        <w:t xml:space="preserve">Estudos em animais e em laboratório</w:t>
      </w:r>
    </w:p>
    <w:p>
      <w:pPr>
        <w:pStyle w:val="FirstParagraph"/>
      </w:pPr>
      <w:r>
        <w:t xml:space="preserve">O foco da pesquisa está nas doenças inflamatórias intestinais crônicas. Todos os resultados a seguir vêm de experimentos com camundongos: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colite induzida quimicamente em camundongos, KPV na água de beber</w:t>
            </w:r>
          </w:p>
        </w:tc>
        <w:tc>
          <w:tcPr/>
          <w:p>
            <w:pPr>
              <w:pStyle w:val="Compact"/>
              <w:jc w:val="left"/>
            </w:pPr>
            <w:r>
              <w:t xml:space="preserve">menos inflamação, menos mensageiros inflamatórios</w:t>
            </w:r>
          </w:p>
        </w:tc>
      </w:tr>
      <w:tr>
        <w:tc>
          <w:tcPr/>
          <w:p>
            <w:pPr>
              <w:pStyle w:val="Compact"/>
              <w:jc w:val="left"/>
            </w:pPr>
            <w:r>
              <w:t xml:space="preserve">Kannengiesser 2008, PMID 18092346</w:t>
            </w:r>
          </w:p>
        </w:tc>
        <w:tc>
          <w:tcPr/>
          <w:p>
            <w:pPr>
              <w:pStyle w:val="Compact"/>
              <w:jc w:val="left"/>
            </w:pPr>
            <w:r>
              <w:t xml:space="preserve">dois modelos de colite em camundongos</w:t>
            </w:r>
          </w:p>
        </w:tc>
        <w:tc>
          <w:tcPr/>
          <w:p>
            <w:pPr>
              <w:pStyle w:val="Compact"/>
              <w:jc w:val="left"/>
            </w:pPr>
            <w:r>
              <w:t xml:space="preserve">recuperação mais rápida, menos células inflamatórias; em um modelo, todos os animais tratados sobreviveram</w:t>
            </w:r>
          </w:p>
        </w:tc>
      </w:tr>
      <w:tr>
        <w:tc>
          <w:tcPr/>
          <w:p>
            <w:pPr>
              <w:pStyle w:val="Compact"/>
              <w:jc w:val="left"/>
            </w:pPr>
            <w:r>
              <w:t xml:space="preserve">Viennois 2016, PMID 27458604</w:t>
            </w:r>
          </w:p>
        </w:tc>
        <w:tc>
          <w:tcPr/>
          <w:p>
            <w:pPr>
              <w:pStyle w:val="Compact"/>
              <w:jc w:val="left"/>
            </w:pPr>
            <w:r>
              <w:t xml:space="preserve">câncer intestinal associado à inflamação em camundongos</w:t>
            </w:r>
          </w:p>
        </w:tc>
        <w:tc>
          <w:tcPr/>
          <w:p>
            <w:pPr>
              <w:pStyle w:val="Compact"/>
              <w:jc w:val="left"/>
            </w:pPr>
            <w:r>
              <w:t xml:space="preserve">o KPV impediu o surgimento de tumores, mas apenas em camundongos com PepT1 funcional</w:t>
            </w:r>
          </w:p>
        </w:tc>
      </w:tr>
      <w:tr>
        <w:tc>
          <w:tcPr/>
          <w:p>
            <w:pPr>
              <w:pStyle w:val="Compact"/>
              <w:jc w:val="left"/>
            </w:pPr>
            <w:r>
              <w:t xml:space="preserve">Xiao 2017, PMID 28143741</w:t>
            </w:r>
          </w:p>
        </w:tc>
        <w:tc>
          <w:tcPr/>
          <w:p>
            <w:pPr>
              <w:pStyle w:val="Compact"/>
              <w:jc w:val="left"/>
            </w:pPr>
            <w:r>
              <w:t xml:space="preserve">colite em camundongos, KPV em nanopartículas</w:t>
            </w:r>
          </w:p>
        </w:tc>
        <w:tc>
          <w:tcPr/>
          <w:p>
            <w:pPr>
              <w:pStyle w:val="Compact"/>
              <w:jc w:val="left"/>
            </w:pPr>
            <w:r>
              <w:t xml:space="preserve">efeito mais forte do que o KPV livre</w:t>
            </w:r>
          </w:p>
        </w:tc>
      </w:tr>
    </w:tbl>
    <w:p>
      <w:pPr>
        <w:pStyle w:val="BodyText"/>
      </w:pPr>
      <w:r>
        <w:t xml:space="preserve">Outros trabalhos estudam o KPV em hidrogéis para feridas e mucosas, em nanopartículas contra calcificação vascular ou no metabolismo de células de gordura – quase exclusivamente em cultura de células ou em roedores. Chama atenção que grande parte da literatura mais recente desenvolve formas farmacêuticas (nanopartículas, géis, adesivos). Isso mostra que o KPV sozinho, como comprimido ou creme, aparentemente não chega bem o suficiente ao local de ação – um ponto relevante para os produtos vendidos livremente.</w:t>
      </w:r>
    </w:p>
    <w:bookmarkEnd w:id="1077"/>
    <w:bookmarkStart w:id="1082" w:name="riscos-e-efeitos-colaterais-18"/>
    <w:p>
      <w:pPr>
        <w:pStyle w:val="Heading3"/>
      </w:pPr>
      <w:r>
        <w:t xml:space="preserve">Riscos e efeitos colaterais</w:t>
      </w:r>
    </w:p>
    <w:bookmarkStart w:id="1078" w:name="comprovados-2"/>
    <w:p>
      <w:pPr>
        <w:pStyle w:val="Heading4"/>
      </w:pPr>
      <w:r>
        <w:t xml:space="preserve">Comprovados</w:t>
      </w:r>
    </w:p>
    <w:p>
      <w:pPr>
        <w:pStyle w:val="FirstParagraph"/>
      </w:pPr>
      <w:r>
        <w:t xml:space="preserve">Nenhum – porque não há estudos em humanos. A ausência de efeitos colaterais notificados não é, aqui, indício de segurança.</w:t>
      </w:r>
    </w:p>
    <w:bookmarkEnd w:id="1078"/>
    <w:bookmarkStart w:id="1081" w:name="teóricos"/>
    <w:p>
      <w:pPr>
        <w:pStyle w:val="Heading4"/>
      </w:pPr>
      <w:r>
        <w:t xml:space="preserve">Teóricos</w:t>
      </w:r>
    </w:p>
    <w:p>
      <w:pPr>
        <w:numPr>
          <w:ilvl w:val="0"/>
          <w:numId w:val="1129"/>
        </w:numPr>
        <w:pStyle w:val="Compact"/>
      </w:pPr>
      <w:r>
        <w:rPr>
          <w:bCs/>
          <w:b/>
        </w:rPr>
        <w:t xml:space="preserve">Atenuação da defesa:</w:t>
      </w:r>
      <w:r>
        <w:t xml:space="preserve"> </w:t>
      </w:r>
      <w:r>
        <w:t xml:space="preserve">uma substância que inibe sinais inflamatórios poderia, em princípio, também prejudicar a defesa contra infecções. Os achados de laboratório apontam antes para um efeito antimicrobiano próprio</w:t>
      </w:r>
      <w:r>
        <w:rPr>
          <w:rStyle w:val="FootnoteReference"/>
        </w:rPr>
        <w:footnoteReference w:id="1079"/>
      </w:r>
      <w:r>
        <w:t xml:space="preserve">, mas faltam dados em humanos.</w:t>
      </w:r>
    </w:p>
    <w:p>
      <w:pPr>
        <w:numPr>
          <w:ilvl w:val="0"/>
          <w:numId w:val="1129"/>
        </w:numPr>
        <w:pStyle w:val="Compact"/>
      </w:pPr>
      <w:r>
        <w:rPr>
          <w:bCs/>
          <w:b/>
        </w:rPr>
        <w:t xml:space="preserve">Absorção e dose incertas:</w:t>
      </w:r>
      <w:r>
        <w:t xml:space="preserve"> </w:t>
      </w:r>
      <w:r>
        <w:t xml:space="preserve">quanto KPV de uma cápsula ou creme se torna de fato eficaz não foi estudado em humanos.</w:t>
      </w:r>
    </w:p>
    <w:p>
      <w:pPr>
        <w:numPr>
          <w:ilvl w:val="0"/>
          <w:numId w:val="1129"/>
        </w:numPr>
        <w:pStyle w:val="Compact"/>
      </w:pPr>
      <w:r>
        <w:rPr>
          <w:bCs/>
          <w:b/>
        </w:rPr>
        <w:t xml:space="preserve">Qualidade do mercado cinza:</w:t>
      </w:r>
      <w:r>
        <w:t xml:space="preserve"> </w:t>
      </w:r>
      <w:r>
        <w:t xml:space="preserve">o KPV é vendido como</w:t>
      </w:r>
      <w:r>
        <w:t xml:space="preserve"> </w:t>
      </w:r>
      <w:r>
        <w:t xml:space="preserve">“</w:t>
      </w:r>
      <w:r>
        <w:t xml:space="preserve">peptídeo de pesquisa</w:t>
      </w:r>
      <w:r>
        <w:t xml:space="preserve">”</w:t>
      </w:r>
      <w:r>
        <w:t xml:space="preserve"> </w:t>
      </w:r>
      <w:r>
        <w:t xml:space="preserve">sem controle farmacêutico. Uma revisão de medicina esportiva cita expressamente o KPV entre os fragmentos de peptídeos que circulam nos meios do fisiculturismo e alerta para produtos rotulados incorretamente ou contaminados</w:t>
      </w:r>
      <w:r>
        <w:rPr>
          <w:rStyle w:val="FootnoteReference"/>
        </w:rPr>
        <w:footnoteReference w:id="1080"/>
      </w:r>
      <w:r>
        <w:t xml:space="preserve">.</w:t>
      </w:r>
    </w:p>
    <w:bookmarkEnd w:id="1081"/>
    <w:bookmarkEnd w:id="1082"/>
    <w:bookmarkStart w:id="1083" w:name="situação-legal-18"/>
    <w:p>
      <w:pPr>
        <w:pStyle w:val="Heading3"/>
      </w:pPr>
      <w:r>
        <w:t xml:space="preserve">Situação legal</w:t>
      </w:r>
    </w:p>
    <w:p>
      <w:pPr>
        <w:pStyle w:val="FirstParagraph"/>
      </w:pPr>
      <w:r>
        <w:rPr>
          <w:iCs/>
          <w:i/>
        </w:rPr>
        <w:t xml:space="preserve">Situação em 2026, verificar atualização.</w:t>
      </w:r>
    </w:p>
    <w:p>
      <w:pPr>
        <w:numPr>
          <w:ilvl w:val="0"/>
          <w:numId w:val="1130"/>
        </w:numPr>
        <w:pStyle w:val="Compact"/>
      </w:pPr>
      <w:r>
        <w:rPr>
          <w:bCs/>
          <w:b/>
        </w:rPr>
        <w:t xml:space="preserve">UE, Alemanha, Áustria:</w:t>
      </w:r>
      <w:r>
        <w:t xml:space="preserve"> </w:t>
      </w:r>
      <w:r>
        <w:t xml:space="preserve">não aprovado como medicamento. Se o KPV é oferecido com alegações de alívio de doenças, é considerado um medicamento não aprovado. Como componente de cosméticos, valem as regras do regulamento europeu de cosméticos; promessas de cura não são permitidas nesse âmbito.</w:t>
      </w:r>
    </w:p>
    <w:p>
      <w:pPr>
        <w:numPr>
          <w:ilvl w:val="0"/>
          <w:numId w:val="1130"/>
        </w:numPr>
        <w:pStyle w:val="Compact"/>
      </w:pPr>
      <w:r>
        <w:rPr>
          <w:bCs/>
          <w:b/>
        </w:rPr>
        <w:t xml:space="preserve">EUA:</w:t>
      </w:r>
      <w:r>
        <w:t xml:space="preserve"> </w:t>
      </w:r>
      <w:r>
        <w:t xml:space="preserve">sem aprovação da FDA.</w:t>
      </w:r>
    </w:p>
    <w:p>
      <w:pPr>
        <w:numPr>
          <w:ilvl w:val="0"/>
          <w:numId w:val="1130"/>
        </w:numPr>
        <w:pStyle w:val="Compact"/>
      </w:pPr>
      <w:r>
        <w:rPr>
          <w:bCs/>
          <w:b/>
        </w:rPr>
        <w:t xml:space="preserve">WADA:</w:t>
      </w:r>
      <w:r>
        <w:t xml:space="preserve"> </w:t>
      </w:r>
      <w:r>
        <w:t xml:space="preserve">não listado nominalmente. Como substância farmacologicamente ativa sem aprovação, o KPV se enquadra, na opinião do autor, na S0 (substâncias não aprovadas).</w:t>
      </w:r>
    </w:p>
    <w:bookmarkEnd w:id="1083"/>
    <w:bookmarkStart w:id="1084" w:name="estudos-em-andamento-e-perspectivas-18"/>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com KPV registrado.</w:t>
      </w:r>
    </w:p>
    <w:p>
      <w:pPr>
        <w:pStyle w:val="BodyText"/>
      </w:pPr>
      <w:r>
        <w:rPr>
          <w:bCs/>
          <w:b/>
        </w:rPr>
        <w:t xml:space="preserve">Avaliação do autor:</w:t>
      </w:r>
      <w:r>
        <w:t xml:space="preserve"> </w:t>
      </w:r>
      <w:r>
        <w:t xml:space="preserve">os dados em camundongos sobre inflamações intestinais são consistentes e vêm de vários grupos independentes – isso é mais do que muitos outros</w:t>
      </w:r>
      <w:r>
        <w:t xml:space="preserve"> </w:t>
      </w:r>
      <w:r>
        <w:t xml:space="preserve">“</w:t>
      </w:r>
      <w:r>
        <w:t xml:space="preserve">peptídeos de pesquisa</w:t>
      </w:r>
      <w:r>
        <w:t xml:space="preserve">”</w:t>
      </w:r>
      <w:r>
        <w:t xml:space="preserve"> </w:t>
      </w:r>
      <w:r>
        <w:t xml:space="preserve">podem apresentar. Sem uma empresa que desenvolva o KPV como medicamento, porém, um estudo em humanos não está à vista. É mais provável que o KPV continue sendo pesquisado em laboratório como componente de novas formas farmacêuticas (nanopartículas, géis).</w:t>
      </w:r>
    </w:p>
    <w:bookmarkEnd w:id="1084"/>
    <w:bookmarkStart w:id="1086" w:name="conclusão-18"/>
    <w:p>
      <w:pPr>
        <w:pStyle w:val="Heading3"/>
      </w:pPr>
      <w:r>
        <w:t xml:space="preserve">Conclusão</w:t>
      </w:r>
    </w:p>
    <w:p>
      <w:pPr>
        <w:pStyle w:val="FirstParagraph"/>
      </w:pPr>
      <w:r>
        <w:t xml:space="preserve">O KPV é um fragmento de três aminoácidos do hormônio endógeno alfa-MSH que, em culturas de células e em camundongos, reduziu claramente inflamações no intestino</w:t>
      </w:r>
      <w:r>
        <w:rPr>
          <w:rStyle w:val="FootnoteReference"/>
        </w:rPr>
        <w:footnoteReference w:id="1085"/>
      </w:r>
      <w:r>
        <w:t xml:space="preserve">. Em humanos, o KPV nunca foi estudado – nem quanto ao efeito, nem quanto à segurança. Todas as afirmações sobre efeitos no intestino ou na pele em humanos são, portanto, suposições baseadas em experimentos com animais. Quem usa produtos de KPV da internet participa de um autoexperimento não controlado com produtos de qualidade desconhecida.</w:t>
      </w:r>
    </w:p>
    <w:bookmarkEnd w:id="1086"/>
    <w:bookmarkEnd w:id="1087"/>
    <w:bookmarkStart w:id="1122" w:name="ll-37"/>
    <w:p>
      <w:pPr>
        <w:pStyle w:val="Heading2"/>
      </w:pPr>
      <w:r>
        <w:t xml:space="preserve">LL-37</w:t>
      </w:r>
    </w:p>
    <w:p>
      <w:pPr>
        <w:pStyle w:val="FirstParagraph"/>
      </w:pPr>
      <w:r>
        <w:t xml:space="preserve">O LL-37 é um peptídeo de defesa do próprio corpo. Pele, mucosas e glóbulos brancos o produzem para matar bactérias, fungos e vírus. Na cena dos peptídeos, ele é oferecido como</w:t>
      </w:r>
      <w:r>
        <w:t xml:space="preserve"> </w:t>
      </w:r>
      <w:r>
        <w:t xml:space="preserve">“</w:t>
      </w:r>
      <w:r>
        <w:t xml:space="preserve">antibiótico natural</w:t>
      </w:r>
      <w:r>
        <w:t xml:space="preserve">”</w:t>
      </w:r>
      <w:r>
        <w:t xml:space="preserve"> </w:t>
      </w:r>
      <w:r>
        <w:t xml:space="preserve">e como agente contra infecções crônicas, borreliose (doença de Lyme) ou</w:t>
      </w:r>
      <w:r>
        <w:t xml:space="preserve"> </w:t>
      </w:r>
      <w:r>
        <w:t xml:space="preserve">“</w:t>
      </w:r>
      <w:r>
        <w:t xml:space="preserve">imunodeficiência</w:t>
      </w:r>
      <w:r>
        <w:t xml:space="preserve">”</w:t>
      </w:r>
      <w:r>
        <w:t xml:space="preserve">. Na base de estudos, é preciso distinguir com cuidado: há muitíssimas pesquisas nas quais o LL-37 foi</w:t>
      </w:r>
      <w:r>
        <w:t xml:space="preserve"> </w:t>
      </w:r>
      <w:r>
        <w:rPr>
          <w:iCs/>
          <w:i/>
        </w:rPr>
        <w:t xml:space="preserve">medido</w:t>
      </w:r>
      <w:r>
        <w:t xml:space="preserve"> </w:t>
      </w:r>
      <w:r>
        <w:t xml:space="preserve">no sangue ou em tecidos – mas apenas um punhado nas quais pessoas</w:t>
      </w:r>
      <w:r>
        <w:t xml:space="preserve"> </w:t>
      </w:r>
      <w:r>
        <w:rPr>
          <w:iCs/>
          <w:i/>
        </w:rPr>
        <w:t xml:space="preserve">receberam</w:t>
      </w:r>
      <w:r>
        <w:t xml:space="preserve"> </w:t>
      </w:r>
      <w:r>
        <w:t xml:space="preserve">LL-37 como substância ativa.</w:t>
      </w:r>
    </w:p>
    <w:bookmarkStart w:id="1089" w:name="ficha-técnica-19"/>
    <w:p>
      <w:pPr>
        <w:pStyle w:val="Heading3"/>
      </w:pPr>
      <w:r>
        <w:t xml:space="preserve">Ficha técnica</w:t>
      </w:r>
    </w:p>
    <w:p>
      <w:pPr>
        <w:numPr>
          <w:ilvl w:val="0"/>
          <w:numId w:val="1131"/>
        </w:numPr>
        <w:pStyle w:val="Compact"/>
      </w:pPr>
      <w:r>
        <w:rPr>
          <w:bCs/>
          <w:b/>
        </w:rPr>
        <w:t xml:space="preserve">Tipo e estrutura:</w:t>
      </w:r>
      <w:r>
        <w:t xml:space="preserve"> </w:t>
      </w:r>
      <w:r>
        <w:t xml:space="preserve">peptídeo de 37 aminoácidos, dos quais os dois primeiros são leucinas (daí</w:t>
      </w:r>
      <w:r>
        <w:t xml:space="preserve"> </w:t>
      </w:r>
      <w:r>
        <w:t xml:space="preserve">“</w:t>
      </w:r>
      <w:r>
        <w:t xml:space="preserve">LL</w:t>
      </w:r>
      <w:r>
        <w:t xml:space="preserve">”</w:t>
      </w:r>
      <w:r>
        <w:t xml:space="preserve">). Única catelicidina do ser humano – assim se chama uma família de peptídeos de defesa.</w:t>
      </w:r>
    </w:p>
    <w:p>
      <w:pPr>
        <w:numPr>
          <w:ilvl w:val="0"/>
          <w:numId w:val="1131"/>
        </w:numPr>
        <w:pStyle w:val="Compact"/>
      </w:pPr>
      <w:r>
        <w:rPr>
          <w:bCs/>
          <w:b/>
        </w:rPr>
        <w:t xml:space="preserve">Origem:</w:t>
      </w:r>
      <w:r>
        <w:t xml:space="preserve"> </w:t>
      </w:r>
      <w:r>
        <w:t xml:space="preserve">é clivado da proteína precursora hCAP18; o gene correspondente (CAMP) é ativado, entre outros, pela vitamina D</w:t>
      </w:r>
      <w:r>
        <w:rPr>
          <w:rStyle w:val="FootnoteReference"/>
        </w:rPr>
        <w:footnoteReference w:id="1088"/>
      </w:r>
      <w:r>
        <w:t xml:space="preserve">.</w:t>
      </w:r>
    </w:p>
    <w:p>
      <w:pPr>
        <w:numPr>
          <w:ilvl w:val="0"/>
          <w:numId w:val="1131"/>
        </w:numPr>
        <w:pStyle w:val="Compact"/>
      </w:pPr>
      <w:r>
        <w:rPr>
          <w:bCs/>
          <w:b/>
        </w:rPr>
        <w:t xml:space="preserve">Princípio de ação:</w:t>
      </w:r>
      <w:r>
        <w:t xml:space="preserve"> </w:t>
      </w:r>
      <w:r>
        <w:t xml:space="preserve">destrói o envoltório de micróbios; ao mesmo tempo, atrai células imunológicas, favorece a formação de novos vasos e a cicatrização de feridas e influencia reações inflamatórias.</w:t>
      </w:r>
    </w:p>
    <w:p>
      <w:pPr>
        <w:numPr>
          <w:ilvl w:val="0"/>
          <w:numId w:val="1131"/>
        </w:numPr>
        <w:pStyle w:val="Compact"/>
      </w:pPr>
      <w:r>
        <w:rPr>
          <w:bCs/>
          <w:b/>
        </w:rPr>
        <w:t xml:space="preserve">Aprovação UE/EUA:</w:t>
      </w:r>
      <w:r>
        <w:t xml:space="preserve"> </w:t>
      </w:r>
      <w:r>
        <w:t xml:space="preserve">não.</w:t>
      </w:r>
    </w:p>
    <w:p>
      <w:pPr>
        <w:numPr>
          <w:ilvl w:val="0"/>
          <w:numId w:val="1131"/>
        </w:numPr>
        <w:pStyle w:val="Compact"/>
      </w:pPr>
      <w:r>
        <w:rPr>
          <w:bCs/>
          <w:b/>
        </w:rPr>
        <w:t xml:space="preserve">WADA:</w:t>
      </w:r>
      <w:r>
        <w:t xml:space="preserve"> </w:t>
      </w:r>
      <w:r>
        <w:t xml:space="preserve">não listado expressamente; por ser uma substância não aprovada, enquadra-se, na opinião do autor, na S0.</w:t>
      </w:r>
    </w:p>
    <w:p>
      <w:pPr>
        <w:numPr>
          <w:ilvl w:val="0"/>
          <w:numId w:val="1131"/>
        </w:numPr>
        <w:pStyle w:val="Compact"/>
      </w:pPr>
      <w:r>
        <w:rPr>
          <w:bCs/>
          <w:b/>
        </w:rPr>
        <w:t xml:space="preserve">Nível de evidência: B</w:t>
      </w:r>
      <w:r>
        <w:t xml:space="preserve"> </w:t>
      </w:r>
      <w:r>
        <w:t xml:space="preserve">– estudos randomizados isolados, pequenos a médios, com aplicação local em feridas; o maior deles não atingiu seu objetivo principal.</w:t>
      </w:r>
    </w:p>
    <w:bookmarkEnd w:id="1089"/>
    <w:bookmarkStart w:id="1094" w:name="como-deveria-agir-19"/>
    <w:p>
      <w:pPr>
        <w:pStyle w:val="Heading3"/>
      </w:pPr>
      <w:r>
        <w:t xml:space="preserve">Como deveria agir</w:t>
      </w:r>
    </w:p>
    <w:p>
      <w:pPr>
        <w:pStyle w:val="FirstParagraph"/>
      </w:pPr>
      <w:r>
        <w:t xml:space="preserve">O LL-37 faz parte do sistema imunológico inato, a primeira linha de defesa, inespecífica. O peptídeo tem carga positiva e se deposita nos envoltórios de bactérias, de carga negativa, que assim se tornam permeáveis. Além disso, age como sinalizador: atrai glóbulos brancos e estimula células da pele a migrar – por isso ficou interessante para a cicatrização de feridas.</w:t>
      </w:r>
    </w:p>
    <w:p>
      <w:pPr>
        <w:pStyle w:val="BodyText"/>
      </w:pPr>
      <w:r>
        <w:t xml:space="preserve">A produção de LL-37 no ser humano está estreitamente ligada à vitamina D. O gene da proteína precursora tem um interruptor ao qual o receptor de vitamina D se liga; esse interruptor existe em primatas, mas não em camundongos, ratos ou cães</w:t>
      </w:r>
      <w:r>
        <w:rPr>
          <w:rStyle w:val="FootnoteReference"/>
        </w:rPr>
        <w:footnoteReference w:id="1090"/>
      </w:r>
      <w:r>
        <w:t xml:space="preserve">. Isso explica por que muitos estudos administram vitamina D e medem o LL-37 – e por que experimentos com animais sobre o LL-37 só podem ser transferidos para humanos de forma limitada.</w:t>
      </w:r>
    </w:p>
    <w:p>
      <w:pPr>
        <w:pStyle w:val="BodyText"/>
      </w:pPr>
      <w:r>
        <w:t xml:space="preserve">O outro lado: o LL-37 também pode atiçar inflamações. Na psoríase, o LL-37 liga material genético próprio de células desintegradas e o torna</w:t>
      </w:r>
      <w:r>
        <w:t xml:space="preserve"> </w:t>
      </w:r>
      <w:r>
        <w:t xml:space="preserve">“</w:t>
      </w:r>
      <w:r>
        <w:t xml:space="preserve">visível</w:t>
      </w:r>
      <w:r>
        <w:t xml:space="preserve">”</w:t>
      </w:r>
      <w:r>
        <w:t xml:space="preserve"> </w:t>
      </w:r>
      <w:r>
        <w:t xml:space="preserve">para determinadas células imunológicas, que então liberam interferon</w:t>
      </w:r>
      <w:r>
        <w:rPr>
          <w:rStyle w:val="FootnoteReference"/>
        </w:rPr>
        <w:footnoteReference w:id="1091"/>
      </w:r>
      <w:r>
        <w:t xml:space="preserve">. Em dois terços das pessoas estudadas com psoríase moderada a grave, foram encontradas células T dirigidas contra o próprio LL-37</w:t>
      </w:r>
      <w:r>
        <w:rPr>
          <w:rStyle w:val="FootnoteReference"/>
        </w:rPr>
        <w:footnoteReference w:id="1092"/>
      </w:r>
      <w:r>
        <w:t xml:space="preserve">. Na rosácea, os afetados produzem uma quantidade incomumente alta de LL-37 na pele do rosto, e em camundongos a injeção desses peptídeos provocou inflamações cutâneas</w:t>
      </w:r>
      <w:r>
        <w:rPr>
          <w:rStyle w:val="FootnoteReference"/>
        </w:rPr>
        <w:footnoteReference w:id="1093"/>
      </w:r>
      <w:r>
        <w:t xml:space="preserve">.</w:t>
      </w:r>
    </w:p>
    <w:bookmarkEnd w:id="1094"/>
    <w:bookmarkStart w:id="1106" w:name="estudos-em-humanos-19"/>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91</w:t>
      </w:r>
      <w:r>
        <w:t xml:space="preserve"> </w:t>
      </w:r>
      <w:r>
        <w:t xml:space="preserve">publicações classificadas como estudo em humanos e</w:t>
      </w:r>
      <w:r>
        <w:t xml:space="preserve"> </w:t>
      </w:r>
      <w:r>
        <w:rPr>
          <w:bCs/>
          <w:b/>
        </w:rPr>
        <w:t xml:space="preserve">20</w:t>
      </w:r>
      <w:r>
        <w:t xml:space="preserve"> </w:t>
      </w:r>
      <w:r>
        <w:t xml:space="preserve">registros no ClinicalTrials.gov. A grande maioria delas</w:t>
      </w:r>
      <w:r>
        <w:t xml:space="preserve"> </w:t>
      </w:r>
      <w:r>
        <w:rPr>
          <w:iCs/>
          <w:i/>
        </w:rPr>
        <w:t xml:space="preserve">não</w:t>
      </w:r>
      <w:r>
        <w:t xml:space="preserve"> </w:t>
      </w:r>
      <w:r>
        <w:t xml:space="preserve">administra LL-37 como substância ativa: trata-se de estudos com vitamina D ou probióticos que registram o LL-37 como valor medido, ou de estudos observacionais sobre níveis de LL-37 em doenças. Estudos nos quais o próprio LL-37 foi administrado são apenas cinco no PubMed; no registro, são dois.</w:t>
      </w:r>
    </w:p>
    <w:bookmarkStart w:id="1099" w:name="X2c9b162463e66716727d4799f9949fb437af42f"/>
    <w:p>
      <w:pPr>
        <w:pStyle w:val="Heading4"/>
      </w:pPr>
      <w:r>
        <w:t xml:space="preserve">Estudos de intervenção: LL-37 como substância ativa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Úlceras venosas de perna (Grönberg 2014, PMID 25041740)</w:t>
            </w:r>
          </w:p>
        </w:tc>
        <w:tc>
          <w:tcPr/>
          <w:p>
            <w:pPr>
              <w:pStyle w:val="Compact"/>
              <w:jc w:val="left"/>
            </w:pPr>
            <w:r>
              <w:t xml:space="preserve">34 pessoas, primeira aplicação em humanos, ECR duplo-cego com três concentrações e placebo</w:t>
            </w:r>
          </w:p>
        </w:tc>
        <w:tc>
          <w:tcPr/>
          <w:p>
            <w:pPr>
              <w:pStyle w:val="Compact"/>
              <w:jc w:val="left"/>
            </w:pPr>
            <w:r>
              <w:t xml:space="preserve">4 semanas de tratamento</w:t>
            </w:r>
          </w:p>
        </w:tc>
        <w:tc>
          <w:tcPr/>
          <w:p>
            <w:pPr>
              <w:pStyle w:val="Compact"/>
              <w:jc w:val="left"/>
            </w:pPr>
            <w:r>
              <w:t xml:space="preserve">área da ferida reduzida 68% com a menor concentração e 50% com a intermediária; concentração mais alta não melhor que placebo</w:t>
            </w:r>
          </w:p>
        </w:tc>
      </w:tr>
      <w:tr>
        <w:tc>
          <w:tcPr/>
          <w:p>
            <w:pPr>
              <w:pStyle w:val="Compact"/>
              <w:jc w:val="left"/>
            </w:pPr>
            <w:r>
              <w:t xml:space="preserve">HEAL LL-37, úlceras venosas de perna (Mahlapuu 2021, PMID 34687253)</w:t>
            </w:r>
          </w:p>
        </w:tc>
        <w:tc>
          <w:tcPr/>
          <w:p>
            <w:pPr>
              <w:pStyle w:val="Compact"/>
              <w:jc w:val="left"/>
            </w:pPr>
            <w:r>
              <w:t xml:space="preserve">148 pessoas, fase 2b, ECR duplo-cego</w:t>
            </w:r>
          </w:p>
        </w:tc>
        <w:tc>
          <w:tcPr/>
          <w:p>
            <w:pPr>
              <w:pStyle w:val="Compact"/>
              <w:jc w:val="left"/>
            </w:pPr>
            <w:r>
              <w:t xml:space="preserve">3 braços, além da compressão</w:t>
            </w:r>
          </w:p>
        </w:tc>
        <w:tc>
          <w:tcPr/>
          <w:p>
            <w:pPr>
              <w:pStyle w:val="Compact"/>
              <w:jc w:val="left"/>
            </w:pPr>
            <w:r>
              <w:t xml:space="preserve">nenhuma diferença significativa em relação ao placebo; vantagem apenas em análise de subgrupo posterior de feridas grandes</w:t>
            </w:r>
          </w:p>
        </w:tc>
      </w:tr>
      <w:tr>
        <w:tc>
          <w:tcPr/>
          <w:p>
            <w:pPr>
              <w:pStyle w:val="Compact"/>
              <w:jc w:val="left"/>
            </w:pPr>
            <w:r>
              <w:t xml:space="preserve">Úlcera de pé diabético (Miranda 2023, PMID 37480520; NCT04098562)</w:t>
            </w:r>
          </w:p>
        </w:tc>
        <w:tc>
          <w:tcPr/>
          <w:p>
            <w:pPr>
              <w:pStyle w:val="Compact"/>
              <w:jc w:val="left"/>
            </w:pPr>
            <w:r>
              <w:t xml:space="preserve">pessoas com úlcera de pé levemente infectada em Jacarta, ECR duplo-cego contra creme placebo</w:t>
            </w:r>
          </w:p>
        </w:tc>
        <w:tc>
          <w:tcPr/>
          <w:p>
            <w:pPr>
              <w:pStyle w:val="Compact"/>
              <w:jc w:val="left"/>
            </w:pPr>
            <w:r>
              <w:t xml:space="preserve">4 semanas</w:t>
            </w:r>
          </w:p>
        </w:tc>
        <w:tc>
          <w:tcPr/>
          <w:p>
            <w:pPr>
              <w:pStyle w:val="Compact"/>
              <w:jc w:val="left"/>
            </w:pPr>
            <w:r>
              <w:t xml:space="preserve">maior aumento do tecido de granulação; nenhuma redução de marcadores inflamatórios ou da contagem bacteriana</w:t>
            </w:r>
          </w:p>
        </w:tc>
      </w:tr>
      <w:tr>
        <w:tc>
          <w:tcPr/>
          <w:p>
            <w:pPr>
              <w:pStyle w:val="Compact"/>
              <w:jc w:val="left"/>
            </w:pPr>
            <w:r>
              <w:t xml:space="preserve">COVID-19, LL-37 oral a partir de bactérias lácticas (Zhao 2023, PMID 37605995)</w:t>
            </w:r>
          </w:p>
        </w:tc>
        <w:tc>
          <w:tcPr/>
          <w:p>
            <w:pPr>
              <w:pStyle w:val="Compact"/>
              <w:jc w:val="left"/>
            </w:pPr>
            <w:r>
              <w:t xml:space="preserve">238 pacientes hospitalizados, ECR aberto, um centro</w:t>
            </w:r>
          </w:p>
        </w:tc>
        <w:tc>
          <w:tcPr/>
          <w:p>
            <w:pPr>
              <w:pStyle w:val="Compact"/>
              <w:jc w:val="left"/>
            </w:pPr>
            <w:r>
              <w:t xml:space="preserve">internação hospitalar</w:t>
            </w:r>
          </w:p>
        </w:tc>
        <w:tc>
          <w:tcPr/>
          <w:p>
            <w:pPr>
              <w:pStyle w:val="Compact"/>
              <w:jc w:val="left"/>
            </w:pPr>
            <w:r>
              <w:t xml:space="preserve">PCR viral negativo em média após 9,8 em vez de 14,0 dias; sem efeitos colaterais graves</w:t>
            </w:r>
          </w:p>
        </w:tc>
      </w:tr>
      <w:tr>
        <w:tc>
          <w:tcPr/>
          <w:p>
            <w:pPr>
              <w:pStyle w:val="Compact"/>
              <w:jc w:val="left"/>
            </w:pPr>
            <w:r>
              <w:t xml:space="preserve">Melanoma, injeção em tumores (NCT02225366)</w:t>
            </w:r>
          </w:p>
        </w:tc>
        <w:tc>
          <w:tcPr/>
          <w:p>
            <w:pPr>
              <w:pStyle w:val="Compact"/>
              <w:jc w:val="left"/>
            </w:pPr>
            <w:r>
              <w:t xml:space="preserve">4 pessoas, fase 1/2 sem grupo de controle</w:t>
            </w:r>
          </w:p>
        </w:tc>
        <w:tc>
          <w:tcPr/>
          <w:p>
            <w:pPr>
              <w:pStyle w:val="Compact"/>
              <w:jc w:val="left"/>
            </w:pPr>
            <w:r>
              <w:t xml:space="preserve">até 8 semanas</w:t>
            </w:r>
          </w:p>
        </w:tc>
        <w:tc>
          <w:tcPr/>
          <w:p>
            <w:pPr>
              <w:pStyle w:val="Compact"/>
              <w:jc w:val="left"/>
            </w:pPr>
            <w:r>
              <w:t xml:space="preserve">determinação de dose; número pequeno de casos, veja Riscos</w:t>
            </w:r>
          </w:p>
        </w:tc>
      </w:tr>
    </w:tbl>
    <w:p>
      <w:pPr>
        <w:pStyle w:val="BodyText"/>
      </w:pPr>
      <w:r>
        <w:t xml:space="preserve">Os estudos de feridas mostram o padrão conhecido: o primeiro estudo pequeno foi encorajador – curiosamente, as concentrações mais baixas funcionaram, e a mais alta não</w:t>
      </w:r>
      <w:r>
        <w:rPr>
          <w:rStyle w:val="FootnoteReference"/>
        </w:rPr>
        <w:footnoteReference w:id="1095"/>
      </w:r>
      <w:r>
        <w:t xml:space="preserve">. O estudo de fase 2b maior, HEAL LL-37, com 148 pessoas, não encontrou no grupo total vantagem em relação ao placebo. Um benefício em feridas grandes apareceu apenas em uma análise de subgrupo definida posteriormente, que os próprios autores consideram motivo para um novo estudo, não prova</w:t>
      </w:r>
      <w:r>
        <w:rPr>
          <w:rStyle w:val="FootnoteReference"/>
        </w:rPr>
        <w:footnoteReference w:id="1096"/>
      </w:r>
      <w:r>
        <w:t xml:space="preserve">.</w:t>
      </w:r>
    </w:p>
    <w:p>
      <w:pPr>
        <w:pStyle w:val="BodyText"/>
      </w:pPr>
      <w:r>
        <w:t xml:space="preserve">O estudo indonésio sobre úlcera de pé diabético mediu como desfecho principal a proporção de tecido de granulação, ou seja, de tecido cicatricial novo – um marcador intermediário, não a cicatrização completa da ferida. Os marcadores inflamatórios e a colonização bacteriana não caíram mais com LL-37 do que com placebo</w:t>
      </w:r>
      <w:r>
        <w:rPr>
          <w:rStyle w:val="FootnoteReference"/>
        </w:rPr>
        <w:footnoteReference w:id="1097"/>
      </w:r>
      <w:r>
        <w:t xml:space="preserve">.</w:t>
      </w:r>
    </w:p>
    <w:p>
      <w:pPr>
        <w:pStyle w:val="BodyText"/>
      </w:pPr>
      <w:r>
        <w:t xml:space="preserve">O estudo de COVID-19 não usou o peptídeo LL-37, mas bactérias lácticas geneticamente modificadas que deveriam produzir LL-37 no intestino. Não foi cego e ocorreu em um único centro; mediu-se o tempo até o teste de PCR negativo, não a evolução da doença ou a mortalidade</w:t>
      </w:r>
      <w:r>
        <w:rPr>
          <w:rStyle w:val="FootnoteReference"/>
        </w:rPr>
        <w:footnoteReference w:id="1098"/>
      </w:r>
      <w:r>
        <w:t xml:space="preserve">.</w:t>
      </w:r>
    </w:p>
    <w:bookmarkEnd w:id="1099"/>
    <w:bookmarkStart w:id="1103" w:name="X5adf601851ab871d0a6994fa82504650578ec71"/>
    <w:p>
      <w:pPr>
        <w:pStyle w:val="Heading4"/>
      </w:pPr>
      <w:r>
        <w:t xml:space="preserve">Estudos observacionais: LL-37 como valor medido</w:t>
      </w:r>
    </w:p>
    <w:p>
      <w:pPr>
        <w:pStyle w:val="FirstParagraph"/>
      </w:pPr>
      <w:r>
        <w:t xml:space="preserve">Esses estudos não dizem nada sobre se o LL-37 administrado ajuda. Mostram apenas como o corpo produz LL-37 em doenças. Alguns exemplos:</w:t>
      </w:r>
    </w:p>
    <w:p>
      <w:pPr>
        <w:numPr>
          <w:ilvl w:val="0"/>
          <w:numId w:val="1132"/>
        </w:numPr>
        <w:pStyle w:val="Compact"/>
      </w:pPr>
      <w:r>
        <w:t xml:space="preserve">Em 50 pessoas com tuberculose pulmonar, os níveis sanguíneos de LL-37 eram mais altos do que em pneumonia por outras bactérias e em pessoas saudáveis</w:t>
      </w:r>
      <w:r>
        <w:rPr>
          <w:rStyle w:val="FootnoteReference"/>
        </w:rPr>
        <w:footnoteReference w:id="1100"/>
      </w:r>
      <w:r>
        <w:t xml:space="preserve">.</w:t>
      </w:r>
    </w:p>
    <w:p>
      <w:pPr>
        <w:numPr>
          <w:ilvl w:val="0"/>
          <w:numId w:val="1132"/>
        </w:numPr>
        <w:pStyle w:val="Compact"/>
      </w:pPr>
      <w:r>
        <w:t xml:space="preserve">Em 76 crianças com meningite bacteriana, o LL-37 no líquor aumentou com a quantidade de bactérias; uma relação alta entre LL-37 e bactérias esteve associada a menos danos auditivos</w:t>
      </w:r>
      <w:r>
        <w:rPr>
          <w:rStyle w:val="FootnoteReference"/>
        </w:rPr>
        <w:footnoteReference w:id="1101"/>
      </w:r>
      <w:r>
        <w:t xml:space="preserve">.</w:t>
      </w:r>
    </w:p>
    <w:p>
      <w:pPr>
        <w:numPr>
          <w:ilvl w:val="0"/>
          <w:numId w:val="1132"/>
        </w:numPr>
        <w:pStyle w:val="Compact"/>
      </w:pPr>
      <w:r>
        <w:t xml:space="preserve">Em 30 pacientes de terapia intensiva com sepse, os níveis de LL-37 subiram após vitamina D em dose alta</w:t>
      </w:r>
      <w:r>
        <w:rPr>
          <w:rStyle w:val="FootnoteReference"/>
        </w:rPr>
        <w:footnoteReference w:id="1102"/>
      </w:r>
      <w:r>
        <w:t xml:space="preserve">.</w:t>
      </w:r>
    </w:p>
    <w:bookmarkEnd w:id="1103"/>
    <w:bookmarkStart w:id="1105" w:name="Xa41b8bf4955bdabbd0f7b9a795f7be5fe6eb4b3"/>
    <w:p>
      <w:pPr>
        <w:pStyle w:val="Heading4"/>
      </w:pPr>
      <w:r>
        <w:t xml:space="preserve">Indiretamente: estimular o LL-37 pela vitamina D</w:t>
      </w:r>
    </w:p>
    <w:p>
      <w:pPr>
        <w:pStyle w:val="FirstParagraph"/>
      </w:pPr>
      <w:r>
        <w:t xml:space="preserve">Em um estudo duplo-cego de Bangladesh com 288 pessoas com tuberculose pulmonar, após quatro semanas mais participantes tinham cultura negativa quando recebiam adicionalmente vitamina D3 e fenilbutirato – duas substâncias que estimulam a produção endógena de LL-37 (71% vs. 42,2% com placebo)</w:t>
      </w:r>
      <w:r>
        <w:rPr>
          <w:rStyle w:val="FootnoteReference"/>
        </w:rPr>
        <w:footnoteReference w:id="1104"/>
      </w:r>
      <w:r>
        <w:t xml:space="preserve">. Essa é uma afirmação sobre essa combinação, não sobre o LL-37 como peptídeo. A vitamina D em si não é um peptídeo e não é tratada separadamente neste livro.</w:t>
      </w:r>
    </w:p>
    <w:bookmarkEnd w:id="1105"/>
    <w:bookmarkEnd w:id="1106"/>
    <w:bookmarkStart w:id="1109" w:name="estudos-em-animais-e-em-laboratório-19"/>
    <w:p>
      <w:pPr>
        <w:pStyle w:val="Heading3"/>
      </w:pPr>
      <w:r>
        <w:t xml:space="preserve">Estudos em animais e em laboratório</w:t>
      </w:r>
    </w:p>
    <w:p>
      <w:pPr>
        <w:pStyle w:val="FirstParagraph"/>
      </w:pPr>
      <w:r>
        <w:t xml:space="preserve">Em laboratório, o LL-37 mata uma ampla gama de bactérias, fungos e alguns vírus e favorece a migração de células da pele. Um artigo de revisão sobre seu papel no câncer resume que o LL-37, em experimentos com células e animais,</w:t>
      </w:r>
      <w:r>
        <w:t xml:space="preserve"> </w:t>
      </w:r>
      <w:r>
        <w:rPr>
          <w:iCs/>
          <w:i/>
        </w:rPr>
        <w:t xml:space="preserve">favorece</w:t>
      </w:r>
      <w:r>
        <w:t xml:space="preserve"> </w:t>
      </w:r>
      <w:r>
        <w:t xml:space="preserve">o crescimento tumoral nos cânceres de ovário, pulmão, mama, próstata e pâncreas, bem como no melanoma, mas o</w:t>
      </w:r>
      <w:r>
        <w:t xml:space="preserve"> </w:t>
      </w:r>
      <w:r>
        <w:rPr>
          <w:iCs/>
          <w:i/>
        </w:rPr>
        <w:t xml:space="preserve">inibe</w:t>
      </w:r>
      <w:r>
        <w:t xml:space="preserve"> </w:t>
      </w:r>
      <w:r>
        <w:t xml:space="preserve">nos cânceres de cólon, estômago e em alguns cânceres do sangue</w:t>
      </w:r>
      <w:r>
        <w:rPr>
          <w:rStyle w:val="FootnoteReference"/>
        </w:rPr>
        <w:footnoteReference w:id="1107"/>
      </w:r>
      <w:r>
        <w:t xml:space="preserve">. A mesma substância pode, portanto, agir de forma oposta conforme o tecido.</w:t>
      </w:r>
    </w:p>
    <w:p>
      <w:pPr>
        <w:pStyle w:val="BodyText"/>
      </w:pPr>
      <w:r>
        <w:t xml:space="preserve">Para a transferibilidade, é importante: camundongos têm uma catelicidina própria, que apenas se assemelha ao LL-37 humano, e a regulam de forma diferente</w:t>
      </w:r>
      <w:r>
        <w:rPr>
          <w:rStyle w:val="FootnoteReference"/>
        </w:rPr>
        <w:footnoteReference w:id="1108"/>
      </w:r>
      <w:r>
        <w:t xml:space="preserve">. Achados em camundongos sobre o LL-37 devem, por isso, ser avaliados com ainda mais cautela do que no caso de outros peptídeos.</w:t>
      </w:r>
    </w:p>
    <w:bookmarkEnd w:id="1109"/>
    <w:bookmarkStart w:id="1117" w:name="riscos-e-efeitos-colaterais-19"/>
    <w:p>
      <w:pPr>
        <w:pStyle w:val="Heading3"/>
      </w:pPr>
      <w:r>
        <w:t xml:space="preserve">Riscos e efeitos colaterais</w:t>
      </w:r>
    </w:p>
    <w:bookmarkStart w:id="1112" w:name="comprovados-3"/>
    <w:p>
      <w:pPr>
        <w:pStyle w:val="Heading4"/>
      </w:pPr>
      <w:r>
        <w:t xml:space="preserve">Comprovados</w:t>
      </w:r>
    </w:p>
    <w:p>
      <w:pPr>
        <w:pStyle w:val="FirstParagraph"/>
      </w:pPr>
      <w:r>
        <w:t xml:space="preserve">Nos estudos de feridas, o LL-37 aplicado localmente foi bem tolerado; não houve preocupações de segurança quanto a efeitos colaterais locais ou sistêmicos</w:t>
      </w:r>
      <w:r>
        <w:rPr>
          <w:rStyle w:val="FootnoteReference"/>
        </w:rPr>
        <w:footnoteReference w:id="1110"/>
      </w:r>
      <w:r>
        <w:t xml:space="preserve">.</w:t>
      </w:r>
    </w:p>
    <w:p>
      <w:pPr>
        <w:pStyle w:val="BodyText"/>
      </w:pPr>
      <w:r>
        <w:t xml:space="preserve">Um relato de caso do estudo de melanoma mostra, porém, que o LL-37 em forma injetável não é inofensivo: em uma mulher de 63 anos que recebeu oito injeções semanais em metástases cutâneas, surgiram, cerca de 45 dias após o início, numerosas lesões cutâneas semelhantes a verrugas e bolhas no tronco e nos membros, inicialmente tomadas por câncer de pele. Histologicamente, foram encontradas alterações inflamatórias com células cutâneas atípicas; todas as alterações regrediram em até dois meses após a suspensão</w:t>
      </w:r>
      <w:r>
        <w:rPr>
          <w:rStyle w:val="FootnoteReference"/>
        </w:rPr>
        <w:footnoteReference w:id="1111"/>
      </w:r>
      <w:r>
        <w:t xml:space="preserve">.</w:t>
      </w:r>
    </w:p>
    <w:bookmarkEnd w:id="1112"/>
    <w:bookmarkStart w:id="1116" w:name="Xe23ba12cc7c6f1fa6d95e7c5eaf6ade01ed3368"/>
    <w:p>
      <w:pPr>
        <w:pStyle w:val="Heading4"/>
      </w:pPr>
      <w:r>
        <w:t xml:space="preserve">Teóricos e derivados da pesquisa de doenças</w:t>
      </w:r>
    </w:p>
    <w:p>
      <w:pPr>
        <w:numPr>
          <w:ilvl w:val="0"/>
          <w:numId w:val="1133"/>
        </w:numPr>
        <w:pStyle w:val="Compact"/>
      </w:pPr>
      <w:r>
        <w:rPr>
          <w:bCs/>
          <w:b/>
        </w:rPr>
        <w:t xml:space="preserve">Autoimunidade e doenças de pele:</w:t>
      </w:r>
      <w:r>
        <w:t xml:space="preserve"> </w:t>
      </w:r>
      <w:r>
        <w:t xml:space="preserve">o LL-37 é, na psoríase, um desencadeador da inflamação e um alvo de células T desviadas</w:t>
      </w:r>
      <w:r>
        <w:rPr>
          <w:rStyle w:val="FootnoteReference"/>
        </w:rPr>
        <w:footnoteReference w:id="1113"/>
      </w:r>
      <w:r>
        <w:t xml:space="preserve">, e na rosácea participa da inflamação cutânea</w:t>
      </w:r>
      <w:r>
        <w:rPr>
          <w:rStyle w:val="FootnoteReference"/>
        </w:rPr>
        <w:footnoteReference w:id="1114"/>
      </w:r>
      <w:r>
        <w:t xml:space="preserve">. Pessoas com essas ou outras doenças autoimunes (por exemplo, lúpus) deveriam ser especialmente cautelosas – não há estudos sobre isso.</w:t>
      </w:r>
    </w:p>
    <w:p>
      <w:pPr>
        <w:numPr>
          <w:ilvl w:val="0"/>
          <w:numId w:val="1133"/>
        </w:numPr>
        <w:pStyle w:val="Compact"/>
      </w:pPr>
      <w:r>
        <w:rPr>
          <w:bCs/>
          <w:b/>
        </w:rPr>
        <w:t xml:space="preserve">Câncer:</w:t>
      </w:r>
      <w:r>
        <w:t xml:space="preserve"> </w:t>
      </w:r>
      <w:r>
        <w:t xml:space="preserve">como o LL-37, em experimentos de laboratório, favorece o crescimento de alguns tipos de tumor</w:t>
      </w:r>
      <w:r>
        <w:rPr>
          <w:rStyle w:val="FootnoteReference"/>
        </w:rPr>
        <w:footnoteReference w:id="1115"/>
      </w:r>
      <w:r>
        <w:t xml:space="preserve">, um uso em pessoas com câncer ou histórico de câncer não pode ser avaliado sem estudos.</w:t>
      </w:r>
    </w:p>
    <w:p>
      <w:pPr>
        <w:numPr>
          <w:ilvl w:val="0"/>
          <w:numId w:val="1133"/>
        </w:numPr>
        <w:pStyle w:val="Compact"/>
      </w:pPr>
      <w:r>
        <w:rPr>
          <w:bCs/>
          <w:b/>
        </w:rPr>
        <w:t xml:space="preserve">Dano celular em concentrações altas:</w:t>
      </w:r>
      <w:r>
        <w:t xml:space="preserve"> </w:t>
      </w:r>
      <w:r>
        <w:t xml:space="preserve">o peptídeo ataca envoltórios celulares; em concentrações mais altas, pode também danificar células humanas. Isso poderia explicar por que, no primeiro estudo de feridas, a concentração mais alta não funcionou.</w:t>
      </w:r>
    </w:p>
    <w:p>
      <w:pPr>
        <w:numPr>
          <w:ilvl w:val="0"/>
          <w:numId w:val="1133"/>
        </w:numPr>
        <w:pStyle w:val="Compact"/>
      </w:pPr>
      <w:r>
        <w:rPr>
          <w:bCs/>
          <w:b/>
        </w:rPr>
        <w:t xml:space="preserve">Mercado cinza:</w:t>
      </w:r>
      <w:r>
        <w:t xml:space="preserve"> </w:t>
      </w:r>
      <w:r>
        <w:t xml:space="preserve">como em todos os</w:t>
      </w:r>
      <w:r>
        <w:t xml:space="preserve"> </w:t>
      </w:r>
      <w:r>
        <w:t xml:space="preserve">“</w:t>
      </w:r>
      <w:r>
        <w:t xml:space="preserve">peptídeos de pesquisa</w:t>
      </w:r>
      <w:r>
        <w:t xml:space="preserve">”</w:t>
      </w:r>
      <w:r>
        <w:t xml:space="preserve">, pureza, teor e esterilidade são desconhecidos. Para injeções, isso vale de forma especial.</w:t>
      </w:r>
    </w:p>
    <w:bookmarkEnd w:id="1116"/>
    <w:bookmarkEnd w:id="1117"/>
    <w:bookmarkStart w:id="1118" w:name="situação-legal-19"/>
    <w:p>
      <w:pPr>
        <w:pStyle w:val="Heading3"/>
      </w:pPr>
      <w:r>
        <w:t xml:space="preserve">Situação legal</w:t>
      </w:r>
    </w:p>
    <w:p>
      <w:pPr>
        <w:pStyle w:val="FirstParagraph"/>
      </w:pPr>
      <w:r>
        <w:rPr>
          <w:iCs/>
          <w:i/>
        </w:rPr>
        <w:t xml:space="preserve">Situação em 2026, verificar atualização.</w:t>
      </w:r>
    </w:p>
    <w:p>
      <w:pPr>
        <w:numPr>
          <w:ilvl w:val="0"/>
          <w:numId w:val="1134"/>
        </w:numPr>
        <w:pStyle w:val="Compact"/>
      </w:pPr>
      <w:r>
        <w:rPr>
          <w:bCs/>
          <w:b/>
        </w:rPr>
        <w:t xml:space="preserve">UE, Alemanha, Áustria:</w:t>
      </w:r>
      <w:r>
        <w:t xml:space="preserve"> </w:t>
      </w:r>
      <w:r>
        <w:t xml:space="preserve">o LL-37 não está aprovado como medicamento. O desenvolvimento como agente para feridas por uma empresa sueca (sob o nome ropocamptida), segundo o conhecimento do autor, não passou da fase 2. A venda para uso em humanos não é permitida.</w:t>
      </w:r>
    </w:p>
    <w:p>
      <w:pPr>
        <w:numPr>
          <w:ilvl w:val="0"/>
          <w:numId w:val="1134"/>
        </w:numPr>
        <w:pStyle w:val="Compact"/>
      </w:pPr>
      <w:r>
        <w:rPr>
          <w:bCs/>
          <w:b/>
        </w:rPr>
        <w:t xml:space="preserve">EUA:</w:t>
      </w:r>
      <w:r>
        <w:t xml:space="preserve"> </w:t>
      </w:r>
      <w:r>
        <w:t xml:space="preserve">sem aprovação da FDA.</w:t>
      </w:r>
    </w:p>
    <w:p>
      <w:pPr>
        <w:numPr>
          <w:ilvl w:val="0"/>
          <w:numId w:val="1134"/>
        </w:numPr>
        <w:pStyle w:val="Compact"/>
      </w:pPr>
      <w:r>
        <w:rPr>
          <w:bCs/>
          <w:b/>
        </w:rPr>
        <w:t xml:space="preserve">WADA:</w:t>
      </w:r>
      <w:r>
        <w:t xml:space="preserve"> </w:t>
      </w:r>
      <w:r>
        <w:t xml:space="preserve">não listado nominalmente; na opinião do autor, deve ser enquadrado como substância não aprovada na S0.</w:t>
      </w:r>
    </w:p>
    <w:bookmarkEnd w:id="1118"/>
    <w:bookmarkStart w:id="1119" w:name="estudos-em-andamento-e-perspectivas-19"/>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registrado no qual o LL-37 seja administrado como substância ativa. Os dois registros com LL-37 como substância ativa (melanoma, NCT02225366; úlcera de pé diabético, NCT04098562) estão concluídos ou têm status desconhecido. Os demais registros medem o LL-37 apenas como biomarcador, por exemplo na gengiva ou com administração de vitamina D.</w:t>
      </w:r>
    </w:p>
    <w:p>
      <w:pPr>
        <w:pStyle w:val="BodyText"/>
      </w:pPr>
      <w:r>
        <w:rPr>
          <w:bCs/>
          <w:b/>
        </w:rPr>
        <w:t xml:space="preserve">Avaliação do autor:</w:t>
      </w:r>
      <w:r>
        <w:t xml:space="preserve"> </w:t>
      </w:r>
      <w:r>
        <w:t xml:space="preserve">o próprio LL-37 dificilmente terá futuro como medicamento – instável demais, danoso às células em concentrações altas e associado a riscos autoimunes. A pesquisa está se deslocando para derivados encurtados ou modificados e para formas de aumentar a produção endógena. Um estudo de feridas no subgrupo de grandes úlceras de perna, como pedem os autores do HEAL, seria o próximo passo lógico; ele não está registrado.</w:t>
      </w:r>
    </w:p>
    <w:bookmarkEnd w:id="1119"/>
    <w:bookmarkStart w:id="1121" w:name="conclusão-19"/>
    <w:p>
      <w:pPr>
        <w:pStyle w:val="Heading3"/>
      </w:pPr>
      <w:r>
        <w:t xml:space="preserve">Conclusão</w:t>
      </w:r>
    </w:p>
    <w:p>
      <w:pPr>
        <w:pStyle w:val="FirstParagraph"/>
      </w:pPr>
      <w:r>
        <w:t xml:space="preserve">O LL-37 é um importante peptídeo de defesa do próprio corpo, cujo nível foi medido em muitos estudos – mas como substância ativa foi administrado em humanos apenas em poucos estudos pequenos. Aplicado em feridas, foi bem tolerado, mas o maior estudo randomizado, com 148 pessoas, não encontrou vantagem em relação ao placebo</w:t>
      </w:r>
      <w:r>
        <w:rPr>
          <w:rStyle w:val="FootnoteReference"/>
        </w:rPr>
        <w:footnoteReference w:id="1120"/>
      </w:r>
      <w:r>
        <w:t xml:space="preserve">. Ao mesmo tempo, o LL-37 tem papel como impulsionador da inflamação na psoríase e na rosácea, e um tratamento injetável provocou, em um caso documentado, alterações cutâneas acentuadas. Para as aplicações anunciadas na internet – por exemplo, contra infecções crônicas ou como estimulante imunológico injetável – não há estudos em humanos.</w:t>
      </w:r>
    </w:p>
    <w:bookmarkEnd w:id="1121"/>
    <w:bookmarkEnd w:id="1122"/>
    <w:bookmarkStart w:id="1155" w:name="ara-290-cibinetida"/>
    <w:p>
      <w:pPr>
        <w:pStyle w:val="Heading2"/>
      </w:pPr>
      <w:r>
        <w:t xml:space="preserve">ARA-290 (cibinetida)</w:t>
      </w:r>
    </w:p>
    <w:p>
      <w:pPr>
        <w:pStyle w:val="FirstParagraph"/>
      </w:pPr>
      <w:r>
        <w:t xml:space="preserve">O ARA-290 é um peptídeo artificial derivado do hormônio da formação do sangue eritropoetina (EPO) – o hormônio que ficou famoso como agente de doping no ciclismo. O ARA-290, porém, não deveria justamente estimular a formação de sangue, mas apenas aproveitar as propriedades de proteção tecidual da EPO. Em pequenos estudos sobre dores nervosas no contexto da sarcoidose, mostrou sinais encorajadores. Na cena do biohacking, ele já é oferecido como peptídeo de</w:t>
      </w:r>
      <w:r>
        <w:t xml:space="preserve"> </w:t>
      </w:r>
      <w:r>
        <w:t xml:space="preserve">“</w:t>
      </w:r>
      <w:r>
        <w:t xml:space="preserve">regeneração nervosa</w:t>
      </w:r>
      <w:r>
        <w:t xml:space="preserve">”</w:t>
      </w:r>
      <w:r>
        <w:t xml:space="preserve"> </w:t>
      </w:r>
      <w:r>
        <w:t xml:space="preserve">e</w:t>
      </w:r>
      <w:r>
        <w:t xml:space="preserve"> </w:t>
      </w:r>
      <w:r>
        <w:t xml:space="preserve">“</w:t>
      </w:r>
      <w:r>
        <w:t xml:space="preserve">anti-aging</w:t>
      </w:r>
      <w:r>
        <w:t xml:space="preserve">”</w:t>
      </w:r>
      <w:r>
        <w:t xml:space="preserve">.</w:t>
      </w:r>
    </w:p>
    <w:bookmarkStart w:id="1125" w:name="ficha-técnica-20"/>
    <w:p>
      <w:pPr>
        <w:pStyle w:val="Heading3"/>
      </w:pPr>
      <w:r>
        <w:t xml:space="preserve">Ficha técnica</w:t>
      </w:r>
    </w:p>
    <w:p>
      <w:pPr>
        <w:numPr>
          <w:ilvl w:val="0"/>
          <w:numId w:val="1135"/>
        </w:numPr>
        <w:pStyle w:val="Compact"/>
      </w:pPr>
      <w:r>
        <w:rPr>
          <w:bCs/>
          <w:b/>
        </w:rPr>
        <w:t xml:space="preserve">Tipo e estrutura:</w:t>
      </w:r>
      <w:r>
        <w:t xml:space="preserve"> </w:t>
      </w:r>
      <w:r>
        <w:t xml:space="preserve">peptídeo sintético de 11 aminoácidos</w:t>
      </w:r>
      <w:r>
        <w:rPr>
          <w:rStyle w:val="FootnoteReference"/>
        </w:rPr>
        <w:footnoteReference w:id="1123"/>
      </w:r>
      <w:r>
        <w:t xml:space="preserve">; nome da substância cibinetida.</w:t>
      </w:r>
    </w:p>
    <w:p>
      <w:pPr>
        <w:numPr>
          <w:ilvl w:val="0"/>
          <w:numId w:val="1135"/>
        </w:numPr>
        <w:pStyle w:val="Compact"/>
      </w:pPr>
      <w:r>
        <w:rPr>
          <w:bCs/>
          <w:b/>
        </w:rPr>
        <w:t xml:space="preserve">Origem:</w:t>
      </w:r>
      <w:r>
        <w:t xml:space="preserve"> </w:t>
      </w:r>
      <w:r>
        <w:t xml:space="preserve">reproduzido a partir de um segmento da estrutura espacial da eritropoetina que seria responsável por sua proteção tecidual; desenvolvido pela empresa norte-americana Araim Pharmaceuticals.</w:t>
      </w:r>
    </w:p>
    <w:p>
      <w:pPr>
        <w:numPr>
          <w:ilvl w:val="0"/>
          <w:numId w:val="1135"/>
        </w:numPr>
        <w:pStyle w:val="Compact"/>
      </w:pPr>
      <w:r>
        <w:rPr>
          <w:bCs/>
          <w:b/>
        </w:rPr>
        <w:t xml:space="preserve">Princípio de ação:</w:t>
      </w:r>
      <w:r>
        <w:t xml:space="preserve"> </w:t>
      </w:r>
      <w:r>
        <w:t xml:space="preserve">liga-se a um chamado</w:t>
      </w:r>
      <w:r>
        <w:t xml:space="preserve"> </w:t>
      </w:r>
      <w:r>
        <w:t xml:space="preserve">“</w:t>
      </w:r>
      <w:r>
        <w:t xml:space="preserve">receptor de reparo inato</w:t>
      </w:r>
      <w:r>
        <w:t xml:space="preserve">”</w:t>
      </w:r>
      <w:r>
        <w:t xml:space="preserve"> </w:t>
      </w:r>
      <w:r>
        <w:t xml:space="preserve">(uma combinação do receptor de EPO com o componente de receptor CD131), não ao receptor de EPO clássico da formação de sangue; deveria atenuar inflamações e estimular o reparo tecidual.</w:t>
      </w:r>
    </w:p>
    <w:p>
      <w:pPr>
        <w:numPr>
          <w:ilvl w:val="0"/>
          <w:numId w:val="1135"/>
        </w:numPr>
        <w:pStyle w:val="Compact"/>
      </w:pPr>
      <w:r>
        <w:rPr>
          <w:bCs/>
          <w:b/>
        </w:rPr>
        <w:t xml:space="preserve">Aprovação UE/EUA:</w:t>
      </w:r>
      <w:r>
        <w:t xml:space="preserve"> </w:t>
      </w:r>
      <w:r>
        <w:t xml:space="preserve">não.</w:t>
      </w:r>
    </w:p>
    <w:p>
      <w:pPr>
        <w:numPr>
          <w:ilvl w:val="0"/>
          <w:numId w:val="1135"/>
        </w:numPr>
        <w:pStyle w:val="Compact"/>
      </w:pPr>
      <w:r>
        <w:rPr>
          <w:bCs/>
          <w:b/>
        </w:rPr>
        <w:t xml:space="preserve">WADA:</w:t>
      </w:r>
      <w:r>
        <w:t xml:space="preserve"> </w:t>
      </w:r>
      <w:r>
        <w:t xml:space="preserve">proibido – agonistas do receptor de EPO não eritropoéticos, como o ARA-290, são mencionados expressamente na classe S2; laboratórios antidoping desenvolveram métodos de detecção</w:t>
      </w:r>
      <w:r>
        <w:rPr>
          <w:rStyle w:val="FootnoteReference"/>
        </w:rPr>
        <w:footnoteReference w:id="1124"/>
      </w:r>
      <w:r>
        <w:t xml:space="preserve">.</w:t>
      </w:r>
    </w:p>
    <w:p>
      <w:pPr>
        <w:numPr>
          <w:ilvl w:val="0"/>
          <w:numId w:val="1135"/>
        </w:numPr>
        <w:pStyle w:val="Compact"/>
      </w:pPr>
      <w:r>
        <w:rPr>
          <w:bCs/>
          <w:b/>
        </w:rPr>
        <w:t xml:space="preserve">Nível de evidência: B</w:t>
      </w:r>
      <w:r>
        <w:t xml:space="preserve"> </w:t>
      </w:r>
      <w:r>
        <w:t xml:space="preserve">– vários pequenos estudos de fase 2 randomizados e controlados por placebo; nenhum estudo de fase 3.</w:t>
      </w:r>
    </w:p>
    <w:bookmarkEnd w:id="1125"/>
    <w:bookmarkStart w:id="1128" w:name="como-deveria-agir-20"/>
    <w:p>
      <w:pPr>
        <w:pStyle w:val="Heading3"/>
      </w:pPr>
      <w:r>
        <w:t xml:space="preserve">Como deveria agir</w:t>
      </w:r>
    </w:p>
    <w:p>
      <w:pPr>
        <w:pStyle w:val="FirstParagraph"/>
      </w:pPr>
      <w:r>
        <w:t xml:space="preserve">A eritropoetina é produzida no rim e estimula, na medula óssea, a formação de glóbulos vermelhos. Nos anos 2000, experimentos com animais mostraram que a EPO pode, além disso, proteger nervos, coração e rins contra danos. Como medicamento para isso, porém, a EPO não serve: ela aumenta o número de glóbulos vermelhos, espessa o sangue e eleva o risco de tromboses.</w:t>
      </w:r>
    </w:p>
    <w:p>
      <w:pPr>
        <w:pStyle w:val="BodyText"/>
      </w:pPr>
      <w:r>
        <w:t xml:space="preserve">Os desenvolvedores do ARA-290 supuseram que o efeito protetor ocorresse por um receptor diferente daquele da formação de sangue. Esse</w:t>
      </w:r>
      <w:r>
        <w:t xml:space="preserve"> </w:t>
      </w:r>
      <w:r>
        <w:t xml:space="preserve">“</w:t>
      </w:r>
      <w:r>
        <w:t xml:space="preserve">receptor de reparo</w:t>
      </w:r>
      <w:r>
        <w:t xml:space="preserve">”</w:t>
      </w:r>
      <w:r>
        <w:t xml:space="preserve"> </w:t>
      </w:r>
      <w:r>
        <w:t xml:space="preserve">só é produzido em maior quantidade em caso de dano tecidual ou inflamação. O ARA-290 deveria ativar seletivamente apenas ele. Em ratos com lesão nervosa, reduziu de forma dependente da dose a hipersensibilidade ao toque e ao frio por até 20 semanas e atenuou a ativação de células imunológicas na medula espinhal</w:t>
      </w:r>
      <w:r>
        <w:rPr>
          <w:rStyle w:val="FootnoteReference"/>
        </w:rPr>
        <w:footnoteReference w:id="1126"/>
      </w:r>
      <w:r>
        <w:t xml:space="preserve">.</w:t>
      </w:r>
    </w:p>
    <w:p>
      <w:pPr>
        <w:pStyle w:val="BodyText"/>
      </w:pPr>
      <w:r>
        <w:t xml:space="preserve">O ARA-290 é degradado rapidamente no sangue; um laboratório antidoping descreveu uma degradação acentuada por enzimas, com um produto de degradação principal</w:t>
      </w:r>
      <w:r>
        <w:rPr>
          <w:rStyle w:val="FootnoteReference"/>
        </w:rPr>
        <w:footnoteReference w:id="1127"/>
      </w:r>
      <w:r>
        <w:t xml:space="preserve">.</w:t>
      </w:r>
    </w:p>
    <w:bookmarkEnd w:id="1128"/>
    <w:bookmarkStart w:id="1137" w:name="estudos-em-humanos-20"/>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5</w:t>
      </w:r>
      <w:r>
        <w:t xml:space="preserve"> </w:t>
      </w:r>
      <w:r>
        <w:t xml:space="preserve">estudos em humanos no PubMed e</w:t>
      </w:r>
      <w:r>
        <w:t xml:space="preserve"> </w:t>
      </w:r>
      <w:r>
        <w:rPr>
          <w:bCs/>
          <w:b/>
        </w:rPr>
        <w:t xml:space="preserve">5</w:t>
      </w:r>
      <w:r>
        <w:t xml:space="preserve"> </w:t>
      </w:r>
      <w:r>
        <w:t xml:space="preserve">registros no ClinicalTrials.gov. Um estudo adicional (edema macular diabético) foi localizado por busca direcionada. Todos os estudos são pequenos e duraram de quatro a doze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Sarcoidose, estudo-piloto (Heij 2012, PMID 23168581)</w:t>
            </w:r>
          </w:p>
        </w:tc>
        <w:tc>
          <w:tcPr/>
          <w:p>
            <w:pPr>
              <w:pStyle w:val="Compact"/>
              <w:jc w:val="left"/>
            </w:pPr>
            <w:r>
              <w:t xml:space="preserve">22 pessoas com dores nervosas na sarcoidose, ECR duplo-cego, infusão</w:t>
            </w:r>
          </w:p>
        </w:tc>
        <w:tc>
          <w:tcPr/>
          <w:p>
            <w:pPr>
              <w:pStyle w:val="Compact"/>
              <w:jc w:val="left"/>
            </w:pPr>
            <w:r>
              <w:t xml:space="preserve">4 semanas</w:t>
            </w:r>
          </w:p>
        </w:tc>
        <w:tc>
          <w:tcPr/>
          <w:p>
            <w:pPr>
              <w:pStyle w:val="Compact"/>
              <w:jc w:val="left"/>
            </w:pPr>
            <w:r>
              <w:t xml:space="preserve">questionário de neuropatia −11,5 vs. −2,9 pontos; escala principal de dor igualmente melhorada nos dois grupos</w:t>
            </w:r>
          </w:p>
        </w:tc>
      </w:tr>
      <w:tr>
        <w:tc>
          <w:tcPr/>
          <w:p>
            <w:pPr>
              <w:pStyle w:val="Compact"/>
              <w:jc w:val="left"/>
            </w:pPr>
            <w:r>
              <w:t xml:space="preserve">Sarcoidose, injeção subcutânea (Dahan 2013, PMID 24136731)</w:t>
            </w:r>
          </w:p>
        </w:tc>
        <w:tc>
          <w:tcPr/>
          <w:p>
            <w:pPr>
              <w:pStyle w:val="Compact"/>
              <w:jc w:val="left"/>
            </w:pPr>
            <w:r>
              <w:t xml:space="preserve">pessoas com perda de fibras nervosas na sarcoidose, estudo cego controlado por placebo</w:t>
            </w:r>
          </w:p>
        </w:tc>
        <w:tc>
          <w:tcPr/>
          <w:p>
            <w:pPr>
              <w:pStyle w:val="Compact"/>
              <w:jc w:val="left"/>
            </w:pPr>
            <w:r>
              <w:t xml:space="preserve">28 dias</w:t>
            </w:r>
          </w:p>
        </w:tc>
        <w:tc>
          <w:tcPr/>
          <w:p>
            <w:pPr>
              <w:pStyle w:val="Compact"/>
              <w:jc w:val="left"/>
            </w:pPr>
            <w:r>
              <w:t xml:space="preserve">melhora das queixas, mais fibras nervosas na córnea, maior distância de caminhada</w:t>
            </w:r>
          </w:p>
        </w:tc>
      </w:tr>
      <w:tr>
        <w:tc>
          <w:tcPr/>
          <w:p>
            <w:pPr>
              <w:pStyle w:val="Compact"/>
              <w:jc w:val="left"/>
            </w:pPr>
            <w:r>
              <w:t xml:space="preserve">Sarcoidose, fase 2b (Culver 2017, PMID 28475703; NCT02039687)</w:t>
            </w:r>
          </w:p>
        </w:tc>
        <w:tc>
          <w:tcPr/>
          <w:p>
            <w:pPr>
              <w:pStyle w:val="Compact"/>
              <w:jc w:val="left"/>
            </w:pPr>
            <w:r>
              <w:t xml:space="preserve">64 pessoas, ECR com três doses e placebo</w:t>
            </w:r>
          </w:p>
        </w:tc>
        <w:tc>
          <w:tcPr/>
          <w:p>
            <w:pPr>
              <w:pStyle w:val="Compact"/>
              <w:jc w:val="left"/>
            </w:pPr>
            <w:r>
              <w:t xml:space="preserve">28 dias</w:t>
            </w:r>
          </w:p>
        </w:tc>
        <w:tc>
          <w:tcPr/>
          <w:p>
            <w:pPr>
              <w:pStyle w:val="Compact"/>
              <w:jc w:val="left"/>
            </w:pPr>
            <w:r>
              <w:t xml:space="preserve">área de fibras nervosas da córnea aumentada significativamente apenas com a dose intermediária; dor melhorada em todos os grupos, inclusive placebo</w:t>
            </w:r>
          </w:p>
        </w:tc>
      </w:tr>
      <w:tr>
        <w:tc>
          <w:tcPr/>
          <w:p>
            <w:pPr>
              <w:pStyle w:val="Compact"/>
              <w:jc w:val="left"/>
            </w:pPr>
            <w:r>
              <w:t xml:space="preserve">Diabetes tipo 2 com neuropatia (Brines 2015, PMID 25387363)</w:t>
            </w:r>
          </w:p>
        </w:tc>
        <w:tc>
          <w:tcPr/>
          <w:p>
            <w:pPr>
              <w:pStyle w:val="Compact"/>
              <w:jc w:val="left"/>
            </w:pPr>
            <w:r>
              <w:t xml:space="preserve">pessoas com diabetes tipo 2 e dores nervosas, fase 2, contra placebo</w:t>
            </w:r>
          </w:p>
        </w:tc>
        <w:tc>
          <w:tcPr/>
          <w:p>
            <w:pPr>
              <w:pStyle w:val="Compact"/>
              <w:jc w:val="left"/>
            </w:pPr>
            <w:r>
              <w:t xml:space="preserve">28 dias mais 28 dias</w:t>
            </w:r>
          </w:p>
        </w:tc>
        <w:tc>
          <w:tcPr/>
          <w:p>
            <w:pPr>
              <w:pStyle w:val="Compact"/>
              <w:jc w:val="left"/>
            </w:pPr>
            <w:r>
              <w:t xml:space="preserve">HbA1c e lipídios sanguíneos melhorados, questionário de neuropatia melhor</w:t>
            </w:r>
          </w:p>
        </w:tc>
      </w:tr>
      <w:tr>
        <w:tc>
          <w:tcPr/>
          <w:p>
            <w:pPr>
              <w:pStyle w:val="Compact"/>
              <w:jc w:val="left"/>
            </w:pPr>
            <w:r>
              <w:t xml:space="preserve">Edema macular diabético (Lois 2020, PMID 32674280)</w:t>
            </w:r>
          </w:p>
        </w:tc>
        <w:tc>
          <w:tcPr/>
          <w:p>
            <w:pPr>
              <w:pStyle w:val="Compact"/>
              <w:jc w:val="left"/>
            </w:pPr>
            <w:r>
              <w:t xml:space="preserve">9 pessoas, fase 2 sem grupo de controle</w:t>
            </w:r>
          </w:p>
        </w:tc>
        <w:tc>
          <w:tcPr/>
          <w:p>
            <w:pPr>
              <w:pStyle w:val="Compact"/>
              <w:jc w:val="left"/>
            </w:pPr>
            <w:r>
              <w:t xml:space="preserve">12 semanas</w:t>
            </w:r>
          </w:p>
        </w:tc>
        <w:tc>
          <w:tcPr/>
          <w:p>
            <w:pPr>
              <w:pStyle w:val="Compact"/>
              <w:jc w:val="left"/>
            </w:pPr>
            <w:r>
              <w:t xml:space="preserve">nenhuma melhora da acuidade visual ou da espessura da retina; nenhum anticorpo contra a substância</w:t>
            </w:r>
          </w:p>
        </w:tc>
      </w:tr>
      <w:tr>
        <w:tc>
          <w:tcPr/>
          <w:p>
            <w:pPr>
              <w:pStyle w:val="Compact"/>
              <w:jc w:val="left"/>
            </w:pPr>
            <w:r>
              <w:t xml:space="preserve">Pessoas saudáveis, humor (Cerit 2015, PMID 26431906)</w:t>
            </w:r>
          </w:p>
        </w:tc>
        <w:tc>
          <w:tcPr/>
          <w:p>
            <w:pPr>
              <w:pStyle w:val="Compact"/>
              <w:jc w:val="left"/>
            </w:pPr>
            <w:r>
              <w:t xml:space="preserve">36 pessoas saudáveis, ECR duplo-cego, dose única</w:t>
            </w:r>
          </w:p>
        </w:tc>
        <w:tc>
          <w:tcPr/>
          <w:p>
            <w:pPr>
              <w:pStyle w:val="Compact"/>
              <w:jc w:val="left"/>
            </w:pPr>
            <w:r>
              <w:t xml:space="preserve">1 semana</w:t>
            </w:r>
          </w:p>
        </w:tc>
        <w:tc>
          <w:tcPr/>
          <w:p>
            <w:pPr>
              <w:pStyle w:val="Compact"/>
              <w:jc w:val="left"/>
            </w:pPr>
            <w:r>
              <w:t xml:space="preserve">nenhum efeito sobre o humor; achados não indicam claramente efeito antidepressivo</w:t>
            </w:r>
          </w:p>
        </w:tc>
      </w:tr>
    </w:tbl>
    <w:bookmarkStart w:id="1132" w:name="sarcoidose-a-principal-área-de-aplicação"/>
    <w:p>
      <w:pPr>
        <w:pStyle w:val="Heading4"/>
      </w:pPr>
      <w:r>
        <w:t xml:space="preserve">Sarcoidose – a principal área de aplicação</w:t>
      </w:r>
    </w:p>
    <w:p>
      <w:pPr>
        <w:pStyle w:val="FirstParagraph"/>
      </w:pPr>
      <w:r>
        <w:t xml:space="preserve">A sarcoidose é uma doença inflamatória na qual se formam pequenos nódulos nos pulmões, na pele, nos olhos e em outros órgãos. Muitos afetados sofrem de dores em queimação e sensações anormais por fibras nervosas finas danificadas (neuropatia de fibras finas). Tratamentos eficazes quase não existem.</w:t>
      </w:r>
    </w:p>
    <w:p>
      <w:pPr>
        <w:pStyle w:val="BodyText"/>
      </w:pPr>
      <w:r>
        <w:t xml:space="preserve">No primeiro estudo-piloto, com 22 pessoas, um questionário sobre queixas de neuropatia melhorou muito mais com ARA-290 do que com placebo. Os valores do questionário principal de dor e da fadiga, porém, melhoraram igualmente nos dois grupos – um indício de um efeito placebo considerável</w:t>
      </w:r>
      <w:r>
        <w:rPr>
          <w:rStyle w:val="FootnoteReference"/>
        </w:rPr>
        <w:footnoteReference w:id="1129"/>
      </w:r>
      <w:r>
        <w:t xml:space="preserve">.</w:t>
      </w:r>
    </w:p>
    <w:p>
      <w:pPr>
        <w:pStyle w:val="BodyText"/>
      </w:pPr>
      <w:r>
        <w:t xml:space="preserve">O maior estudo, um estudo de fase 2b com 64 pessoas, escolheu como desfecho primário a área das fibras nervosas finas na córnea do olho, que pode ser medida com um microscópio especial. Apenas na dose intermediária de três essa área aumentou significativamente em relação ao placebo; a dose baixa e a alta não mostraram efeito significativo. As dores melhoraram em todos os grupos, também com placebo</w:t>
      </w:r>
      <w:r>
        <w:rPr>
          <w:rStyle w:val="FootnoteReference"/>
        </w:rPr>
        <w:footnoteReference w:id="1130"/>
      </w:r>
      <w:r>
        <w:t xml:space="preserve">. As fibras nervosas da córnea são um marcador substituto (desfecho substituto): não está comprovado que mais fibras nervosas na córnea signifiquem também, de forma duradoura, menos dor.</w:t>
      </w:r>
    </w:p>
    <w:p>
      <w:pPr>
        <w:pStyle w:val="BodyText"/>
      </w:pPr>
      <w:r>
        <w:t xml:space="preserve">Uma revisão de membros do grupo de pesquisa de Leiden avaliou as perspectivas como promissoras</w:t>
      </w:r>
      <w:r>
        <w:rPr>
          <w:rStyle w:val="FootnoteReference"/>
        </w:rPr>
        <w:footnoteReference w:id="1131"/>
      </w:r>
      <w:r>
        <w:t xml:space="preserve">. Deve-se considerar que grande parte dos estudos vem da empresa desenvolvedora e de pesquisadores estreitamente ligados a ela.</w:t>
      </w:r>
    </w:p>
    <w:bookmarkEnd w:id="1132"/>
    <w:bookmarkStart w:id="1136" w:name="diabetes"/>
    <w:p>
      <w:pPr>
        <w:pStyle w:val="Heading4"/>
      </w:pPr>
      <w:r>
        <w:t xml:space="preserve">Diabetes</w:t>
      </w:r>
    </w:p>
    <w:p>
      <w:pPr>
        <w:pStyle w:val="FirstParagraph"/>
      </w:pPr>
      <w:r>
        <w:t xml:space="preserve">Em pessoas com diabetes tipo 2 e neuropatia dolorosa, melhoraram com ARA-290, ao longo de 28 dias, a glicemia de longo prazo HbA1c, os lipídios sanguíneos e as queixas de neuropatia</w:t>
      </w:r>
      <w:r>
        <w:rPr>
          <w:rStyle w:val="FootnoteReference"/>
        </w:rPr>
        <w:footnoteReference w:id="1133"/>
      </w:r>
      <w:r>
        <w:t xml:space="preserve">. O número de participantes não é informado no resumo; o estudo foi curto. Um estudo sueco registrado separadamente sobre o efeito glicêmico no pré-diabetes, com 24 pessoas previstas, tem status desconhecido</w:t>
      </w:r>
      <w:r>
        <w:rPr>
          <w:rStyle w:val="FootnoteReference"/>
        </w:rPr>
        <w:footnoteReference w:id="1134"/>
      </w:r>
      <w:r>
        <w:t xml:space="preserve">. Em nove pessoas com edema macular diabético – um inchaço do centro da retina –, a acuidade visual e a espessura da retina não melhoraram</w:t>
      </w:r>
      <w:r>
        <w:rPr>
          <w:rStyle w:val="FootnoteReference"/>
        </w:rPr>
        <w:footnoteReference w:id="1135"/>
      </w:r>
      <w:r>
        <w:t xml:space="preserve">.</w:t>
      </w:r>
    </w:p>
    <w:bookmarkEnd w:id="1136"/>
    <w:bookmarkEnd w:id="1137"/>
    <w:bookmarkStart w:id="1143" w:name="estudos-em-animais-e-em-laboratório-20"/>
    <w:p>
      <w:pPr>
        <w:pStyle w:val="Heading3"/>
      </w:pPr>
      <w:r>
        <w:t xml:space="preserve">Estudos em animais e em laboratório</w:t>
      </w:r>
    </w:p>
    <w:p>
      <w:pPr>
        <w:pStyle w:val="FirstParagraph"/>
      </w:pPr>
      <w:r>
        <w:t xml:space="preserve">A pesquisa em animais sobre o ARA-290 é ampla. Em ratos, camundongos e porcos, foram descritos efeitos protetores em dores nervosas</w:t>
      </w:r>
      <w:r>
        <w:rPr>
          <w:rStyle w:val="FootnoteReference"/>
        </w:rPr>
        <w:footnoteReference w:id="1138"/>
      </w:r>
      <w:r>
        <w:t xml:space="preserve">, em danos renais após distúrbio circulatório em porcos</w:t>
      </w:r>
      <w:r>
        <w:rPr>
          <w:rStyle w:val="FootnoteReference"/>
        </w:rPr>
        <w:footnoteReference w:id="1139"/>
      </w:r>
      <w:r>
        <w:t xml:space="preserve">, no diabetes em ratos</w:t>
      </w:r>
      <w:r>
        <w:rPr>
          <w:rStyle w:val="FootnoteReference"/>
        </w:rPr>
        <w:footnoteReference w:id="1140"/>
      </w:r>
      <w:r>
        <w:t xml:space="preserve"> </w:t>
      </w:r>
      <w:r>
        <w:t xml:space="preserve">e em alterações semelhantes às do Alzheimer</w:t>
      </w:r>
      <w:r>
        <w:rPr>
          <w:rStyle w:val="FootnoteReference"/>
        </w:rPr>
        <w:footnoteReference w:id="1141"/>
      </w:r>
      <w:r>
        <w:t xml:space="preserve">. Em um estudo de longo prazo com ratos em envelhecimento, durante 15 meses, o ARA-290 reduziu sinais inflamatórios no coração e atenuou pioras da função cardíaca relacionadas à idade</w:t>
      </w:r>
      <w:r>
        <w:rPr>
          <w:rStyle w:val="FootnoteReference"/>
        </w:rPr>
        <w:footnoteReference w:id="1142"/>
      </w:r>
      <w:r>
        <w:t xml:space="preserve"> </w:t>
      </w:r>
      <w:r>
        <w:t xml:space="preserve">– é nesse trabalho que se apoia a comercialização como</w:t>
      </w:r>
      <w:r>
        <w:t xml:space="preserve"> </w:t>
      </w:r>
      <w:r>
        <w:t xml:space="preserve">“</w:t>
      </w:r>
      <w:r>
        <w:t xml:space="preserve">peptídeo anti-aging</w:t>
      </w:r>
      <w:r>
        <w:t xml:space="preserve">”</w:t>
      </w:r>
      <w:r>
        <w:t xml:space="preserve">. Todos esses resultados vêm de experimentos com animais.</w:t>
      </w:r>
    </w:p>
    <w:bookmarkEnd w:id="1143"/>
    <w:bookmarkStart w:id="1148" w:name="riscos-e-efeitos-colaterais-20"/>
    <w:p>
      <w:pPr>
        <w:pStyle w:val="Heading3"/>
      </w:pPr>
      <w:r>
        <w:t xml:space="preserve">Riscos e efeitos colaterais</w:t>
      </w:r>
    </w:p>
    <w:bookmarkStart w:id="1146" w:name="comprovados-4"/>
    <w:p>
      <w:pPr>
        <w:pStyle w:val="Heading4"/>
      </w:pPr>
      <w:r>
        <w:t xml:space="preserve">Comprovados</w:t>
      </w:r>
    </w:p>
    <w:p>
      <w:pPr>
        <w:pStyle w:val="FirstParagraph"/>
      </w:pPr>
      <w:r>
        <w:t xml:space="preserve">Em todos os estudos publicados, não foram relatados problemas de segurança</w:t>
      </w:r>
      <w:r>
        <w:rPr>
          <w:rStyle w:val="FootnoteReference"/>
        </w:rPr>
        <w:footnoteReference w:id="1144"/>
      </w:r>
      <w:r>
        <w:t xml:space="preserve">. No estudo de edema macular, de doze semanas, não ocorreram efeitos colaterais graves nem anticorpos contra o ARA-290</w:t>
      </w:r>
      <w:r>
        <w:rPr>
          <w:rStyle w:val="FootnoteReference"/>
        </w:rPr>
        <w:footnoteReference w:id="1145"/>
      </w:r>
      <w:r>
        <w:t xml:space="preserve">. A base de dados, porém, é pequena, com bem menos de 200 pessoas tratadas no total e tempos de tratamento de no máximo doze semanas.</w:t>
      </w:r>
    </w:p>
    <w:bookmarkEnd w:id="1146"/>
    <w:bookmarkStart w:id="1147" w:name="teóricos-1"/>
    <w:p>
      <w:pPr>
        <w:pStyle w:val="Heading4"/>
      </w:pPr>
      <w:r>
        <w:t xml:space="preserve">Teóricos</w:t>
      </w:r>
    </w:p>
    <w:p>
      <w:pPr>
        <w:numPr>
          <w:ilvl w:val="0"/>
          <w:numId w:val="1136"/>
        </w:numPr>
        <w:pStyle w:val="Compact"/>
      </w:pPr>
      <w:r>
        <w:rPr>
          <w:bCs/>
          <w:b/>
        </w:rPr>
        <w:t xml:space="preserve">Efeitos semelhantes aos da EPO:</w:t>
      </w:r>
      <w:r>
        <w:t xml:space="preserve"> </w:t>
      </w:r>
      <w:r>
        <w:t xml:space="preserve">o ARA-290 foi projetado para não estimular a formação de sangue. Se, com uso mais prolongado ou doses mais altas, como as que circulam no mercado cinza, ainda assim surgem efeitos semelhantes aos da EPO não foi estudado em humanos.</w:t>
      </w:r>
    </w:p>
    <w:p>
      <w:pPr>
        <w:numPr>
          <w:ilvl w:val="0"/>
          <w:numId w:val="1136"/>
        </w:numPr>
        <w:pStyle w:val="Compact"/>
      </w:pPr>
      <w:r>
        <w:rPr>
          <w:bCs/>
          <w:b/>
        </w:rPr>
        <w:t xml:space="preserve">Crescimento tumoral:</w:t>
      </w:r>
      <w:r>
        <w:t xml:space="preserve"> </w:t>
      </w:r>
      <w:r>
        <w:t xml:space="preserve">a própria EPO é suspeita de favorecer o crescimento tumoral em alguns tipos de câncer. Se isso tem papel no caso do ARA-290 é desconhecido; faltam dados de longo prazo.</w:t>
      </w:r>
    </w:p>
    <w:p>
      <w:pPr>
        <w:numPr>
          <w:ilvl w:val="0"/>
          <w:numId w:val="1136"/>
        </w:numPr>
        <w:pStyle w:val="Compact"/>
      </w:pPr>
      <w:r>
        <w:rPr>
          <w:bCs/>
          <w:b/>
        </w:rPr>
        <w:t xml:space="preserve">Mercado cinza:</w:t>
      </w:r>
      <w:r>
        <w:t xml:space="preserve"> </w:t>
      </w:r>
      <w:r>
        <w:t xml:space="preserve">os estudos foram realizados com qualidade farmacêutica. Para produtos vendidos livremente, pureza e teor são desconhecidos.</w:t>
      </w:r>
    </w:p>
    <w:bookmarkEnd w:id="1147"/>
    <w:bookmarkEnd w:id="1148"/>
    <w:bookmarkStart w:id="1149" w:name="situação-legal-20"/>
    <w:p>
      <w:pPr>
        <w:pStyle w:val="Heading3"/>
      </w:pPr>
      <w:r>
        <w:t xml:space="preserve">Situação legal</w:t>
      </w:r>
    </w:p>
    <w:p>
      <w:pPr>
        <w:pStyle w:val="FirstParagraph"/>
      </w:pPr>
      <w:r>
        <w:rPr>
          <w:iCs/>
          <w:i/>
        </w:rPr>
        <w:t xml:space="preserve">Situação em 2026, verificar atualização.</w:t>
      </w:r>
    </w:p>
    <w:p>
      <w:pPr>
        <w:numPr>
          <w:ilvl w:val="0"/>
          <w:numId w:val="1137"/>
        </w:numPr>
        <w:pStyle w:val="Compact"/>
      </w:pPr>
      <w:r>
        <w:rPr>
          <w:bCs/>
          <w:b/>
        </w:rPr>
        <w:t xml:space="preserve">UE, Alemanha, Áustria:</w:t>
      </w:r>
      <w:r>
        <w:t xml:space="preserve"> </w:t>
      </w:r>
      <w:r>
        <w:t xml:space="preserve">não aprovado. O fornecimento para uso em humanos não é permitido.</w:t>
      </w:r>
    </w:p>
    <w:p>
      <w:pPr>
        <w:numPr>
          <w:ilvl w:val="0"/>
          <w:numId w:val="1137"/>
        </w:numPr>
        <w:pStyle w:val="Compact"/>
      </w:pPr>
      <w:r>
        <w:rPr>
          <w:bCs/>
          <w:b/>
        </w:rPr>
        <w:t xml:space="preserve">EUA:</w:t>
      </w:r>
      <w:r>
        <w:t xml:space="preserve"> </w:t>
      </w:r>
      <w:r>
        <w:t xml:space="preserve">sem aprovação da FDA.</w:t>
      </w:r>
    </w:p>
    <w:p>
      <w:pPr>
        <w:numPr>
          <w:ilvl w:val="0"/>
          <w:numId w:val="1137"/>
        </w:numPr>
        <w:pStyle w:val="Compact"/>
      </w:pPr>
      <w:r>
        <w:rPr>
          <w:bCs/>
          <w:b/>
        </w:rPr>
        <w:t xml:space="preserve">WADA:</w:t>
      </w:r>
      <w:r>
        <w:t xml:space="preserve"> </w:t>
      </w:r>
      <w:r>
        <w:t xml:space="preserve">proibido em competição e fora dela (S2, hormônios peptídicos e substâncias relacionadas; o ARA-290 é citado como exemplo de agonista do receptor de EPO não eritropoético).</w:t>
      </w:r>
    </w:p>
    <w:bookmarkEnd w:id="1149"/>
    <w:bookmarkStart w:id="1152" w:name="estudos-em-andamento-e-perspectivas-20"/>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ARA-290 ou cibinetida registrado. O maior estudo até agora</w:t>
      </w:r>
      <w:r>
        <w:rPr>
          <w:rStyle w:val="FootnoteReference"/>
        </w:rPr>
        <w:footnoteReference w:id="1150"/>
      </w:r>
      <w:r>
        <w:t xml:space="preserve"> </w:t>
      </w:r>
      <w:r>
        <w:t xml:space="preserve">foi concluído em 2015; desde então, nenhum estudo de fase 3 foi iniciado. O estudo de edema macular foi encerrado com nove pessoas</w:t>
      </w:r>
      <w:r>
        <w:rPr>
          <w:rStyle w:val="FootnoteReference"/>
        </w:rPr>
        <w:footnoteReference w:id="1151"/>
      </w:r>
      <w:r>
        <w:t xml:space="preserve">.</w:t>
      </w:r>
    </w:p>
    <w:p>
      <w:pPr>
        <w:pStyle w:val="BodyText"/>
      </w:pPr>
      <w:r>
        <w:rPr>
          <w:bCs/>
          <w:b/>
        </w:rPr>
        <w:t xml:space="preserve">Avaliação do autor:</w:t>
      </w:r>
      <w:r>
        <w:t xml:space="preserve"> </w:t>
      </w:r>
      <w:r>
        <w:t xml:space="preserve">os resultados na neuropatia da sarcoidose foram interessantes o suficiente para um estudo de fase 3, que, porém, mais de dez anos após o estudo de fase 2b, visivelmente não foi iniciado. Sem um novo desenvolvedor ou financiador, uma aprovação é improvável. A comercialização no mercado cinza como agente anti-aging se apoia em estudos com ratos e tem pouco a ver com as aplicações estudadas em humanos.</w:t>
      </w:r>
    </w:p>
    <w:bookmarkEnd w:id="1152"/>
    <w:bookmarkStart w:id="1154" w:name="conclusão-20"/>
    <w:p>
      <w:pPr>
        <w:pStyle w:val="Heading3"/>
      </w:pPr>
      <w:r>
        <w:t xml:space="preserve">Conclusão</w:t>
      </w:r>
    </w:p>
    <w:p>
      <w:pPr>
        <w:pStyle w:val="FirstParagraph"/>
      </w:pPr>
      <w:r>
        <w:t xml:space="preserve">O ARA-290 é um peptídeo derivado da eritropoetina que deveria proteger tecidos sem estimular a formação de sangue. Em pequenos estudos randomizados sobre lesão nervosa causada pela sarcoidose, as fibras nervosas da córnea aumentaram, porém apenas em uma de três doses, e as dores melhoraram claramente também com placebo</w:t>
      </w:r>
      <w:r>
        <w:rPr>
          <w:rStyle w:val="FootnoteReference"/>
        </w:rPr>
        <w:footnoteReference w:id="1153"/>
      </w:r>
      <w:r>
        <w:t xml:space="preserve">. A tolerabilidade foi boa nos estudos curtos; faltam dados de longo prazo. Desde 2015 não há novos estudos registrados; no esporte, o ARA-290 é proibido.</w:t>
      </w:r>
    </w:p>
    <w:bookmarkEnd w:id="1154"/>
    <w:bookmarkEnd w:id="1155"/>
    <w:bookmarkStart w:id="1193" w:name="larazotida"/>
    <w:p>
      <w:pPr>
        <w:pStyle w:val="Heading2"/>
      </w:pPr>
      <w:r>
        <w:t xml:space="preserve">Larazotida</w:t>
      </w:r>
    </w:p>
    <w:p>
      <w:pPr>
        <w:pStyle w:val="FirstParagraph"/>
      </w:pPr>
      <w:r>
        <w:t xml:space="preserve">A larazotida é o único peptídeo deste grupo que chegou a um estudo de aprovação de fase 3 sem ter sido aprovado antes em algum lugar. Ela deveria se tornar o primeiro medicamento contra a doença celíaca – uma doença na qual, até hoje, só ajuda a dieta sem glúten por toda a vida. O conceito por trás dela, a vedação de uma parede intestinal</w:t>
      </w:r>
      <w:r>
        <w:t xml:space="preserve"> </w:t>
      </w:r>
      <w:r>
        <w:t xml:space="preserve">“</w:t>
      </w:r>
      <w:r>
        <w:t xml:space="preserve">permeável</w:t>
      </w:r>
      <w:r>
        <w:t xml:space="preserve">”</w:t>
      </w:r>
      <w:r>
        <w:t xml:space="preserve">, torna a larazotida interessante também para a cena em torno do</w:t>
      </w:r>
      <w:r>
        <w:t xml:space="preserve"> </w:t>
      </w:r>
      <w:r>
        <w:t xml:space="preserve">“</w:t>
      </w:r>
      <w:r>
        <w:t xml:space="preserve">leaky gut</w:t>
      </w:r>
      <w:r>
        <w:t xml:space="preserve">”</w:t>
      </w:r>
      <w:r>
        <w:t xml:space="preserve"> </w:t>
      </w:r>
      <w:r>
        <w:t xml:space="preserve">(intestino permeável). A história da substância mostra como é difícil transformar uma ideia plausível em um medicamento eficaz.</w:t>
      </w:r>
    </w:p>
    <w:bookmarkStart w:id="1157" w:name="ficha-técnica-21"/>
    <w:p>
      <w:pPr>
        <w:pStyle w:val="Heading3"/>
      </w:pPr>
      <w:r>
        <w:t xml:space="preserve">Ficha técnica</w:t>
      </w:r>
    </w:p>
    <w:p>
      <w:pPr>
        <w:numPr>
          <w:ilvl w:val="0"/>
          <w:numId w:val="1138"/>
        </w:numPr>
        <w:pStyle w:val="Compact"/>
      </w:pPr>
      <w:r>
        <w:rPr>
          <w:bCs/>
          <w:b/>
        </w:rPr>
        <w:t xml:space="preserve">Tipo e estrutura:</w:t>
      </w:r>
      <w:r>
        <w:t xml:space="preserve"> </w:t>
      </w:r>
      <w:r>
        <w:t xml:space="preserve">peptídeo sintético de 8 aminoácidos</w:t>
      </w:r>
      <w:r>
        <w:rPr>
          <w:rStyle w:val="FootnoteReference"/>
        </w:rPr>
        <w:footnoteReference w:id="1156"/>
      </w:r>
      <w:r>
        <w:t xml:space="preserve">, como sal acetato (acetato de larazotida); código de desenvolvimento AT-1001.</w:t>
      </w:r>
    </w:p>
    <w:p>
      <w:pPr>
        <w:numPr>
          <w:ilvl w:val="0"/>
          <w:numId w:val="1138"/>
        </w:numPr>
        <w:pStyle w:val="Compact"/>
      </w:pPr>
      <w:r>
        <w:rPr>
          <w:bCs/>
          <w:b/>
        </w:rPr>
        <w:t xml:space="preserve">Origem:</w:t>
      </w:r>
      <w:r>
        <w:t xml:space="preserve"> </w:t>
      </w:r>
      <w:r>
        <w:t xml:space="preserve">derivada da pesquisa sobre a toxina zonula occludens da bactéria do cólera, que abre as junções entre as células intestinais; a larazotida deveria agir de forma inversa.</w:t>
      </w:r>
    </w:p>
    <w:p>
      <w:pPr>
        <w:numPr>
          <w:ilvl w:val="0"/>
          <w:numId w:val="1138"/>
        </w:numPr>
        <w:pStyle w:val="Compact"/>
      </w:pPr>
      <w:r>
        <w:rPr>
          <w:bCs/>
          <w:b/>
        </w:rPr>
        <w:t xml:space="preserve">Princípio de ação:</w:t>
      </w:r>
      <w:r>
        <w:t xml:space="preserve"> </w:t>
      </w:r>
      <w:r>
        <w:t xml:space="preserve">regulador das</w:t>
      </w:r>
      <w:r>
        <w:t xml:space="preserve"> </w:t>
      </w:r>
      <w:r>
        <w:t xml:space="preserve">“</w:t>
      </w:r>
      <w:r>
        <w:t xml:space="preserve">tight junctions</w:t>
      </w:r>
      <w:r>
        <w:t xml:space="preserve">”</w:t>
      </w:r>
      <w:r>
        <w:t xml:space="preserve"> </w:t>
      </w:r>
      <w:r>
        <w:t xml:space="preserve">(junções de oclusão entre as células intestinais); considerada antagonista do mensageiro endógeno zonulina. Age localmente no intestino e quase não é absorvida para o sangue.</w:t>
      </w:r>
    </w:p>
    <w:p>
      <w:pPr>
        <w:numPr>
          <w:ilvl w:val="0"/>
          <w:numId w:val="1138"/>
        </w:numPr>
        <w:pStyle w:val="Compact"/>
      </w:pPr>
      <w:r>
        <w:rPr>
          <w:bCs/>
          <w:b/>
        </w:rPr>
        <w:t xml:space="preserve">Aprovação UE/EUA:</w:t>
      </w:r>
      <w:r>
        <w:t xml:space="preserve"> </w:t>
      </w:r>
      <w:r>
        <w:t xml:space="preserve">não.</w:t>
      </w:r>
    </w:p>
    <w:p>
      <w:pPr>
        <w:numPr>
          <w:ilvl w:val="0"/>
          <w:numId w:val="1138"/>
        </w:numPr>
        <w:pStyle w:val="Compact"/>
      </w:pPr>
      <w:r>
        <w:rPr>
          <w:bCs/>
          <w:b/>
        </w:rPr>
        <w:t xml:space="preserve">WADA:</w:t>
      </w:r>
      <w:r>
        <w:t xml:space="preserve"> </w:t>
      </w:r>
      <w:r>
        <w:t xml:space="preserve">não listada; sem efeito reconhecível de aumento de desempenho.</w:t>
      </w:r>
    </w:p>
    <w:p>
      <w:pPr>
        <w:numPr>
          <w:ilvl w:val="0"/>
          <w:numId w:val="1138"/>
        </w:numPr>
        <w:pStyle w:val="Compact"/>
      </w:pPr>
      <w:r>
        <w:rPr>
          <w:bCs/>
          <w:b/>
        </w:rPr>
        <w:t xml:space="preserve">Nível de evidência: B</w:t>
      </w:r>
      <w:r>
        <w:t xml:space="preserve"> </w:t>
      </w:r>
      <w:r>
        <w:t xml:space="preserve">– vários estudos randomizados de fase 2 com resultados mistos; o estudo de fase 3 foi interrompido, sem resultados publicados.</w:t>
      </w:r>
    </w:p>
    <w:bookmarkEnd w:id="1157"/>
    <w:bookmarkStart w:id="1160" w:name="como-deveria-agir-21"/>
    <w:p>
      <w:pPr>
        <w:pStyle w:val="Heading3"/>
      </w:pPr>
      <w:r>
        <w:t xml:space="preserve">Como deveria agir</w:t>
      </w:r>
    </w:p>
    <w:p>
      <w:pPr>
        <w:pStyle w:val="FirstParagraph"/>
      </w:pPr>
      <w:r>
        <w:t xml:space="preserve">Na doença celíaca, o sistema imunológico de pessoas geneticamente predispostas reage ao glúten, uma proteína do trigo, do centeio e da cevada. Fragmentos do glúten atravessam a mucosa intestinal e ali desencadeiam uma inflamação que destrói as vilosidades intestinais. Parte desses fragmentos provavelmente passa pelas fendas entre as células intestinais. Essas fendas são fechadas pelas tight junctions – uma espécie de zíper molecular.</w:t>
      </w:r>
    </w:p>
    <w:p>
      <w:pPr>
        <w:pStyle w:val="BodyText"/>
      </w:pPr>
      <w:r>
        <w:t xml:space="preserve">O mensageiro zonulina pode abrir esse zíper; a gliadina, um componente do glúten, libera zonulina. A larazotida deveria bloquear essa via. Em culturas de células intestinais humanas, a larazotida impediu o rearranjo das proteínas de oclusão e reduziu a passagem de um fragmento de gliadina através da camada celular; em camundongos geneticamente modificados com sensibilidade ao glúten, a estrutura das junções de oclusão se manteve</w:t>
      </w:r>
      <w:r>
        <w:rPr>
          <w:rStyle w:val="FootnoteReference"/>
        </w:rPr>
        <w:footnoteReference w:id="1158"/>
      </w:r>
      <w:r>
        <w:t xml:space="preserve">. Trabalhos mais recentes supõem, além disso, uma inibição da enzima quinase da cadeia leve de miosina, que coloca as junções celulares sob tensão</w:t>
      </w:r>
      <w:r>
        <w:rPr>
          <w:rStyle w:val="FootnoteReference"/>
        </w:rPr>
        <w:footnoteReference w:id="1159"/>
      </w:r>
      <w:r>
        <w:t xml:space="preserve">.</w:t>
      </w:r>
    </w:p>
    <w:p>
      <w:pPr>
        <w:pStyle w:val="BodyText"/>
      </w:pPr>
      <w:r>
        <w:t xml:space="preserve">A larazotida nunca foi pensada como substituta da dieta sem glúten. O objetivo era um agente complementar para pacientes que têm queixas apesar da dieta – por exemplo, por traços de glúten despercebidos.</w:t>
      </w:r>
    </w:p>
    <w:bookmarkEnd w:id="1160"/>
    <w:bookmarkStart w:id="1176" w:name="estudos-em-humanos-21"/>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4</w:t>
      </w:r>
      <w:r>
        <w:t xml:space="preserve"> </w:t>
      </w:r>
      <w:r>
        <w:t xml:space="preserve">estudos em humanos no PubMed e</w:t>
      </w:r>
      <w:r>
        <w:t xml:space="preserve"> </w:t>
      </w:r>
      <w:r>
        <w:rPr>
          <w:bCs/>
          <w:b/>
        </w:rPr>
        <w:t xml:space="preserve">29</w:t>
      </w:r>
      <w:r>
        <w:t xml:space="preserve"> </w:t>
      </w:r>
      <w:r>
        <w:t xml:space="preserve">registros no ClinicalTrials.gov. Desses 29 registros, porém, 19 se referem a um medicamento completamente diferente: o migalastate contra a doença de Fabry tinha antes o mesmo código de desenvolvimento AT1001. Pertencem de fato à larazotida</w:t>
      </w:r>
      <w:r>
        <w:t xml:space="preserve"> </w:t>
      </w:r>
      <w:r>
        <w:rPr>
          <w:bCs/>
          <w:b/>
        </w:rPr>
        <w:t xml:space="preserve">10</w:t>
      </w:r>
      <w:r>
        <w:t xml:space="preserve"> </w:t>
      </w:r>
      <w:r>
        <w:t xml:space="preserve">registros. Uma metanálise de 2022 reuniu quatro estudos randomizados com 626 pessoas</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Exposição ao glúten (Leffler 2012, PMID 22825365)</w:t>
            </w:r>
          </w:p>
        </w:tc>
        <w:tc>
          <w:tcPr/>
          <w:p>
            <w:pPr>
              <w:pStyle w:val="Compact"/>
              <w:jc w:val="left"/>
            </w:pPr>
            <w:r>
              <w:t xml:space="preserve">86 pessoas com doença celíaca, ECR com 4 doses e placebo</w:t>
            </w:r>
          </w:p>
        </w:tc>
        <w:tc>
          <w:tcPr/>
          <w:p>
            <w:pPr>
              <w:pStyle w:val="Compact"/>
              <w:jc w:val="left"/>
            </w:pPr>
            <w:r>
              <w:t xml:space="preserve">14 dias</w:t>
            </w:r>
          </w:p>
        </w:tc>
        <w:tc>
          <w:tcPr/>
          <w:p>
            <w:pPr>
              <w:pStyle w:val="Compact"/>
              <w:jc w:val="left"/>
            </w:pPr>
            <w:r>
              <w:t xml:space="preserve">teste de permeabilidade sem diferença significativa; menos queixas com algumas doses baixas</w:t>
            </w:r>
          </w:p>
        </w:tc>
      </w:tr>
      <w:tr>
        <w:tc>
          <w:tcPr/>
          <w:p>
            <w:pPr>
              <w:pStyle w:val="Compact"/>
              <w:jc w:val="left"/>
            </w:pPr>
            <w:r>
              <w:t xml:space="preserve">Exposição ao glúten (Kelly 2013, PMID 23163616)</w:t>
            </w:r>
          </w:p>
        </w:tc>
        <w:tc>
          <w:tcPr/>
          <w:p>
            <w:pPr>
              <w:pStyle w:val="Compact"/>
              <w:jc w:val="left"/>
            </w:pPr>
            <w:r>
              <w:t xml:space="preserve">184 pessoas, ECR com 3 doses e placebo, 2,7 g de glúten por dia</w:t>
            </w:r>
          </w:p>
        </w:tc>
        <w:tc>
          <w:tcPr/>
          <w:p>
            <w:pPr>
              <w:pStyle w:val="Compact"/>
              <w:jc w:val="left"/>
            </w:pPr>
            <w:r>
              <w:t xml:space="preserve">6 semanas</w:t>
            </w:r>
          </w:p>
        </w:tc>
        <w:tc>
          <w:tcPr/>
          <w:p>
            <w:pPr>
              <w:pStyle w:val="Compact"/>
              <w:jc w:val="left"/>
            </w:pPr>
            <w:r>
              <w:t xml:space="preserve">permeabilidade inalterada; menos queixas apenas com 1 mg; menor aumento dos anticorpos da doença celíaca</w:t>
            </w:r>
          </w:p>
        </w:tc>
      </w:tr>
      <w:tr>
        <w:tc>
          <w:tcPr/>
          <w:p>
            <w:pPr>
              <w:pStyle w:val="Compact"/>
              <w:jc w:val="left"/>
            </w:pPr>
            <w:r>
              <w:t xml:space="preserve">Queixas apesar da dieta (Leffler 2015, PMID 25683116; NCT01396213)</w:t>
            </w:r>
          </w:p>
        </w:tc>
        <w:tc>
          <w:tcPr/>
          <w:p>
            <w:pPr>
              <w:pStyle w:val="Compact"/>
              <w:jc w:val="left"/>
            </w:pPr>
            <w:r>
              <w:t xml:space="preserve">342 pessoas, ECR com 3 doses e placebo</w:t>
            </w:r>
          </w:p>
        </w:tc>
        <w:tc>
          <w:tcPr/>
          <w:p>
            <w:pPr>
              <w:pStyle w:val="Compact"/>
              <w:jc w:val="left"/>
            </w:pPr>
            <w:r>
              <w:t xml:space="preserve">12 semanas</w:t>
            </w:r>
          </w:p>
        </w:tc>
        <w:tc>
          <w:tcPr/>
          <w:p>
            <w:pPr>
              <w:pStyle w:val="Compact"/>
              <w:jc w:val="left"/>
            </w:pPr>
            <w:r>
              <w:t xml:space="preserve">objetivo principal atingido apenas com a menor dose (0,5 mg); 1 mg e 2 mg não melhores que placebo</w:t>
            </w:r>
          </w:p>
        </w:tc>
      </w:tr>
      <w:tr>
        <w:tc>
          <w:tcPr/>
          <w:p>
            <w:pPr>
              <w:pStyle w:val="Compact"/>
              <w:jc w:val="left"/>
            </w:pPr>
            <w:r>
              <w:t xml:space="preserve">CeDLara, fase 3 (NCT03569007)</w:t>
            </w:r>
          </w:p>
        </w:tc>
        <w:tc>
          <w:tcPr/>
          <w:p>
            <w:pPr>
              <w:pStyle w:val="Compact"/>
              <w:jc w:val="left"/>
            </w:pPr>
            <w:r>
              <w:t xml:space="preserve">307 pessoas, randomizado, cego</w:t>
            </w:r>
          </w:p>
        </w:tc>
        <w:tc>
          <w:tcPr/>
          <w:p>
            <w:pPr>
              <w:pStyle w:val="Compact"/>
              <w:jc w:val="left"/>
            </w:pPr>
            <w:r>
              <w:t xml:space="preserve">12 semanas previstas</w:t>
            </w:r>
          </w:p>
        </w:tc>
        <w:tc>
          <w:tcPr/>
          <w:p>
            <w:pPr>
              <w:pStyle w:val="Compact"/>
              <w:jc w:val="left"/>
            </w:pPr>
            <w:r>
              <w:t xml:space="preserve">interrompido pelo patrocinador em 2022; nenhum resultado publicado</w:t>
            </w:r>
          </w:p>
        </w:tc>
      </w:tr>
      <w:tr>
        <w:tc>
          <w:tcPr/>
          <w:p>
            <w:pPr>
              <w:pStyle w:val="Compact"/>
              <w:jc w:val="left"/>
            </w:pPr>
            <w:r>
              <w:t xml:space="preserve">MIS-C em crianças (Yonker 2025, PMID 40737433)</w:t>
            </w:r>
          </w:p>
        </w:tc>
        <w:tc>
          <w:tcPr/>
          <w:p>
            <w:pPr>
              <w:pStyle w:val="Compact"/>
              <w:jc w:val="left"/>
            </w:pPr>
            <w:r>
              <w:t xml:space="preserve">12 crianças com síndrome inflamatória após COVID-19, fase 2a, ECR</w:t>
            </w:r>
          </w:p>
        </w:tc>
        <w:tc>
          <w:tcPr/>
          <w:p>
            <w:pPr>
              <w:pStyle w:val="Compact"/>
              <w:jc w:val="left"/>
            </w:pPr>
            <w:r>
              <w:t xml:space="preserve">3 semanas</w:t>
            </w:r>
          </w:p>
        </w:tc>
        <w:tc>
          <w:tcPr/>
          <w:p>
            <w:pPr>
              <w:pStyle w:val="Compact"/>
              <w:jc w:val="left"/>
            </w:pPr>
            <w:r>
              <w:t xml:space="preserve">regressão mais rápida das queixas gastrointestinais; nenhum efeito colateral pela larazotida</w:t>
            </w:r>
          </w:p>
        </w:tc>
      </w:tr>
    </w:tbl>
    <w:bookmarkStart w:id="1166" w:name="doença-celíaca-fase-2"/>
    <w:p>
      <w:pPr>
        <w:pStyle w:val="Heading4"/>
      </w:pPr>
      <w:r>
        <w:t xml:space="preserve">Doença celíaca: fase 2</w:t>
      </w:r>
    </w:p>
    <w:p>
      <w:pPr>
        <w:pStyle w:val="FirstParagraph"/>
      </w:pPr>
      <w:r>
        <w:t xml:space="preserve">Nos dois estudos com exposição dirigida ao glúten, a larazotida deveria impedir o aumento da permeabilidade intestinal. Ela foi medida com um teste de açúcares na urina (relação lactulose-manitol). Esse teste oscilou tanto no dia a dia que não foi possível demonstrar nenhum efeito</w:t>
      </w:r>
      <w:r>
        <w:rPr>
          <w:rStyle w:val="FootnoteReference"/>
        </w:rPr>
        <w:footnoteReference w:id="1162"/>
      </w:r>
      <w:r>
        <w:t xml:space="preserve">. Nas queixas, apareceu um padrão incomum: doses baixas funcionaram, em parte, melhor do que altas. No estudo com 184 pessoas, apenas a dose de 1 mg limitou significativamente as queixas desencadeadas pelo glúten; ao mesmo tempo, os anticorpos da doença celíaca aumentaram claramente menos com todas as doses de larazotida do que com placebo</w:t>
      </w:r>
      <w:r>
        <w:rPr>
          <w:rStyle w:val="FootnoteReference"/>
        </w:rPr>
        <w:footnoteReference w:id="1163"/>
      </w:r>
      <w:r>
        <w:t xml:space="preserve">.</w:t>
      </w:r>
    </w:p>
    <w:p>
      <w:pPr>
        <w:pStyle w:val="BodyText"/>
      </w:pPr>
      <w:r>
        <w:t xml:space="preserve">O maior estudo de fase 2, com 342 pessoas que tinham queixas apesar da dieta sem glúten, atingiu seu objetivo principal apenas com a menor dose, de 0,5 mg. Com essa dose, houve 26 por cento menos dias com queixas de doença celíaca. As doses mais altas não foram melhores que o placebo em nenhum desfecho; os próprios autores descrevem os resultados como</w:t>
      </w:r>
      <w:r>
        <w:t xml:space="preserve"> </w:t>
      </w:r>
      <w:r>
        <w:t xml:space="preserve">“</w:t>
      </w:r>
      <w:r>
        <w:t xml:space="preserve">mistos</w:t>
      </w:r>
      <w:r>
        <w:t xml:space="preserve">”</w:t>
      </w:r>
      <w:r>
        <w:rPr>
          <w:rStyle w:val="FootnoteReference"/>
        </w:rPr>
        <w:footnoteReference w:id="1164"/>
      </w:r>
      <w:r>
        <w:t xml:space="preserve">. Um medicamento no qual apenas a menor dose funciona é farmacologicamente incomum e deixa dúvidas sobre se se trata de um efeito real ou de acaso.</w:t>
      </w:r>
    </w:p>
    <w:p>
      <w:pPr>
        <w:pStyle w:val="BodyText"/>
      </w:pPr>
      <w:r>
        <w:t xml:space="preserve">A metanálise não encontrou efeito sobre a permeabilidade intestinal; encontrou melhora das queixas apenas com exposição ao glúten, mas não em pessoas sob dieta sem glúten – ou seja, justamente não no grupo para o qual a larazotida foi pensada</w:t>
      </w:r>
      <w:r>
        <w:rPr>
          <w:rStyle w:val="FootnoteReference"/>
        </w:rPr>
        <w:footnoteReference w:id="1165"/>
      </w:r>
      <w:r>
        <w:t xml:space="preserve">.</w:t>
      </w:r>
    </w:p>
    <w:bookmarkEnd w:id="1166"/>
    <w:bookmarkStart w:id="1170" w:name="X17ad8238b73d698c7e2836d98cea8e614429437"/>
    <w:p>
      <w:pPr>
        <w:pStyle w:val="Heading4"/>
      </w:pPr>
      <w:r>
        <w:t xml:space="preserve">Doença celíaca: o estudo de fase 3 CeDLara</w:t>
      </w:r>
    </w:p>
    <w:p>
      <w:pPr>
        <w:pStyle w:val="FirstParagraph"/>
      </w:pPr>
      <w:r>
        <w:t xml:space="preserve">Com base nos resultados de 0,5 mg, começou em 2019 o estudo de fase 3 CeDLara, com larazotida em microesferas gastrorresistentes</w:t>
      </w:r>
      <w:r>
        <w:rPr>
          <w:rStyle w:val="FootnoteReference"/>
        </w:rPr>
        <w:footnoteReference w:id="1167"/>
      </w:r>
      <w:r>
        <w:t xml:space="preserve">. Segundo o registro, 307 pessoas foram incluídas; o estudo foi</w:t>
      </w:r>
      <w:r>
        <w:t xml:space="preserve"> </w:t>
      </w:r>
      <w:r>
        <w:t xml:space="preserve">“</w:t>
      </w:r>
      <w:r>
        <w:t xml:space="preserve">encerrado pelo patrocinador</w:t>
      </w:r>
      <w:r>
        <w:t xml:space="preserve">”</w:t>
      </w:r>
      <w:r>
        <w:t xml:space="preserve"> </w:t>
      </w:r>
      <w:r>
        <w:t xml:space="preserve">em julho de 2022. Segundo o conhecimento do autor, o então fabricante 9 Meters Biopharma justificou a interrupção afirmando que uma análise interina havia mostrado que seriam necessários bem mais participantes para demonstrar uma diferença em relação ao placebo. Não há no PubMed uma publicação científica dos resultados. Artigos de revisão registram que, até hoje, nenhum medicamento para doença celíaca concluiu com sucesso um estudo de fase 3</w:t>
      </w:r>
      <w:r>
        <w:rPr>
          <w:rStyle w:val="FootnoteReference"/>
        </w:rPr>
        <w:footnoteReference w:id="1168"/>
      </w:r>
      <w:r>
        <w:t xml:space="preserve"> </w:t>
      </w:r>
      <w:r>
        <w:t xml:space="preserve">e que nenhum tratamento está comprovado como alternativa eficaz à dieta sem glúten</w:t>
      </w:r>
      <w:r>
        <w:rPr>
          <w:rStyle w:val="FootnoteReference"/>
        </w:rPr>
        <w:footnoteReference w:id="1169"/>
      </w:r>
      <w:r>
        <w:t xml:space="preserve">.</w:t>
      </w:r>
    </w:p>
    <w:bookmarkEnd w:id="1170"/>
    <w:bookmarkStart w:id="1175" w:name="X7f3382dfb34599df3c07961af69d8d258366621"/>
    <w:p>
      <w:pPr>
        <w:pStyle w:val="Heading4"/>
      </w:pPr>
      <w:r>
        <w:t xml:space="preserve">Nova aplicação: síndrome inflamatória após COVID-19</w:t>
      </w:r>
    </w:p>
    <w:p>
      <w:pPr>
        <w:pStyle w:val="FirstParagraph"/>
      </w:pPr>
      <w:r>
        <w:t xml:space="preserve">Um grupo de pesquisa supõe que, na síndrome inflamatória multissistêmica em crianças (MIS-C) após COVID-19, componentes do vírus passam do intestino para o sangue. Em uma primeira série de casos com quatro crianças, a proteína viral desapareceu do sangue sob larazotida, e as queixas gastrointestinais regrediram mais rapidamente do que em 22 crianças de comparação</w:t>
      </w:r>
      <w:r>
        <w:rPr>
          <w:rStyle w:val="FootnoteReference"/>
        </w:rPr>
        <w:footnoteReference w:id="1171"/>
      </w:r>
      <w:r>
        <w:t xml:space="preserve">. Um estudo randomizado de fase 2a com apenas 12 crianças confirmou melhoras mais rápidas das queixas; efeitos colaterais pela larazotida não foram observados</w:t>
      </w:r>
      <w:r>
        <w:rPr>
          <w:rStyle w:val="FootnoteReference"/>
        </w:rPr>
        <w:footnoteReference w:id="1172"/>
      </w:r>
      <w:r>
        <w:t xml:space="preserve">. O estudo foi interrompido por queda no número de casos</w:t>
      </w:r>
      <w:r>
        <w:rPr>
          <w:rStyle w:val="FootnoteReference"/>
        </w:rPr>
        <w:footnoteReference w:id="1173"/>
      </w:r>
      <w:r>
        <w:t xml:space="preserve">. Um estudo sobre COVID longa com 107 crianças e adultos está concluído desde junho de 2026, segundo o registro</w:t>
      </w:r>
      <w:r>
        <w:rPr>
          <w:rStyle w:val="FootnoteReference"/>
        </w:rPr>
        <w:footnoteReference w:id="1174"/>
      </w:r>
      <w:r>
        <w:t xml:space="preserve">; os resultados não estavam publicados em outubro de 2026.</w:t>
      </w:r>
    </w:p>
    <w:bookmarkEnd w:id="1175"/>
    <w:bookmarkEnd w:id="1176"/>
    <w:bookmarkStart w:id="1180" w:name="estudos-em-animais-e-em-laboratório-21"/>
    <w:p>
      <w:pPr>
        <w:pStyle w:val="Heading3"/>
      </w:pPr>
      <w:r>
        <w:t xml:space="preserve">Estudos em animais e em laboratório</w:t>
      </w:r>
    </w:p>
    <w:p>
      <w:pPr>
        <w:pStyle w:val="FirstParagraph"/>
      </w:pPr>
      <w:r>
        <w:t xml:space="preserve">Além da doença celíaca, a larazotida foi testada em modelos animais de outras doenças com barreira intestinal alterada. Em camundongos propensos a artrite, a larazotida reduziu o surgimento da artrite</w:t>
      </w:r>
      <w:r>
        <w:rPr>
          <w:rStyle w:val="FootnoteReference"/>
        </w:rPr>
        <w:footnoteReference w:id="1177"/>
      </w:r>
      <w:r>
        <w:t xml:space="preserve">. Em porcos, favoreceu a recuperação do tecido do intestino delgado após um distúrbio circulatório</w:t>
      </w:r>
      <w:r>
        <w:rPr>
          <w:rStyle w:val="FootnoteReference"/>
        </w:rPr>
        <w:footnoteReference w:id="1178"/>
      </w:r>
      <w:r>
        <w:t xml:space="preserve">. Em ratos, foram descritos efeitos na pancreatite aguda e na insuficiência hepática aguda</w:t>
      </w:r>
      <w:r>
        <w:rPr>
          <w:rStyle w:val="FootnoteReference"/>
        </w:rPr>
        <w:footnoteReference w:id="1179"/>
      </w:r>
      <w:r>
        <w:t xml:space="preserve">. Esses são experimentos com animais; não se podem deduzir deles afirmações sobre reumatismo, pâncreas ou fígado em humanos.</w:t>
      </w:r>
    </w:p>
    <w:bookmarkEnd w:id="1180"/>
    <w:bookmarkStart w:id="1186" w:name="riscos-e-efeitos-colaterais-21"/>
    <w:p>
      <w:pPr>
        <w:pStyle w:val="Heading3"/>
      </w:pPr>
      <w:r>
        <w:t xml:space="preserve">Riscos e efeitos colaterais</w:t>
      </w:r>
    </w:p>
    <w:bookmarkStart w:id="1184" w:name="comprovados-5"/>
    <w:p>
      <w:pPr>
        <w:pStyle w:val="Heading4"/>
      </w:pPr>
      <w:r>
        <w:t xml:space="preserve">Comprovados</w:t>
      </w:r>
    </w:p>
    <w:p>
      <w:pPr>
        <w:pStyle w:val="FirstParagraph"/>
      </w:pPr>
      <w:r>
        <w:t xml:space="preserve">A larazotida foi bem tolerada em todos os estudos. No estudo com 86 pessoas, não ocorreram efeitos colaterais graves; os mais frequentes foram dor de cabeça e infecções urinárias</w:t>
      </w:r>
      <w:r>
        <w:rPr>
          <w:rStyle w:val="FootnoteReference"/>
        </w:rPr>
        <w:footnoteReference w:id="1181"/>
      </w:r>
      <w:r>
        <w:t xml:space="preserve">. No maior estudo de fase 2, a segurança foi comparável à do placebo</w:t>
      </w:r>
      <w:r>
        <w:rPr>
          <w:rStyle w:val="FootnoteReference"/>
        </w:rPr>
        <w:footnoteReference w:id="1182"/>
      </w:r>
      <w:r>
        <w:t xml:space="preserve">. A metanálise não encontrou, no total, acúmulo de efeitos colaterais em relação ao placebo</w:t>
      </w:r>
      <w:r>
        <w:rPr>
          <w:rStyle w:val="FootnoteReference"/>
        </w:rPr>
        <w:footnoteReference w:id="1183"/>
      </w:r>
      <w:r>
        <w:t xml:space="preserve">. Como a larazotida quase não chega ao sangue, um perfil de segurança favorável é plausível.</w:t>
      </w:r>
    </w:p>
    <w:bookmarkEnd w:id="1184"/>
    <w:bookmarkStart w:id="1185" w:name="a-considerar-1"/>
    <w:p>
      <w:pPr>
        <w:pStyle w:val="Heading4"/>
      </w:pPr>
      <w:r>
        <w:t xml:space="preserve">A considerar</w:t>
      </w:r>
    </w:p>
    <w:p>
      <w:pPr>
        <w:numPr>
          <w:ilvl w:val="0"/>
          <w:numId w:val="1139"/>
        </w:numPr>
        <w:pStyle w:val="Compact"/>
      </w:pPr>
      <w:r>
        <w:rPr>
          <w:bCs/>
          <w:b/>
        </w:rPr>
        <w:t xml:space="preserve">Não é alternativa à dieta:</w:t>
      </w:r>
      <w:r>
        <w:t xml:space="preserve"> </w:t>
      </w:r>
      <w:r>
        <w:t xml:space="preserve">mesmo nos estudos positivos, a larazotida não protegeu contra o dano causado por quantidades maiores de glúten. Quem afrouxa a dieta sem glúten por causa de um agente desse tipo arrisca danos intestinais.</w:t>
      </w:r>
    </w:p>
    <w:p>
      <w:pPr>
        <w:numPr>
          <w:ilvl w:val="0"/>
          <w:numId w:val="1139"/>
        </w:numPr>
        <w:pStyle w:val="Compact"/>
      </w:pPr>
      <w:r>
        <w:rPr>
          <w:bCs/>
          <w:b/>
        </w:rPr>
        <w:t xml:space="preserve">Mercado cinza:</w:t>
      </w:r>
      <w:r>
        <w:t xml:space="preserve"> </w:t>
      </w:r>
      <w:r>
        <w:t xml:space="preserve">a larazotida é oferecida esporadicamente como</w:t>
      </w:r>
      <w:r>
        <w:t xml:space="preserve"> </w:t>
      </w:r>
      <w:r>
        <w:t xml:space="preserve">“</w:t>
      </w:r>
      <w:r>
        <w:t xml:space="preserve">peptídeo para leaky gut</w:t>
      </w:r>
      <w:r>
        <w:t xml:space="preserve">”</w:t>
      </w:r>
      <w:r>
        <w:t xml:space="preserve">. Os estudos usaram uma forma farmacêutica gastrorresistente especial; se produtos vendidos livremente levam a substância ao local de ação é desconhecido. Para o conceito de</w:t>
      </w:r>
      <w:r>
        <w:t xml:space="preserve"> </w:t>
      </w:r>
      <w:r>
        <w:t xml:space="preserve">“</w:t>
      </w:r>
      <w:r>
        <w:t xml:space="preserve">leaky gut</w:t>
      </w:r>
      <w:r>
        <w:t xml:space="preserve">”</w:t>
      </w:r>
      <w:r>
        <w:t xml:space="preserve"> </w:t>
      </w:r>
      <w:r>
        <w:t xml:space="preserve">sem doença celíaca, não há estudos com larazotida.</w:t>
      </w:r>
    </w:p>
    <w:bookmarkEnd w:id="1185"/>
    <w:bookmarkEnd w:id="1186"/>
    <w:bookmarkStart w:id="1187" w:name="situação-legal-21"/>
    <w:p>
      <w:pPr>
        <w:pStyle w:val="Heading3"/>
      </w:pPr>
      <w:r>
        <w:t xml:space="preserve">Situação legal</w:t>
      </w:r>
    </w:p>
    <w:p>
      <w:pPr>
        <w:pStyle w:val="FirstParagraph"/>
      </w:pPr>
      <w:r>
        <w:rPr>
          <w:iCs/>
          <w:i/>
        </w:rPr>
        <w:t xml:space="preserve">Situação em 2026, verificar atualização.</w:t>
      </w:r>
    </w:p>
    <w:p>
      <w:pPr>
        <w:numPr>
          <w:ilvl w:val="0"/>
          <w:numId w:val="1140"/>
        </w:numPr>
        <w:pStyle w:val="Compact"/>
      </w:pPr>
      <w:r>
        <w:rPr>
          <w:bCs/>
          <w:b/>
        </w:rPr>
        <w:t xml:space="preserve">UE, Alemanha, Áustria:</w:t>
      </w:r>
      <w:r>
        <w:t xml:space="preserve"> </w:t>
      </w:r>
      <w:r>
        <w:t xml:space="preserve">não aprovada.</w:t>
      </w:r>
    </w:p>
    <w:p>
      <w:pPr>
        <w:numPr>
          <w:ilvl w:val="0"/>
          <w:numId w:val="1140"/>
        </w:numPr>
        <w:pStyle w:val="Compact"/>
      </w:pPr>
      <w:r>
        <w:rPr>
          <w:bCs/>
          <w:b/>
        </w:rPr>
        <w:t xml:space="preserve">EUA:</w:t>
      </w:r>
      <w:r>
        <w:t xml:space="preserve"> </w:t>
      </w:r>
      <w:r>
        <w:t xml:space="preserve">não aprovada. Segundo o conhecimento do autor, o desenvolvedor havia obtido da FDA uma avaliação acelerada (</w:t>
      </w:r>
      <w:r>
        <w:t xml:space="preserve">“</w:t>
      </w:r>
      <w:r>
        <w:t xml:space="preserve">Fast Track</w:t>
      </w:r>
      <w:r>
        <w:t xml:space="preserve">”</w:t>
      </w:r>
      <w:r>
        <w:t xml:space="preserve">) para doença celíaca; após a interrupção do estudo de fase 3, nenhum pedido de aprovação foi apresentado.</w:t>
      </w:r>
    </w:p>
    <w:p>
      <w:pPr>
        <w:numPr>
          <w:ilvl w:val="0"/>
          <w:numId w:val="1140"/>
        </w:numPr>
        <w:pStyle w:val="Compact"/>
      </w:pPr>
      <w:r>
        <w:rPr>
          <w:bCs/>
          <w:b/>
        </w:rPr>
        <w:t xml:space="preserve">WADA:</w:t>
      </w:r>
      <w:r>
        <w:t xml:space="preserve"> </w:t>
      </w:r>
      <w:r>
        <w:t xml:space="preserve">não listada.</w:t>
      </w:r>
    </w:p>
    <w:bookmarkEnd w:id="1187"/>
    <w:bookmarkStart w:id="1190" w:name="estudos-em-andamento-e-perspectivas-21"/>
    <w:p>
      <w:pPr>
        <w:pStyle w:val="Heading3"/>
      </w:pPr>
      <w:r>
        <w:t xml:space="preserve">Estudos em andamento e perspectivas</w:t>
      </w:r>
    </w:p>
    <w:p>
      <w:pPr>
        <w:pStyle w:val="FirstParagraph"/>
      </w:pPr>
      <w:r>
        <w:rPr>
          <w:bCs/>
          <w:b/>
        </w:rPr>
        <w:t xml:space="preserve">Confirmado:</w:t>
      </w:r>
      <w:r>
        <w:t xml:space="preserve"> </w:t>
      </w:r>
      <w:r>
        <w:t xml:space="preserve">em outubro de 2026, não há no ClinicalTrials.gov nenhum estudo em andamento com larazotida registrado. O estudo sobre COVID longa</w:t>
      </w:r>
      <w:r>
        <w:rPr>
          <w:rStyle w:val="FootnoteReference"/>
        </w:rPr>
        <w:footnoteReference w:id="1188"/>
      </w:r>
      <w:r>
        <w:t xml:space="preserve"> </w:t>
      </w:r>
      <w:r>
        <w:t xml:space="preserve">está concluído; os resultados estão pendentes.</w:t>
      </w:r>
    </w:p>
    <w:p>
      <w:pPr>
        <w:pStyle w:val="BodyText"/>
      </w:pPr>
      <w:r>
        <w:rPr>
          <w:bCs/>
          <w:b/>
        </w:rPr>
        <w:t xml:space="preserve">Avaliação do autor:</w:t>
      </w:r>
      <w:r>
        <w:t xml:space="preserve"> </w:t>
      </w:r>
      <w:r>
        <w:t xml:space="preserve">para a doença celíaca, a larazotida provavelmente não terá futuro após a interrupção do CeDLara, a menos que um novo desenvolvedor assuma os direitos. Outras abordagens – enzimas que degradam o glúten, inibidores da transglutaminase 2 ou métodos de tolerância imunológica – são consideradas atualmente mais promissoras</w:t>
      </w:r>
      <w:r>
        <w:rPr>
          <w:rStyle w:val="FootnoteReference"/>
        </w:rPr>
        <w:footnoteReference w:id="1189"/>
      </w:r>
      <w:r>
        <w:t xml:space="preserve">. Na MIS-C e na COVID longa, o desenvolvimento futuro depende dos resultados ainda não publicados.</w:t>
      </w:r>
    </w:p>
    <w:bookmarkEnd w:id="1190"/>
    <w:bookmarkStart w:id="1192" w:name="conclusão-21"/>
    <w:p>
      <w:pPr>
        <w:pStyle w:val="Heading3"/>
      </w:pPr>
      <w:r>
        <w:t xml:space="preserve">Conclusão</w:t>
      </w:r>
    </w:p>
    <w:p>
      <w:pPr>
        <w:pStyle w:val="FirstParagraph"/>
      </w:pPr>
      <w:r>
        <w:t xml:space="preserve">A larazotida é um peptídeo de oito aminoácidos que deveria vedar as junções entre as células intestinais e foi a primeira substância contra a doença celíaca a chegar a um estudo de fase 3. Nos estudos de fase 2, os resultados foram mistos: não foi possível demonstrar efeito sobre a permeabilidade intestinal, e, em queixas apesar da dieta, apenas a menor dose funcionou</w:t>
      </w:r>
      <w:r>
        <w:rPr>
          <w:rStyle w:val="FootnoteReference"/>
        </w:rPr>
        <w:footnoteReference w:id="1191"/>
      </w:r>
      <w:r>
        <w:t xml:space="preserve">. O estudo de fase 3 CeDLara foi interrompido em 2022, e os resultados não foram publicados. A larazotida é bem tolerada, mas não está aprovada nem tem eficácia comprovada – e não substitui a dieta sem glúten.</w:t>
      </w:r>
    </w:p>
    <w:bookmarkEnd w:id="1192"/>
    <w:bookmarkEnd w:id="1193"/>
    <w:bookmarkStart w:id="1222" w:name="timalina-e-timogênio"/>
    <w:p>
      <w:pPr>
        <w:pStyle w:val="Heading2"/>
      </w:pPr>
      <w:r>
        <w:t xml:space="preserve">Timalina e timogênio</w:t>
      </w:r>
    </w:p>
    <w:p>
      <w:pPr>
        <w:pStyle w:val="FirstParagraph"/>
      </w:pPr>
      <w:r>
        <w:t xml:space="preserve">A timalina é um extrato do timo de bezerros; o timogênio, um dipeptídeo sintético derivado dele. Ambos vêm da medicina militar soviética dos anos 1970 e 1980 e continuam no mercado como medicamentos na Rússia até hoje. Nos círculos ocidentais de longevidade, são comercializados como</w:t>
      </w:r>
      <w:r>
        <w:t xml:space="preserve"> </w:t>
      </w:r>
      <w:r>
        <w:t xml:space="preserve">“</w:t>
      </w:r>
      <w:r>
        <w:t xml:space="preserve">biorreguladores</w:t>
      </w:r>
      <w:r>
        <w:t xml:space="preserve">”</w:t>
      </w:r>
      <w:r>
        <w:t xml:space="preserve"> </w:t>
      </w:r>
      <w:r>
        <w:t xml:space="preserve">que</w:t>
      </w:r>
      <w:r>
        <w:t xml:space="preserve"> </w:t>
      </w:r>
      <w:r>
        <w:t xml:space="preserve">“</w:t>
      </w:r>
      <w:r>
        <w:t xml:space="preserve">rejuvenesceriam</w:t>
      </w:r>
      <w:r>
        <w:t xml:space="preserve">”</w:t>
      </w:r>
      <w:r>
        <w:t xml:space="preserve"> </w:t>
      </w:r>
      <w:r>
        <w:t xml:space="preserve">o sistema imunológico e prolongariam a vida. A base dessas promessas é quase exclusivamente a pesquisa de uma única escola em torno do gerontologista de São Petersburgo Vladimir Khavinson. Este capítulo situa essa pesquisa – e explica por que seus resultados devem ser lidos com grande cautela.</w:t>
      </w:r>
    </w:p>
    <w:bookmarkStart w:id="1197" w:name="ficha-técnica-22"/>
    <w:p>
      <w:pPr>
        <w:pStyle w:val="Heading3"/>
      </w:pPr>
      <w:r>
        <w:t xml:space="preserve">Ficha técnica</w:t>
      </w:r>
    </w:p>
    <w:p>
      <w:pPr>
        <w:numPr>
          <w:ilvl w:val="0"/>
          <w:numId w:val="1141"/>
        </w:numPr>
        <w:pStyle w:val="Compact"/>
      </w:pPr>
      <w:r>
        <w:rPr>
          <w:bCs/>
          <w:b/>
        </w:rPr>
        <w:t xml:space="preserve">Timalina:</w:t>
      </w:r>
      <w:r>
        <w:t xml:space="preserve"> </w:t>
      </w:r>
      <w:r>
        <w:t xml:space="preserve">mistura de peptídeos obtida por extração ácida do timo de bezerros</w:t>
      </w:r>
      <w:r>
        <w:rPr>
          <w:rStyle w:val="FootnoteReference"/>
        </w:rPr>
        <w:footnoteReference w:id="1194"/>
      </w:r>
      <w:r>
        <w:t xml:space="preserve">; não é uma substância definida de forma uniforme. Como principais componentes ativos são citados os dipeptídeos Lys-Glu (KE) e Glu-Trp (EW)</w:t>
      </w:r>
      <w:r>
        <w:rPr>
          <w:rStyle w:val="FootnoteReference"/>
        </w:rPr>
        <w:footnoteReference w:id="1195"/>
      </w:r>
      <w:r>
        <w:t xml:space="preserve">.</w:t>
      </w:r>
    </w:p>
    <w:p>
      <w:pPr>
        <w:numPr>
          <w:ilvl w:val="0"/>
          <w:numId w:val="1141"/>
        </w:numPr>
        <w:pStyle w:val="Compact"/>
      </w:pPr>
      <w:r>
        <w:rPr>
          <w:bCs/>
          <w:b/>
        </w:rPr>
        <w:t xml:space="preserve">Timogênio:</w:t>
      </w:r>
      <w:r>
        <w:t xml:space="preserve"> </w:t>
      </w:r>
      <w:r>
        <w:t xml:space="preserve">dipeptídeo L-Glu-L-Trp produzido sinteticamente, isolado da timalina</w:t>
      </w:r>
      <w:r>
        <w:rPr>
          <w:rStyle w:val="FootnoteReference"/>
        </w:rPr>
        <w:footnoteReference w:id="1196"/>
      </w:r>
      <w:r>
        <w:t xml:space="preserve">; na Rússia, disponível também como spray nasal.</w:t>
      </w:r>
    </w:p>
    <w:p>
      <w:pPr>
        <w:numPr>
          <w:ilvl w:val="0"/>
          <w:numId w:val="1141"/>
        </w:numPr>
        <w:pStyle w:val="Compact"/>
      </w:pPr>
      <w:r>
        <w:rPr>
          <w:bCs/>
          <w:b/>
        </w:rPr>
        <w:t xml:space="preserve">Princípio de ação (alegado):</w:t>
      </w:r>
      <w:r>
        <w:t xml:space="preserve"> </w:t>
      </w:r>
      <w:r>
        <w:t xml:space="preserve">estímulo à maturação de células T,</w:t>
      </w:r>
      <w:r>
        <w:t xml:space="preserve"> </w:t>
      </w:r>
      <w:r>
        <w:t xml:space="preserve">“</w:t>
      </w:r>
      <w:r>
        <w:t xml:space="preserve">normalização</w:t>
      </w:r>
      <w:r>
        <w:t xml:space="preserve">”</w:t>
      </w:r>
      <w:r>
        <w:t xml:space="preserve"> </w:t>
      </w:r>
      <w:r>
        <w:t xml:space="preserve">da função imunológica e da coagulação sanguínea; segundo a teoria de Khavinson, peptídeos curtos agem como</w:t>
      </w:r>
      <w:r>
        <w:t xml:space="preserve"> </w:t>
      </w:r>
      <w:r>
        <w:t xml:space="preserve">“</w:t>
      </w:r>
      <w:r>
        <w:t xml:space="preserve">biorreguladores</w:t>
      </w:r>
      <w:r>
        <w:t xml:space="preserve">”</w:t>
      </w:r>
      <w:r>
        <w:t xml:space="preserve"> </w:t>
      </w:r>
      <w:r>
        <w:t xml:space="preserve">diretamente sobre a atividade gênica.</w:t>
      </w:r>
    </w:p>
    <w:p>
      <w:pPr>
        <w:numPr>
          <w:ilvl w:val="0"/>
          <w:numId w:val="1141"/>
        </w:numPr>
        <w:pStyle w:val="Compact"/>
      </w:pPr>
      <w:r>
        <w:rPr>
          <w:bCs/>
          <w:b/>
        </w:rPr>
        <w:t xml:space="preserve">Aprovação:</w:t>
      </w:r>
      <w:r>
        <w:t xml:space="preserve"> </w:t>
      </w:r>
      <w:r>
        <w:t xml:space="preserve">aprovados como medicamento na Rússia e em alguns Estados sucessores da União Soviética;</w:t>
      </w:r>
      <w:r>
        <w:t xml:space="preserve"> </w:t>
      </w:r>
      <w:r>
        <w:rPr>
          <w:bCs/>
          <w:b/>
        </w:rPr>
        <w:t xml:space="preserve">UE e EUA:</w:t>
      </w:r>
      <w:r>
        <w:t xml:space="preserve"> </w:t>
      </w:r>
      <w:r>
        <w:t xml:space="preserve">não.</w:t>
      </w:r>
    </w:p>
    <w:p>
      <w:pPr>
        <w:numPr>
          <w:ilvl w:val="0"/>
          <w:numId w:val="1141"/>
        </w:numPr>
        <w:pStyle w:val="Compact"/>
      </w:pPr>
      <w:r>
        <w:rPr>
          <w:bCs/>
          <w:b/>
        </w:rPr>
        <w:t xml:space="preserve">WADA:</w:t>
      </w:r>
      <w:r>
        <w:t xml:space="preserve"> </w:t>
      </w:r>
      <w:r>
        <w:t xml:space="preserve">não listados expressamente.</w:t>
      </w:r>
    </w:p>
    <w:p>
      <w:pPr>
        <w:numPr>
          <w:ilvl w:val="0"/>
          <w:numId w:val="1141"/>
        </w:numPr>
        <w:pStyle w:val="Compact"/>
      </w:pPr>
      <w:r>
        <w:rPr>
          <w:bCs/>
          <w:b/>
        </w:rPr>
        <w:t xml:space="preserve">Nível de evidência: C</w:t>
      </w:r>
      <w:r>
        <w:t xml:space="preserve"> </w:t>
      </w:r>
      <w:r>
        <w:t xml:space="preserve">– estudos predominantemente pequenos, abertos ou insuficientemente descritos; apenas um único estudo descrito como randomizado e controlado por placebo no PubMed.</w:t>
      </w:r>
    </w:p>
    <w:bookmarkEnd w:id="1197"/>
    <w:bookmarkStart w:id="1201" w:name="como-deveria-agir-22"/>
    <w:p>
      <w:pPr>
        <w:pStyle w:val="Heading3"/>
      </w:pPr>
      <w:r>
        <w:t xml:space="preserve">Como deveria agir</w:t>
      </w:r>
    </w:p>
    <w:p>
      <w:pPr>
        <w:pStyle w:val="FirstParagraph"/>
      </w:pPr>
      <w:r>
        <w:t xml:space="preserve">A ideia segue a mesma lógica da timosina alfa 1 (veja esse capítulo): o timo treina as células T e encolhe com a idade; portanto, mensageiros do timo deveriam fortalecer a defesa. Enquanto a timosina alfa 1, porém, é um peptídeo definido com precisão e de sequência conhecida, a timalina é uma mistura de muitos componentes de origem animal.</w:t>
      </w:r>
    </w:p>
    <w:p>
      <w:pPr>
        <w:pStyle w:val="BodyText"/>
      </w:pPr>
      <w:r>
        <w:t xml:space="preserve">Dessa mistura, os pesquisadores isolaram o dipeptídeo Glu-Trp e o lançaram no mercado, em forma sintética, como timogênio. Ele deveria favorecer a diferenciação de células T e o reconhecimento de antígenos, bem como ativar células fagocitárias</w:t>
      </w:r>
      <w:r>
        <w:rPr>
          <w:rStyle w:val="FootnoteReference"/>
        </w:rPr>
        <w:footnoteReference w:id="1198"/>
      </w:r>
      <w:r>
        <w:t xml:space="preserve">.</w:t>
      </w:r>
    </w:p>
    <w:p>
      <w:pPr>
        <w:pStyle w:val="BodyText"/>
      </w:pPr>
      <w:r>
        <w:t xml:space="preserve">Khavinson desenvolveu disso uma teoria mais abrangente: peptídeos curtos de diferentes órgãos agiriam de forma específica para cada tecido e</w:t>
      </w:r>
      <w:r>
        <w:t xml:space="preserve"> </w:t>
      </w:r>
      <w:r>
        <w:t xml:space="preserve">“</w:t>
      </w:r>
      <w:r>
        <w:t xml:space="preserve">regulariam</w:t>
      </w:r>
      <w:r>
        <w:t xml:space="preserve">”</w:t>
      </w:r>
      <w:r>
        <w:t xml:space="preserve"> </w:t>
      </w:r>
      <w:r>
        <w:t xml:space="preserve">a atividade gênica – peptídeos da glândula pineal para a glândula pineal, do timo para o sistema imunológico e assim por diante</w:t>
      </w:r>
      <w:r>
        <w:rPr>
          <w:rStyle w:val="FootnoteReference"/>
        </w:rPr>
        <w:footnoteReference w:id="1199"/>
      </w:r>
      <w:r>
        <w:t xml:space="preserve">. Também o epitalon, tratado na Parte II · D, vem dessa escola. Essa teoria quase não foi testada fora do grupo de trabalho e não corresponde ao entendimento geral de como os mensageiros peptídicos agem – a saber, em regra por meio de receptores na superfície celular. Trabalhos mais recentes do grupo apoiam o mecanismo sobretudo em simulações computacionais da ligação ao material genético e em culturas de células</w:t>
      </w:r>
      <w:r>
        <w:rPr>
          <w:rStyle w:val="FootnoteReference"/>
        </w:rPr>
        <w:footnoteReference w:id="1200"/>
      </w:r>
      <w:r>
        <w:t xml:space="preserve">.</w:t>
      </w:r>
    </w:p>
    <w:bookmarkEnd w:id="1201"/>
    <w:bookmarkStart w:id="1210" w:name="estudos-em-humanos-22"/>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encontrou</w:t>
      </w:r>
      <w:r>
        <w:t xml:space="preserve"> </w:t>
      </w:r>
      <w:r>
        <w:rPr>
          <w:bCs/>
          <w:b/>
        </w:rPr>
        <w:t xml:space="preserve">17</w:t>
      </w:r>
      <w:r>
        <w:t xml:space="preserve"> </w:t>
      </w:r>
      <w:r>
        <w:t xml:space="preserve">estudos em humanos no PubMed e</w:t>
      </w:r>
      <w:r>
        <w:t xml:space="preserve"> </w:t>
      </w:r>
      <w:r>
        <w:rPr>
          <w:bCs/>
          <w:b/>
        </w:rPr>
        <w:t xml:space="preserve">0</w:t>
      </w:r>
      <w:r>
        <w:t xml:space="preserve"> </w:t>
      </w:r>
      <w:r>
        <w:t xml:space="preserve">registros no ClinicalTrials.gov. No total, o PubMed lista cerca de 290 publicações sobre timalina ou timogênio; destas, cerca de 250 estão em russo, e apenas uma única menciona no título ou no resumo</w:t>
      </w:r>
      <w:r>
        <w:t xml:space="preserve"> </w:t>
      </w:r>
      <w:r>
        <w:t xml:space="preserve">“</w:t>
      </w:r>
      <w:r>
        <w:t xml:space="preserve">randomizado</w:t>
      </w:r>
      <w:r>
        <w:t xml:space="preserve">”</w:t>
      </w:r>
      <w:r>
        <w:t xml:space="preserve"> </w:t>
      </w:r>
      <w:r>
        <w:t xml:space="preserve">ou</w:t>
      </w:r>
      <w:r>
        <w:t xml:space="preserve"> </w:t>
      </w:r>
      <w:r>
        <w:t xml:space="preserve">“</w:t>
      </w:r>
      <w:r>
        <w:t xml:space="preserve">placebo</w:t>
      </w:r>
      <w:r>
        <w:t xml:space="preserve">”</w:t>
      </w:r>
      <w:r>
        <w:t xml:space="preserve">. Para a maioria dos estudos em humanos, há no PubMed apenas um breve resumo em russo ou ucraniano, muitas vezes sem informações sobre o número de participantes, o grupo de controle ou o cegamento.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w:t>
            </w:r>
            <w:r>
              <w:t xml:space="preserve">Prolongamento da vida</w:t>
            </w:r>
            <w:r>
              <w:t xml:space="preserve">”</w:t>
            </w:r>
            <w:r>
              <w:t xml:space="preserve"> </w:t>
            </w:r>
            <w:r>
              <w:t xml:space="preserve">(Khavinson 2003, PMID 14523363)</w:t>
            </w:r>
          </w:p>
        </w:tc>
        <w:tc>
          <w:tcPr/>
          <w:p>
            <w:pPr>
              <w:pStyle w:val="Compact"/>
              <w:jc w:val="left"/>
            </w:pPr>
            <w:r>
              <w:t xml:space="preserve">266 pessoas idosas, timalina e/ou epitalamina vs. controle; alocação e cegamento não descritos</w:t>
            </w:r>
          </w:p>
        </w:tc>
        <w:tc>
          <w:tcPr/>
          <w:p>
            <w:pPr>
              <w:pStyle w:val="Compact"/>
              <w:jc w:val="left"/>
            </w:pPr>
            <w:r>
              <w:t xml:space="preserve">6–8 anos de observação</w:t>
            </w:r>
          </w:p>
        </w:tc>
        <w:tc>
          <w:tcPr/>
          <w:p>
            <w:pPr>
              <w:pStyle w:val="Compact"/>
              <w:jc w:val="left"/>
            </w:pPr>
            <w:r>
              <w:t xml:space="preserve">mortalidade no grupo timalina 2,0 a 2,1 vezes menor do que no controle</w:t>
            </w:r>
          </w:p>
        </w:tc>
      </w:tr>
      <w:tr>
        <w:tc>
          <w:tcPr/>
          <w:p>
            <w:pPr>
              <w:pStyle w:val="Compact"/>
              <w:jc w:val="left"/>
            </w:pPr>
            <w:r>
              <w:t xml:space="preserve">Antes de cirurgias abdominais (Smirnov 2011, PMID 21957588)</w:t>
            </w:r>
          </w:p>
        </w:tc>
        <w:tc>
          <w:tcPr/>
          <w:p>
            <w:pPr>
              <w:pStyle w:val="Compact"/>
              <w:jc w:val="left"/>
            </w:pPr>
            <w:r>
              <w:t xml:space="preserve">pessoas idosas com tumores abdominais, ECR duplo-cego contra placebo, timogênio em gotas nasais; número de participantes não informado no resumo</w:t>
            </w:r>
          </w:p>
        </w:tc>
        <w:tc>
          <w:tcPr/>
          <w:p>
            <w:pPr>
              <w:pStyle w:val="Compact"/>
              <w:jc w:val="left"/>
            </w:pPr>
            <w:r>
              <w:t xml:space="preserve">7 dias antes da cirurgia</w:t>
            </w:r>
          </w:p>
        </w:tc>
        <w:tc>
          <w:tcPr/>
          <w:p>
            <w:pPr>
              <w:pStyle w:val="Compact"/>
              <w:jc w:val="left"/>
            </w:pPr>
            <w:r>
              <w:t xml:space="preserve">menos complicações após a cirurgia</w:t>
            </w:r>
          </w:p>
        </w:tc>
      </w:tr>
      <w:tr>
        <w:tc>
          <w:tcPr/>
          <w:p>
            <w:pPr>
              <w:pStyle w:val="Compact"/>
              <w:jc w:val="left"/>
            </w:pPr>
            <w:r>
              <w:t xml:space="preserve">COVID-19 grave (Kuznik 2022, PMID 36169363)</w:t>
            </w:r>
          </w:p>
        </w:tc>
        <w:tc>
          <w:tcPr/>
          <w:p>
            <w:pPr>
              <w:pStyle w:val="Compact"/>
              <w:jc w:val="left"/>
            </w:pPr>
            <w:r>
              <w:t xml:space="preserve">três grupos: terapia básica, mais tocilizumabe, mais timalina; alocação não descrita</w:t>
            </w:r>
          </w:p>
        </w:tc>
        <w:tc>
          <w:tcPr/>
          <w:p>
            <w:pPr>
              <w:pStyle w:val="Compact"/>
              <w:jc w:val="left"/>
            </w:pPr>
            <w:r>
              <w:t xml:space="preserve">internação hospitalar</w:t>
            </w:r>
          </w:p>
        </w:tc>
        <w:tc>
          <w:tcPr/>
          <w:p>
            <w:pPr>
              <w:pStyle w:val="Compact"/>
              <w:jc w:val="left"/>
            </w:pPr>
            <w:r>
              <w:t xml:space="preserve">mortalidade hospitalar 40,9%, 28,4% e 20,6%</w:t>
            </w:r>
          </w:p>
        </w:tc>
      </w:tr>
      <w:tr>
        <w:tc>
          <w:tcPr/>
          <w:p>
            <w:pPr>
              <w:pStyle w:val="Compact"/>
              <w:jc w:val="left"/>
            </w:pPr>
            <w:r>
              <w:t xml:space="preserve">Esquizofrenia resistente ao tratamento (Govorin 1990, PMID 2163147)</w:t>
            </w:r>
          </w:p>
        </w:tc>
        <w:tc>
          <w:tcPr/>
          <w:p>
            <w:pPr>
              <w:pStyle w:val="Compact"/>
              <w:jc w:val="left"/>
            </w:pPr>
            <w:r>
              <w:t xml:space="preserve">36 pessoas, sem grupo de controle</w:t>
            </w:r>
          </w:p>
        </w:tc>
        <w:tc>
          <w:tcPr/>
          <w:p>
            <w:pPr>
              <w:pStyle w:val="Compact"/>
              <w:jc w:val="left"/>
            </w:pPr>
            <w:r>
              <w:t xml:space="preserve">não informada</w:t>
            </w:r>
          </w:p>
        </w:tc>
        <w:tc>
          <w:tcPr/>
          <w:p>
            <w:pPr>
              <w:pStyle w:val="Compact"/>
              <w:jc w:val="left"/>
            </w:pPr>
            <w:r>
              <w:t xml:space="preserve">melhora de sintomas psíquicos relatada</w:t>
            </w:r>
          </w:p>
        </w:tc>
      </w:tr>
      <w:tr>
        <w:tc>
          <w:tcPr/>
          <w:p>
            <w:pPr>
              <w:pStyle w:val="Compact"/>
              <w:jc w:val="left"/>
            </w:pPr>
            <w:r>
              <w:t xml:space="preserve">Parkinson (Musienko 1999, PMID 10424021)</w:t>
            </w:r>
          </w:p>
        </w:tc>
        <w:tc>
          <w:tcPr/>
          <w:p>
            <w:pPr>
              <w:pStyle w:val="Compact"/>
              <w:jc w:val="left"/>
            </w:pPr>
            <w:r>
              <w:t xml:space="preserve">15 pessoas, sem grupo de controle</w:t>
            </w:r>
          </w:p>
        </w:tc>
        <w:tc>
          <w:tcPr/>
          <w:p>
            <w:pPr>
              <w:pStyle w:val="Compact"/>
              <w:jc w:val="left"/>
            </w:pPr>
            <w:r>
              <w:t xml:space="preserve">uma série de tratamento</w:t>
            </w:r>
          </w:p>
        </w:tc>
        <w:tc>
          <w:tcPr/>
          <w:p>
            <w:pPr>
              <w:pStyle w:val="Compact"/>
              <w:jc w:val="left"/>
            </w:pPr>
            <w:r>
              <w:t xml:space="preserve">melhora do bem-estar e dos sintomas relatada</w:t>
            </w:r>
          </w:p>
        </w:tc>
      </w:tr>
    </w:tbl>
    <w:bookmarkStart w:id="1203" w:name="X882ca3f727cd76333d1b7474a4649e20deaa116"/>
    <w:p>
      <w:pPr>
        <w:pStyle w:val="Heading4"/>
      </w:pPr>
      <w:r>
        <w:t xml:space="preserve">O estudo de longo prazo sobre prolongamento da vida</w:t>
      </w:r>
    </w:p>
    <w:p>
      <w:pPr>
        <w:pStyle w:val="FirstParagraph"/>
      </w:pPr>
      <w:r>
        <w:t xml:space="preserve">O trabalho mais conhecido é também o mais problemático. Durante seis a oito anos, foram observadas 266 pessoas idosas em São Petersburgo e Kiev, das quais algumas receberam, nos primeiros dois a três anos, timalina, epitalamina ou ambas. Relata-se uma mortalidade 2,0 a 2,1 vezes menor com timalina e 4,1 vezes menor com tratamento combinado anual ao longo de seis anos</w:t>
      </w:r>
      <w:r>
        <w:rPr>
          <w:rStyle w:val="FootnoteReference"/>
        </w:rPr>
        <w:footnoteReference w:id="1202"/>
      </w:r>
      <w:r>
        <w:t xml:space="preserve">.</w:t>
      </w:r>
    </w:p>
    <w:p>
      <w:pPr>
        <w:pStyle w:val="BodyText"/>
      </w:pPr>
      <w:r>
        <w:t xml:space="preserve">Efeitos desse tipo seriam espetaculares – maiores do que com quase qualquer medicamento estabelecido. O resumo, porém, não descreve nem como os participantes foram alocados aos grupos, nem se houve cegamento, nem quantas pessoas havia em cada grupo. Quem é mais saudável e ativo tende a participar de um tratamento de anos; sem alocação aleatória, uma diferença desse tipo pode surgir só por isso. Não existem repetições independentes.</w:t>
      </w:r>
    </w:p>
    <w:bookmarkEnd w:id="1203"/>
    <w:bookmarkStart w:id="1206" w:name="covid-19-1"/>
    <w:p>
      <w:pPr>
        <w:pStyle w:val="Heading4"/>
      </w:pPr>
      <w:r>
        <w:t xml:space="preserve">COVID-19</w:t>
      </w:r>
    </w:p>
    <w:p>
      <w:pPr>
        <w:pStyle w:val="FirstParagraph"/>
      </w:pPr>
      <w:r>
        <w:t xml:space="preserve">Durante a pandemia, o grupo de trabalho relatou o uso de timalina em pacientes graves de COVID-19. Em uma análise, a mortalidade hospitalar foi de 40,9 por cento com terapia básica, de 28,4 por cento com tocilizumabe adicional e de 20,6 por cento com timalina adicional</w:t>
      </w:r>
      <w:r>
        <w:rPr>
          <w:rStyle w:val="FootnoteReference"/>
        </w:rPr>
        <w:footnoteReference w:id="1204"/>
      </w:r>
      <w:r>
        <w:t xml:space="preserve">. Como as pessoas foram alocadas aos grupos e qual o tamanho dos grupos não consta do resumo. Outro trabalho relata quedas mais rápidas de marcadores inflamatórios e de coagulação</w:t>
      </w:r>
      <w:r>
        <w:rPr>
          <w:rStyle w:val="FootnoteReference"/>
        </w:rPr>
        <w:footnoteReference w:id="1205"/>
      </w:r>
      <w:r>
        <w:t xml:space="preserve">. Após a experiência com a timosina alfa 1, na qual dados observacionais iniciais favoráveis não se confirmaram em estudos maiores (veja esse capítulo), esses números não são confiáveis sem confirmação randomizada.</w:t>
      </w:r>
    </w:p>
    <w:bookmarkEnd w:id="1206"/>
    <w:bookmarkStart w:id="1208" w:name="o-único-estudo-controlado-por-placebo"/>
    <w:p>
      <w:pPr>
        <w:pStyle w:val="Heading4"/>
      </w:pPr>
      <w:r>
        <w:t xml:space="preserve">O único estudo controlado por placebo</w:t>
      </w:r>
    </w:p>
    <w:p>
      <w:pPr>
        <w:pStyle w:val="FirstParagraph"/>
      </w:pPr>
      <w:r>
        <w:t xml:space="preserve">O único estudo descrito como duplo-cego, randomizado e controlado por placebo investigou gotas nasais de timogênio em pessoas idosas antes de cirurgias de tumores abdominais. Relatam-se menos complicações após a cirurgia e uma recuperação mais curta</w:t>
      </w:r>
      <w:r>
        <w:rPr>
          <w:rStyle w:val="FootnoteReference"/>
        </w:rPr>
        <w:footnoteReference w:id="1207"/>
      </w:r>
      <w:r>
        <w:t xml:space="preserve">. O resumo em russo não informa o número de participantes nem o tamanho dos efeitos.</w:t>
      </w:r>
    </w:p>
    <w:bookmarkEnd w:id="1208"/>
    <w:bookmarkStart w:id="1209" w:name="outros-estudos"/>
    <w:p>
      <w:pPr>
        <w:pStyle w:val="Heading4"/>
      </w:pPr>
      <w:r>
        <w:t xml:space="preserve">Outros estudos</w:t>
      </w:r>
    </w:p>
    <w:p>
      <w:pPr>
        <w:pStyle w:val="FirstParagraph"/>
      </w:pPr>
      <w:r>
        <w:t xml:space="preserve">Os demais estudos em humanos vêm predominantemente dos anos 1980 e 1990 e abrangem um espectro notavelmente amplo: tuberculose, disenteria, erisipela, feridas purulentas, peritonite em crianças, pancreatite, colite ulcerativa, inflamações dos órgãos genitais femininos, esquizofrenia e Parkinson. Quase sempre a timalina ou o timogênio foram dados além do tratamento padrão, sem placebo e geralmente sem alocação aleatória. Mediram-se com frequência valores laboratoriais do sistema imunológico, não desfechos duros como cura ou sobrevida.</w:t>
      </w:r>
    </w:p>
    <w:bookmarkEnd w:id="1209"/>
    <w:bookmarkEnd w:id="1210"/>
    <w:bookmarkStart w:id="1213" w:name="estudos-em-animais-e-em-laboratório-22"/>
    <w:p>
      <w:pPr>
        <w:pStyle w:val="Heading3"/>
      </w:pPr>
      <w:r>
        <w:t xml:space="preserve">Estudos em animais e em laboratório</w:t>
      </w:r>
    </w:p>
    <w:p>
      <w:pPr>
        <w:pStyle w:val="FirstParagraph"/>
      </w:pPr>
      <w:r>
        <w:t xml:space="preserve">Os estudos em animais também vêm predominantemente de grupos de trabalho russos e ucranianos. Em 76 ratos que receberam durante doze meses Glu-Trp (timogênio) ou solução salina, a duração média de vida foi igual; os dez por cento mais longevos viveram mais com timogênio, e tumores ocorreram com menos frequência</w:t>
      </w:r>
      <w:r>
        <w:rPr>
          <w:rStyle w:val="FootnoteReference"/>
        </w:rPr>
        <w:footnoteReference w:id="1211"/>
      </w:r>
      <w:r>
        <w:t xml:space="preserve">. Em culturas de células-tronco sanguíneas humanas, a timalina influenciou sua diferenciação</w:t>
      </w:r>
      <w:r>
        <w:rPr>
          <w:rStyle w:val="FootnoteReference"/>
        </w:rPr>
        <w:footnoteReference w:id="1212"/>
      </w:r>
      <w:r>
        <w:t xml:space="preserve">. Outros trabalhos descrevem efeitos sobre a coagulação sanguínea, o surgimento de câncer após radiação ou substâncias químicas e infecções em roedores.</w:t>
      </w:r>
    </w:p>
    <w:bookmarkEnd w:id="1213"/>
    <w:bookmarkStart w:id="1214" w:name="Xf38798dc70738b6d1367da70edb6fc591bc947a"/>
    <w:p>
      <w:pPr>
        <w:pStyle w:val="Heading3"/>
      </w:pPr>
      <w:r>
        <w:t xml:space="preserve">Qualidade da pesquisa: uma avaliação crítica</w:t>
      </w:r>
    </w:p>
    <w:p>
      <w:pPr>
        <w:pStyle w:val="FirstParagraph"/>
      </w:pPr>
      <w:r>
        <w:t xml:space="preserve">Para a avaliação da timalina e do timogênio, a origem dos dados é mais importante do que os resultados individuais:</w:t>
      </w:r>
    </w:p>
    <w:p>
      <w:pPr>
        <w:numPr>
          <w:ilvl w:val="0"/>
          <w:numId w:val="1142"/>
        </w:numPr>
        <w:pStyle w:val="Compact"/>
      </w:pPr>
      <w:r>
        <w:rPr>
          <w:bCs/>
          <w:b/>
        </w:rPr>
        <w:t xml:space="preserve">Uma escola, quase nenhuma confirmação independente.</w:t>
      </w:r>
      <w:r>
        <w:t xml:space="preserve"> </w:t>
      </w:r>
      <w:r>
        <w:t xml:space="preserve">Grande parte dos trabalhos vem de Khavinson, de seus colaboradores ou de institutos cooperantes. Segundo o PubMed, Khavinson participou de mais de 80 das cerca de 290 publicações; muitas outras vêm de grupos estreitamente ligados. Faltam estudos de repetição ocidentais independentes.</w:t>
      </w:r>
    </w:p>
    <w:p>
      <w:pPr>
        <w:numPr>
          <w:ilvl w:val="0"/>
          <w:numId w:val="1142"/>
        </w:numPr>
        <w:pStyle w:val="Compact"/>
      </w:pPr>
      <w:r>
        <w:rPr>
          <w:bCs/>
          <w:b/>
        </w:rPr>
        <w:t xml:space="preserve">Idioma e acessibilidade.</w:t>
      </w:r>
      <w:r>
        <w:t xml:space="preserve"> </w:t>
      </w:r>
      <w:r>
        <w:t xml:space="preserve">Cerca de 250 dos trabalhos estão em russo, no PubMed muitas vezes apenas com um breve resumo. Os textos completos são de difícil acesso, e os métodos quase não podem ser verificados.</w:t>
      </w:r>
    </w:p>
    <w:p>
      <w:pPr>
        <w:numPr>
          <w:ilvl w:val="0"/>
          <w:numId w:val="1142"/>
        </w:numPr>
        <w:pStyle w:val="Compact"/>
      </w:pPr>
      <w:r>
        <w:rPr>
          <w:bCs/>
          <w:b/>
        </w:rPr>
        <w:t xml:space="preserve">Desenho dos estudos.</w:t>
      </w:r>
      <w:r>
        <w:t xml:space="preserve"> </w:t>
      </w:r>
      <w:r>
        <w:t xml:space="preserve">Quase nenhum estudo é randomizado, cego e registrado previamente segundo os padrões atuais. Nenhum estudo está registrado no ClinicalTrials.gov.</w:t>
      </w:r>
    </w:p>
    <w:p>
      <w:pPr>
        <w:numPr>
          <w:ilvl w:val="0"/>
          <w:numId w:val="1142"/>
        </w:numPr>
        <w:pStyle w:val="Compact"/>
      </w:pPr>
      <w:r>
        <w:rPr>
          <w:bCs/>
          <w:b/>
        </w:rPr>
        <w:t xml:space="preserve">Efeitos incomumente grandes em muitíssimas doenças.</w:t>
      </w:r>
      <w:r>
        <w:t xml:space="preserve"> </w:t>
      </w:r>
      <w:r>
        <w:t xml:space="preserve">Uma preparação que age igualmente na tuberculose, na esquizofrenia, no Parkinson, na COVID-19 e no envelhecimento e reduz a mortalidade pela metade é, do ponto de vista metodológico, um sinal de alerta, não uma recomendação.</w:t>
      </w:r>
    </w:p>
    <w:p>
      <w:pPr>
        <w:numPr>
          <w:ilvl w:val="0"/>
          <w:numId w:val="1142"/>
        </w:numPr>
        <w:pStyle w:val="Compact"/>
      </w:pPr>
      <w:r>
        <w:rPr>
          <w:bCs/>
          <w:b/>
        </w:rPr>
        <w:t xml:space="preserve">Conflitos de interesse.</w:t>
      </w:r>
      <w:r>
        <w:t xml:space="preserve"> </w:t>
      </w:r>
      <w:r>
        <w:t xml:space="preserve">O grupo de trabalho desenvolveu ele próprio as preparações; segundo o conhecimento do autor,</w:t>
      </w:r>
      <w:r>
        <w:t xml:space="preserve"> </w:t>
      </w:r>
      <w:r>
        <w:t xml:space="preserve">“</w:t>
      </w:r>
      <w:r>
        <w:t xml:space="preserve">biorreguladores</w:t>
      </w:r>
      <w:r>
        <w:t xml:space="preserve">”</w:t>
      </w:r>
      <w:r>
        <w:t xml:space="preserve"> </w:t>
      </w:r>
      <w:r>
        <w:t xml:space="preserve">dessa escola são comercializados internacionalmente como suplementos alimentares. Faltam verificações independentes por pesquisadores sem esses vínculos.</w:t>
      </w:r>
    </w:p>
    <w:p>
      <w:pPr>
        <w:pStyle w:val="FirstParagraph"/>
      </w:pPr>
      <w:r>
        <w:t xml:space="preserve">Isso não significa que todos os resultados tenham de estar errados. Significa que, pelos critérios deste livro, eles não podem valer como prova de benefício enquanto não forem confirmados em estudos independentes e bem planejados.</w:t>
      </w:r>
    </w:p>
    <w:bookmarkEnd w:id="1214"/>
    <w:bookmarkStart w:id="1217" w:name="riscos-e-efeitos-colaterais-22"/>
    <w:p>
      <w:pPr>
        <w:pStyle w:val="Heading3"/>
      </w:pPr>
      <w:r>
        <w:t xml:space="preserve">Riscos e efeitos colaterais</w:t>
      </w:r>
    </w:p>
    <w:bookmarkStart w:id="1215" w:name="comprovados-6"/>
    <w:p>
      <w:pPr>
        <w:pStyle w:val="Heading4"/>
      </w:pPr>
      <w:r>
        <w:t xml:space="preserve">Comprovados</w:t>
      </w:r>
    </w:p>
    <w:p>
      <w:pPr>
        <w:pStyle w:val="FirstParagraph"/>
      </w:pPr>
      <w:r>
        <w:t xml:space="preserve">Não há dados de segurança coletados sistematicamente segundo os padrões atuais. Os estudos existentes quase não relatam efeitos colaterais – o que, em estudos pequenos e não cegos, diz pouco.</w:t>
      </w:r>
    </w:p>
    <w:bookmarkEnd w:id="1215"/>
    <w:bookmarkStart w:id="1216" w:name="teóricos-2"/>
    <w:p>
      <w:pPr>
        <w:pStyle w:val="Heading4"/>
      </w:pPr>
      <w:r>
        <w:t xml:space="preserve">Teóricos</w:t>
      </w:r>
    </w:p>
    <w:p>
      <w:pPr>
        <w:numPr>
          <w:ilvl w:val="0"/>
          <w:numId w:val="1143"/>
        </w:numPr>
        <w:pStyle w:val="Compact"/>
      </w:pPr>
      <w:r>
        <w:rPr>
          <w:bCs/>
          <w:b/>
        </w:rPr>
        <w:t xml:space="preserve">Material de partida animal:</w:t>
      </w:r>
      <w:r>
        <w:t xml:space="preserve"> </w:t>
      </w:r>
      <w:r>
        <w:t xml:space="preserve">a timalina é um extrato de timo de bezerro. Com extratos animais, há em princípio riscos de contaminações, variações entre lotes e reações alérgicas. Também a transmissão de patógenos a partir de tecido bovino é um risco teórico, que depende da qualidade de fabricação.</w:t>
      </w:r>
    </w:p>
    <w:p>
      <w:pPr>
        <w:numPr>
          <w:ilvl w:val="0"/>
          <w:numId w:val="1143"/>
        </w:numPr>
        <w:pStyle w:val="Compact"/>
      </w:pPr>
      <w:r>
        <w:rPr>
          <w:bCs/>
          <w:b/>
        </w:rPr>
        <w:t xml:space="preserve">Imunoestimulação:</w:t>
      </w:r>
      <w:r>
        <w:t xml:space="preserve"> </w:t>
      </w:r>
      <w:r>
        <w:t xml:space="preserve">em doenças autoimunes ou após transplante de órgãos, uma estimulação do sistema imunológico poderia causar dano. Faltam dados sobre isso.</w:t>
      </w:r>
    </w:p>
    <w:p>
      <w:pPr>
        <w:numPr>
          <w:ilvl w:val="0"/>
          <w:numId w:val="1143"/>
        </w:numPr>
        <w:pStyle w:val="Compact"/>
      </w:pPr>
      <w:r>
        <w:rPr>
          <w:bCs/>
          <w:b/>
        </w:rPr>
        <w:t xml:space="preserve">Mercado cinza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fora da Rússia, a timalina, o timogênio e produtos aparentados são vendidos pela internet, em parte como solução injetável, em parte como cápsulas com a denominação</w:t>
      </w:r>
      <w:r>
        <w:t xml:space="preserve"> </w:t>
      </w:r>
      <w:r>
        <w:t xml:space="preserve">“</w:t>
      </w:r>
      <w:r>
        <w:t xml:space="preserve">biorregulador</w:t>
      </w:r>
      <w:r>
        <w:t xml:space="preserve">”</w:t>
      </w:r>
      <w:r>
        <w:t xml:space="preserve">. Origem, teor e qualidade desses produtos não são verificáveis.</w:t>
      </w:r>
    </w:p>
    <w:bookmarkEnd w:id="1216"/>
    <w:bookmarkEnd w:id="1217"/>
    <w:bookmarkStart w:id="1218" w:name="situação-legal-22"/>
    <w:p>
      <w:pPr>
        <w:pStyle w:val="Heading3"/>
      </w:pPr>
      <w:r>
        <w:t xml:space="preserve">Situação legal</w:t>
      </w:r>
    </w:p>
    <w:p>
      <w:pPr>
        <w:pStyle w:val="FirstParagraph"/>
      </w:pPr>
      <w:r>
        <w:rPr>
          <w:iCs/>
          <w:i/>
        </w:rPr>
        <w:t xml:space="preserve">Situação em 2026, verificar atualização.</w:t>
      </w:r>
    </w:p>
    <w:p>
      <w:pPr>
        <w:numPr>
          <w:ilvl w:val="0"/>
          <w:numId w:val="1144"/>
        </w:numPr>
        <w:pStyle w:val="Compact"/>
      </w:pPr>
      <w:r>
        <w:rPr>
          <w:bCs/>
          <w:b/>
        </w:rPr>
        <w:t xml:space="preserve">Rússia e alguns Estados sucessores da União Soviética:</w:t>
      </w:r>
      <w:r>
        <w:t xml:space="preserve"> </w:t>
      </w:r>
      <w:r>
        <w:t xml:space="preserve">a timalina e o timogênio estão aprovados como medicamentos.</w:t>
      </w:r>
    </w:p>
    <w:p>
      <w:pPr>
        <w:numPr>
          <w:ilvl w:val="0"/>
          <w:numId w:val="1144"/>
        </w:numPr>
        <w:pStyle w:val="Compact"/>
      </w:pPr>
      <w:r>
        <w:rPr>
          <w:bCs/>
          <w:b/>
        </w:rPr>
        <w:t xml:space="preserve">UE, Alemanha, Áustria:</w:t>
      </w:r>
      <w:r>
        <w:t xml:space="preserve"> </w:t>
      </w:r>
      <w:r>
        <w:t xml:space="preserve">sem aprovação. A importação e o fornecimento para uso em humanos só são permitidos sob as condições estritas da respectiva legislação de medicamentos. Cápsulas com extratos de órgãos vendidas como suplementos alimentares não podem prometer efeitos sobre doenças; se devem ser classificadas como medicamentos depende do caso individual.</w:t>
      </w:r>
    </w:p>
    <w:p>
      <w:pPr>
        <w:numPr>
          <w:ilvl w:val="0"/>
          <w:numId w:val="1144"/>
        </w:numPr>
        <w:pStyle w:val="Compact"/>
      </w:pPr>
      <w:r>
        <w:rPr>
          <w:bCs/>
          <w:b/>
        </w:rPr>
        <w:t xml:space="preserve">EUA:</w:t>
      </w:r>
      <w:r>
        <w:t xml:space="preserve"> </w:t>
      </w:r>
      <w:r>
        <w:t xml:space="preserve">sem aprovação da FDA.</w:t>
      </w:r>
    </w:p>
    <w:p>
      <w:pPr>
        <w:numPr>
          <w:ilvl w:val="0"/>
          <w:numId w:val="1144"/>
        </w:numPr>
        <w:pStyle w:val="Compact"/>
      </w:pPr>
      <w:r>
        <w:rPr>
          <w:bCs/>
          <w:b/>
        </w:rPr>
        <w:t xml:space="preserve">WADA:</w:t>
      </w:r>
      <w:r>
        <w:t xml:space="preserve"> </w:t>
      </w:r>
      <w:r>
        <w:t xml:space="preserve">não listados nominalmente.</w:t>
      </w:r>
    </w:p>
    <w:bookmarkEnd w:id="1218"/>
    <w:bookmarkStart w:id="1219" w:name="estudos-em-andamento-e-perspectivas-22"/>
    <w:p>
      <w:pPr>
        <w:pStyle w:val="Heading3"/>
      </w:pPr>
      <w:r>
        <w:t xml:space="preserve">Estudos em andamento e perspectivas</w:t>
      </w:r>
    </w:p>
    <w:p>
      <w:pPr>
        <w:pStyle w:val="FirstParagraph"/>
      </w:pPr>
      <w:r>
        <w:rPr>
          <w:bCs/>
          <w:b/>
        </w:rPr>
        <w:t xml:space="preserve">Confirmado:</w:t>
      </w:r>
      <w:r>
        <w:t xml:space="preserve"> </w:t>
      </w:r>
      <w:r>
        <w:t xml:space="preserve">no ClinicalTrials.gov, em outubro de 2026, não há nenhum estudo sobre timalina ou timogênio registrado.</w:t>
      </w:r>
    </w:p>
    <w:p>
      <w:pPr>
        <w:pStyle w:val="BodyText"/>
      </w:pPr>
      <w:r>
        <w:rPr>
          <w:bCs/>
          <w:b/>
        </w:rPr>
        <w:t xml:space="preserve">Avaliação do autor:</w:t>
      </w:r>
      <w:r>
        <w:t xml:space="preserve"> </w:t>
      </w:r>
      <w:r>
        <w:t xml:space="preserve">uma aprovação na UE ou nos EUA está excluída sem novos estudos realizados segundo padrões internacionais, e tais estudos não estão à vista. A timalina e o timogênio provavelmente continuarão sendo um fenômeno do mercado de saúde de língua russa e da cena internacional de longevidade.</w:t>
      </w:r>
    </w:p>
    <w:bookmarkEnd w:id="1219"/>
    <w:bookmarkStart w:id="1221" w:name="conclusão-22"/>
    <w:p>
      <w:pPr>
        <w:pStyle w:val="Heading3"/>
      </w:pPr>
      <w:r>
        <w:t xml:space="preserve">Conclusão</w:t>
      </w:r>
    </w:p>
    <w:p>
      <w:pPr>
        <w:pStyle w:val="FirstParagraph"/>
      </w:pPr>
      <w:r>
        <w:t xml:space="preserve">A timalina é um extrato de timo de bezerro; o timogênio, um dipeptídeo derivado dele; ambos estão aprovados na Rússia e são promovidos no Ocidente como</w:t>
      </w:r>
      <w:r>
        <w:t xml:space="preserve"> </w:t>
      </w:r>
      <w:r>
        <w:t xml:space="preserve">“</w:t>
      </w:r>
      <w:r>
        <w:t xml:space="preserve">biorreguladores</w:t>
      </w:r>
      <w:r>
        <w:t xml:space="preserve">”</w:t>
      </w:r>
      <w:r>
        <w:t xml:space="preserve"> </w:t>
      </w:r>
      <w:r>
        <w:t xml:space="preserve">para prolongar a vida. A base de estudos vem quase inteiramente de uma única escola de pesquisa russa, foi publicada predominantemente em russo e consiste em estudos pequenos, geralmente não randomizados. A muito citada redução pela metade da mortalidade em pessoas idosas</w:t>
      </w:r>
      <w:r>
        <w:rPr>
          <w:rStyle w:val="FootnoteReference"/>
        </w:rPr>
        <w:footnoteReference w:id="1220"/>
      </w:r>
      <w:r>
        <w:t xml:space="preserve"> </w:t>
      </w:r>
      <w:r>
        <w:t xml:space="preserve">se baseia em um estudo cujo desenho não é descrito de forma compreensível no resumo. Um benefício não está comprovado pelos padrões atuais, e a qualidade dos produtos vendidos livremente é desconhecida.</w:t>
      </w:r>
    </w:p>
    <w:bookmarkEnd w:id="1221"/>
    <w:bookmarkEnd w:id="1222"/>
    <w:bookmarkEnd w:id="1223"/>
    <w:bookmarkStart w:id="1603" w:name="X7d07b6dd99550a8e01eb1562fa54021376deb08"/>
    <w:p>
      <w:pPr>
        <w:pStyle w:val="Heading1"/>
      </w:pPr>
      <w:r>
        <w:t xml:space="preserve">Parte II · C – Eixo do hormônio do crescimento</w:t>
      </w:r>
    </w:p>
    <w:p>
      <w:pPr>
        <w:pStyle w:val="FirstParagraph"/>
      </w:pPr>
      <w:r>
        <w:t xml:space="preserve">O hormônio do crescimento (GH, do inglês</w:t>
      </w:r>
      <w:r>
        <w:t xml:space="preserve"> </w:t>
      </w:r>
      <w:r>
        <w:rPr>
          <w:iCs/>
          <w:i/>
        </w:rPr>
        <w:t xml:space="preserve">growth hormone</w:t>
      </w:r>
      <w:r>
        <w:t xml:space="preserve">) é um dos hormônios mais mitificados que existem. Nas academias, é considerado o hormônio dos músculos e da queima de gordura; nos consultórios anti-aging, uma</w:t>
      </w:r>
      <w:r>
        <w:t xml:space="preserve"> </w:t>
      </w:r>
      <w:r>
        <w:t xml:space="preserve">“</w:t>
      </w:r>
      <w:r>
        <w:t xml:space="preserve">fonte da juventude</w:t>
      </w:r>
      <w:r>
        <w:t xml:space="preserve">”</w:t>
      </w:r>
      <w:r>
        <w:t xml:space="preserve">. O hormônio do crescimento verdadeiro é uma proteína grande, cara e sujeita a prescrição médica. Os peptídeos desta parte prometem um caminho aparentemente mais elegante: eles deveriam levar o corpo a liberar</w:t>
      </w:r>
      <w:r>
        <w:t xml:space="preserve"> </w:t>
      </w:r>
      <w:r>
        <w:rPr>
          <w:iCs/>
          <w:i/>
        </w:rPr>
        <w:t xml:space="preserve">mais hormônio do crescimento próprio</w:t>
      </w:r>
      <w:r>
        <w:t xml:space="preserve"> </w:t>
      </w:r>
      <w:r>
        <w:t xml:space="preserve">– ou fornecem diretamente o mensageiro subsequente IGF-1.</w:t>
      </w:r>
    </w:p>
    <w:bookmarkStart w:id="1225" w:name="o-eixo-em-quatro-estações"/>
    <w:p>
      <w:pPr>
        <w:pStyle w:val="Heading3"/>
      </w:pPr>
      <w:r>
        <w:t xml:space="preserve">O eixo em quatro estações</w:t>
      </w:r>
    </w:p>
    <w:p>
      <w:pPr>
        <w:numPr>
          <w:ilvl w:val="0"/>
          <w:numId w:val="1145"/>
        </w:numPr>
        <w:pStyle w:val="Compact"/>
      </w:pPr>
      <w:r>
        <w:t xml:space="preserve">O</w:t>
      </w:r>
      <w:r>
        <w:t xml:space="preserve"> </w:t>
      </w:r>
      <w:r>
        <w:rPr>
          <w:bCs/>
          <w:b/>
        </w:rPr>
        <w:t xml:space="preserve">GHRH</w:t>
      </w:r>
      <w:r>
        <w:t xml:space="preserve"> </w:t>
      </w:r>
      <w:r>
        <w:t xml:space="preserve">(hormônio liberador do hormônio do crescimento), do diencéfalo, dá à hipófise o sinal para a liberação. Seu antagonista, a somatostatina, freia.</w:t>
      </w:r>
    </w:p>
    <w:p>
      <w:pPr>
        <w:numPr>
          <w:ilvl w:val="0"/>
          <w:numId w:val="1145"/>
        </w:numPr>
        <w:pStyle w:val="Compact"/>
      </w:pPr>
      <w:r>
        <w:t xml:space="preserve">A</w:t>
      </w:r>
      <w:r>
        <w:t xml:space="preserve"> </w:t>
      </w:r>
      <w:r>
        <w:rPr>
          <w:bCs/>
          <w:b/>
        </w:rPr>
        <w:t xml:space="preserve">grelina</w:t>
      </w:r>
      <w:r>
        <w:t xml:space="preserve">, um hormônio do estômago, intensifica a liberação por meio de um receptor próprio (GHS-R1a) e, ao mesmo tempo, dá fome</w:t>
      </w:r>
      <w:r>
        <w:rPr>
          <w:rStyle w:val="FootnoteReference"/>
        </w:rPr>
        <w:footnoteReference w:id="1224"/>
      </w:r>
      <w:r>
        <w:t xml:space="preserve">.</w:t>
      </w:r>
    </w:p>
    <w:p>
      <w:pPr>
        <w:numPr>
          <w:ilvl w:val="0"/>
          <w:numId w:val="1145"/>
        </w:numPr>
        <w:pStyle w:val="Compact"/>
      </w:pPr>
      <w:r>
        <w:t xml:space="preserve">O</w:t>
      </w:r>
      <w:r>
        <w:t xml:space="preserve"> </w:t>
      </w:r>
      <w:r>
        <w:rPr>
          <w:bCs/>
          <w:b/>
        </w:rPr>
        <w:t xml:space="preserve">hormônio do crescimento</w:t>
      </w:r>
      <w:r>
        <w:t xml:space="preserve"> </w:t>
      </w:r>
      <w:r>
        <w:t xml:space="preserve">é liberado pela hipófise em pulsos, sobretudo à noite.</w:t>
      </w:r>
    </w:p>
    <w:p>
      <w:pPr>
        <w:numPr>
          <w:ilvl w:val="0"/>
          <w:numId w:val="1145"/>
        </w:numPr>
        <w:pStyle w:val="Compact"/>
      </w:pPr>
      <w:r>
        <w:t xml:space="preserve">O</w:t>
      </w:r>
      <w:r>
        <w:t xml:space="preserve"> </w:t>
      </w:r>
      <w:r>
        <w:rPr>
          <w:bCs/>
          <w:b/>
        </w:rPr>
        <w:t xml:space="preserve">IGF-1</w:t>
      </w:r>
      <w:r>
        <w:t xml:space="preserve"> </w:t>
      </w:r>
      <w:r>
        <w:t xml:space="preserve">(fator de crescimento semelhante à insulina 1) é produzido sobretudo no fígado em resposta ao hormônio do crescimento e medeia muitos de seus efeitos anabólicos. Níveis altos de IGF-1, por sua vez, freiam o eixo.</w:t>
      </w:r>
    </w:p>
    <w:p>
      <w:pPr>
        <w:pStyle w:val="FirstParagraph"/>
      </w:pPr>
      <w:r>
        <w:t xml:space="preserve">As substâncias desta parte atuam em estações diferentes:</w:t>
      </w:r>
      <w:r>
        <w:t xml:space="preserve"> </w:t>
      </w:r>
      <w:r>
        <w:rPr>
          <w:bCs/>
          <w:b/>
        </w:rPr>
        <w:t xml:space="preserve">análogos de GHRH</w:t>
      </w:r>
      <w:r>
        <w:t xml:space="preserve"> </w:t>
      </w:r>
      <w:r>
        <w:t xml:space="preserve">(sermorrelina, tesamorrelina, CJC-1295) no receptor de GHRH,</w:t>
      </w:r>
      <w:r>
        <w:t xml:space="preserve"> </w:t>
      </w:r>
      <w:r>
        <w:rPr>
          <w:bCs/>
          <w:b/>
        </w:rPr>
        <w:t xml:space="preserve">miméticos de grelina</w:t>
      </w:r>
      <w:r>
        <w:t xml:space="preserve"> </w:t>
      </w:r>
      <w:r>
        <w:t xml:space="preserve">(ipamorelina, GHRP-2, GHRP-6, hexarelina, macimorelina e, para comparação, o não peptídeo ibutamoreno) no receptor de grelina,</w:t>
      </w:r>
      <w:r>
        <w:t xml:space="preserve"> </w:t>
      </w:r>
      <w:r>
        <w:rPr>
          <w:bCs/>
          <w:b/>
        </w:rPr>
        <w:t xml:space="preserve">IGF-1 e suas variantes</w:t>
      </w:r>
      <w:r>
        <w:t xml:space="preserve"> </w:t>
      </w:r>
      <w:r>
        <w:t xml:space="preserve">(mecasermina, IGF-1 LR3) diretamente no fim da cadeia.</w:t>
      </w:r>
    </w:p>
    <w:bookmarkEnd w:id="1225"/>
    <w:bookmarkStart w:id="1228" w:name="por-que-este-grupo-é-tão-popular"/>
    <w:p>
      <w:pPr>
        <w:pStyle w:val="Heading3"/>
      </w:pPr>
      <w:r>
        <w:t xml:space="preserve">Por que este grupo é tão popular</w:t>
      </w:r>
    </w:p>
    <w:p>
      <w:pPr>
        <w:pStyle w:val="FirstParagraph"/>
      </w:pPr>
      <w:r>
        <w:t xml:space="preserve">O hormônio do crescimento degrada gordura e aumenta a massa magra – isso está bem comprovado. Uma revisão de estudos randomizados em pessoas jovens e treinadas encontrou um aumento da massa livre de gordura de 2,1 kg, mas nenhuma melhora de força ou resistência, e, em contrapartida, mais retenção de líquidos e cansaço</w:t>
      </w:r>
      <w:r>
        <w:rPr>
          <w:rStyle w:val="FootnoteReference"/>
        </w:rPr>
        <w:footnoteReference w:id="1226"/>
      </w:r>
      <w:r>
        <w:t xml:space="preserve">. Em idosos saudáveis, a massa gorda caiu 2,1 kg e a massa magra subiu 2,1 kg; ao mesmo tempo, ocorreram com mais frequência inchaços nos tecidos, dores articulares, síndrome do túnel do carpo e aumento das mamas em homens</w:t>
      </w:r>
      <w:r>
        <w:rPr>
          <w:rStyle w:val="FootnoteReference"/>
        </w:rPr>
        <w:footnoteReference w:id="1227"/>
      </w:r>
      <w:r>
        <w:t xml:space="preserve">. Como a liberação de hormônio do crescimento diminui com a idade, é tentadora a ideia de</w:t>
      </w:r>
      <w:r>
        <w:t xml:space="preserve"> </w:t>
      </w:r>
      <w:r>
        <w:t xml:space="preserve">“</w:t>
      </w:r>
      <w:r>
        <w:t xml:space="preserve">fazê-la voltar</w:t>
      </w:r>
      <w:r>
        <w:t xml:space="preserve">”</w:t>
      </w:r>
      <w:r>
        <w:t xml:space="preserve">. Os liberadores são considerados uma alternativa mais suave, porque a regulação própria do corpo é preservada. Soma-se a isso que muitos deles são vendidos on-line, a preço baixo, como</w:t>
      </w:r>
      <w:r>
        <w:t xml:space="preserve"> </w:t>
      </w:r>
      <w:r>
        <w:t xml:space="preserve">“</w:t>
      </w:r>
      <w:r>
        <w:t xml:space="preserve">research peptides</w:t>
      </w:r>
      <w:r>
        <w:t xml:space="preserve">”</w:t>
      </w:r>
      <w:r>
        <w:t xml:space="preserve">.</w:t>
      </w:r>
    </w:p>
    <w:p>
      <w:pPr>
        <w:pStyle w:val="BodyText"/>
      </w:pPr>
      <w:r>
        <w:t xml:space="preserve">O padrão que atravessa quase todos os capítulos: o IGF-1 e a massa magra aumentam, mas força, função ou evolução de doenças quase não melhoram em estudos controlados – enquanto glicemia, retenção de líquidos e, com algumas substâncias, hormônios do estresse aumentam.</w:t>
      </w:r>
    </w:p>
    <w:bookmarkEnd w:id="1228"/>
    <w:bookmarkStart w:id="1235" w:name="o-ponto-em-aberto-mais-importante-câncer"/>
    <w:p>
      <w:pPr>
        <w:pStyle w:val="Heading3"/>
      </w:pPr>
      <w:r>
        <w:t xml:space="preserve">O ponto em aberto mais importante: câncer</w:t>
      </w:r>
    </w:p>
    <w:p>
      <w:pPr>
        <w:pStyle w:val="FirstParagraph"/>
      </w:pPr>
      <w:r>
        <w:t xml:space="preserve">O IGF-1 favorece a divisão celular e mantém as células vivas. Se uma elevação permanente aumenta o risco de câncer é a questão de segurança central do grupo. As evidências, resumidas com sobriedade:</w:t>
      </w:r>
    </w:p>
    <w:p>
      <w:pPr>
        <w:numPr>
          <w:ilvl w:val="0"/>
          <w:numId w:val="1146"/>
        </w:numPr>
        <w:pStyle w:val="Compact"/>
      </w:pPr>
      <w:r>
        <w:rPr>
          <w:bCs/>
          <w:b/>
        </w:rPr>
        <w:t xml:space="preserve">IGF-1 naturalmente alto:</w:t>
      </w:r>
      <w:r>
        <w:t xml:space="preserve"> </w:t>
      </w:r>
      <w:r>
        <w:t xml:space="preserve">em estudos observacionais, um nível mais alto está associado a um risco moderadamente aumentado de câncer de próstata e de câncer de mama antes da menopausa</w:t>
      </w:r>
      <w:r>
        <w:rPr>
          <w:rStyle w:val="FootnoteReference"/>
        </w:rPr>
        <w:footnoteReference w:id="1229"/>
      </w:r>
      <w:r>
        <w:t xml:space="preserve">. Análises genéticas com centenas de milhares de participantes indicam que a associação poderia ser causal nos cânceres de mama e colorretal</w:t>
      </w:r>
      <w:r>
        <w:rPr>
          <w:rStyle w:val="FootnoteReference"/>
        </w:rPr>
        <w:footnoteReference w:id="1230"/>
      </w:r>
      <w:r>
        <w:t xml:space="preserve">.</w:t>
      </w:r>
    </w:p>
    <w:p>
      <w:pPr>
        <w:numPr>
          <w:ilvl w:val="0"/>
          <w:numId w:val="1146"/>
        </w:numPr>
        <w:pStyle w:val="Compact"/>
      </w:pPr>
      <w:r>
        <w:rPr>
          <w:bCs/>
          <w:b/>
        </w:rPr>
        <w:t xml:space="preserve">Excesso natural de hormônio do crescimento (acromegalia):</w:t>
      </w:r>
      <w:r>
        <w:t xml:space="preserve"> </w:t>
      </w:r>
      <w:r>
        <w:t xml:space="preserve">uma metanálise de 23 estudos encontrou uma taxa de câncer cerca de 50% maior, mas aponta também para vieses em estudos mais antigos</w:t>
      </w:r>
      <w:r>
        <w:rPr>
          <w:rStyle w:val="FootnoteReference"/>
        </w:rPr>
        <w:footnoteReference w:id="1231"/>
      </w:r>
      <w:r>
        <w:t xml:space="preserve">.</w:t>
      </w:r>
    </w:p>
    <w:p>
      <w:pPr>
        <w:numPr>
          <w:ilvl w:val="0"/>
          <w:numId w:val="1146"/>
        </w:numPr>
        <w:pStyle w:val="Compact"/>
      </w:pPr>
      <w:r>
        <w:rPr>
          <w:bCs/>
          <w:b/>
        </w:rPr>
        <w:t xml:space="preserve">Deficiência de IGF-1 por toda a vida (síndrome de Laron):</w:t>
      </w:r>
      <w:r>
        <w:t xml:space="preserve"> </w:t>
      </w:r>
      <w:r>
        <w:t xml:space="preserve">o câncer ocorreu de forma notavelmente rara</w:t>
      </w:r>
      <w:r>
        <w:rPr>
          <w:rStyle w:val="FootnoteReference"/>
        </w:rPr>
        <w:footnoteReference w:id="1232"/>
      </w:r>
      <w:r>
        <w:t xml:space="preserve">.</w:t>
      </w:r>
    </w:p>
    <w:p>
      <w:pPr>
        <w:numPr>
          <w:ilvl w:val="0"/>
          <w:numId w:val="1146"/>
        </w:numPr>
        <w:pStyle w:val="Compact"/>
      </w:pPr>
      <w:r>
        <w:rPr>
          <w:bCs/>
          <w:b/>
        </w:rPr>
        <w:t xml:space="preserve">Hormônio do crescimento como medicamento:</w:t>
      </w:r>
      <w:r>
        <w:t xml:space="preserve"> </w:t>
      </w:r>
      <w:r>
        <w:t xml:space="preserve">em uma coorte europeia com 23.984 crianças tratadas, não se encontrou risco geral aumentado em crianças sem doença prévia, mas anomalias em alguns tipos de câncer e em crianças que já haviam tido câncer</w:t>
      </w:r>
      <w:r>
        <w:rPr>
          <w:rStyle w:val="FootnoteReference"/>
        </w:rPr>
        <w:footnoteReference w:id="1233"/>
      </w:r>
      <w:r>
        <w:t xml:space="preserve">. Em 8.418 adultos tratados com hipopituitarismo, o risco de câncer não estava aumentado</w:t>
      </w:r>
      <w:r>
        <w:rPr>
          <w:rStyle w:val="FootnoteReference"/>
        </w:rPr>
        <w:footnoteReference w:id="1234"/>
      </w:r>
      <w:r>
        <w:t xml:space="preserve">.</w:t>
      </w:r>
    </w:p>
    <w:p>
      <w:pPr>
        <w:pStyle w:val="FirstParagraph"/>
      </w:pPr>
      <w:r>
        <w:t xml:space="preserve">Conclusão: em pessoas com deficiência real, uma terapia de reposição, segundo o conhecimento atual, não está associada a um risco de câncer claramente maior. Para pessoas saudáveis que elevam um nível normal ao longo de anos, faltam dados – e a biologia fala mais a favor do que contra um certo risco. A Parte IV aprofunda o tema.</w:t>
      </w:r>
    </w:p>
    <w:bookmarkEnd w:id="1235"/>
    <w:bookmarkStart w:id="1236" w:name="visão-geral-1"/>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Sermorrelina</w:t>
            </w:r>
          </w:p>
        </w:tc>
        <w:tc>
          <w:tcPr/>
          <w:p>
            <w:pPr>
              <w:pStyle w:val="Compact"/>
              <w:jc w:val="left"/>
            </w:pPr>
            <w:r>
              <w:t xml:space="preserve">B</w:t>
            </w:r>
          </w:p>
        </w:tc>
        <w:tc>
          <w:tcPr/>
          <w:p>
            <w:pPr>
              <w:pStyle w:val="Compact"/>
              <w:jc w:val="left"/>
            </w:pPr>
            <w:r>
              <w:t xml:space="preserve">antes EUA (Geref), hoje nenhuma</w:t>
            </w:r>
          </w:p>
        </w:tc>
        <w:tc>
          <w:tcPr/>
          <w:p>
            <w:pPr>
              <w:pStyle w:val="Compact"/>
              <w:jc w:val="left"/>
            </w:pPr>
            <w:r>
              <w:t xml:space="preserve">fragmento de GHRH; crianças com deficiência de GH</w:t>
            </w:r>
          </w:p>
        </w:tc>
      </w:tr>
      <w:tr>
        <w:tc>
          <w:tcPr/>
          <w:p>
            <w:pPr>
              <w:pStyle w:val="Compact"/>
              <w:jc w:val="left"/>
            </w:pPr>
            <w:r>
              <w:t xml:space="preserve">Tesamorrelina</w:t>
            </w:r>
          </w:p>
        </w:tc>
        <w:tc>
          <w:tcPr/>
          <w:p>
            <w:pPr>
              <w:pStyle w:val="Compact"/>
              <w:jc w:val="left"/>
            </w:pPr>
            <w:r>
              <w:t xml:space="preserve">A</w:t>
            </w:r>
          </w:p>
        </w:tc>
        <w:tc>
          <w:tcPr/>
          <w:p>
            <w:pPr>
              <w:pStyle w:val="Compact"/>
              <w:jc w:val="left"/>
            </w:pPr>
            <w:r>
              <w:t xml:space="preserve">EUA (Egrifta)</w:t>
            </w:r>
          </w:p>
        </w:tc>
        <w:tc>
          <w:tcPr/>
          <w:p>
            <w:pPr>
              <w:pStyle w:val="Compact"/>
              <w:jc w:val="left"/>
            </w:pPr>
            <w:r>
              <w:t xml:space="preserve">menos gordura abdominal e hepática no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apenas dados de fase 1; variante</w:t>
            </w:r>
            <w:r>
              <w:t xml:space="preserve"> </w:t>
            </w:r>
            <w:r>
              <w:t xml:space="preserve">“</w:t>
            </w:r>
            <w:r>
              <w:t xml:space="preserve">sem DAC</w:t>
            </w:r>
            <w:r>
              <w:t xml:space="preserve">”</w:t>
            </w:r>
            <w:r>
              <w:t xml:space="preserve"> </w:t>
            </w:r>
            <w:r>
              <w:t xml:space="preserve">não pesquisada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sem benefício no íleo paralítico pós-operatório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Japão (diagnóstico)</w:t>
            </w:r>
          </w:p>
        </w:tc>
        <w:tc>
          <w:tcPr/>
          <w:p>
            <w:pPr>
              <w:pStyle w:val="Compact"/>
              <w:jc w:val="left"/>
            </w:pPr>
            <w:r>
              <w:t xml:space="preserve">teste de deficiência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substância de pesquisa e de teste</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efeitos cardíacos agudos; perda de efeito com uso contínuo</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EUA (diagnóstico)</w:t>
            </w:r>
          </w:p>
        </w:tc>
        <w:tc>
          <w:tcPr/>
          <w:p>
            <w:pPr>
              <w:pStyle w:val="Compact"/>
              <w:jc w:val="left"/>
            </w:pPr>
            <w:r>
              <w:t xml:space="preserve">teste oral de deficiência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EUA (Increlex)</w:t>
            </w:r>
          </w:p>
        </w:tc>
        <w:tc>
          <w:tcPr/>
          <w:p>
            <w:pPr>
              <w:pStyle w:val="Compact"/>
              <w:jc w:val="left"/>
            </w:pPr>
            <w:r>
              <w:t xml:space="preserve">deficiência grave de IGF-1 em crianças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nenhuma</w:t>
            </w:r>
          </w:p>
        </w:tc>
        <w:tc>
          <w:tcPr/>
          <w:p>
            <w:pPr>
              <w:pStyle w:val="Compact"/>
              <w:jc w:val="left"/>
            </w:pPr>
            <w:r>
              <w:t xml:space="preserve">reagente de laboratório, nunca testado em humanos</w:t>
            </w:r>
          </w:p>
        </w:tc>
      </w:tr>
      <w:tr>
        <w:tc>
          <w:tcPr/>
          <w:p>
            <w:pPr>
              <w:pStyle w:val="Compact"/>
              <w:jc w:val="left"/>
            </w:pPr>
            <w:r>
              <w:t xml:space="preserve">Ibutamoreno (comparação)</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comprimido; sinal de insuficiência cardíaca</w:t>
            </w:r>
          </w:p>
        </w:tc>
      </w:tr>
    </w:tbl>
    <w:bookmarkEnd w:id="1236"/>
    <w:bookmarkStart w:id="1237" w:name="orientação-de-leitura-2"/>
    <w:p>
      <w:pPr>
        <w:pStyle w:val="Heading3"/>
      </w:pPr>
      <w:r>
        <w:t xml:space="preserve">Orientação de leitura</w:t>
      </w:r>
    </w:p>
    <w:p>
      <w:pPr>
        <w:pStyle w:val="FirstParagraph"/>
      </w:pPr>
      <w:r>
        <w:t xml:space="preserve">Quem se interessa por aplicações com benefício real começa pela tesamorrelina, pela macimorelina e pela mecasermina. Quem quer saber o que há por trás dos clássicos do mercado cinza lê CJC-1295, ipamorelina e IGF-1 LR3. O ibutamoreno não é um peptídeo, mas mostra com especial clareza, em grandes estudos, o que uma estimulação permanente do eixo provoca. Todas as substâncias deste grupo constam da lista de proibições da Agência Mundial Antidoping (grupo S2).</w:t>
      </w:r>
    </w:p>
    <w:bookmarkEnd w:id="1237"/>
    <w:bookmarkStart w:id="1274" w:name="sermorrelina"/>
    <w:p>
      <w:pPr>
        <w:pStyle w:val="Heading2"/>
      </w:pPr>
      <w:r>
        <w:t xml:space="preserve">Sermorrelina</w:t>
      </w:r>
    </w:p>
    <w:p>
      <w:pPr>
        <w:pStyle w:val="FirstParagraph"/>
      </w:pPr>
      <w:r>
        <w:t xml:space="preserve">A sermorrelina é um pedaço da história dos medicamentos que leva uma segunda vida na internet. Nos anos 1990, ela estava aprovada como medicamento nos EUA – primeiro como substância de teste para o diagnóstico de deficiência de hormônio do crescimento, depois para o tratamento de crianças com baixa estatura. Desde o fim dos anos 2000, a preparação original desapareceu do mercado. Hoje, a sermorrelina é prescrita sobretudo em clínicas americanas de</w:t>
      </w:r>
      <w:r>
        <w:t xml:space="preserve"> </w:t>
      </w:r>
      <w:r>
        <w:t xml:space="preserve">“</w:t>
      </w:r>
      <w:r>
        <w:t xml:space="preserve">anti-aging</w:t>
      </w:r>
      <w:r>
        <w:t xml:space="preserve">”</w:t>
      </w:r>
      <w:r>
        <w:t xml:space="preserve"> </w:t>
      </w:r>
      <w:r>
        <w:t xml:space="preserve">e de</w:t>
      </w:r>
      <w:r>
        <w:t xml:space="preserve"> </w:t>
      </w:r>
      <w:r>
        <w:t xml:space="preserve">“</w:t>
      </w:r>
      <w:r>
        <w:t xml:space="preserve">saúde masculina</w:t>
      </w:r>
      <w:r>
        <w:t xml:space="preserve">”</w:t>
      </w:r>
      <w:r>
        <w:t xml:space="preserve"> </w:t>
      </w:r>
      <w:r>
        <w:t xml:space="preserve">como fórmula manipulada e oferecida no mercado cinza. Este capítulo mostra o que os estudos antigos de fato comprovam e o que não comprovam.</w:t>
      </w:r>
    </w:p>
    <w:bookmarkStart w:id="1239" w:name="ficha-técnica-23"/>
    <w:p>
      <w:pPr>
        <w:pStyle w:val="Heading3"/>
      </w:pPr>
      <w:r>
        <w:t xml:space="preserve">Ficha técnica</w:t>
      </w:r>
    </w:p>
    <w:p>
      <w:pPr>
        <w:numPr>
          <w:ilvl w:val="0"/>
          <w:numId w:val="1147"/>
        </w:numPr>
        <w:pStyle w:val="Compact"/>
      </w:pPr>
      <w:r>
        <w:rPr>
          <w:bCs/>
          <w:b/>
        </w:rPr>
        <w:t xml:space="preserve">Tipo e estrutura:</w:t>
      </w:r>
      <w:r>
        <w:t xml:space="preserve"> </w:t>
      </w:r>
      <w:r>
        <w:t xml:space="preserve">peptídeo sintético de 29 aminoácidos; corresponde ao segmento inicial, ativo, do hormônio liberador do hormônio do crescimento endógeno, GHRH(1-29)NH2. É o peptídeo sintético mais curto com efeito completo de GHRH</w:t>
      </w:r>
      <w:r>
        <w:rPr>
          <w:rStyle w:val="FootnoteReference"/>
        </w:rPr>
        <w:footnoteReference w:id="1238"/>
      </w:r>
      <w:r>
        <w:t xml:space="preserve">.</w:t>
      </w:r>
    </w:p>
    <w:p>
      <w:pPr>
        <w:numPr>
          <w:ilvl w:val="0"/>
          <w:numId w:val="1147"/>
        </w:numPr>
        <w:pStyle w:val="Compact"/>
      </w:pPr>
      <w:r>
        <w:rPr>
          <w:bCs/>
          <w:b/>
        </w:rPr>
        <w:t xml:space="preserve">Origem:</w:t>
      </w:r>
      <w:r>
        <w:t xml:space="preserve"> </w:t>
      </w:r>
      <w:r>
        <w:t xml:space="preserve">derivada nos anos 1980 do GHRH natural; comercializada pela Serono como Geref.</w:t>
      </w:r>
    </w:p>
    <w:p>
      <w:pPr>
        <w:numPr>
          <w:ilvl w:val="0"/>
          <w:numId w:val="1147"/>
        </w:numPr>
        <w:pStyle w:val="Compact"/>
      </w:pPr>
      <w:r>
        <w:rPr>
          <w:bCs/>
          <w:b/>
        </w:rPr>
        <w:t xml:space="preserve">Princípio de ação:</w:t>
      </w:r>
      <w:r>
        <w:t xml:space="preserve"> </w:t>
      </w:r>
      <w:r>
        <w:t xml:space="preserve">liga-se ao receptor de GHRH da hipófise e ali desencadeia uma liberação de hormônio do crescimento; a regulação própria do corpo (freio pela somatostatina, retroalimentação pelo IGF-1) é preservada.</w:t>
      </w:r>
    </w:p>
    <w:p>
      <w:pPr>
        <w:numPr>
          <w:ilvl w:val="0"/>
          <w:numId w:val="1147"/>
        </w:numPr>
        <w:pStyle w:val="Compact"/>
      </w:pPr>
      <w:r>
        <w:rPr>
          <w:bCs/>
          <w:b/>
        </w:rPr>
        <w:t xml:space="preserve">Aprovação UE:</w:t>
      </w:r>
      <w:r>
        <w:t xml:space="preserve"> </w:t>
      </w:r>
      <w:r>
        <w:t xml:space="preserve">não (situação em 2026).</w:t>
      </w:r>
      <w:r>
        <w:t xml:space="preserve"> </w:t>
      </w:r>
      <w:r>
        <w:rPr>
          <w:bCs/>
          <w:b/>
        </w:rPr>
        <w:t xml:space="preserve">Aprovação EUA:</w:t>
      </w:r>
      <w:r>
        <w:t xml:space="preserve"> </w:t>
      </w:r>
      <w:r>
        <w:t xml:space="preserve">antes sim (Geref como agente diagnóstico e para o tratamento de crianças com deficiência de hormônio do crescimento); a preparação original não está disponível desde o fim dos anos 2000.</w:t>
      </w:r>
    </w:p>
    <w:p>
      <w:pPr>
        <w:numPr>
          <w:ilvl w:val="0"/>
          <w:numId w:val="1147"/>
        </w:numPr>
        <w:pStyle w:val="Compact"/>
      </w:pPr>
      <w:r>
        <w:rPr>
          <w:bCs/>
          <w:b/>
        </w:rPr>
        <w:t xml:space="preserve">WADA:</w:t>
      </w:r>
      <w:r>
        <w:t xml:space="preserve"> </w:t>
      </w:r>
      <w:r>
        <w:t xml:space="preserve">proibida, grupo S2 – a sermorrelina é mencionada expressamente como análogo de GHRH.</w:t>
      </w:r>
    </w:p>
    <w:p>
      <w:pPr>
        <w:numPr>
          <w:ilvl w:val="0"/>
          <w:numId w:val="1147"/>
        </w:numPr>
        <w:pStyle w:val="Compact"/>
      </w:pPr>
      <w:r>
        <w:rPr>
          <w:bCs/>
          <w:b/>
        </w:rPr>
        <w:t xml:space="preserve">Nível de evidência: B</w:t>
      </w:r>
      <w:r>
        <w:t xml:space="preserve"> </w:t>
      </w:r>
      <w:r>
        <w:t xml:space="preserve">– estudos randomizados ou controlados isolados e pequenos, em geral abertos e dos anos 1980 e 1990; nenhum grande estudo moderno.</w:t>
      </w:r>
    </w:p>
    <w:bookmarkEnd w:id="1239"/>
    <w:bookmarkStart w:id="1241" w:name="como-deveria-agir-23"/>
    <w:p>
      <w:pPr>
        <w:pStyle w:val="Heading3"/>
      </w:pPr>
      <w:r>
        <w:t xml:space="preserve">Como deveria agir</w:t>
      </w:r>
    </w:p>
    <w:p>
      <w:pPr>
        <w:pStyle w:val="FirstParagraph"/>
      </w:pPr>
      <w:r>
        <w:t xml:space="preserve">A hipófise libera o hormônio do crescimento em pulsos. O sinal de partida é dado pelo GHRH do diencéfalo. Quando produzido na natureza, o GHRH tem 44 aminoácidos; pesquisadores constataram nos anos 1980 que os primeiros 29 aminoácidos bastam para o efeito completo. Daí surgiu a sermorrelina.</w:t>
      </w:r>
    </w:p>
    <w:p>
      <w:pPr>
        <w:pStyle w:val="BodyText"/>
      </w:pPr>
      <w:r>
        <w:t xml:space="preserve">A vantagem em relação ao hormônio do crescimento injetado estaria no fato de a hipófise</w:t>
      </w:r>
      <w:r>
        <w:t xml:space="preserve"> </w:t>
      </w:r>
      <w:r>
        <w:t xml:space="preserve">“</w:t>
      </w:r>
      <w:r>
        <w:t xml:space="preserve">participar da decisão</w:t>
      </w:r>
      <w:r>
        <w:t xml:space="preserve">”</w:t>
      </w:r>
      <w:r>
        <w:t xml:space="preserve">: havendo IGF-1 suficiente no sangue, o próprio corpo freia por meio da somatostatina. Superdosagens, como na administração direta de GH, seriam assim menos prováveis. A desvantagem: a sermorrelina só funciona se a hipófise ainda puder produzir hormônio do crescimento, e seu efeito é curto: a meia-vida no sangue, em humanos, é de apenas cerca de 10 a 20 minutos</w:t>
      </w:r>
      <w:r>
        <w:rPr>
          <w:rStyle w:val="FootnoteReference"/>
        </w:rPr>
        <w:footnoteReference w:id="1240"/>
      </w:r>
      <w:r>
        <w:t xml:space="preserve">. Por isso, ela é eficaz sobretudo em distúrbios localizados no diencéfalo, não na própria hipófise.</w:t>
      </w:r>
    </w:p>
    <w:bookmarkEnd w:id="1241"/>
    <w:bookmarkStart w:id="1258" w:name="estudos-em-humanos-23"/>
    <w:p>
      <w:pPr>
        <w:pStyle w:val="Heading3"/>
      </w:pPr>
      <w:r>
        <w:t xml:space="preserve">Estudos em humanos</w:t>
      </w:r>
    </w:p>
    <w:p>
      <w:pPr>
        <w:pStyle w:val="FirstParagraph"/>
      </w:pPr>
      <w:r>
        <w:rPr>
          <w:bCs/>
          <w:b/>
        </w:rPr>
        <w:t xml:space="preserve">Dimensão da base de estudos (consulta de outubro de 2026):</w:t>
      </w:r>
      <w:r>
        <w:t xml:space="preserve"> </w:t>
      </w:r>
      <w:r>
        <w:t xml:space="preserve">a busca automatizada deste livro com o termo</w:t>
      </w:r>
      <w:r>
        <w:t xml:space="preserve"> </w:t>
      </w:r>
      <w:r>
        <w:t xml:space="preserve">“</w:t>
      </w:r>
      <w:r>
        <w:t xml:space="preserve">sermorelin</w:t>
      </w:r>
      <w:r>
        <w:t xml:space="preserve">”</w:t>
      </w:r>
      <w:r>
        <w:t xml:space="preserve"> </w:t>
      </w:r>
      <w:r>
        <w:rPr>
          <w:bCs/>
          <w:b/>
        </w:rPr>
        <w:t xml:space="preserve">não</w:t>
      </w:r>
      <w:r>
        <w:t xml:space="preserve"> </w:t>
      </w:r>
      <w:r>
        <w:t xml:space="preserve">encontrou nenhum estudo em humanos (</w:t>
      </w:r>
      <w:r>
        <w:rPr>
          <w:rStyle w:val="VerbatimChar"/>
        </w:rPr>
        <w:t xml:space="preserve">humanstudien_alle</w:t>
      </w:r>
      <w:r>
        <w:t xml:space="preserve">: 0) e encontrou</w:t>
      </w:r>
      <w:r>
        <w:t xml:space="preserve"> </w:t>
      </w:r>
      <w:r>
        <w:rPr>
          <w:bCs/>
          <w:b/>
        </w:rPr>
        <w:t xml:space="preserve">27</w:t>
      </w:r>
      <w:r>
        <w:t xml:space="preserve"> </w:t>
      </w:r>
      <w:r>
        <w:t xml:space="preserve">registros no ClinicalTrials.gov. Ambos os números enganam: a maioria dos trabalhos clínicos foi publicada com denominações como</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ou</w:t>
      </w:r>
      <w:r>
        <w:t xml:space="preserve"> </w:t>
      </w:r>
      <w:r>
        <w:t xml:space="preserve">“</w:t>
      </w:r>
      <w:r>
        <w:t xml:space="preserve">Geref</w:t>
      </w:r>
      <w:r>
        <w:t xml:space="preserve">”</w:t>
      </w:r>
      <w:r>
        <w:t xml:space="preserve"> </w:t>
      </w:r>
      <w:r>
        <w:t xml:space="preserve">e não é captada por uma busca apenas pelo nome. Inversamente, muitos dos 27 registros nem se referem à sermorrelina, mas à tesamorrelina ou a testes de GHRH em geral. Uma busca direcionada adicional encontrou várias dezenas de estudos clínicos, predominantemente pequenos e anteriores a 2000.</w:t>
      </w:r>
    </w:p>
    <w:bookmarkStart w:id="1247" w:name="Xaf9725c517e8751ed54975af2da1cb37632680d"/>
    <w:p>
      <w:pPr>
        <w:pStyle w:val="Heading4"/>
      </w:pPr>
      <w:r>
        <w:t xml:space="preserve">Crianças com deficiência de hormônio do crescimento</w:t>
      </w:r>
    </w:p>
    <w:p>
      <w:pPr>
        <w:pStyle w:val="FirstParagraph"/>
      </w:pPr>
      <w:r>
        <w:t xml:space="preserve">A principal área de aplicação era o distúrbio de crescimento em crianças. Em um estudo aberto e multicêntrico do grupo de estudos Geref, 110 crianças pré-púberes sem tratamento prévio receberam sermorrelina uma vez ao dia, à noite, durante um ano. A velocidade de crescimento subiu de 4,1 cm por ano para 8,0 cm após seis meses e 7,2 cm após doze meses; 74% foram consideradas boas respondedoras após seis meses. Não ocorreram alterações laboratoriais anormais</w:t>
      </w:r>
      <w:r>
        <w:rPr>
          <w:rStyle w:val="FootnoteReference"/>
        </w:rPr>
        <w:footnoteReference w:id="1242"/>
      </w:r>
      <w:r>
        <w:t xml:space="preserve">.</w:t>
      </w:r>
    </w:p>
    <w:p>
      <w:pPr>
        <w:pStyle w:val="BodyText"/>
      </w:pPr>
      <w:r>
        <w:t xml:space="preserve">Um estudo britânico inicial com 18 crianças já mostrou os limites: em apenas 8 crianças a velocidade de crescimento aumentou mais de 2 cm por ano nos primeiros seis meses; em 14 crianças formaram-se anticorpos contra o peptídeo, sem influência reconhecível sobre o crescimento</w:t>
      </w:r>
      <w:r>
        <w:rPr>
          <w:rStyle w:val="FootnoteReference"/>
        </w:rPr>
        <w:footnoteReference w:id="1243"/>
      </w:r>
      <w:r>
        <w:t xml:space="preserve">. Em um estudo randomizado com 43 crianças, as crianças cresceram mais devagar com sermorrelina em dose baixa; apenas com hormônio do crescimento a estatura melhorou em relação à idade óssea</w:t>
      </w:r>
      <w:r>
        <w:rPr>
          <w:rStyle w:val="FootnoteReference"/>
        </w:rPr>
        <w:footnoteReference w:id="1244"/>
      </w:r>
      <w:r>
        <w:t xml:space="preserve">. Uma revisão registrou que a sermorrelina é eficaz em parte das crianças, mas mais fraca do que o hormônio do crescimento, e que faltam dados sobre a estatura final</w:t>
      </w:r>
      <w:r>
        <w:rPr>
          <w:rStyle w:val="FootnoteReference"/>
        </w:rPr>
        <w:footnoteReference w:id="1245"/>
      </w:r>
      <w:r>
        <w:t xml:space="preserve">.</w:t>
      </w:r>
    </w:p>
    <w:p>
      <w:pPr>
        <w:pStyle w:val="BodyText"/>
      </w:pPr>
      <w:r>
        <w:t xml:space="preserve">Também em crianças com baixa estatura idiopática (ou seja, sem deficiência hormonal comprovável), a velocidade de crescimento aumentou com injeções duas vezes ao dia em um pequeno estudo com 18 crianças; após a suspensão, caiu abaixo do valor inicial, e a glicemia de jejum e a insulina subiram durante o tratamento</w:t>
      </w:r>
      <w:r>
        <w:rPr>
          <w:rStyle w:val="FootnoteReference"/>
        </w:rPr>
        <w:footnoteReference w:id="1246"/>
      </w:r>
      <w:r>
        <w:t xml:space="preserve">.</w:t>
      </w:r>
    </w:p>
    <w:bookmarkEnd w:id="1247"/>
    <w:bookmarkStart w:id="1252" w:name="adultos-mais-velhos"/>
    <w:p>
      <w:pPr>
        <w:pStyle w:val="Heading4"/>
      </w:pPr>
      <w:r>
        <w:t xml:space="preserve">Adultos mais velhos</w:t>
      </w:r>
    </w:p>
    <w:p>
      <w:pPr>
        <w:pStyle w:val="FirstParagraph"/>
      </w:pPr>
      <w:r>
        <w:t xml:space="preserve">Para o marketing atual (</w:t>
      </w:r>
      <w:r>
        <w:t xml:space="preserve">“</w:t>
      </w:r>
      <w:r>
        <w:t xml:space="preserve">anti-aging</w:t>
      </w:r>
      <w:r>
        <w:t xml:space="preserve">”</w:t>
      </w:r>
      <w:r>
        <w:t xml:space="preserve">), os estudos com pessoas idosas são decisivos. Há poucos, e são muito pequenos:</w:t>
      </w:r>
    </w:p>
    <w:p>
      <w:pPr>
        <w:numPr>
          <w:ilvl w:val="0"/>
          <w:numId w:val="1148"/>
        </w:numPr>
        <w:pStyle w:val="Compact"/>
      </w:pPr>
      <w:r>
        <w:t xml:space="preserve">19 mulheres e homens saudáveis entre 55 e 71 anos receberam, após quatro semanas de placebo, um análogo de sermorrelina durante 16 semanas. O hormônio do crescimento e o IGF-1 aumentaram, a espessura da pele aumentou em ambos os sexos, e a massa livre de gordura e a sensibilidade à insulina, apenas nos homens. Os homens relataram melhor bem-estar e libido aumentada; a qualidade do sono não mudou. Como efeito colateral, ocorreu um aumento temporário dos lipídios sanguíneos</w:t>
      </w:r>
      <w:r>
        <w:rPr>
          <w:rStyle w:val="FootnoteReference"/>
        </w:rPr>
        <w:footnoteReference w:id="1248"/>
      </w:r>
      <w:r>
        <w:t xml:space="preserve">. O mesmo grupo descreveu alterações em células imunológicas</w:t>
      </w:r>
      <w:r>
        <w:rPr>
          <w:rStyle w:val="FootnoteReference"/>
        </w:rPr>
        <w:footnoteReference w:id="1249"/>
      </w:r>
      <w:r>
        <w:t xml:space="preserve">. O estudo teve apenas cegamento simples e não tinha grupo de controle paralelo.</w:t>
      </w:r>
    </w:p>
    <w:p>
      <w:pPr>
        <w:numPr>
          <w:ilvl w:val="0"/>
          <w:numId w:val="1148"/>
        </w:numPr>
        <w:pStyle w:val="Compact"/>
      </w:pPr>
      <w:r>
        <w:t xml:space="preserve">Em 11 homens saudáveis entre 64 e 76 anos, seis semanas de injeções noturnas aumentaram a liberação noturna de GH, mas nem o IGF-1 nem a massa muscular ou gorda se alteraram; duas de seis medições de força melhoraram</w:t>
      </w:r>
      <w:r>
        <w:rPr>
          <w:rStyle w:val="FootnoteReference"/>
        </w:rPr>
        <w:footnoteReference w:id="1250"/>
      </w:r>
      <w:r>
        <w:t xml:space="preserve">.</w:t>
      </w:r>
    </w:p>
    <w:p>
      <w:pPr>
        <w:pStyle w:val="FirstParagraph"/>
      </w:pPr>
      <w:r>
        <w:t xml:space="preserve">Dois estudos posteriores sobre GHRH em pessoas idosas foram interrompidos após 5 e 13 participantes, respectivamente</w:t>
      </w:r>
      <w:r>
        <w:rPr>
          <w:rStyle w:val="FootnoteReference"/>
        </w:rPr>
        <w:footnoteReference w:id="1251"/>
      </w:r>
      <w:r>
        <w:t xml:space="preserve">.</w:t>
      </w:r>
    </w:p>
    <w:bookmarkEnd w:id="1252"/>
    <w:bookmarkStart w:id="1255" w:name="diagnóstico"/>
    <w:p>
      <w:pPr>
        <w:pStyle w:val="Heading4"/>
      </w:pPr>
      <w:r>
        <w:t xml:space="preserve">Diagnóstico</w:t>
      </w:r>
    </w:p>
    <w:p>
      <w:pPr>
        <w:pStyle w:val="FirstParagraph"/>
      </w:pPr>
      <w:r>
        <w:t xml:space="preserve">Como substância de teste, a sermorrelina era administrada por via intravenosa para verificar se a hipófise reage ao GHRH. Combinado com o aminoácido arginina, esse teste era considerado, em adultos, uma alternativa ao penoso teste de hipoglicemia insulínica</w:t>
      </w:r>
      <w:r>
        <w:rPr>
          <w:rStyle w:val="FootnoteReference"/>
        </w:rPr>
        <w:footnoteReference w:id="1253"/>
      </w:r>
      <w:r>
        <w:t xml:space="preserve">. Depois que o agente diagnóstico deixou de estar disponível nos EUA, um estudo em andamento sobre um novo teste (macimorelina) teve de mudar seu desenho</w:t>
      </w:r>
      <w:r>
        <w:rPr>
          <w:rStyle w:val="FootnoteReference"/>
        </w:rPr>
        <w:footnoteReference w:id="1254"/>
      </w:r>
      <w:r>
        <w:t xml:space="preserve">.</w:t>
      </w:r>
    </w:p>
    <w:bookmarkEnd w:id="1255"/>
    <w:bookmarkStart w:id="1257" w:name="medicina-masculina-moderna"/>
    <w:p>
      <w:pPr>
        <w:pStyle w:val="Heading4"/>
      </w:pPr>
      <w:r>
        <w:t xml:space="preserve">“</w:t>
      </w:r>
      <w:r>
        <w:t xml:space="preserve">Medicina masculina</w:t>
      </w:r>
      <w:r>
        <w:t xml:space="preserve">”</w:t>
      </w:r>
      <w:r>
        <w:t xml:space="preserve"> </w:t>
      </w:r>
      <w:r>
        <w:t xml:space="preserve">moderna</w:t>
      </w:r>
    </w:p>
    <w:p>
      <w:pPr>
        <w:pStyle w:val="FirstParagraph"/>
      </w:pPr>
      <w:r>
        <w:t xml:space="preserve">Uma análise retrospectiva de prontuários de uma clínica masculina norte-americana descreveu 14 homens jovens sob terapia com testosterona aos quais foi prescrita uma combinação de sermorrelina, GHRP-2 e GHRP-6. O IGF-1 subiu em média de 159,5 para 239,0 ng/ml</w:t>
      </w:r>
      <w:r>
        <w:rPr>
          <w:rStyle w:val="FootnoteReference"/>
        </w:rPr>
        <w:footnoteReference w:id="1256"/>
      </w:r>
      <w:r>
        <w:t xml:space="preserve">. Dos 105 homens originais, apenas 14 preencheram os critérios de inclusão; o trabalho não permite afirmações sobre massa muscular, perda de gordura ou segurança.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Grupo de estudos Geref (Thorner 1996), PMID 8772599</w:t>
            </w:r>
          </w:p>
        </w:tc>
        <w:tc>
          <w:tcPr/>
          <w:p>
            <w:pPr>
              <w:pStyle w:val="Compact"/>
              <w:jc w:val="left"/>
            </w:pPr>
            <w:r>
              <w:t xml:space="preserve">110 crianças com deficiência de GH, aberto, sem grupo de controle</w:t>
            </w:r>
          </w:p>
        </w:tc>
        <w:tc>
          <w:tcPr/>
          <w:p>
            <w:pPr>
              <w:pStyle w:val="Compact"/>
              <w:jc w:val="left"/>
            </w:pPr>
            <w:r>
              <w:t xml:space="preserve">12 meses</w:t>
            </w:r>
          </w:p>
        </w:tc>
        <w:tc>
          <w:tcPr/>
          <w:p>
            <w:pPr>
              <w:pStyle w:val="Compact"/>
              <w:jc w:val="left"/>
            </w:pPr>
            <w:r>
              <w:t xml:space="preserve">crescimento 4,1 → 7,2 cm/ano</w:t>
            </w:r>
          </w:p>
        </w:tc>
      </w:tr>
      <w:tr>
        <w:tc>
          <w:tcPr/>
          <w:p>
            <w:pPr>
              <w:pStyle w:val="Compact"/>
              <w:jc w:val="left"/>
            </w:pPr>
            <w:r>
              <w:t xml:space="preserve">Comparação com GH (Neyzi 1993), PMID 8329826</w:t>
            </w:r>
          </w:p>
        </w:tc>
        <w:tc>
          <w:tcPr/>
          <w:p>
            <w:pPr>
              <w:pStyle w:val="Compact"/>
              <w:jc w:val="left"/>
            </w:pPr>
            <w:r>
              <w:t xml:space="preserve">43 crianças, randomizado (2 doses de sermorrelina vs. GH)</w:t>
            </w:r>
          </w:p>
        </w:tc>
        <w:tc>
          <w:tcPr/>
          <w:p>
            <w:pPr>
              <w:pStyle w:val="Compact"/>
              <w:jc w:val="left"/>
            </w:pPr>
            <w:r>
              <w:t xml:space="preserve">6 meses</w:t>
            </w:r>
          </w:p>
        </w:tc>
        <w:tc>
          <w:tcPr/>
          <w:p>
            <w:pPr>
              <w:pStyle w:val="Compact"/>
              <w:jc w:val="left"/>
            </w:pPr>
            <w:r>
              <w:t xml:space="preserve">dose alta semelhante ao GH, baixa mais fraca</w:t>
            </w:r>
          </w:p>
        </w:tc>
      </w:tr>
      <w:tr>
        <w:tc>
          <w:tcPr/>
          <w:p>
            <w:pPr>
              <w:pStyle w:val="Compact"/>
              <w:jc w:val="left"/>
            </w:pPr>
            <w:r>
              <w:t xml:space="preserve">Adultos mais velhos (Khorram 1997), PMID 9141536</w:t>
            </w:r>
          </w:p>
        </w:tc>
        <w:tc>
          <w:tcPr/>
          <w:p>
            <w:pPr>
              <w:pStyle w:val="Compact"/>
              <w:jc w:val="left"/>
            </w:pPr>
            <w:r>
              <w:t xml:space="preserve">19 pessoas saudáveis, 55–71 anos, cegamento simples, fase prévia com placebo</w:t>
            </w:r>
          </w:p>
        </w:tc>
        <w:tc>
          <w:tcPr/>
          <w:p>
            <w:pPr>
              <w:pStyle w:val="Compact"/>
              <w:jc w:val="left"/>
            </w:pPr>
            <w:r>
              <w:t xml:space="preserve">5 meses</w:t>
            </w:r>
          </w:p>
        </w:tc>
        <w:tc>
          <w:tcPr/>
          <w:p>
            <w:pPr>
              <w:pStyle w:val="Compact"/>
              <w:jc w:val="left"/>
            </w:pPr>
            <w:r>
              <w:t xml:space="preserve">IGF-1 ↑, massa livre de gordura ↑ apenas em homens</w:t>
            </w:r>
          </w:p>
        </w:tc>
      </w:tr>
      <w:tr>
        <w:tc>
          <w:tcPr/>
          <w:p>
            <w:pPr>
              <w:pStyle w:val="Compact"/>
              <w:jc w:val="left"/>
            </w:pPr>
            <w:r>
              <w:t xml:space="preserve">Homens mais velhos (Vittone 1997), PMID 9005976</w:t>
            </w:r>
          </w:p>
        </w:tc>
        <w:tc>
          <w:tcPr/>
          <w:p>
            <w:pPr>
              <w:pStyle w:val="Compact"/>
              <w:jc w:val="left"/>
            </w:pPr>
            <w:r>
              <w:t xml:space="preserve">11 pessoas saudáveis, 64–76 anos, sem grupo de controle</w:t>
            </w:r>
          </w:p>
        </w:tc>
        <w:tc>
          <w:tcPr/>
          <w:p>
            <w:pPr>
              <w:pStyle w:val="Compact"/>
              <w:jc w:val="left"/>
            </w:pPr>
            <w:r>
              <w:t xml:space="preserve">6 semanas</w:t>
            </w:r>
          </w:p>
        </w:tc>
        <w:tc>
          <w:tcPr/>
          <w:p>
            <w:pPr>
              <w:pStyle w:val="Compact"/>
              <w:jc w:val="left"/>
            </w:pPr>
            <w:r>
              <w:t xml:space="preserve">GH ↑, IGF-1 e composição corporal inalterados</w:t>
            </w:r>
          </w:p>
        </w:tc>
      </w:tr>
      <w:tr>
        <w:tc>
          <w:tcPr/>
          <w:p>
            <w:pPr>
              <w:pStyle w:val="Compact"/>
              <w:jc w:val="left"/>
            </w:pPr>
            <w:r>
              <w:t xml:space="preserve">Clínica masculina (Sigalos 2017), PMID 28830317</w:t>
            </w:r>
          </w:p>
        </w:tc>
        <w:tc>
          <w:tcPr/>
          <w:p>
            <w:pPr>
              <w:pStyle w:val="Compact"/>
              <w:jc w:val="left"/>
            </w:pPr>
            <w:r>
              <w:t xml:space="preserve">14 homens, retrospectivo, combinação com GHRP-2/-6</w:t>
            </w:r>
          </w:p>
        </w:tc>
        <w:tc>
          <w:tcPr/>
          <w:p>
            <w:pPr>
              <w:pStyle w:val="Compact"/>
              <w:jc w:val="left"/>
            </w:pPr>
            <w:r>
              <w:t xml:space="preserve">média de 134 dias</w:t>
            </w:r>
          </w:p>
        </w:tc>
        <w:tc>
          <w:tcPr/>
          <w:p>
            <w:pPr>
              <w:pStyle w:val="Compact"/>
              <w:jc w:val="left"/>
            </w:pPr>
            <w:r>
              <w:t xml:space="preserve">IGF-1 159,5 → 239,0 ng/ml</w:t>
            </w:r>
          </w:p>
        </w:tc>
      </w:tr>
    </w:tbl>
    <w:bookmarkEnd w:id="1257"/>
    <w:bookmarkEnd w:id="1258"/>
    <w:bookmarkStart w:id="1261" w:name="estudos-em-animais-e-em-laboratório-23"/>
    <w:p>
      <w:pPr>
        <w:pStyle w:val="Heading3"/>
      </w:pPr>
      <w:r>
        <w:t xml:space="preserve">Estudos em animais e em laboratório</w:t>
      </w:r>
    </w:p>
    <w:p>
      <w:pPr>
        <w:pStyle w:val="FirstParagraph"/>
      </w:pPr>
      <w:r>
        <w:t xml:space="preserve">A própria sermorrelina foi estudada em laboratório sobretudo no contexto de sua descoberta e de variantes com efeito mais duradouro, por exemplo variantes acopladas a polietilenoglicol, que em ratos e porcos agiram por mais tempo do que o peptídeo inalterado</w:t>
      </w:r>
      <w:r>
        <w:rPr>
          <w:rStyle w:val="FootnoteReference"/>
        </w:rPr>
        <w:footnoteReference w:id="1259"/>
      </w:r>
      <w:r>
        <w:t xml:space="preserve">. Um trabalho puramente computacional, que cruzou dados de atividade gênica de pacientes com glioma com um banco de dados de medicamentos, citou a sermorrelina como possível candidata contra tumores cerebrais recorrentes</w:t>
      </w:r>
      <w:r>
        <w:rPr>
          <w:rStyle w:val="FootnoteReference"/>
        </w:rPr>
        <w:footnoteReference w:id="1260"/>
      </w:r>
      <w:r>
        <w:t xml:space="preserve">. Trata-se de uma hipótese computacional sem confirmação em laboratório ou em pacientes – e está em notável contraste com a preocupação de que uma estimulação do eixo do crescimento tenderia antes a favorecer tumores.</w:t>
      </w:r>
    </w:p>
    <w:bookmarkEnd w:id="1261"/>
    <w:bookmarkStart w:id="1267" w:name="riscos-e-efeitos-colaterais-23"/>
    <w:p>
      <w:pPr>
        <w:pStyle w:val="Heading3"/>
      </w:pPr>
      <w:r>
        <w:t xml:space="preserve">Riscos e efeitos colaterais</w:t>
      </w:r>
    </w:p>
    <w:p>
      <w:pPr>
        <w:pStyle w:val="FirstParagraph"/>
      </w:pPr>
      <w:r>
        <w:rPr>
          <w:bCs/>
          <w:b/>
        </w:rPr>
        <w:t xml:space="preserve">Comprovados (a partir dos dados de aprovação e de estudos):</w:t>
      </w:r>
      <w:r>
        <w:t xml:space="preserve"> </w:t>
      </w:r>
      <w:r>
        <w:t xml:space="preserve">rubor facial passageiro (flush) e dor no local da injeção foram os efeitos colaterais mais frequentes</w:t>
      </w:r>
      <w:r>
        <w:rPr>
          <w:rStyle w:val="FootnoteReference"/>
        </w:rPr>
        <w:footnoteReference w:id="1262"/>
      </w:r>
      <w:r>
        <w:t xml:space="preserve">. Anticorpos contra a sermorrelina surgiram com frequência em crianças, sem consequências reconhecíveis</w:t>
      </w:r>
      <w:r>
        <w:rPr>
          <w:rStyle w:val="FootnoteReference"/>
        </w:rPr>
        <w:footnoteReference w:id="1263"/>
      </w:r>
      <w:r>
        <w:t xml:space="preserve">. Em estudos isolados, glicemia, insulina ou lipídios sanguíneos subiram temporariamente</w:t>
      </w:r>
      <w:r>
        <w:rPr>
          <w:rStyle w:val="FootnoteReference"/>
        </w:rPr>
        <w:footnoteReference w:id="1264"/>
      </w:r>
      <w:r>
        <w:t xml:space="preserve">.</w:t>
      </w:r>
    </w:p>
    <w:p>
      <w:pPr>
        <w:pStyle w:val="BodyText"/>
      </w:pPr>
      <w:r>
        <w:rPr>
          <w:bCs/>
          <w:b/>
        </w:rPr>
        <w:t xml:space="preserve">Riscos de longo prazo:</w:t>
      </w:r>
      <w:r>
        <w:t xml:space="preserve"> </w:t>
      </w:r>
      <w:r>
        <w:t xml:space="preserve">não há dados sistemáticos de longo prazo sobre a sermorrelina em adultos. Um relato de caso descreve um fisiculturista amador de 62 anos que usou hormônio do crescimento e liberadores de GH (entre eles sermorrelina com GHRP-6) durante cerca de 20 anos e desenvolveu dificuldades para engolir devido a um grande osteófito na coluna cervical; os autores consideram uma relação possível, mas não comprovada</w:t>
      </w:r>
      <w:r>
        <w:rPr>
          <w:rStyle w:val="FootnoteReference"/>
        </w:rPr>
        <w:footnoteReference w:id="1265"/>
      </w:r>
      <w:r>
        <w:t xml:space="preserve">. Sobre a questão fundamental de se uma elevação permanente do IGF-1 aumenta o risco de câncer, veja a introdução a este grupo e a Parte IV.</w:t>
      </w:r>
    </w:p>
    <w:p>
      <w:pPr>
        <w:pStyle w:val="BodyText"/>
      </w:pPr>
      <w:r>
        <w:rPr>
          <w:bCs/>
          <w:b/>
        </w:rPr>
        <w:t xml:space="preserve">Mercado cinza:</w:t>
      </w:r>
      <w:r>
        <w:t xml:space="preserve"> </w:t>
      </w:r>
      <w:r>
        <w:t xml:space="preserve">em uma operação aduaneira europeia, foram encontrados, entre preparações injetáveis apreendidas, além de hormônio do crescimento e melanotan II, também produtos de sermorrelina – sem rotulagem e, em parte, sem a substância ativa</w:t>
      </w:r>
      <w:r>
        <w:rPr>
          <w:rStyle w:val="FootnoteReference"/>
        </w:rPr>
        <w:footnoteReference w:id="1266"/>
      </w:r>
      <w:r>
        <w:t xml:space="preserve">.</w:t>
      </w:r>
    </w:p>
    <w:bookmarkEnd w:id="1267"/>
    <w:bookmarkStart w:id="1271" w:name="situação-legal-23"/>
    <w:p>
      <w:pPr>
        <w:pStyle w:val="Heading3"/>
      </w:pPr>
      <w:r>
        <w:t xml:space="preserve">Situação legal</w:t>
      </w:r>
    </w:p>
    <w:p>
      <w:pPr>
        <w:pStyle w:val="FirstParagraph"/>
      </w:pPr>
      <w:r>
        <w:rPr>
          <w:iCs/>
          <w:i/>
        </w:rPr>
        <w:t xml:space="preserve">Situação em 2026, verificar atualização.</w:t>
      </w:r>
    </w:p>
    <w:p>
      <w:pPr>
        <w:numPr>
          <w:ilvl w:val="0"/>
          <w:numId w:val="1149"/>
        </w:numPr>
        <w:pStyle w:val="Compact"/>
      </w:pPr>
      <w:r>
        <w:rPr>
          <w:bCs/>
          <w:b/>
        </w:rPr>
        <w:t xml:space="preserve">Contexto da aprovação nos EUA:</w:t>
      </w:r>
      <w:r>
        <w:t xml:space="preserve"> </w:t>
      </w:r>
      <w:r>
        <w:t xml:space="preserve">o Geref foi aprovado nos EUA primeiro como agente diagnóstico e, a partir dos anos 1990, para o tratamento de crianças com deficiência de hormônio do crescimento. O fabricante encerrou a comercialização no fim dos anos 2000; segundo as informações publicamente disponíveis, por razões de fabricação ou econômicas, e não por um problema de segurança recém-identificado. Que o agente diagnóstico deixou de existir por essa época está documentado em um estudo</w:t>
      </w:r>
      <w:r>
        <w:rPr>
          <w:rStyle w:val="FootnoteReference"/>
        </w:rPr>
        <w:footnoteReference w:id="1268"/>
      </w:r>
      <w:r>
        <w:t xml:space="preserve">. Hoje não existe um medicamento industrializado com aprovação válida.</w:t>
      </w:r>
    </w:p>
    <w:p>
      <w:pPr>
        <w:numPr>
          <w:ilvl w:val="0"/>
          <w:numId w:val="1149"/>
        </w:numPr>
        <w:pStyle w:val="Compact"/>
      </w:pPr>
      <w:r>
        <w:rPr>
          <w:bCs/>
          <w:b/>
        </w:rPr>
        <w:t xml:space="preserve">EUA hoje:</w:t>
      </w:r>
      <w:r>
        <w:t xml:space="preserve"> </w:t>
      </w:r>
      <w:r>
        <w:t xml:space="preserve">a sermorrelina é produzida por farmácias de manipulação (compounding) e prescrita sobretudo em consultórios anti-aging. Se e sob quais condições isso é permitido depende das regras variáveis da FDA para substâncias de manipulação magistral, discutidas de forma controversa nos meios especializados</w:t>
      </w:r>
      <w:r>
        <w:rPr>
          <w:rStyle w:val="FootnoteReference"/>
        </w:rPr>
        <w:footnoteReference w:id="1269"/>
      </w:r>
      <w:r>
        <w:t xml:space="preserve">.</w:t>
      </w:r>
    </w:p>
    <w:p>
      <w:pPr>
        <w:numPr>
          <w:ilvl w:val="0"/>
          <w:numId w:val="1149"/>
        </w:numPr>
        <w:pStyle w:val="Compact"/>
      </w:pPr>
      <w:r>
        <w:rPr>
          <w:bCs/>
          <w:b/>
        </w:rPr>
        <w:t xml:space="preserve">UE, Alemanha, Áustria:</w:t>
      </w:r>
      <w:r>
        <w:t xml:space="preserve"> </w:t>
      </w:r>
      <w:r>
        <w:t xml:space="preserve">sem aprovação, nenhum medicamento industrializado no mercado. O fornecimento para uso em humanos sem aprovação é inadmissível segundo a respectiva lei de medicamentos; rótulos</w:t>
      </w:r>
      <w:r>
        <w:t xml:space="preserve"> </w:t>
      </w:r>
      <w:r>
        <w:t xml:space="preserve">“</w:t>
      </w:r>
      <w:r>
        <w:t xml:space="preserve">apenas para fins de pesquisa</w:t>
      </w:r>
      <w:r>
        <w:t xml:space="preserve">”</w:t>
      </w:r>
      <w:r>
        <w:t xml:space="preserve"> </w:t>
      </w:r>
      <w:r>
        <w:t xml:space="preserve">não mudam isso.</w:t>
      </w:r>
    </w:p>
    <w:p>
      <w:pPr>
        <w:numPr>
          <w:ilvl w:val="0"/>
          <w:numId w:val="1149"/>
        </w:numPr>
        <w:pStyle w:val="Compact"/>
      </w:pPr>
      <w:r>
        <w:rPr>
          <w:bCs/>
          <w:b/>
        </w:rPr>
        <w:t xml:space="preserve">WADA:</w:t>
      </w:r>
      <w:r>
        <w:t xml:space="preserve"> </w:t>
      </w:r>
      <w:r>
        <w:t xml:space="preserve">proibida (S2). Foram desenvolvidos métodos de detecção da sermorrelina e de seus produtos de degradação na urina</w:t>
      </w:r>
      <w:r>
        <w:rPr>
          <w:rStyle w:val="FootnoteReference"/>
        </w:rPr>
        <w:footnoteReference w:id="1270"/>
      </w:r>
      <w:r>
        <w:t xml:space="preserve">.</w:t>
      </w:r>
    </w:p>
    <w:bookmarkEnd w:id="1271"/>
    <w:bookmarkStart w:id="1272" w:name="estudos-em-andamento-e-perspectivas-23"/>
    <w:p>
      <w:pPr>
        <w:pStyle w:val="Heading3"/>
      </w:pPr>
      <w:r>
        <w:t xml:space="preserve">Estudos em andamento e perspectivas</w:t>
      </w:r>
    </w:p>
    <w:p>
      <w:pPr>
        <w:pStyle w:val="FirstParagraph"/>
      </w:pPr>
      <w:r>
        <w:t xml:space="preserve">Em outubro de 2026, não há no ClinicalTrials.gov nenhum estudo clínico em andamento com a própria sermorrelina; os registros com esse termo de busca dizem respeito a estudos de GHRH concluídos ou à tesamorrelina.</w:t>
      </w:r>
      <w:r>
        <w:t xml:space="preserve"> </w:t>
      </w:r>
      <w:r>
        <w:rPr>
          <w:iCs/>
          <w:i/>
        </w:rPr>
        <w:t xml:space="preserve">Avaliação do autor:</w:t>
      </w:r>
      <w:r>
        <w:t xml:space="preserve"> </w:t>
      </w:r>
      <w:r>
        <w:t xml:space="preserve">um retorno como medicamento aprovado não está à vista. A demanda continuará sendo impulsionada por clínicas e fornecedores on-line, não por novos dados de estudos.</w:t>
      </w:r>
    </w:p>
    <w:bookmarkEnd w:id="1272"/>
    <w:bookmarkStart w:id="1273" w:name="conclusão-23"/>
    <w:p>
      <w:pPr>
        <w:pStyle w:val="Heading3"/>
      </w:pPr>
      <w:r>
        <w:t xml:space="preserve">Conclusão</w:t>
      </w:r>
    </w:p>
    <w:p>
      <w:pPr>
        <w:pStyle w:val="FirstParagraph"/>
      </w:pPr>
      <w:r>
        <w:t xml:space="preserve">A sermorrelina estimula de forma confiável a liberação endógena de hormônio do crescimento e foi aprovada nos EUA para crianças com deficiência de hormônio do crescimento, mas ali agiu de forma mais fraca do que o próprio hormônio do crescimento. Os estudos em adultos mais velhos incluem cada um apenas cerca de dez a vinte pessoas e mostram, no máximo, efeitos pequenos e inconsistentes. Faltam provas de benefício como agente</w:t>
      </w:r>
      <w:r>
        <w:t xml:space="preserve"> </w:t>
      </w:r>
      <w:r>
        <w:t xml:space="preserve">“</w:t>
      </w:r>
      <w:r>
        <w:t xml:space="preserve">anti-aging</w:t>
      </w:r>
      <w:r>
        <w:t xml:space="preserve">”</w:t>
      </w:r>
      <w:r>
        <w:t xml:space="preserve"> </w:t>
      </w:r>
      <w:r>
        <w:t xml:space="preserve">ou para aumento de desempenho, assim como dados de segurança de longo prazo.</w:t>
      </w:r>
    </w:p>
    <w:bookmarkEnd w:id="1273"/>
    <w:bookmarkEnd w:id="1274"/>
    <w:bookmarkStart w:id="1314" w:name="tesamorelina"/>
    <w:p>
      <w:pPr>
        <w:pStyle w:val="Heading2"/>
      </w:pPr>
      <w:r>
        <w:t xml:space="preserve">Tesamorelina</w:t>
      </w:r>
    </w:p>
    <w:p>
      <w:pPr>
        <w:pStyle w:val="FirstParagraph"/>
      </w:pPr>
      <w:r>
        <w:t xml:space="preserve">A tesamorelina é o único peptídeo deste grupo aprovado hoje nos EUA como medicamento para tratamento contínuo – porém para uma situação muito específica: excesso de gordura abdominal em pessoas com HIV. Justamente por isso ela é instrutiva. Com a tesamorelina é possível mostrar o que um aumento da secreção do próprio hormônio do crescimento do organismo realmente produz em estudos bem conduzidos e controlados por placebo – e o que não produz. Na internet, por outro lado, ela costuma ser anunciada como</w:t>
      </w:r>
      <w:r>
        <w:t xml:space="preserve"> </w:t>
      </w:r>
      <w:r>
        <w:t xml:space="preserve">“</w:t>
      </w:r>
      <w:r>
        <w:t xml:space="preserve">peptídeo da gordura abdominal</w:t>
      </w:r>
      <w:r>
        <w:t xml:space="preserve">”</w:t>
      </w:r>
      <w:r>
        <w:t xml:space="preserve"> </w:t>
      </w:r>
      <w:r>
        <w:t xml:space="preserve">para todos. Este capítulo separa a aplicação comprovada das esperanças.</w:t>
      </w:r>
    </w:p>
    <w:bookmarkStart w:id="1277" w:name="ficha-técnica-24"/>
    <w:p>
      <w:pPr>
        <w:pStyle w:val="Heading3"/>
      </w:pPr>
      <w:r>
        <w:t xml:space="preserve">Ficha técnica</w:t>
      </w:r>
    </w:p>
    <w:p>
      <w:pPr>
        <w:numPr>
          <w:ilvl w:val="0"/>
          <w:numId w:val="1150"/>
        </w:numPr>
        <w:pStyle w:val="Compact"/>
      </w:pPr>
      <w:r>
        <w:rPr>
          <w:bCs/>
          <w:b/>
        </w:rPr>
        <w:t xml:space="preserve">Tipo e estrutura:</w:t>
      </w:r>
      <w:r>
        <w:t xml:space="preserve"> </w:t>
      </w:r>
      <w:r>
        <w:t xml:space="preserve">peptídeo sintético de 44 aminoácidos; corresponde ao hormônio liberador do hormônio do crescimento humano completo, GHRH(1-44)</w:t>
      </w:r>
      <w:r>
        <w:rPr>
          <w:rStyle w:val="FootnoteReference"/>
        </w:rPr>
        <w:footnoteReference w:id="1275"/>
      </w:r>
      <w:r>
        <w:t xml:space="preserve">, em cujo início foi acoplado um grupo químico adicional que retarda a degradação rápida no sangue.</w:t>
      </w:r>
    </w:p>
    <w:p>
      <w:pPr>
        <w:numPr>
          <w:ilvl w:val="0"/>
          <w:numId w:val="1150"/>
        </w:numPr>
        <w:pStyle w:val="Compact"/>
      </w:pPr>
      <w:r>
        <w:rPr>
          <w:bCs/>
          <w:b/>
        </w:rPr>
        <w:t xml:space="preserve">Origem:</w:t>
      </w:r>
      <w:r>
        <w:t xml:space="preserve"> </w:t>
      </w:r>
      <w:r>
        <w:t xml:space="preserve">desenvolvida pela empresa canadense Theratechnologies (nome de desenvolvimento TH9507).</w:t>
      </w:r>
    </w:p>
    <w:p>
      <w:pPr>
        <w:numPr>
          <w:ilvl w:val="0"/>
          <w:numId w:val="1150"/>
        </w:numPr>
        <w:pStyle w:val="Compact"/>
      </w:pPr>
      <w:r>
        <w:rPr>
          <w:bCs/>
          <w:b/>
        </w:rPr>
        <w:t xml:space="preserve">Princípio de ação:</w:t>
      </w:r>
      <w:r>
        <w:t xml:space="preserve"> </w:t>
      </w:r>
      <w:r>
        <w:t xml:space="preserve">liga-se, como o GHRH do próprio organismo, ao receptor deste na hipófise e assim aumenta a secreção própria, que continua pulsátil, de hormônio do crescimento (GH); em consequência, aumenta o mensageiro IGF-1.</w:t>
      </w:r>
    </w:p>
    <w:p>
      <w:pPr>
        <w:numPr>
          <w:ilvl w:val="0"/>
          <w:numId w:val="1150"/>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sim (Egrifta, desde 2010) para a redução do excesso de gordura abdominal em adultos com HIV e lipodistrofia</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proibida, grupo S2 (hormônios peptídicos, fatores de crescimento, substâncias relacionadas) – expressamente abrangida como análogo de GHRH.</w:t>
      </w:r>
    </w:p>
    <w:p>
      <w:pPr>
        <w:numPr>
          <w:ilvl w:val="0"/>
          <w:numId w:val="1150"/>
        </w:numPr>
        <w:pStyle w:val="Compact"/>
      </w:pPr>
      <w:r>
        <w:rPr>
          <w:bCs/>
          <w:b/>
        </w:rPr>
        <w:t xml:space="preserve">Nível de evidência: A</w:t>
      </w:r>
      <w:r>
        <w:t xml:space="preserve"> </w:t>
      </w:r>
      <w:r>
        <w:t xml:space="preserve">– dois grandes estudos de fase 3 com um total de 806 participantes, vários outros estudos randomizados, aprovação nos EUA.</w:t>
      </w:r>
    </w:p>
    <w:bookmarkEnd w:id="1277"/>
    <w:bookmarkStart w:id="1278" w:name="como-deveria-agir-24"/>
    <w:p>
      <w:pPr>
        <w:pStyle w:val="Heading3"/>
      </w:pPr>
      <w:r>
        <w:t xml:space="preserve">Como deveria agir</w:t>
      </w:r>
    </w:p>
    <w:p>
      <w:pPr>
        <w:pStyle w:val="FirstParagraph"/>
      </w:pPr>
      <w:r>
        <w:t xml:space="preserve">O hormônio do crescimento não é liberado pela hipófise de forma uniforme, mas em pulsos, sobretudo à noite. Isso é controlado por dois antagonistas do diencéfalo: o GHRH acelera, a somatostatina freia. O próprio hormônio do crescimento degrada gordura – especialmente a gordura entre os órgãos da cavidade abdominal (gordura visceral) – e estimula o fígado a produzir IGF-1, que medeia muitos dos efeitos anabólicos.</w:t>
      </w:r>
    </w:p>
    <w:p>
      <w:pPr>
        <w:pStyle w:val="BodyText"/>
      </w:pPr>
      <w:r>
        <w:t xml:space="preserve">Sob determinadas terapias para HIV, sobretudo as mais antigas, algumas pessoas acumulam uma quantidade notável de gordura abdominal, enquanto braços e pernas tendem a afinar. Essa redistribuição de gordura se chama lipodistrofia. Nas pessoas afetadas, a secreção de hormônio do crescimento costuma estar reduzida. A ideia por trás da tesamorelina: em vez de injetar hormônio do crescimento de fora, estimula-se a própria hipófise. Como os circuitos de retroalimentação do organismo são preservados, níveis excessivos e seus efeitos colaterais deveriam ser mais raros do que com a administração direta de GH – uma suposição que os estudos sustentam em parte, mas não completamente.</w:t>
      </w:r>
    </w:p>
    <w:bookmarkEnd w:id="1278"/>
    <w:bookmarkStart w:id="1296" w:name="estudos-em-humanos-24"/>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23</w:t>
      </w:r>
      <w:r>
        <w:t xml:space="preserve"> </w:t>
      </w:r>
      <w:r>
        <w:t xml:space="preserve">estudos em humanos no PubMed (</w:t>
      </w:r>
      <w:r>
        <w:rPr>
          <w:rStyle w:val="VerbatimChar"/>
        </w:rPr>
        <w:t xml:space="preserve">humanstudien_alle</w:t>
      </w:r>
      <w:r>
        <w:t xml:space="preserve">) e</w:t>
      </w:r>
      <w:r>
        <w:t xml:space="preserve"> </w:t>
      </w:r>
      <w:r>
        <w:rPr>
          <w:bCs/>
          <w:b/>
        </w:rPr>
        <w:t xml:space="preserve">24</w:t>
      </w:r>
      <w:r>
        <w:t xml:space="preserve"> </w:t>
      </w:r>
      <w:r>
        <w:t xml:space="preserve">registros no ClinicalTrials.gov; um deles (patrocinador</w:t>
      </w:r>
      <w:r>
        <w:t xml:space="preserve"> </w:t>
      </w:r>
      <w:r>
        <w:t xml:space="preserve">“</w:t>
      </w:r>
      <w:r>
        <w:t xml:space="preserve">Hudson Biotech</w:t>
      </w:r>
      <w:r>
        <w:t xml:space="preserve">”</w:t>
      </w:r>
      <w:r>
        <w:t xml:space="preserve">, com o acréscimo</w:t>
      </w:r>
      <w:r>
        <w:t xml:space="preserve"> </w:t>
      </w:r>
      <w:r>
        <w:t xml:space="preserve">“</w:t>
      </w:r>
      <w:r>
        <w:t xml:space="preserve">Mock Study</w:t>
      </w:r>
      <w:r>
        <w:t xml:space="preserve">”</w:t>
      </w:r>
      <w:r>
        <w:t xml:space="preserve"> </w:t>
      </w:r>
      <w:r>
        <w:t xml:space="preserve">no título) é aparentemente um registro fictício de exemplo e não é contado aqui, de modo que restam</w:t>
      </w:r>
      <w:r>
        <w:t xml:space="preserve"> </w:t>
      </w:r>
      <w:r>
        <w:rPr>
          <w:bCs/>
          <w:b/>
        </w:rPr>
        <w:t xml:space="preserve">23</w:t>
      </w:r>
      <w:r>
        <w:t xml:space="preserve"> </w:t>
      </w:r>
      <w:r>
        <w:t xml:space="preserve">estudos registrados reais. Somam-se a isso três revisões sistemáticas com metanálises.</w:t>
      </w:r>
    </w:p>
    <w:bookmarkStart w:id="1284" w:name="os-estudos-de-aprovação"/>
    <w:p>
      <w:pPr>
        <w:pStyle w:val="Heading4"/>
      </w:pPr>
      <w:r>
        <w:t xml:space="preserve">Os estudos de aprovação</w:t>
      </w:r>
    </w:p>
    <w:p>
      <w:pPr>
        <w:pStyle w:val="FirstParagraph"/>
      </w:pPr>
      <w:r>
        <w:t xml:space="preserve">A aprovação se baseia em dois estudos de fase 3 de desenho quase idêntico em pessoas com HIV e aumento de gordura abdominal. Em ambos, os participantes receberam, na proporção 2:1, tesamorelina ou um medicamento simulado (placebo) diariamente por injeção subcutânea; após 26 semanas seguiu-se uma fase de extensão, na qual parte do grupo da tesamorelina continuou o tratamento e outra parte passou para placebo.</w:t>
      </w:r>
    </w:p>
    <w:p>
      <w:pPr>
        <w:pStyle w:val="BodyText"/>
      </w:pPr>
      <w:r>
        <w:t xml:space="preserve">No primeiro estudo, com 412 participantes (86% homens), a gordura visceral, medida por tomografia computadorizada, diminuiu 15,2% com tesamorelina, enquanto com placebo aumentou 5,0%. Os triglicerídeos (gorduras do sangue) caíram 50 mg/dl, frente a um aumento de 9 mg/dl. O IGF-1 subiu 81,0%. Os valores de glicemia não diferiram significativamente; no entanto, no grupo da tesamorelina mais participantes abandonaram o estudo por efeitos colaterais</w:t>
      </w:r>
      <w:r>
        <w:rPr>
          <w:rStyle w:val="FootnoteReference"/>
        </w:rPr>
        <w:footnoteReference w:id="1279"/>
      </w:r>
      <w:r>
        <w:t xml:space="preserve">. Ao longo de 52 semanas, a redução da gordura abdominal com tratamento contínuo ficou em cerca de −18%; após a suspensão, a gordura voltou</w:t>
      </w:r>
      <w:r>
        <w:rPr>
          <w:rStyle w:val="FootnoteReference"/>
        </w:rPr>
        <w:footnoteReference w:id="1280"/>
      </w:r>
      <w:r>
        <w:t xml:space="preserve">.</w:t>
      </w:r>
    </w:p>
    <w:p>
      <w:pPr>
        <w:pStyle w:val="BodyText"/>
      </w:pPr>
      <w:r>
        <w:t xml:space="preserve">O segundo estudo, com 404 participantes, confirmou isso: −10,9% de gordura visceral com tesamorelina frente a −0,6% com placebo após seis meses, nenhuma alteração da gordura subcutânea em braços, pernas e abdome, e uma rápida perda do efeito após a troca para placebo</w:t>
      </w:r>
      <w:r>
        <w:rPr>
          <w:rStyle w:val="FootnoteReference"/>
        </w:rPr>
        <w:footnoteReference w:id="1281"/>
      </w:r>
      <w:r>
        <w:t xml:space="preserve">.</w:t>
      </w:r>
    </w:p>
    <w:p>
      <w:pPr>
        <w:pStyle w:val="BodyText"/>
      </w:pPr>
      <w:r>
        <w:t xml:space="preserve">A análise conjunta dos dois estudos com 806 pessoas resultou, após 26 semanas, em um efeito do tratamento de −15,4% na gordura visceral, melhorias nos triglicerídeos e na relação entre colesterol total e HDL, bem como na satisfação com a aparência do abdome. Os autores não encontraram diferenças clinicamente relevantes nos valores de glicemia</w:t>
      </w:r>
      <w:r>
        <w:rPr>
          <w:rStyle w:val="FootnoteReference"/>
        </w:rPr>
        <w:footnoteReference w:id="1282"/>
      </w:r>
      <w:r>
        <w:t xml:space="preserve">. Nem todos se beneficiam igualmente: uma análise posterior definiu previamente uma redução da gordura abdominal de pelo menos 8% como</w:t>
      </w:r>
      <w:r>
        <w:t xml:space="preserve"> </w:t>
      </w:r>
      <w:r>
        <w:t xml:space="preserve">“</w:t>
      </w:r>
      <w:r>
        <w:t xml:space="preserve">resposta</w:t>
      </w:r>
      <w:r>
        <w:t xml:space="preserve">”</w:t>
      </w:r>
      <w:r>
        <w:t xml:space="preserve">. Nesses respondedores, os triglicerídeos caíram de forma bem mais acentuada, e a glicemia e a HbA1c permaneceram em grande parte estáveis; nos não respondedores, a glicemia de jejum e a HbA1c subiram levemente (análise post hoc)</w:t>
      </w:r>
      <w:r>
        <w:rPr>
          <w:rStyle w:val="FootnoteReference"/>
        </w:rPr>
        <w:footnoteReference w:id="1283"/>
      </w:r>
      <w:r>
        <w:t xml:space="preserve">.</w:t>
      </w:r>
    </w:p>
    <w:bookmarkEnd w:id="1284"/>
    <w:bookmarkStart w:id="1287" w:name="gordura-no-fígado"/>
    <w:p>
      <w:pPr>
        <w:pStyle w:val="Heading4"/>
      </w:pPr>
      <w:r>
        <w:t xml:space="preserve">Gordura no fígado</w:t>
      </w:r>
    </w:p>
    <w:p>
      <w:pPr>
        <w:pStyle w:val="FirstParagraph"/>
      </w:pPr>
      <w:r>
        <w:t xml:space="preserve">Particularmente interessante é o efeito sobre o fígado gorduroso. Em um estudo menor com 50 pessoas com HIV, além da gordura abdominal também diminuiu a gordura hepática; a glicemia de jejum subiu temporariamente após duas semanas, e após seis meses já não havia diferença significativa</w:t>
      </w:r>
      <w:r>
        <w:rPr>
          <w:rStyle w:val="FootnoteReference"/>
        </w:rPr>
        <w:footnoteReference w:id="1285"/>
      </w:r>
      <w:r>
        <w:t xml:space="preserve">. Um estudo randomizado e duplo-cego subsequente examinou especificamente 61 pessoas com HIV e doença hepática gordurosa não alcoólica ao longo de doze meses, com biópsias hepáticas. A fração de gordura hepática caiu 4,1 pontos percentuais a mais em termos absolutos do que com placebo, 37% em termos relativos; 35% do grupo da tesamorelina, mas apenas 4% do grupo placebo, ficaram ao final abaixo do limite de fígado gorduroso de 5%</w:t>
      </w:r>
      <w:r>
        <w:rPr>
          <w:rStyle w:val="FootnoteReference"/>
        </w:rPr>
        <w:footnoteReference w:id="1286"/>
      </w:r>
      <w:r>
        <w:t xml:space="preserve">. Se isso previne a longo prazo cirrose hepática ou câncer de fígado não foi estudado.</w:t>
      </w:r>
    </w:p>
    <w:bookmarkEnd w:id="1287"/>
    <w:bookmarkStart w:id="1292" w:name="outras-aplicações"/>
    <w:p>
      <w:pPr>
        <w:pStyle w:val="Heading4"/>
      </w:pPr>
      <w:r>
        <w:t xml:space="preserve">Outras aplicações</w:t>
      </w:r>
    </w:p>
    <w:p>
      <w:pPr>
        <w:pStyle w:val="FirstParagraph"/>
      </w:pPr>
      <w:r>
        <w:t xml:space="preserve">Fora do HIV, há apenas estudos menores:</w:t>
      </w:r>
    </w:p>
    <w:p>
      <w:pPr>
        <w:numPr>
          <w:ilvl w:val="0"/>
          <w:numId w:val="1151"/>
        </w:numPr>
        <w:pStyle w:val="Compact"/>
      </w:pPr>
      <w:r>
        <w:t xml:space="preserve">Em 60 pessoas com obesidade abdominal e secreção reduzida de GH (sem HIV), a tesamorelina reduziu ao longo de doze meses a gordura visceral, os triglicerídeos, a proteína C-reativa e a espessura da parede da artéria carótida, sem piorar os valores de glicemia</w:t>
      </w:r>
      <w:r>
        <w:rPr>
          <w:rStyle w:val="FootnoteReference"/>
        </w:rPr>
        <w:footnoteReference w:id="1288"/>
      </w:r>
      <w:r>
        <w:t xml:space="preserve">.</w:t>
      </w:r>
    </w:p>
    <w:p>
      <w:pPr>
        <w:numPr>
          <w:ilvl w:val="0"/>
          <w:numId w:val="1151"/>
        </w:numPr>
        <w:pStyle w:val="Compact"/>
      </w:pPr>
      <w:r>
        <w:t xml:space="preserve">Em 53 pessoas com diabetes tipo 2, ao longo de doze semanas nem a resposta insulínica nem a HbA1c se alteraram em comparação com placebo</w:t>
      </w:r>
      <w:r>
        <w:rPr>
          <w:rStyle w:val="FootnoteReference"/>
        </w:rPr>
        <w:footnoteReference w:id="1289"/>
      </w:r>
      <w:r>
        <w:t xml:space="preserve">.</w:t>
      </w:r>
    </w:p>
    <w:p>
      <w:pPr>
        <w:numPr>
          <w:ilvl w:val="0"/>
          <w:numId w:val="1151"/>
        </w:numPr>
        <w:pStyle w:val="Compact"/>
      </w:pPr>
      <w:r>
        <w:t xml:space="preserve">Em um estudo com 152 adultos mais velhos (55 a 87 anos), dos quais 66 com comprometimento cognitivo leve, observou-se após 20 semanas um efeito favorável na avaliação global do desempenho cognitivo, sobretudo nas funções executivas. Efeitos colaterais – em geral leves – foram relatados por 68% com tesamorelina frente a 36% com placebo</w:t>
      </w:r>
      <w:r>
        <w:rPr>
          <w:rStyle w:val="FootnoteReference"/>
        </w:rPr>
        <w:footnoteReference w:id="1290"/>
      </w:r>
      <w:r>
        <w:t xml:space="preserve">. Falta um estudo de confirmação.</w:t>
      </w:r>
    </w:p>
    <w:p>
      <w:pPr>
        <w:numPr>
          <w:ilvl w:val="0"/>
          <w:numId w:val="1151"/>
        </w:numPr>
        <w:pStyle w:val="Compact"/>
      </w:pPr>
      <w:r>
        <w:t xml:space="preserve">Em 73 pessoas com HIV, obesidade abdominal e limitações cognitivas, um estudo aberto de fase 2 não mostrou diferença significativa no desempenho cognitivo em relação ao tratamento padrão</w:t>
      </w:r>
      <w:r>
        <w:rPr>
          <w:rStyle w:val="FootnoteReference"/>
        </w:rPr>
        <w:footnoteReference w:id="1291"/>
      </w:r>
      <w:r>
        <w:t xml:space="preserve">.</w:t>
      </w:r>
    </w:p>
    <w:bookmarkEnd w:id="1292"/>
    <w:bookmarkStart w:id="1295" w:name="metanálises"/>
    <w:p>
      <w:pPr>
        <w:pStyle w:val="Heading4"/>
      </w:pPr>
      <w:r>
        <w:t xml:space="preserve">Metanálises</w:t>
      </w:r>
    </w:p>
    <w:p>
      <w:pPr>
        <w:pStyle w:val="FirstParagraph"/>
      </w:pPr>
      <w:r>
        <w:t xml:space="preserve">Duas metanálises de 2026 resumem os estudos randomizados na lipodistrofia associada ao HIV. Uma (quatro estudos, 909 pessoas) encontrou redução da gordura visceral, da circunferência da cintura em 1,61 cm e da gordura do tronco, bem como aumento da massa livre de gordura em 1,42 kg; a taxa de abandono por efeitos colaterais tendeu a ser maior (razão de risco 2,25, por pouco não estatisticamente significativa)</w:t>
      </w:r>
      <w:r>
        <w:rPr>
          <w:rStyle w:val="FootnoteReference"/>
        </w:rPr>
        <w:footnoteReference w:id="1293"/>
      </w:r>
      <w:r>
        <w:t xml:space="preserve">. A outra (cinco estudos) confirmou a redução da gordura hepática em 4,28 pontos percentuais e citou dores articulares e musculares, parestesias e reações cutâneas no local da injeção como efeitos colaterais típicos</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(Falutz 2007), PMID 18057338</w:t>
            </w:r>
          </w:p>
        </w:tc>
        <w:tc>
          <w:tcPr/>
          <w:p>
            <w:pPr>
              <w:pStyle w:val="Compact"/>
              <w:jc w:val="left"/>
            </w:pPr>
            <w:r>
              <w:t xml:space="preserve">412 pessoas com HIV e gordura abdominal, ECR contra placebo</w:t>
            </w:r>
          </w:p>
        </w:tc>
        <w:tc>
          <w:tcPr/>
          <w:p>
            <w:pPr>
              <w:pStyle w:val="Compact"/>
              <w:jc w:val="left"/>
            </w:pPr>
            <w:r>
              <w:t xml:space="preserve">26 semanas</w:t>
            </w:r>
          </w:p>
        </w:tc>
        <w:tc>
          <w:tcPr/>
          <w:p>
            <w:pPr>
              <w:pStyle w:val="Compact"/>
              <w:jc w:val="left"/>
            </w:pPr>
            <w:r>
              <w:t xml:space="preserve">gordura visceral −15,2% vs. +5,0%</w:t>
            </w:r>
          </w:p>
        </w:tc>
      </w:tr>
      <w:tr>
        <w:tc>
          <w:tcPr/>
          <w:p>
            <w:pPr>
              <w:pStyle w:val="Compact"/>
              <w:jc w:val="left"/>
            </w:pPr>
            <w:r>
              <w:t xml:space="preserve">Fase 3, estudo 2 (Falutz 2010), PMID 20101189</w:t>
            </w:r>
          </w:p>
        </w:tc>
        <w:tc>
          <w:tcPr/>
          <w:p>
            <w:pPr>
              <w:pStyle w:val="Compact"/>
              <w:jc w:val="left"/>
            </w:pPr>
            <w:r>
              <w:t xml:space="preserve">404 pessoas com HIV, ECR com fase de extensão</w:t>
            </w:r>
          </w:p>
        </w:tc>
        <w:tc>
          <w:tcPr/>
          <w:p>
            <w:pPr>
              <w:pStyle w:val="Compact"/>
              <w:jc w:val="left"/>
            </w:pPr>
            <w:r>
              <w:t xml:space="preserve">12 meses</w:t>
            </w:r>
          </w:p>
        </w:tc>
        <w:tc>
          <w:tcPr/>
          <w:p>
            <w:pPr>
              <w:pStyle w:val="Compact"/>
              <w:jc w:val="left"/>
            </w:pPr>
            <w:r>
              <w:t xml:space="preserve">−10,9% vs. −0,6% após 6 meses; efeito se perde após a suspensão</w:t>
            </w:r>
          </w:p>
        </w:tc>
      </w:tr>
      <w:tr>
        <w:tc>
          <w:tcPr/>
          <w:p>
            <w:pPr>
              <w:pStyle w:val="Compact"/>
              <w:jc w:val="left"/>
            </w:pPr>
            <w:r>
              <w:t xml:space="preserve">Análise combinada (Falutz 2010), PMID 20554713</w:t>
            </w:r>
          </w:p>
        </w:tc>
        <w:tc>
          <w:tcPr/>
          <w:p>
            <w:pPr>
              <w:pStyle w:val="Compact"/>
              <w:jc w:val="left"/>
            </w:pPr>
            <w:r>
              <w:t xml:space="preserve">806 pessoas dos dois estudos de fase 3</w:t>
            </w:r>
          </w:p>
        </w:tc>
        <w:tc>
          <w:tcPr/>
          <w:p>
            <w:pPr>
              <w:pStyle w:val="Compact"/>
              <w:jc w:val="left"/>
            </w:pPr>
            <w:r>
              <w:t xml:space="preserve">26–52 semanas</w:t>
            </w:r>
          </w:p>
        </w:tc>
        <w:tc>
          <w:tcPr/>
          <w:p>
            <w:pPr>
              <w:pStyle w:val="Compact"/>
              <w:jc w:val="left"/>
            </w:pPr>
            <w:r>
              <w:t xml:space="preserve">efeito do tratamento −15,4%; glicemia sem alteração clinicamente relevante</w:t>
            </w:r>
          </w:p>
        </w:tc>
      </w:tr>
      <w:tr>
        <w:tc>
          <w:tcPr/>
          <w:p>
            <w:pPr>
              <w:pStyle w:val="Compact"/>
              <w:jc w:val="left"/>
            </w:pPr>
            <w:r>
              <w:t xml:space="preserve">Fígado gorduroso no HIV (Stanley 2019), PMID 31611038</w:t>
            </w:r>
          </w:p>
        </w:tc>
        <w:tc>
          <w:tcPr/>
          <w:p>
            <w:pPr>
              <w:pStyle w:val="Compact"/>
              <w:jc w:val="left"/>
            </w:pPr>
            <w:r>
              <w:t xml:space="preserve">61 pessoas com HIV e fígado gorduroso, ECR</w:t>
            </w:r>
          </w:p>
        </w:tc>
        <w:tc>
          <w:tcPr/>
          <w:p>
            <w:pPr>
              <w:pStyle w:val="Compact"/>
              <w:jc w:val="left"/>
            </w:pPr>
            <w:r>
              <w:t xml:space="preserve">12 meses</w:t>
            </w:r>
          </w:p>
        </w:tc>
        <w:tc>
          <w:tcPr/>
          <w:p>
            <w:pPr>
              <w:pStyle w:val="Compact"/>
              <w:jc w:val="left"/>
            </w:pPr>
            <w:r>
              <w:t xml:space="preserve">fração de gordura hepática −4,1 pontos percentuais vs. placebo</w:t>
            </w:r>
          </w:p>
        </w:tc>
      </w:tr>
      <w:tr>
        <w:tc>
          <w:tcPr/>
          <w:p>
            <w:pPr>
              <w:pStyle w:val="Compact"/>
              <w:jc w:val="left"/>
            </w:pPr>
            <w:r>
              <w:t xml:space="preserve">Sem HIV (Makimura 2012), PMID 23015655</w:t>
            </w:r>
          </w:p>
        </w:tc>
        <w:tc>
          <w:tcPr/>
          <w:p>
            <w:pPr>
              <w:pStyle w:val="Compact"/>
              <w:jc w:val="left"/>
            </w:pPr>
            <w:r>
              <w:t xml:space="preserve">60 adultos com obesidade abdominal, ECR</w:t>
            </w:r>
          </w:p>
        </w:tc>
        <w:tc>
          <w:tcPr/>
          <w:p>
            <w:pPr>
              <w:pStyle w:val="Compact"/>
              <w:jc w:val="left"/>
            </w:pPr>
            <w:r>
              <w:t xml:space="preserve">12 meses</w:t>
            </w:r>
          </w:p>
        </w:tc>
        <w:tc>
          <w:tcPr/>
          <w:p>
            <w:pPr>
              <w:pStyle w:val="Compact"/>
              <w:jc w:val="left"/>
            </w:pPr>
            <w:r>
              <w:t xml:space="preserve">gordura visceral −35 cm² em relação ao placebo</w:t>
            </w:r>
          </w:p>
        </w:tc>
      </w:tr>
      <w:tr>
        <w:tc>
          <w:tcPr/>
          <w:p>
            <w:pPr>
              <w:pStyle w:val="Compact"/>
              <w:jc w:val="left"/>
            </w:pPr>
            <w:r>
              <w:t xml:space="preserve">Cognição na velhice (Baker 2012), PMID 22869065</w:t>
            </w:r>
          </w:p>
        </w:tc>
        <w:tc>
          <w:tcPr/>
          <w:p>
            <w:pPr>
              <w:pStyle w:val="Compact"/>
              <w:jc w:val="left"/>
            </w:pPr>
            <w:r>
              <w:t xml:space="preserve">152 idosos, dos quais 66 com comprometimento cognitivo leve, ECR</w:t>
            </w:r>
          </w:p>
        </w:tc>
        <w:tc>
          <w:tcPr/>
          <w:p>
            <w:pPr>
              <w:pStyle w:val="Compact"/>
              <w:jc w:val="left"/>
            </w:pPr>
            <w:r>
              <w:t xml:space="preserve">20 semanas</w:t>
            </w:r>
          </w:p>
        </w:tc>
        <w:tc>
          <w:tcPr/>
          <w:p>
            <w:pPr>
              <w:pStyle w:val="Compact"/>
              <w:jc w:val="left"/>
            </w:pPr>
            <w:r>
              <w:t xml:space="preserve">efeito favorável no desempenho cognitivo; mais efeitos colaterais</w:t>
            </w:r>
          </w:p>
        </w:tc>
      </w:tr>
      <w:tr>
        <w:tc>
          <w:tcPr/>
          <w:p>
            <w:pPr>
              <w:pStyle w:val="Compact"/>
              <w:jc w:val="left"/>
            </w:pPr>
            <w:r>
              <w:t xml:space="preserve">Metanálise (Ditta 2026), PMID 42538058</w:t>
            </w:r>
          </w:p>
        </w:tc>
        <w:tc>
          <w:tcPr/>
          <w:p>
            <w:pPr>
              <w:pStyle w:val="Compact"/>
              <w:jc w:val="left"/>
            </w:pPr>
            <w:r>
              <w:t xml:space="preserve">4 ECRs, 909 pessoas com HIV</w:t>
            </w:r>
          </w:p>
        </w:tc>
        <w:tc>
          <w:tcPr/>
          <w:p>
            <w:pPr>
              <w:pStyle w:val="Compact"/>
              <w:jc w:val="left"/>
            </w:pPr>
            <w:r>
              <w:t xml:space="preserve">–</w:t>
            </w:r>
          </w:p>
        </w:tc>
        <w:tc>
          <w:tcPr/>
          <w:p>
            <w:pPr>
              <w:pStyle w:val="Compact"/>
              <w:jc w:val="left"/>
            </w:pPr>
            <w:r>
              <w:t xml:space="preserve">menos gordura visceral, +1,42 kg de massa livre de gordura</w:t>
            </w:r>
          </w:p>
        </w:tc>
      </w:tr>
    </w:tbl>
    <w:bookmarkEnd w:id="1295"/>
    <w:bookmarkEnd w:id="1296"/>
    <w:bookmarkStart w:id="1300" w:name="estudos-em-animais-e-em-laboratório-24"/>
    <w:p>
      <w:pPr>
        <w:pStyle w:val="Heading3"/>
      </w:pPr>
      <w:r>
        <w:t xml:space="preserve">Estudos em animais e em laboratório</w:t>
      </w:r>
    </w:p>
    <w:p>
      <w:pPr>
        <w:pStyle w:val="FirstParagraph"/>
      </w:pPr>
      <w:r>
        <w:t xml:space="preserve">Para a tesamorelina em si há comparativamente pouca pesquisa animal independente; o desenvolvimento se apoiou no GHRH endógeno, bem estudado. Um artigo de revisão discute se uma estimulação do eixo do hormônio do crescimento poderia favorecer a regeneração de nervos lesionados, apoiando-se predominantemente em estudos animais e mecanísticos</w:t>
      </w:r>
      <w:r>
        <w:rPr>
          <w:rStyle w:val="FootnoteReference"/>
        </w:rPr>
        <w:footnoteReference w:id="1297"/>
      </w:r>
      <w:r>
        <w:t xml:space="preserve">. Um pequeno estudo de fase 2 sobre isso em humanos está registrado</w:t>
      </w:r>
      <w:r>
        <w:rPr>
          <w:rStyle w:val="FootnoteReference"/>
        </w:rPr>
        <w:footnoteReference w:id="1298"/>
      </w:r>
      <w:r>
        <w:t xml:space="preserve">.</w:t>
      </w:r>
    </w:p>
    <w:p>
      <w:pPr>
        <w:pStyle w:val="BodyText"/>
      </w:pPr>
      <w:r>
        <w:t xml:space="preserve">Uma análise tecidual das biópsias hepáticas do estudo sobre fígado gorduroso mostrou que, com tesamorelina, grupos de genes da produção de energia nas mitocôndrias estavam mais ativos e grupos de genes de inflamação, remodelação tecidual e divisão celular menos ativos do que com placebo</w:t>
      </w:r>
      <w:r>
        <w:rPr>
          <w:rStyle w:val="FootnoteReference"/>
        </w:rPr>
        <w:footnoteReference w:id="1299"/>
      </w:r>
      <w:r>
        <w:t xml:space="preserve">. São achados de amostras de tecido humano, mas não desfechos clínicos.</w:t>
      </w:r>
    </w:p>
    <w:bookmarkEnd w:id="1300"/>
    <w:bookmarkStart w:id="1309" w:name="riscos-e-efeitos-colaterais-24"/>
    <w:p>
      <w:pPr>
        <w:pStyle w:val="Heading3"/>
      </w:pPr>
      <w:r>
        <w:t xml:space="preserve">Riscos e efeitos colaterais</w:t>
      </w:r>
    </w:p>
    <w:p>
      <w:pPr>
        <w:pStyle w:val="FirstParagraph"/>
      </w:pPr>
      <w:r>
        <w:rPr>
          <w:bCs/>
          <w:b/>
        </w:rPr>
        <w:t xml:space="preserve">Comprovado pelos estudos:</w:t>
      </w:r>
    </w:p>
    <w:p>
      <w:pPr>
        <w:numPr>
          <w:ilvl w:val="0"/>
          <w:numId w:val="1152"/>
        </w:numPr>
        <w:pStyle w:val="Compact"/>
      </w:pPr>
      <w:r>
        <w:t xml:space="preserve">Reações no local da injeção (vermelhidão, coceira) – no estudo sobre fígado gorduroso mais frequentes do que com placebo, mas não graves</w:t>
      </w:r>
      <w:r>
        <w:rPr>
          <w:rStyle w:val="FootnoteReference"/>
        </w:rPr>
        <w:footnoteReference w:id="1301"/>
      </w:r>
      <w:r>
        <w:t xml:space="preserve">.</w:t>
      </w:r>
    </w:p>
    <w:p>
      <w:pPr>
        <w:numPr>
          <w:ilvl w:val="0"/>
          <w:numId w:val="1152"/>
        </w:numPr>
        <w:pStyle w:val="Compact"/>
      </w:pPr>
      <w:r>
        <w:t xml:space="preserve">Efeitos típicos do hormônio do crescimento, como dores articulares e musculares, bem como parestesias</w:t>
      </w:r>
      <w:r>
        <w:rPr>
          <w:rStyle w:val="FootnoteReference"/>
        </w:rPr>
        <w:footnoteReference w:id="1302"/>
      </w:r>
      <w:r>
        <w:t xml:space="preserve">.</w:t>
      </w:r>
    </w:p>
    <w:p>
      <w:pPr>
        <w:numPr>
          <w:ilvl w:val="0"/>
          <w:numId w:val="1152"/>
        </w:numPr>
        <w:pStyle w:val="Compact"/>
      </w:pPr>
      <w:r>
        <w:t xml:space="preserve">Glicemia: nos grandes estudos, nenhuma piora clinicamente relevante em média, mas um aumento temporário da glicemia de jejum nas primeiras semanas</w:t>
      </w:r>
      <w:r>
        <w:rPr>
          <w:rStyle w:val="FootnoteReference"/>
        </w:rPr>
        <w:footnoteReference w:id="1303"/>
      </w:r>
      <w:r>
        <w:t xml:space="preserve"> </w:t>
      </w:r>
      <w:r>
        <w:t xml:space="preserve">e um leve aumento em pessoas cuja gordura abdominal não respondeu</w:t>
      </w:r>
      <w:r>
        <w:rPr>
          <w:rStyle w:val="FootnoteReference"/>
        </w:rPr>
        <w:footnoteReference w:id="1304"/>
      </w:r>
      <w:r>
        <w:t xml:space="preserve">. Pessoas com diabetes devem ter acompanhamento médico.</w:t>
      </w:r>
    </w:p>
    <w:p>
      <w:pPr>
        <w:numPr>
          <w:ilvl w:val="0"/>
          <w:numId w:val="1152"/>
        </w:numPr>
        <w:pStyle w:val="Compact"/>
      </w:pPr>
      <w:r>
        <w:t xml:space="preserve">Mais interrupções do tratamento por efeitos colaterais do que com placebo</w:t>
      </w:r>
      <w:r>
        <w:rPr>
          <w:rStyle w:val="FootnoteReference"/>
        </w:rPr>
        <w:footnoteReference w:id="1305"/>
      </w:r>
      <w:r>
        <w:t xml:space="preserve">.</w:t>
      </w:r>
    </w:p>
    <w:p>
      <w:pPr>
        <w:numPr>
          <w:ilvl w:val="0"/>
          <w:numId w:val="1152"/>
        </w:numPr>
        <w:pStyle w:val="Compact"/>
      </w:pPr>
      <w:r>
        <w:t xml:space="preserve">O efeito não é duradouro: após a suspensão, a gordura abdominal volta</w:t>
      </w:r>
      <w:r>
        <w:rPr>
          <w:rStyle w:val="FootnoteReference"/>
        </w:rPr>
        <w:footnoteReference w:id="1306"/>
      </w:r>
      <w:r>
        <w:t xml:space="preserve">.</w:t>
      </w:r>
    </w:p>
    <w:p>
      <w:pPr>
        <w:pStyle w:val="FirstParagraph"/>
      </w:pPr>
      <w:r>
        <w:rPr>
          <w:bCs/>
          <w:b/>
        </w:rPr>
        <w:t xml:space="preserve">Em aberto ou teórico:</w:t>
      </w:r>
      <w:r>
        <w:t xml:space="preserve"> </w:t>
      </w:r>
      <w:r>
        <w:t xml:space="preserve">a tesamorelina eleva claramente o IGF-1 – no primeiro estudo de fase 3, em 81%. Níveis altos de IGF-1 estão associados, em estudos observacionais, a um risco um pouco maior de alguns tipos de câncer (detalhes na introdução a este grupo e na Parte IV). Dos próprios estudos com tesamorelina não se pode depreender aumento do risco de câncer, mas eles foram curtos demais para isso. Um estudo observacional de longo prazo do fabricante com 391 participantes</w:t>
      </w:r>
      <w:r>
        <w:rPr>
          <w:rStyle w:val="FootnoteReference"/>
        </w:rPr>
        <w:footnoteReference w:id="1307"/>
      </w:r>
      <w:r>
        <w:t xml:space="preserve"> </w:t>
      </w:r>
      <w:r>
        <w:t xml:space="preserve">e um estudo sobre a doença diabética da retina</w:t>
      </w:r>
      <w:r>
        <w:rPr>
          <w:rStyle w:val="FootnoteReference"/>
        </w:rPr>
        <w:footnoteReference w:id="1308"/>
      </w:r>
      <w:r>
        <w:t xml:space="preserve"> </w:t>
      </w:r>
      <w:r>
        <w:t xml:space="preserve">foram encerrados antecipadamente; não encontrei no PubMed resultados publicados sobre eles. Segundo a bula técnica, a tesamorelina não deve ser usada em caso de câncer ativo; os detalhes estão na bula técnica, e o uso deve ficar a cargo de médicos.</w:t>
      </w:r>
    </w:p>
    <w:bookmarkEnd w:id="1309"/>
    <w:bookmarkStart w:id="1311" w:name="situação-legal-24"/>
    <w:p>
      <w:pPr>
        <w:pStyle w:val="Heading3"/>
      </w:pPr>
      <w:r>
        <w:t xml:space="preserve">Situação legal</w:t>
      </w:r>
    </w:p>
    <w:p>
      <w:pPr>
        <w:pStyle w:val="FirstParagraph"/>
      </w:pPr>
      <w:r>
        <w:rPr>
          <w:iCs/>
          <w:i/>
        </w:rPr>
        <w:t xml:space="preserve">Situação em 2026, verificar atualização.</w:t>
      </w:r>
    </w:p>
    <w:p>
      <w:pPr>
        <w:numPr>
          <w:ilvl w:val="0"/>
          <w:numId w:val="1153"/>
        </w:numPr>
        <w:pStyle w:val="Compact"/>
      </w:pPr>
      <w:r>
        <w:rPr>
          <w:bCs/>
          <w:b/>
        </w:rPr>
        <w:t xml:space="preserve">UE:</w:t>
      </w:r>
      <w:r>
        <w:t xml:space="preserve"> </w:t>
      </w:r>
      <w:r>
        <w:t xml:space="preserve">não aprovada. A tesamorelina não é comercializada como medicamento industrializado em nenhum Estado da UE.</w:t>
      </w:r>
    </w:p>
    <w:p>
      <w:pPr>
        <w:numPr>
          <w:ilvl w:val="0"/>
          <w:numId w:val="1153"/>
        </w:numPr>
        <w:pStyle w:val="Compact"/>
      </w:pPr>
      <w:r>
        <w:rPr>
          <w:bCs/>
          <w:b/>
        </w:rPr>
        <w:t xml:space="preserve">Alemanha e Áustria:</w:t>
      </w:r>
      <w:r>
        <w:t xml:space="preserve"> </w:t>
      </w:r>
      <w:r>
        <w:t xml:space="preserve">nenhuma aprovação. A obtenção seria concebível, quando muito, por meio de importação individual, sob responsabilidade médica, de um medicamento aprovado no exterior; o fornecimento de produtos do mercado cinza para uso em humanos é proibido.</w:t>
      </w:r>
    </w:p>
    <w:p>
      <w:pPr>
        <w:numPr>
          <w:ilvl w:val="0"/>
          <w:numId w:val="1153"/>
        </w:numPr>
        <w:pStyle w:val="Compact"/>
      </w:pPr>
      <w:r>
        <w:rPr>
          <w:bCs/>
          <w:b/>
        </w:rPr>
        <w:t xml:space="preserve">EUA:</w:t>
      </w:r>
      <w:r>
        <w:t xml:space="preserve"> </w:t>
      </w:r>
      <w:r>
        <w:t xml:space="preserve">aprovada como Egrifta (sujeita a prescrição) exclusivamente para a redução do excesso de gordura abdominal na lipodistrofia associada ao HIV. Qualquer outro uso – por exemplo</w:t>
      </w:r>
      <w:r>
        <w:t xml:space="preserve"> </w:t>
      </w:r>
      <w:r>
        <w:t xml:space="preserve">“</w:t>
      </w:r>
      <w:r>
        <w:t xml:space="preserve">para emagrecer</w:t>
      </w:r>
      <w:r>
        <w:t xml:space="preserve">”</w:t>
      </w:r>
      <w:r>
        <w:t xml:space="preserve"> </w:t>
      </w:r>
      <w:r>
        <w:t xml:space="preserve">ou</w:t>
      </w:r>
      <w:r>
        <w:t xml:space="preserve"> </w:t>
      </w:r>
      <w:r>
        <w:t xml:space="preserve">“</w:t>
      </w:r>
      <w:r>
        <w:t xml:space="preserve">contra o envelhecimento</w:t>
      </w:r>
      <w:r>
        <w:t xml:space="preserve">”</w:t>
      </w:r>
      <w:r>
        <w:t xml:space="preserve"> </w:t>
      </w:r>
      <w:r>
        <w:t xml:space="preserve">– é off-label.</w:t>
      </w:r>
    </w:p>
    <w:p>
      <w:pPr>
        <w:numPr>
          <w:ilvl w:val="0"/>
          <w:numId w:val="1153"/>
        </w:numPr>
        <w:pStyle w:val="Compact"/>
      </w:pPr>
      <w:r>
        <w:rPr>
          <w:bCs/>
          <w:b/>
        </w:rPr>
        <w:t xml:space="preserve">WADA:</w:t>
      </w:r>
      <w:r>
        <w:t xml:space="preserve"> </w:t>
      </w:r>
      <w:r>
        <w:t xml:space="preserve">proibida (S2), em competição e fora dela. Laboratórios antidoping desenvolveram métodos de detecção para tesamorelina e outros análogos de GHRH na urina</w:t>
      </w:r>
      <w:r>
        <w:rPr>
          <w:rStyle w:val="FootnoteReference"/>
        </w:rPr>
        <w:footnoteReference w:id="1310"/>
      </w:r>
      <w:r>
        <w:t xml:space="preserve">.</w:t>
      </w:r>
    </w:p>
    <w:bookmarkEnd w:id="1311"/>
    <w:bookmarkStart w:id="1312" w:name="estudos-em-andamento-e-perspectivas-24"/>
    <w:p>
      <w:pPr>
        <w:pStyle w:val="Heading3"/>
      </w:pPr>
      <w:r>
        <w:t xml:space="preserve">Estudos em andamento e perspectivas</w:t>
      </w:r>
    </w:p>
    <w:p>
      <w:pPr>
        <w:pStyle w:val="FirstParagraph"/>
      </w:pPr>
      <w:r>
        <w:t xml:space="preserve">No ClinicalTrials.gov, em outubro de 2026, estão registrados, entre outros, os seguintes estudos abertos: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Desenho</w:t>
            </w:r>
          </w:p>
        </w:tc>
        <w:tc>
          <w:tcPr/>
          <w:p>
            <w:pPr>
              <w:pStyle w:val="Compact"/>
              <w:jc w:val="left"/>
            </w:pPr>
            <w:r>
              <w:t xml:space="preserve">Status</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pessoas</w:t>
            </w:r>
          </w:p>
        </w:tc>
        <w:tc>
          <w:tcPr/>
          <w:p>
            <w:pPr>
              <w:pStyle w:val="Compact"/>
              <w:jc w:val="left"/>
            </w:pPr>
            <w:r>
              <w:t xml:space="preserve">recrutando (início em 2025)</w:t>
            </w:r>
          </w:p>
        </w:tc>
        <w:tc>
          <w:tcPr/>
          <w:p>
            <w:pPr>
              <w:pStyle w:val="Compact"/>
              <w:jc w:val="left"/>
            </w:pPr>
            <w:r>
              <w:t xml:space="preserve">Tesamorelina adicionada ao treinamento no HIV – capacidade física</w:t>
            </w:r>
          </w:p>
        </w:tc>
      </w:tr>
      <w:tr>
        <w:tc>
          <w:tcPr/>
          <w:p>
            <w:pPr>
              <w:pStyle w:val="Compact"/>
              <w:jc w:val="left"/>
            </w:pPr>
            <w:r>
              <w:t xml:space="preserve">NCT03150511</w:t>
            </w:r>
          </w:p>
        </w:tc>
        <w:tc>
          <w:tcPr/>
          <w:p>
            <w:pPr>
              <w:pStyle w:val="Compact"/>
              <w:jc w:val="left"/>
            </w:pPr>
            <w:r>
              <w:t xml:space="preserve">Fase 2, 36 pessoas</w:t>
            </w:r>
          </w:p>
        </w:tc>
        <w:tc>
          <w:tcPr/>
          <w:p>
            <w:pPr>
              <w:pStyle w:val="Compact"/>
              <w:jc w:val="left"/>
            </w:pPr>
            <w:r>
              <w:t xml:space="preserve">recrutando (desde 2018)</w:t>
            </w:r>
          </w:p>
        </w:tc>
        <w:tc>
          <w:tcPr/>
          <w:p>
            <w:pPr>
              <w:pStyle w:val="Compact"/>
              <w:jc w:val="left"/>
            </w:pPr>
            <w:r>
              <w:t xml:space="preserve">Recuperação após lesão de nervos periféricos</w:t>
            </w:r>
          </w:p>
        </w:tc>
      </w:tr>
    </w:tbl>
    <w:p>
      <w:pPr>
        <w:pStyle w:val="BodyText"/>
      </w:pPr>
      <w:r>
        <w:rPr>
          <w:iCs/>
          <w:i/>
        </w:rPr>
        <w:t xml:space="preserve">Comprovado</w:t>
      </w:r>
      <w:r>
        <w:t xml:space="preserve"> </w:t>
      </w:r>
      <w:r>
        <w:t xml:space="preserve">é, portanto, apenas que a pesquisa continua em pequenos estudos de fase 2.</w:t>
      </w:r>
      <w:r>
        <w:t xml:space="preserve"> </w:t>
      </w:r>
      <w:r>
        <w:rPr>
          <w:iCs/>
          <w:i/>
        </w:rPr>
        <w:t xml:space="preserve">Avaliação do autor:</w:t>
      </w:r>
      <w:r>
        <w:t xml:space="preserve"> </w:t>
      </w:r>
      <w:r>
        <w:t xml:space="preserve">o fígado gorduroso fora do HIV seria a nova área de aplicação mais óbvia, mas ali competem hoje outras substâncias com programas de estudos bem maiores. Uma aprovação na UE não se vislumbra em futuro próximo.</w:t>
      </w:r>
    </w:p>
    <w:bookmarkEnd w:id="1312"/>
    <w:bookmarkStart w:id="1313" w:name="conclusão-24"/>
    <w:p>
      <w:pPr>
        <w:pStyle w:val="Heading3"/>
      </w:pPr>
      <w:r>
        <w:t xml:space="preserve">Conclusão</w:t>
      </w:r>
    </w:p>
    <w:p>
      <w:pPr>
        <w:pStyle w:val="FirstParagraph"/>
      </w:pPr>
      <w:r>
        <w:t xml:space="preserve">A tesamorelina é o peptídeo mais bem estudado do eixo do hormônio do crescimento: dois grandes estudos de fase 3 mostram que, em pessoas com HIV, ela reduz a gordura abdominal visceral em cerca de 15 a 18% e também diminui a gordura hepática. O efeito dura apenas enquanto dura o tratamento, e nem todos respondem. Para pessoas saudáveis, atletas ou como recurso</w:t>
      </w:r>
      <w:r>
        <w:t xml:space="preserve"> </w:t>
      </w:r>
      <w:r>
        <w:t xml:space="preserve">“</w:t>
      </w:r>
      <w:r>
        <w:t xml:space="preserve">anti-aging</w:t>
      </w:r>
      <w:r>
        <w:t xml:space="preserve">”</w:t>
      </w:r>
      <w:r>
        <w:t xml:space="preserve"> </w:t>
      </w:r>
      <w:r>
        <w:t xml:space="preserve">não há dados confiáveis. A segurança a longo prazo, especialmente no que diz respeito ao IGF-1 elevado, não está definitivamente esclarecida.</w:t>
      </w:r>
    </w:p>
    <w:bookmarkEnd w:id="1313"/>
    <w:bookmarkEnd w:id="1314"/>
    <w:bookmarkStart w:id="1339" w:name="cjc-1295"/>
    <w:p>
      <w:pPr>
        <w:pStyle w:val="Heading2"/>
      </w:pPr>
      <w:r>
        <w:t xml:space="preserve">CJC-1295</w:t>
      </w:r>
    </w:p>
    <w:p>
      <w:pPr>
        <w:pStyle w:val="FirstParagraph"/>
      </w:pPr>
      <w:r>
        <w:t xml:space="preserve">Sob o nome CJC-1295 vendem-se na internet duas substâncias diferentes – e esse é o ponto mais importante deste capítulo. O CJC-1295 original da empresa ConjuChem é um hormônio liberador do hormônio do crescimento com uma</w:t>
      </w:r>
      <w:r>
        <w:t xml:space="preserve"> </w:t>
      </w:r>
      <w:r>
        <w:t xml:space="preserve">“</w:t>
      </w:r>
      <w:r>
        <w:t xml:space="preserve">âncora</w:t>
      </w:r>
      <w:r>
        <w:t xml:space="preserve">”</w:t>
      </w:r>
      <w:r>
        <w:t xml:space="preserve"> </w:t>
      </w:r>
      <w:r>
        <w:t xml:space="preserve">química que, no sangue, se prende à proteína albumina e prolonga o efeito para cerca de uma semana. Paralelamente, comerciantes do mercado cinza oferecem o</w:t>
      </w:r>
      <w:r>
        <w:t xml:space="preserve"> </w:t>
      </w:r>
      <w:r>
        <w:t xml:space="preserve">“</w:t>
      </w:r>
      <w:r>
        <w:t xml:space="preserve">CJC-1295 sem DAC</w:t>
      </w:r>
      <w:r>
        <w:t xml:space="preserve">”</w:t>
      </w:r>
      <w:r>
        <w:t xml:space="preserve">, que na literatura especializada geralmente se chama</w:t>
      </w:r>
      <w:r>
        <w:t xml:space="preserve"> </w:t>
      </w:r>
      <w:r>
        <w:t xml:space="preserve">“</w:t>
      </w:r>
      <w:r>
        <w:t xml:space="preserve">GRF (1-29) modificado</w:t>
      </w:r>
      <w:r>
        <w:t xml:space="preserve">”</w:t>
      </w:r>
      <w:r>
        <w:t xml:space="preserve">. Para o primeiro existem dois pequenos estudos em pessoas saudáveis; para o segundo, nenhum.</w:t>
      </w:r>
    </w:p>
    <w:bookmarkStart w:id="1316" w:name="ficha-técnica-25"/>
    <w:p>
      <w:pPr>
        <w:pStyle w:val="Heading3"/>
      </w:pPr>
      <w:r>
        <w:t xml:space="preserve">Ficha técnica</w:t>
      </w:r>
    </w:p>
    <w:p>
      <w:pPr>
        <w:numPr>
          <w:ilvl w:val="0"/>
          <w:numId w:val="1154"/>
        </w:numPr>
        <w:pStyle w:val="Compact"/>
      </w:pPr>
      <w:r>
        <w:rPr>
          <w:bCs/>
          <w:b/>
        </w:rPr>
        <w:t xml:space="preserve">Tipo e estrutura:</w:t>
      </w:r>
      <w:r>
        <w:t xml:space="preserve"> </w:t>
      </w:r>
      <w:r>
        <w:t xml:space="preserve">análogo sintético do hormônio liberador do hormônio do crescimento, construído sobre os seus primeiros 29 aminoácidos, com quatro componentes substituídos que dificultam a degradação.</w:t>
      </w:r>
    </w:p>
    <w:p>
      <w:pPr>
        <w:numPr>
          <w:ilvl w:val="1"/>
          <w:numId w:val="1155"/>
        </w:numPr>
        <w:pStyle w:val="Compact"/>
      </w:pPr>
      <w:r>
        <w:rPr>
          <w:iCs/>
          <w:i/>
        </w:rPr>
        <w:t xml:space="preserve">CJC-1295 com DAC</w:t>
      </w:r>
      <w:r>
        <w:t xml:space="preserve"> </w:t>
      </w:r>
      <w:r>
        <w:t xml:space="preserve">(Drug Affinity Complex): adicionalmente, uma âncora reativa no final da cadeia que, após a injeção, se liga firmemente à albumina</w:t>
      </w:r>
      <w:r>
        <w:rPr>
          <w:rStyle w:val="FootnoteReference"/>
        </w:rPr>
        <w:footnoteReference w:id="1315"/>
      </w:r>
      <w:r>
        <w:t xml:space="preserve">.</w:t>
      </w:r>
    </w:p>
    <w:p>
      <w:pPr>
        <w:numPr>
          <w:ilvl w:val="1"/>
          <w:numId w:val="1155"/>
        </w:numPr>
        <w:pStyle w:val="Compact"/>
      </w:pPr>
      <w:r>
        <w:rPr>
          <w:iCs/>
          <w:i/>
        </w:rPr>
        <w:t xml:space="preserve">CJC-1295 sem DAC</w:t>
      </w:r>
      <w:r>
        <w:t xml:space="preserve"> </w:t>
      </w:r>
      <w:r>
        <w:t xml:space="preserve">(</w:t>
      </w:r>
      <w:r>
        <w:t xml:space="preserve">“</w:t>
      </w:r>
      <w:r>
        <w:t xml:space="preserve">Mod GRF 1-29</w:t>
      </w:r>
      <w:r>
        <w:t xml:space="preserve">”</w:t>
      </w:r>
      <w:r>
        <w:t xml:space="preserve">): a mesma cadeia sem âncora; curta duração de ação.</w:t>
      </w:r>
    </w:p>
    <w:p>
      <w:pPr>
        <w:numPr>
          <w:ilvl w:val="0"/>
          <w:numId w:val="1154"/>
        </w:numPr>
        <w:pStyle w:val="Compact"/>
      </w:pPr>
      <w:r>
        <w:rPr>
          <w:bCs/>
          <w:b/>
        </w:rPr>
        <w:t xml:space="preserve">Origem:</w:t>
      </w:r>
      <w:r>
        <w:t xml:space="preserve"> </w:t>
      </w:r>
      <w:r>
        <w:t xml:space="preserve">desenvolvido pela ConjuChem (Canadá) nos anos 2000; o desenvolvimento clínico não teve continuidade.</w:t>
      </w:r>
    </w:p>
    <w:p>
      <w:pPr>
        <w:numPr>
          <w:ilvl w:val="0"/>
          <w:numId w:val="1154"/>
        </w:numPr>
        <w:pStyle w:val="Compact"/>
      </w:pPr>
      <w:r>
        <w:rPr>
          <w:bCs/>
          <w:b/>
        </w:rPr>
        <w:t xml:space="preserve">Princípio de ação:</w:t>
      </w:r>
      <w:r>
        <w:t xml:space="preserve"> </w:t>
      </w:r>
      <w:r>
        <w:t xml:space="preserve">ligação ao receptor de GHRH da hipófise; aumento do hormônio do crescimento e do IGF-1.</w:t>
      </w:r>
    </w:p>
    <w:p>
      <w:pPr>
        <w:numPr>
          <w:ilvl w:val="0"/>
          <w:numId w:val="115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4"/>
        </w:numPr>
        <w:pStyle w:val="Compact"/>
      </w:pPr>
      <w:r>
        <w:rPr>
          <w:bCs/>
          <w:b/>
        </w:rPr>
        <w:t xml:space="preserve">WADA:</w:t>
      </w:r>
      <w:r>
        <w:t xml:space="preserve"> </w:t>
      </w:r>
      <w:r>
        <w:t xml:space="preserve">proibido, grupo S2 – o CJC-1295 é expressamente citado como análogo de GHRH.</w:t>
      </w:r>
    </w:p>
    <w:p>
      <w:pPr>
        <w:numPr>
          <w:ilvl w:val="0"/>
          <w:numId w:val="1154"/>
        </w:numPr>
        <w:pStyle w:val="Compact"/>
      </w:pPr>
      <w:r>
        <w:rPr>
          <w:bCs/>
          <w:b/>
        </w:rPr>
        <w:t xml:space="preserve">Nível de evidência: C</w:t>
      </w:r>
      <w:r>
        <w:t xml:space="preserve"> </w:t>
      </w:r>
      <w:r>
        <w:t xml:space="preserve">– dois pequenos estudos de fase 1 em pessoas saudáveis (com DAC); nenhum estudo sobre benefício clínico; para a variante sem DAC, nenhum estudo em humanos.</w:t>
      </w:r>
    </w:p>
    <w:bookmarkEnd w:id="1316"/>
    <w:bookmarkStart w:id="1318" w:name="como-deveria-agir-25"/>
    <w:p>
      <w:pPr>
        <w:pStyle w:val="Heading3"/>
      </w:pPr>
      <w:r>
        <w:t xml:space="preserve">Como deveria agir</w:t>
      </w:r>
    </w:p>
    <w:p>
      <w:pPr>
        <w:pStyle w:val="FirstParagraph"/>
      </w:pPr>
      <w:r>
        <w:t xml:space="preserve">O GHRH natural é eliminado do sangue em poucos minutos pela enzima dipeptidil peptidase-4 e pelos rins. A âncora DAC deveria resolver esse problema: após a injeção, ela reage com um grupo sulfidrila livre da albumina. O peptídeo então</w:t>
      </w:r>
      <w:r>
        <w:t xml:space="preserve"> </w:t>
      </w:r>
      <w:r>
        <w:t xml:space="preserve">“</w:t>
      </w:r>
      <w:r>
        <w:t xml:space="preserve">pega carona</w:t>
      </w:r>
      <w:r>
        <w:t xml:space="preserve">”</w:t>
      </w:r>
      <w:r>
        <w:t xml:space="preserve"> </w:t>
      </w:r>
      <w:r>
        <w:t xml:space="preserve">na albumina, que tem uma vida útil de semanas, e é liberado lentamente. Em ratos, o CJC-1295 permaneceu assim detectável no sangue por mais de 72 horas</w:t>
      </w:r>
      <w:r>
        <w:rPr>
          <w:rStyle w:val="FootnoteReference"/>
        </w:rPr>
        <w:footnoteReference w:id="1317"/>
      </w:r>
      <w:r>
        <w:t xml:space="preserve">.</w:t>
      </w:r>
    </w:p>
    <w:p>
      <w:pPr>
        <w:pStyle w:val="BodyText"/>
      </w:pPr>
      <w:r>
        <w:t xml:space="preserve">Com isso, o CJC-1295 com DAC difere fundamentalmente de todos os outros liberadores de GH: em vez de impulsos curtos, ele produz uma estimulação contínua da hipófise. Se isso é fisiologicamente favorável era uma das questões em aberto do desenvolvimento. A variante sem DAC, por outro lado, tem ação tão curta quanto a sermorelina e é frequentemente oferecida no mercado cinza combinada com liberadores de GH do grupo da grelina (por exemplo, ipamorelina) – uma prática para a qual não há estudos.</w:t>
      </w:r>
    </w:p>
    <w:bookmarkEnd w:id="1318"/>
    <w:bookmarkStart w:id="1324" w:name="estudos-em-humanos-25"/>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1</w:t>
      </w:r>
      <w:r>
        <w:t xml:space="preserve"> </w:t>
      </w:r>
      <w:r>
        <w:t xml:space="preserve">registro no ClinicalTrials.gov. Uma busca direcionada adicional revelou ainda uma análise posterior de amostras de sangue de um dos dois estudos. Todos os trabalhos se referem ao CJC-1295</w:t>
      </w:r>
      <w:r>
        <w:t xml:space="preserve"> </w:t>
      </w:r>
      <w:r>
        <w:rPr>
          <w:iCs/>
          <w:i/>
        </w:rPr>
        <w:t xml:space="preserve">com</w:t>
      </w:r>
      <w:r>
        <w:t xml:space="preserve"> </w:t>
      </w:r>
      <w:r>
        <w:t xml:space="preserve">DAC.</w:t>
      </w:r>
    </w:p>
    <w:p>
      <w:pPr>
        <w:pStyle w:val="BodyText"/>
      </w:pPr>
      <w:r>
        <w:rPr>
          <w:bCs/>
          <w:b/>
        </w:rPr>
        <w:t xml:space="preserve">Determinação de dose em pessoas saudáveis:</w:t>
      </w:r>
      <w:r>
        <w:t xml:space="preserve"> </w:t>
      </w:r>
      <w:r>
        <w:t xml:space="preserve">em dois estudos randomizados, controlados por placebo e duplo-cegos, com doses crescentes, adultos saudáveis entre 21 e 61 anos receberam uma única injeção ou duas a três injeções semanais ou quinzenais. Após uma única injeção, o hormônio do crescimento subiu em média para 2 a 10 vezes o valor inicial por seis dias ou mais, e o IGF-1 para 1,5 a 3 vezes por 9 a 11 dias. A meia-vida foi de 5,8 a 8,1 dias. Após várias doses, o IGF-1 permaneceu acima do valor inicial por até 28 dias. Não foram relatados efeitos colaterais graves</w:t>
      </w:r>
      <w:r>
        <w:rPr>
          <w:rStyle w:val="FootnoteReference"/>
        </w:rPr>
        <w:footnoteReference w:id="1319"/>
      </w:r>
      <w:r>
        <w:t xml:space="preserve">.</w:t>
      </w:r>
    </w:p>
    <w:p>
      <w:pPr>
        <w:pStyle w:val="BodyText"/>
      </w:pPr>
      <w:r>
        <w:rPr>
          <w:bCs/>
          <w:b/>
        </w:rPr>
        <w:t xml:space="preserve">Pulsatilidade:</w:t>
      </w:r>
      <w:r>
        <w:t xml:space="preserve"> </w:t>
      </w:r>
      <w:r>
        <w:t xml:space="preserve">um segundo estudo examinou, em homens saudáveis entre 20 e 40 anos, se o padrão natural pulsátil da secreção de GH é preservado. Uma semana após a injeção, a frequência e a amplitude dos pulsos de GH estavam inalteradas, mas o nível basal entre os pulsos estava 7,5 vezes maior; o GH médio subiu 46%, o IGF-1 45%</w:t>
      </w:r>
      <w:r>
        <w:rPr>
          <w:rStyle w:val="FootnoteReference"/>
        </w:rPr>
        <w:footnoteReference w:id="1320"/>
      </w:r>
      <w:r>
        <w:t xml:space="preserve">.</w:t>
      </w:r>
    </w:p>
    <w:p>
      <w:pPr>
        <w:pStyle w:val="BodyText"/>
      </w:pPr>
      <w:r>
        <w:rPr>
          <w:bCs/>
          <w:b/>
        </w:rPr>
        <w:t xml:space="preserve">Proteínas do sangue:</w:t>
      </w:r>
      <w:r>
        <w:t xml:space="preserve"> </w:t>
      </w:r>
      <w:r>
        <w:t xml:space="preserve">uma análise de amostras de soro de 11 homens jovens antes e uma semana após a injeção buscou novos marcadores do efeito do hormônio do crescimento e encontrou alterações em algumas proteínas do sangue</w:t>
      </w:r>
      <w:r>
        <w:rPr>
          <w:rStyle w:val="FootnoteReference"/>
        </w:rPr>
        <w:footnoteReference w:id="1321"/>
      </w:r>
      <w:r>
        <w:t xml:space="preserve">. Trata-se de pesquisa básica sem conclusão clínica.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(Teichman 2006), PMID 16352683</w:t>
            </w:r>
          </w:p>
        </w:tc>
        <w:tc>
          <w:tcPr/>
          <w:p>
            <w:pPr>
              <w:pStyle w:val="Compact"/>
              <w:jc w:val="left"/>
            </w:pPr>
            <w:r>
              <w:t xml:space="preserve">adultos saudáveis de 21–61 anos, dois ECRs contra placebo, doses crescentes</w:t>
            </w:r>
          </w:p>
        </w:tc>
        <w:tc>
          <w:tcPr/>
          <w:p>
            <w:pPr>
              <w:pStyle w:val="Compact"/>
              <w:jc w:val="left"/>
            </w:pPr>
            <w:r>
              <w:t xml:space="preserve">28 ou 49 dias</w:t>
            </w:r>
          </w:p>
        </w:tc>
        <w:tc>
          <w:tcPr/>
          <w:p>
            <w:pPr>
              <w:pStyle w:val="Compact"/>
              <w:jc w:val="left"/>
            </w:pPr>
            <w:r>
              <w:t xml:space="preserve">GH 2 a 10 vezes, IGF-1 1,5 a 3 vezes maior; meia-vida 5,8–8,1 dias</w:t>
            </w:r>
          </w:p>
        </w:tc>
      </w:tr>
      <w:tr>
        <w:tc>
          <w:tcPr/>
          <w:p>
            <w:pPr>
              <w:pStyle w:val="Compact"/>
              <w:jc w:val="left"/>
            </w:pPr>
            <w:r>
              <w:t xml:space="preserve">Pulsatilidade do GH (Ionescu 2006), PMID 17018654</w:t>
            </w:r>
          </w:p>
        </w:tc>
        <w:tc>
          <w:tcPr/>
          <w:p>
            <w:pPr>
              <w:pStyle w:val="Compact"/>
              <w:jc w:val="left"/>
            </w:pPr>
            <w:r>
              <w:t xml:space="preserve">homens saudáveis de 20–40 anos, comparação antes-depois</w:t>
            </w:r>
          </w:p>
        </w:tc>
        <w:tc>
          <w:tcPr/>
          <w:p>
            <w:pPr>
              <w:pStyle w:val="Compact"/>
              <w:jc w:val="left"/>
            </w:pPr>
            <w:r>
              <w:t xml:space="preserve">1 semana após dose única</w:t>
            </w:r>
          </w:p>
        </w:tc>
        <w:tc>
          <w:tcPr/>
          <w:p>
            <w:pPr>
              <w:pStyle w:val="Compact"/>
              <w:jc w:val="left"/>
            </w:pPr>
            <w:r>
              <w:t xml:space="preserve">pulsos preservados, GH basal 7,5 vezes, IGF-1 +45%</w:t>
            </w:r>
          </w:p>
        </w:tc>
      </w:tr>
      <w:tr>
        <w:tc>
          <w:tcPr/>
          <w:p>
            <w:pPr>
              <w:pStyle w:val="Compact"/>
              <w:jc w:val="left"/>
            </w:pPr>
            <w:r>
              <w:t xml:space="preserve">Gordura abdominal no HIV, NCT00267527</w:t>
            </w:r>
          </w:p>
        </w:tc>
        <w:tc>
          <w:tcPr/>
          <w:p>
            <w:pPr>
              <w:pStyle w:val="Compact"/>
              <w:jc w:val="left"/>
            </w:pPr>
            <w:r>
              <w:t xml:space="preserve">120 pessoas previstas, fase 2, ECR</w:t>
            </w:r>
          </w:p>
        </w:tc>
        <w:tc>
          <w:tcPr/>
          <w:p>
            <w:pPr>
              <w:pStyle w:val="Compact"/>
              <w:jc w:val="left"/>
            </w:pPr>
            <w:r>
              <w:t xml:space="preserve">12 semanas previstas</w:t>
            </w:r>
          </w:p>
        </w:tc>
        <w:tc>
          <w:tcPr/>
          <w:p>
            <w:pPr>
              <w:pStyle w:val="Compact"/>
              <w:jc w:val="left"/>
            </w:pPr>
            <w:r>
              <w:t xml:space="preserve">interrompido em 2006; nenhum resultado publicado</w:t>
            </w:r>
          </w:p>
        </w:tc>
      </w:tr>
    </w:tbl>
    <w:bookmarkStart w:id="1323" w:name="X1c4a43b57fa7d48907a56f3809cb4c87bbdb9a6"/>
    <w:p>
      <w:pPr>
        <w:pStyle w:val="Heading4"/>
      </w:pPr>
      <w:r>
        <w:t xml:space="preserve">O estudo de fase 2 interrompido e a morte relatada</w:t>
      </w:r>
    </w:p>
    <w:p>
      <w:pPr>
        <w:pStyle w:val="FirstParagraph"/>
      </w:pPr>
      <w:r>
        <w:t xml:space="preserve">No final de 2005, a ConjuChem iniciou um estudo de fase 2 randomizado e controlado por placebo com duas doses de CJC-1295 em pessoas com HIV e aumento de gordura abdominal – ou seja, na mesma indicação em que mais tarde a tesamorelina foi aprovada</w:t>
      </w:r>
      <w:r>
        <w:rPr>
          <w:rStyle w:val="FootnoteReference"/>
        </w:rPr>
        <w:footnoteReference w:id="1322"/>
      </w:r>
      <w:r>
        <w:t xml:space="preserve">. O registro indica o status</w:t>
      </w:r>
      <w:r>
        <w:t xml:space="preserve"> </w:t>
      </w:r>
      <w:r>
        <w:t xml:space="preserve">“</w:t>
      </w:r>
      <w:r>
        <w:t xml:space="preserve">interrompido</w:t>
      </w:r>
      <w:r>
        <w:t xml:space="preserve">”</w:t>
      </w:r>
      <w:r>
        <w:t xml:space="preserve"> </w:t>
      </w:r>
      <w:r>
        <w:t xml:space="preserve">(última atualização em outubro de 2006), mas nenhum motivo da interrupção e nenhum resultado.</w:t>
      </w:r>
    </w:p>
    <w:p>
      <w:pPr>
        <w:pStyle w:val="BodyText"/>
      </w:pPr>
      <w:r>
        <w:t xml:space="preserve">Em fóruns online e em algumas revisões afirma-se que o estudo foi suspenso após a morte de um participante.</w:t>
      </w:r>
      <w:r>
        <w:t xml:space="preserve"> </w:t>
      </w:r>
      <w:r>
        <w:rPr>
          <w:bCs/>
          <w:b/>
        </w:rPr>
        <w:t xml:space="preserve">Essa morte não está documentada nas fontes verificadas para este livro:</w:t>
      </w:r>
      <w:r>
        <w:t xml:space="preserve"> </w:t>
      </w:r>
      <w:r>
        <w:t xml:space="preserve">nem o registro nem uma publicação no PubMed a documentam. Portanto, não é possível confirmar que ela ocorreu, nem avaliar se teve relação com a substância. Comprovado está apenas que o estudo terminou antecipadamente e que o CJC-1295 não foi mais desenvolvido depois disso.</w:t>
      </w:r>
    </w:p>
    <w:bookmarkEnd w:id="1323"/>
    <w:bookmarkEnd w:id="1324"/>
    <w:bookmarkStart w:id="1327" w:name="estudos-em-animais-e-em-laboratório-25"/>
    <w:p>
      <w:pPr>
        <w:pStyle w:val="Heading3"/>
      </w:pPr>
      <w:r>
        <w:t xml:space="preserve">Estudos em animais e em laboratório</w:t>
      </w:r>
    </w:p>
    <w:p>
      <w:pPr>
        <w:numPr>
          <w:ilvl w:val="0"/>
          <w:numId w:val="1156"/>
        </w:numPr>
        <w:pStyle w:val="Compact"/>
      </w:pPr>
      <w:r>
        <w:rPr>
          <w:bCs/>
          <w:b/>
        </w:rPr>
        <w:t xml:space="preserve">Ratos:</w:t>
      </w:r>
      <w:r>
        <w:t xml:space="preserve"> </w:t>
      </w:r>
      <w:r>
        <w:t xml:space="preserve">das três variantes de âncora de albumina testadas, o CJC-1295 liberou a maior quantidade de hormônio do crescimento – ao longo de duas horas, cerca de quatro vezes mais do que o GRF(1-29) inalterado – e permaneceu mais de 72 horas no sangue</w:t>
      </w:r>
      <w:r>
        <w:rPr>
          <w:rStyle w:val="FootnoteReference"/>
        </w:rPr>
        <w:footnoteReference w:id="1325"/>
      </w:r>
      <w:r>
        <w:t xml:space="preserve">.</w:t>
      </w:r>
    </w:p>
    <w:p>
      <w:pPr>
        <w:numPr>
          <w:ilvl w:val="0"/>
          <w:numId w:val="1156"/>
        </w:numPr>
        <w:pStyle w:val="Compact"/>
      </w:pPr>
      <w:r>
        <w:rPr>
          <w:bCs/>
          <w:b/>
        </w:rPr>
        <w:t xml:space="preserve">Camundongos:</w:t>
      </w:r>
      <w:r>
        <w:t xml:space="preserve"> </w:t>
      </w:r>
      <w:r>
        <w:t xml:space="preserve">em camundongos sem GHRH próprio, a administração diária normalizou peso e comprimento; a administração a cada 48 ou 72 horas não foi totalmente suficiente para isso. Na hipófise, o número de células produtoras de GH aumentou</w:t>
      </w:r>
      <w:r>
        <w:rPr>
          <w:rStyle w:val="FootnoteReference"/>
        </w:rPr>
        <w:footnoteReference w:id="1326"/>
      </w:r>
      <w:r>
        <w:t xml:space="preserve">. Uma multiplicação de células hipofisárias é desejável quando se pretende compensar uma deficiência – em pessoas saudáveis, seu significado a longo prazo é desconhecido.</w:t>
      </w:r>
    </w:p>
    <w:bookmarkEnd w:id="1327"/>
    <w:bookmarkStart w:id="1332" w:name="riscos-e-efeitos-colaterais-25"/>
    <w:p>
      <w:pPr>
        <w:pStyle w:val="Heading3"/>
      </w:pPr>
      <w:r>
        <w:t xml:space="preserve">Riscos e efeitos colaterais</w:t>
      </w:r>
    </w:p>
    <w:p>
      <w:pPr>
        <w:pStyle w:val="FirstParagraph"/>
      </w:pPr>
      <w:r>
        <w:rPr>
          <w:bCs/>
          <w:b/>
        </w:rPr>
        <w:t xml:space="preserve">Comprovado pelos estudos de fase 1:</w:t>
      </w:r>
      <w:r>
        <w:t xml:space="preserve"> </w:t>
      </w:r>
      <w:r>
        <w:t xml:space="preserve">nenhum efeito colateral grave em poucas pessoas saudáveis tratadas por pouco tempo; a tolerabilidade foi descrita como relativamente boa, sobretudo nas doses mais baixas</w:t>
      </w:r>
      <w:r>
        <w:rPr>
          <w:rStyle w:val="FootnoteReference"/>
        </w:rPr>
        <w:footnoteReference w:id="1328"/>
      </w:r>
      <w:r>
        <w:t xml:space="preserve">. Essa base de dados é pequena demais para identificar riscos raros ou de longo prazo.</w:t>
      </w:r>
    </w:p>
    <w:p>
      <w:pPr>
        <w:pStyle w:val="BodyText"/>
      </w:pPr>
      <w:r>
        <w:rPr>
          <w:bCs/>
          <w:b/>
        </w:rPr>
        <w:t xml:space="preserve">Plausível, mas não estudado:</w:t>
      </w:r>
      <w:r>
        <w:t xml:space="preserve"> </w:t>
      </w:r>
      <w:r>
        <w:t xml:space="preserve">a variante DAC mantém o hormônio do crescimento e o IGF-1 elevados continuamente por dias. Consequências típicas de níveis elevados de GH são retenção de líquidos, dores articulares, sintomas de túnel do carpo e piora da sensibilidade à insulina. Se um IGF-1 continuamente elevado aumenta o risco de câncer a longo prazo não foi estudado para o CJC-1295; sobre o panorama geral dos dados, veja a introdução deste grupo e a Parte IV.</w:t>
      </w:r>
    </w:p>
    <w:p>
      <w:pPr>
        <w:pStyle w:val="BodyText"/>
      </w:pPr>
      <w:r>
        <w:rPr>
          <w:bCs/>
          <w:b/>
        </w:rPr>
        <w:t xml:space="preserve">Mercado cinza:</w:t>
      </w:r>
      <w:r>
        <w:t xml:space="preserve"> </w:t>
      </w:r>
      <w:r>
        <w:t xml:space="preserve">já em 2009, um laboratório norueguês analisou, a pedido da polícia e da alfândega, um preparado desconhecido e encontrou um peptídeo de 29 aminoácidos que correspondia à sequência vendida como CJC-1295</w:t>
      </w:r>
      <w:r>
        <w:rPr>
          <w:rStyle w:val="FootnoteReference"/>
        </w:rPr>
        <w:footnoteReference w:id="1329"/>
      </w:r>
      <w:r>
        <w:t xml:space="preserve">. Amostras da alfândega dinamarquesa continham</w:t>
      </w:r>
      <w:r>
        <w:t xml:space="preserve"> </w:t>
      </w:r>
      <w:r>
        <w:t xml:space="preserve">“</w:t>
      </w:r>
      <w:r>
        <w:t xml:space="preserve">GRF 1-29 modificado</w:t>
      </w:r>
      <w:r>
        <w:t xml:space="preserve">”</w:t>
      </w:r>
      <w:r>
        <w:t xml:space="preserve"> </w:t>
      </w:r>
      <w:r>
        <w:t xml:space="preserve">e miméticos de grelina com um aminoácido glicina adicional, não declarado</w:t>
      </w:r>
      <w:r>
        <w:rPr>
          <w:rStyle w:val="FootnoteReference"/>
        </w:rPr>
        <w:footnoteReference w:id="1330"/>
      </w:r>
      <w:r>
        <w:t xml:space="preserve">. Os compradores, portanto, não têm como saber se recebem a variante com ou sem DAC, uma molécula modificada ou algo completamente diferente. Uma análise de fóruns de fisiculturismo mostra que também mulheres usam CJC-1295 para emagrecer, para a pele ou para o sono, baseando-se em relatos de experiência em vez de estudos</w:t>
      </w:r>
      <w:r>
        <w:rPr>
          <w:rStyle w:val="FootnoteReference"/>
        </w:rPr>
        <w:footnoteReference w:id="1331"/>
      </w:r>
      <w:r>
        <w:t xml:space="preserve">.</w:t>
      </w:r>
    </w:p>
    <w:bookmarkEnd w:id="1332"/>
    <w:bookmarkStart w:id="1336" w:name="situação-legal-25"/>
    <w:p>
      <w:pPr>
        <w:pStyle w:val="Heading3"/>
      </w:pPr>
      <w:r>
        <w:t xml:space="preserve">Situação legal</w:t>
      </w:r>
    </w:p>
    <w:p>
      <w:pPr>
        <w:pStyle w:val="FirstParagraph"/>
      </w:pPr>
      <w:r>
        <w:rPr>
          <w:iCs/>
          <w:i/>
        </w:rPr>
        <w:t xml:space="preserve">Situação em 2026, verificar atualização.</w:t>
      </w:r>
    </w:p>
    <w:p>
      <w:pPr>
        <w:numPr>
          <w:ilvl w:val="0"/>
          <w:numId w:val="1157"/>
        </w:numPr>
        <w:pStyle w:val="Compact"/>
      </w:pPr>
      <w:r>
        <w:rPr>
          <w:bCs/>
          <w:b/>
        </w:rPr>
        <w:t xml:space="preserve">UE, Alemanha, Áustria:</w:t>
      </w:r>
      <w:r>
        <w:t xml:space="preserve"> </w:t>
      </w:r>
      <w:r>
        <w:t xml:space="preserve">nenhuma aprovação. O CJC-1295 é um fármaco não aprovado; o fornecimento e o comércio para uso em humanos são proibidos pelas leis de medicamentos, mesmo quando os produtos são declarados como</w:t>
      </w:r>
      <w:r>
        <w:t xml:space="preserve"> </w:t>
      </w:r>
      <w:r>
        <w:t xml:space="preserve">“</w:t>
      </w:r>
      <w:r>
        <w:t xml:space="preserve">Research Peptide</w:t>
      </w:r>
      <w:r>
        <w:t xml:space="preserve">”</w:t>
      </w:r>
      <w:r>
        <w:t xml:space="preserve">.</w:t>
      </w:r>
    </w:p>
    <w:p>
      <w:pPr>
        <w:numPr>
          <w:ilvl w:val="0"/>
          <w:numId w:val="1157"/>
        </w:numPr>
        <w:pStyle w:val="Compact"/>
      </w:pPr>
      <w:r>
        <w:rPr>
          <w:bCs/>
          <w:b/>
        </w:rPr>
        <w:t xml:space="preserve">EUA:</w:t>
      </w:r>
      <w:r>
        <w:t xml:space="preserve"> </w:t>
      </w:r>
      <w:r>
        <w:t xml:space="preserve">nenhuma aprovação. A FDA classificou o CJC-1295 – como vários outros peptídeos deste livro – entre as substâncias de partida para farmácias de manipulação como substância com preocupações de segurança (categoria 2). Essas classificações foram desde então discutidas de forma controversa no comitê consultivo competente e em círculos especializados</w:t>
      </w:r>
      <w:r>
        <w:rPr>
          <w:rStyle w:val="FootnoteReference"/>
        </w:rPr>
        <w:footnoteReference w:id="1333"/>
      </w:r>
      <w:r>
        <w:t xml:space="preserve">; mudanças são possíveis.</w:t>
      </w:r>
    </w:p>
    <w:p>
      <w:pPr>
        <w:numPr>
          <w:ilvl w:val="0"/>
          <w:numId w:val="1157"/>
        </w:numPr>
        <w:pStyle w:val="Compact"/>
      </w:pPr>
      <w:r>
        <w:rPr>
          <w:bCs/>
          <w:b/>
        </w:rPr>
        <w:t xml:space="preserve">WADA:</w:t>
      </w:r>
      <w:r>
        <w:t xml:space="preserve"> </w:t>
      </w:r>
      <w:r>
        <w:t xml:space="preserve">proibido (S2). Foram descritos métodos de detecção na urina para CJC-1295 com e sem DAC</w:t>
      </w:r>
      <w:r>
        <w:rPr>
          <w:rStyle w:val="FootnoteReference"/>
        </w:rPr>
        <w:footnoteReference w:id="1334"/>
      </w:r>
      <w:r>
        <w:t xml:space="preserve">; ele também é pesquisado no hipismo</w:t>
      </w:r>
      <w:r>
        <w:rPr>
          <w:rStyle w:val="FootnoteReference"/>
        </w:rPr>
        <w:footnoteReference w:id="1335"/>
      </w:r>
      <w:r>
        <w:t xml:space="preserve">.</w:t>
      </w:r>
    </w:p>
    <w:bookmarkEnd w:id="1336"/>
    <w:bookmarkStart w:id="1337" w:name="estudos-em-andamento-e-perspectivas-25"/>
    <w:p>
      <w:pPr>
        <w:pStyle w:val="Heading3"/>
      </w:pPr>
      <w:r>
        <w:t xml:space="preserve">Estudos em andamento e perspectivas</w:t>
      </w:r>
    </w:p>
    <w:p>
      <w:pPr>
        <w:pStyle w:val="FirstParagraph"/>
      </w:pPr>
      <w:r>
        <w:t xml:space="preserve">No ClinicalTrials.gov, em outubro de 2026, além do estudo de fase 2 interrompido em 2006, não há registro sobre o CJC-1295.</w:t>
      </w:r>
      <w:r>
        <w:t xml:space="preserve"> </w:t>
      </w:r>
      <w:r>
        <w:rPr>
          <w:iCs/>
          <w:i/>
        </w:rPr>
        <w:t xml:space="preserve">Avaliação do autor:</w:t>
      </w:r>
      <w:r>
        <w:t xml:space="preserve"> </w:t>
      </w:r>
      <w:r>
        <w:t xml:space="preserve">não se vislumbra continuidade do desenvolvimento clínico. O princípio</w:t>
      </w:r>
      <w:r>
        <w:t xml:space="preserve"> </w:t>
      </w:r>
      <w:r>
        <w:t xml:space="preserve">“</w:t>
      </w:r>
      <w:r>
        <w:t xml:space="preserve">peptídeo com âncora de albumina para efeito mais prolongado</w:t>
      </w:r>
      <w:r>
        <w:t xml:space="preserve">”</w:t>
      </w:r>
      <w:r>
        <w:t xml:space="preserve">, por outro lado, sobrevive em outras substâncias, por exemplo em preparações de hormônio do crescimento de ação prolongada e em medicamentos GLP-1.</w:t>
      </w:r>
    </w:p>
    <w:bookmarkEnd w:id="1337"/>
    <w:bookmarkStart w:id="1338" w:name="conclusão-25"/>
    <w:p>
      <w:pPr>
        <w:pStyle w:val="Heading3"/>
      </w:pPr>
      <w:r>
        <w:t xml:space="preserve">Conclusão</w:t>
      </w:r>
    </w:p>
    <w:p>
      <w:pPr>
        <w:pStyle w:val="FirstParagraph"/>
      </w:pPr>
      <w:r>
        <w:t xml:space="preserve">O CJC-1295 com DAC eleva, em pessoas saudáveis, o hormônio do crescimento e o IGF-1 por uma a duas semanas após uma única injeção – mais do que isso não foi estudado em humanos. O único estudo com pacientes foi interrompido em 2006 sem motivo publicado; uma morte frequentemente alegada não está documentada no registro nem na literatura especializada. Para a variante sem DAC, a mais vendida na internet, não há um único estudo em humanos, e análises laboratoriais mostram que o conteúdo dos produtos do mercado cinza é incerto.</w:t>
      </w:r>
    </w:p>
    <w:bookmarkEnd w:id="1338"/>
    <w:bookmarkEnd w:id="1339"/>
    <w:bookmarkStart w:id="1362" w:name="ipamorelina"/>
    <w:p>
      <w:pPr>
        <w:pStyle w:val="Heading2"/>
      </w:pPr>
      <w:r>
        <w:t xml:space="preserve">Ipamorelina</w:t>
      </w:r>
    </w:p>
    <w:p>
      <w:pPr>
        <w:pStyle w:val="FirstParagraph"/>
      </w:pPr>
      <w:r>
        <w:t xml:space="preserve">Nos círculos de fitness e anti-aging, a ipamorelina é considerada o liberador</w:t>
      </w:r>
      <w:r>
        <w:t xml:space="preserve"> </w:t>
      </w:r>
      <w:r>
        <w:t xml:space="preserve">“</w:t>
      </w:r>
      <w:r>
        <w:t xml:space="preserve">limpo</w:t>
      </w:r>
      <w:r>
        <w:t xml:space="preserve">”</w:t>
      </w:r>
      <w:r>
        <w:t xml:space="preserve"> </w:t>
      </w:r>
      <w:r>
        <w:t xml:space="preserve">de hormônio do crescimento: ela liberaria de forma seletiva hormônio do crescimento, sem estimular hormônios do estresse e apetite. Essa característica vem de experimentos com animais dos anos 1990. Em humanos, a ipamorelina foi de fato testada clinicamente – porém não para ganho muscular ou rejuvenescimento, mas para algo completamente diferente: a paralisia intestinal após cirurgias abdominais. Ali ela não trouxe benefício comprovável.</w:t>
      </w:r>
    </w:p>
    <w:bookmarkStart w:id="1341" w:name="ficha-técnica-26"/>
    <w:p>
      <w:pPr>
        <w:pStyle w:val="Heading3"/>
      </w:pPr>
      <w:r>
        <w:t xml:space="preserve">Ficha técnica</w:t>
      </w:r>
    </w:p>
    <w:p>
      <w:pPr>
        <w:numPr>
          <w:ilvl w:val="0"/>
          <w:numId w:val="1158"/>
        </w:numPr>
        <w:pStyle w:val="Compact"/>
      </w:pPr>
      <w:r>
        <w:rPr>
          <w:bCs/>
          <w:b/>
        </w:rPr>
        <w:t xml:space="preserve">Tipo e estrutura:</w:t>
      </w:r>
      <w:r>
        <w:t xml:space="preserve"> </w:t>
      </w:r>
      <w:r>
        <w:t xml:space="preserve">pentapeptídeo sintético (5 aminoácidos, em parte não naturais: Aib-His-D-2-Nal-D-Phe-Lys-NH2)</w:t>
      </w:r>
      <w:r>
        <w:rPr>
          <w:rStyle w:val="FootnoteReference"/>
        </w:rPr>
        <w:footnoteReference w:id="1340"/>
      </w:r>
      <w:r>
        <w:t xml:space="preserve">.</w:t>
      </w:r>
    </w:p>
    <w:p>
      <w:pPr>
        <w:numPr>
          <w:ilvl w:val="0"/>
          <w:numId w:val="1158"/>
        </w:numPr>
        <w:pStyle w:val="Compact"/>
      </w:pPr>
      <w:r>
        <w:rPr>
          <w:bCs/>
          <w:b/>
        </w:rPr>
        <w:t xml:space="preserve">Origem:</w:t>
      </w:r>
      <w:r>
        <w:t xml:space="preserve"> </w:t>
      </w:r>
      <w:r>
        <w:t xml:space="preserve">desenvolvida pela Novo Nordisk (Dinamarca) a partir da família dos peptídeos liberadores de hormônio do crescimento (GHRP); mais tarde desenvolvida pela Helsinn para a área gastrointestinal.</w:t>
      </w:r>
    </w:p>
    <w:p>
      <w:pPr>
        <w:numPr>
          <w:ilvl w:val="0"/>
          <w:numId w:val="1158"/>
        </w:numPr>
        <w:pStyle w:val="Compact"/>
      </w:pPr>
      <w:r>
        <w:rPr>
          <w:bCs/>
          <w:b/>
        </w:rPr>
        <w:t xml:space="preserve">Princípio de ação:</w:t>
      </w:r>
      <w:r>
        <w:t xml:space="preserve"> </w:t>
      </w:r>
      <w:r>
        <w:t xml:space="preserve">liga-se ao receptor de grelina (GHS-R1a) na hipófise e no diencéfalo, bem como no trato gastrointestinal; desencadeia um pulso curto de hormônio do crescimento e estimularia o movimento intestinal.</w:t>
      </w:r>
    </w:p>
    <w:p>
      <w:pPr>
        <w:numPr>
          <w:ilvl w:val="0"/>
          <w:numId w:val="1158"/>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58"/>
        </w:numPr>
        <w:pStyle w:val="Compact"/>
      </w:pPr>
      <w:r>
        <w:rPr>
          <w:bCs/>
          <w:b/>
        </w:rPr>
        <w:t xml:space="preserve">WADA:</w:t>
      </w:r>
      <w:r>
        <w:t xml:space="preserve"> </w:t>
      </w:r>
      <w:r>
        <w:t xml:space="preserve">proibida, grupo S2 (secretagogos do hormônio do crescimento; a ipamorelina é expressamente citada).</w:t>
      </w:r>
    </w:p>
    <w:p>
      <w:pPr>
        <w:numPr>
          <w:ilvl w:val="0"/>
          <w:numId w:val="1158"/>
        </w:numPr>
        <w:pStyle w:val="Compact"/>
      </w:pPr>
      <w:r>
        <w:rPr>
          <w:bCs/>
          <w:b/>
        </w:rPr>
        <w:t xml:space="preserve">Nível de evidência: B</w:t>
      </w:r>
      <w:r>
        <w:t xml:space="preserve"> </w:t>
      </w:r>
      <w:r>
        <w:t xml:space="preserve">– um estudo randomizado de fase 2 com 117 pessoas (sem comprovação de eficácia) e um pequeno estudo farmacológico em pessoas saudáveis; um segundo estudo de fase 2 foi concluído, mas não publicado.</w:t>
      </w:r>
    </w:p>
    <w:bookmarkEnd w:id="1341"/>
    <w:bookmarkStart w:id="1344" w:name="como-deveria-agir-26"/>
    <w:p>
      <w:pPr>
        <w:pStyle w:val="Heading3"/>
      </w:pPr>
      <w:r>
        <w:t xml:space="preserve">Como deveria agir</w:t>
      </w:r>
    </w:p>
    <w:p>
      <w:pPr>
        <w:pStyle w:val="FirstParagraph"/>
      </w:pPr>
      <w:r>
        <w:t xml:space="preserve">O receptor de grelina é, ao lado do receptor de GHRH, o segundo grande mecanismo de controle da secreção de hormônio do crescimento. Sua chave natural é a grelina, um hormônio do estômago descoberto em 1999</w:t>
      </w:r>
      <w:r>
        <w:rPr>
          <w:rStyle w:val="FootnoteReference"/>
        </w:rPr>
        <w:footnoteReference w:id="1342"/>
      </w:r>
      <w:r>
        <w:t xml:space="preserve">. A grelina aumenta não apenas o hormônio do crescimento, mas também a fome, e estimula os movimentos do estômago e do intestino.</w:t>
      </w:r>
    </w:p>
    <w:p>
      <w:pPr>
        <w:pStyle w:val="BodyText"/>
      </w:pPr>
      <w:r>
        <w:t xml:space="preserve">Liberadores sintéticos mais antigos, como o GHRP-6 ou o GHRP-2, liberam além do hormônio do crescimento também o sistema dos hormônios do estresse (ACTH e cortisol) e a prolactina. A ipamorelina foi desenvolvida especificamente para não ter esse efeito secundário: em porcos, liberou hormônio do crescimento com intensidade semelhante à do GHRP-6, enquanto ACTH e cortisol, mesmo com doses mais de 200 vezes maiores, não subiram mais do que com GHRH</w:t>
      </w:r>
      <w:r>
        <w:rPr>
          <w:rStyle w:val="FootnoteReference"/>
        </w:rPr>
        <w:footnoteReference w:id="1343"/>
      </w:r>
      <w:r>
        <w:t xml:space="preserve">. Se essa seletividade vale na mesma medida em humanos não foi estudado sistematicamente.</w:t>
      </w:r>
    </w:p>
    <w:p>
      <w:pPr>
        <w:pStyle w:val="BodyText"/>
      </w:pPr>
      <w:r>
        <w:t xml:space="preserve">Para a clínica, o interesse estava sobretudo no efeito intestinal: após cirurgias abdominais, a atividade intestinal muitas vezes para por dias (íleo pós-operatório), o que prolonga a internação hospitalar. Um mimético de grelina que pudesse ser administrado por via intravenosa parecia uma solução elegante.</w:t>
      </w:r>
    </w:p>
    <w:bookmarkEnd w:id="1344"/>
    <w:bookmarkStart w:id="1349" w:name="estudos-em-humanos-26"/>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w:t>
      </w:r>
      <w:r>
        <w:t xml:space="preserve"> </w:t>
      </w:r>
      <w:r>
        <w:t xml:space="preserve">estudos em humanos no PubMed (</w:t>
      </w:r>
      <w:r>
        <w:rPr>
          <w:rStyle w:val="VerbatimChar"/>
        </w:rPr>
        <w:t xml:space="preserve">humanstudien_alle</w:t>
      </w:r>
      <w:r>
        <w:t xml:space="preserve">) e</w:t>
      </w:r>
      <w:r>
        <w:t xml:space="preserve"> </w:t>
      </w:r>
      <w:r>
        <w:rPr>
          <w:bCs/>
          <w:b/>
        </w:rPr>
        <w:t xml:space="preserve">3</w:t>
      </w:r>
      <w:r>
        <w:t xml:space="preserve"> </w:t>
      </w:r>
      <w:r>
        <w:t xml:space="preserve">registros no ClinicalTrials.gov. Um desses registros</w:t>
      </w:r>
      <w:r>
        <w:rPr>
          <w:rStyle w:val="FootnoteReference"/>
        </w:rPr>
        <w:footnoteReference w:id="1345"/>
      </w:r>
      <w:r>
        <w:t xml:space="preserve"> </w:t>
      </w:r>
      <w:r>
        <w:t xml:space="preserve">se refere a um estudo observacional sobre psicodélicos em veteranos e não examina a ipamorelina como medicamento em teste; ela é apenas listada ali como um de vários componentes de uma</w:t>
      </w:r>
      <w:r>
        <w:t xml:space="preserve"> </w:t>
      </w:r>
      <w:r>
        <w:t xml:space="preserve">“</w:t>
      </w:r>
      <w:r>
        <w:t xml:space="preserve">suplementação fisiológica</w:t>
      </w:r>
      <w:r>
        <w:t xml:space="preserve">”</w:t>
      </w:r>
      <w:r>
        <w:t xml:space="preserve"> </w:t>
      </w:r>
      <w:r>
        <w:t xml:space="preserve">(ao lado de testosterona, óleo de peixe e vitaminas). Clinicamente relevantes são, portanto, dois estudos sobre o íleo pós-operatório.</w:t>
      </w:r>
    </w:p>
    <w:p>
      <w:pPr>
        <w:pStyle w:val="BodyText"/>
      </w:pPr>
      <w:r>
        <w:rPr>
          <w:bCs/>
          <w:b/>
        </w:rPr>
        <w:t xml:space="preserve">Farmacologia em pessoas saudáveis:</w:t>
      </w:r>
      <w:r>
        <w:t xml:space="preserve"> </w:t>
      </w:r>
      <w:r>
        <w:t xml:space="preserve">em um estudo com doses crescentes, oito homens saudáveis por nível de dose receberam uma infusão de 15 minutos. A ipamorelina teve uma meia-vida curta de cerca de 2 horas e desencadeou em todas as doses um único pulso de GH, que atingiu o pico após cerca de 40 minutos e depois caiu rapidamente</w:t>
      </w:r>
      <w:r>
        <w:rPr>
          <w:rStyle w:val="FootnoteReference"/>
        </w:rPr>
        <w:footnoteReference w:id="1346"/>
      </w:r>
      <w:r>
        <w:t xml:space="preserve">.</w:t>
      </w:r>
    </w:p>
    <w:p>
      <w:pPr>
        <w:pStyle w:val="BodyText"/>
      </w:pPr>
      <w:r>
        <w:rPr>
          <w:bCs/>
          <w:b/>
        </w:rPr>
        <w:t xml:space="preserve">Íleo pós-operatório, primeiro estudo de fase 2:</w:t>
      </w:r>
      <w:r>
        <w:t xml:space="preserve"> </w:t>
      </w:r>
      <w:r>
        <w:t xml:space="preserve">em um estudo multicêntrico, duplo-cego e controlado por placebo, 117 adultos receberam, após ressecção de intestino delgado ou grosso, ipamorelina ou placebo em infusão duas vezes ao dia por até sete dias. O tempo médio até a primeira refeição sólida tolerada foi de 25,3 horas com ipamorelina e 32,6 horas com placebo – uma diferença que não foi estatisticamente significativa (p = 0,15). Os demais desfechos de eficácia também não diferiram. Efeitos colaterais ocorreram em 87,5% com ipamorelina e 94,8% com placebo, o que não é incomum após grandes cirurgias abdominais</w:t>
      </w:r>
      <w:r>
        <w:rPr>
          <w:rStyle w:val="FootnoteReference"/>
        </w:rPr>
        <w:footnoteReference w:id="1347"/>
      </w:r>
      <w:r>
        <w:t xml:space="preserve">.</w:t>
      </w:r>
    </w:p>
    <w:p>
      <w:pPr>
        <w:pStyle w:val="BodyText"/>
      </w:pPr>
      <w:r>
        <w:rPr>
          <w:bCs/>
          <w:b/>
        </w:rPr>
        <w:t xml:space="preserve">Segundo estudo de fase 2:</w:t>
      </w:r>
      <w:r>
        <w:t xml:space="preserve"> </w:t>
      </w:r>
      <w:r>
        <w:t xml:space="preserve">um estudo subsequente maior, com 320 participantes, sobre a recuperação da função gastrointestinal foi concluído em 2014</w:t>
      </w:r>
      <w:r>
        <w:rPr>
          <w:rStyle w:val="FootnoteReference"/>
        </w:rPr>
        <w:footnoteReference w:id="1348"/>
      </w:r>
      <w:r>
        <w:t xml:space="preserve">. Não encontrei no PubMed uma publicação dos resultados, e o registro não contém resultados. Depois disso, o desenvolvimento não continuou.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Farmacologia (Gobburu 1999), PMID 10496658</w:t>
            </w:r>
          </w:p>
        </w:tc>
        <w:tc>
          <w:tcPr/>
          <w:p>
            <w:pPr>
              <w:pStyle w:val="Compact"/>
              <w:jc w:val="left"/>
            </w:pPr>
            <w:r>
              <w:t xml:space="preserve">homens saudáveis, 5 níveis de dose com 8 pessoas cada</w:t>
            </w:r>
          </w:p>
        </w:tc>
        <w:tc>
          <w:tcPr/>
          <w:p>
            <w:pPr>
              <w:pStyle w:val="Compact"/>
              <w:jc w:val="left"/>
            </w:pPr>
            <w:r>
              <w:t xml:space="preserve">infusão única</w:t>
            </w:r>
          </w:p>
        </w:tc>
        <w:tc>
          <w:tcPr/>
          <w:p>
            <w:pPr>
              <w:pStyle w:val="Compact"/>
              <w:jc w:val="left"/>
            </w:pPr>
            <w:r>
              <w:t xml:space="preserve">meia-vida de cerca de 2 h; um pulso de GH por administração</w:t>
            </w:r>
          </w:p>
        </w:tc>
      </w:tr>
      <w:tr>
        <w:tc>
          <w:tcPr/>
          <w:p>
            <w:pPr>
              <w:pStyle w:val="Compact"/>
              <w:jc w:val="left"/>
            </w:pPr>
            <w:r>
              <w:t xml:space="preserve">Estudo de íleo 1 (Beck 2014), PMID 25331030</w:t>
            </w:r>
          </w:p>
        </w:tc>
        <w:tc>
          <w:tcPr/>
          <w:p>
            <w:pPr>
              <w:pStyle w:val="Compact"/>
              <w:jc w:val="left"/>
            </w:pPr>
            <w:r>
              <w:t xml:space="preserve">117 adultos após ressecção intestinal, ECR contra placebo</w:t>
            </w:r>
          </w:p>
        </w:tc>
        <w:tc>
          <w:tcPr/>
          <w:p>
            <w:pPr>
              <w:pStyle w:val="Compact"/>
              <w:jc w:val="left"/>
            </w:pPr>
            <w:r>
              <w:t xml:space="preserve">até 7 dias</w:t>
            </w:r>
          </w:p>
        </w:tc>
        <w:tc>
          <w:tcPr/>
          <w:p>
            <w:pPr>
              <w:pStyle w:val="Compact"/>
              <w:jc w:val="left"/>
            </w:pPr>
            <w:r>
              <w:t xml:space="preserve">25,3 vs. 32,6 h até a primeira refeição, não significativo</w:t>
            </w:r>
          </w:p>
        </w:tc>
      </w:tr>
      <w:tr>
        <w:tc>
          <w:tcPr/>
          <w:p>
            <w:pPr>
              <w:pStyle w:val="Compact"/>
              <w:jc w:val="left"/>
            </w:pPr>
            <w:r>
              <w:t xml:space="preserve">Estudo de íleo 2, NCT01280344</w:t>
            </w:r>
          </w:p>
        </w:tc>
        <w:tc>
          <w:tcPr/>
          <w:p>
            <w:pPr>
              <w:pStyle w:val="Compact"/>
              <w:jc w:val="left"/>
            </w:pPr>
            <w:r>
              <w:t xml:space="preserve">320 adultos, fase 2 contra placebo</w:t>
            </w:r>
          </w:p>
        </w:tc>
        <w:tc>
          <w:tcPr/>
          <w:p>
            <w:pPr>
              <w:pStyle w:val="Compact"/>
              <w:jc w:val="left"/>
            </w:pPr>
            <w:r>
              <w:t xml:space="preserve">–</w:t>
            </w:r>
          </w:p>
        </w:tc>
        <w:tc>
          <w:tcPr/>
          <w:p>
            <w:pPr>
              <w:pStyle w:val="Compact"/>
              <w:jc w:val="left"/>
            </w:pPr>
            <w:r>
              <w:t xml:space="preserve">concluído em 2014, resultados não publicados</w:t>
            </w:r>
          </w:p>
        </w:tc>
      </w:tr>
    </w:tbl>
    <w:p>
      <w:pPr>
        <w:pStyle w:val="BodyText"/>
      </w:pPr>
      <w:r>
        <w:rPr>
          <w:bCs/>
          <w:b/>
        </w:rPr>
        <w:t xml:space="preserve">Não</w:t>
      </w:r>
      <w:r>
        <w:t xml:space="preserve"> </w:t>
      </w:r>
      <w:r>
        <w:t xml:space="preserve">há estudo publicado que tenha examinado a ipamorelina em adultos saudáveis, atletas ou pessoas idosas quanto a massa muscular, perda de gordura, sono, pele ou desempenho.</w:t>
      </w:r>
    </w:p>
    <w:bookmarkEnd w:id="1349"/>
    <w:bookmarkStart w:id="1353" w:name="estudos-em-animais-e-em-laboratório-26"/>
    <w:p>
      <w:pPr>
        <w:pStyle w:val="Heading3"/>
      </w:pPr>
      <w:r>
        <w:t xml:space="preserve">Estudos em animais e em laboratório</w:t>
      </w:r>
    </w:p>
    <w:p>
      <w:pPr>
        <w:numPr>
          <w:ilvl w:val="0"/>
          <w:numId w:val="1159"/>
        </w:numPr>
        <w:pStyle w:val="Compact"/>
      </w:pPr>
      <w:r>
        <w:rPr>
          <w:bCs/>
          <w:b/>
        </w:rPr>
        <w:t xml:space="preserve">Intestino (ratos):</w:t>
      </w:r>
      <w:r>
        <w:t xml:space="preserve"> </w:t>
      </w:r>
      <w:r>
        <w:t xml:space="preserve">em ratos com paralisia intestinal induzida cirurgicamente, uma dose única de ipamorelina encurtou o tempo até a primeira evacuação; doses repetidas aumentaram a quantidade de fezes, a ingestão de alimento e o ganho de peso</w:t>
      </w:r>
      <w:r>
        <w:rPr>
          <w:rStyle w:val="FootnoteReference"/>
        </w:rPr>
        <w:footnoteReference w:id="1350"/>
      </w:r>
      <w:r>
        <w:t xml:space="preserve">. Esses resultados foram a base dos estudos de íleo em humanos – que não confirmaram o efeito.</w:t>
      </w:r>
    </w:p>
    <w:p>
      <w:pPr>
        <w:numPr>
          <w:ilvl w:val="0"/>
          <w:numId w:val="1159"/>
        </w:numPr>
        <w:pStyle w:val="Compact"/>
      </w:pPr>
      <w:r>
        <w:rPr>
          <w:bCs/>
          <w:b/>
        </w:rPr>
        <w:t xml:space="preserve">Ossos (ratos):</w:t>
      </w:r>
      <w:r>
        <w:t xml:space="preserve"> </w:t>
      </w:r>
      <w:r>
        <w:t xml:space="preserve">em ratas adultas, a ipamorelina aumentou ao longo de 15 dias, de forma dependente da dose, o crescimento longitudinal dos ossos e o ganho de peso, sem elevar de forma mensurável o IGF-1</w:t>
      </w:r>
      <w:r>
        <w:rPr>
          <w:rStyle w:val="FootnoteReference"/>
        </w:rPr>
        <w:footnoteReference w:id="1351"/>
      </w:r>
      <w:r>
        <w:t xml:space="preserve">.</w:t>
      </w:r>
    </w:p>
    <w:p>
      <w:pPr>
        <w:numPr>
          <w:ilvl w:val="0"/>
          <w:numId w:val="1159"/>
        </w:numPr>
        <w:pStyle w:val="Compact"/>
      </w:pPr>
      <w:r>
        <w:rPr>
          <w:bCs/>
          <w:b/>
        </w:rPr>
        <w:t xml:space="preserve">Seletividade (porcos, células de rato):</w:t>
      </w:r>
      <w:r>
        <w:t xml:space="preserve"> </w:t>
      </w:r>
      <w:r>
        <w:t xml:space="preserve">veja acima</w:t>
      </w:r>
      <w:r>
        <w:rPr>
          <w:rStyle w:val="FootnoteReference"/>
        </w:rPr>
        <w:footnoteReference w:id="1352"/>
      </w:r>
      <w:r>
        <w:t xml:space="preserve">.</w:t>
      </w:r>
    </w:p>
    <w:bookmarkEnd w:id="1353"/>
    <w:bookmarkStart w:id="1356" w:name="riscos-e-efeitos-colaterais-26"/>
    <w:p>
      <w:pPr>
        <w:pStyle w:val="Heading3"/>
      </w:pPr>
      <w:r>
        <w:t xml:space="preserve">Riscos e efeitos colaterais</w:t>
      </w:r>
    </w:p>
    <w:p>
      <w:pPr>
        <w:pStyle w:val="FirstParagraph"/>
      </w:pPr>
      <w:r>
        <w:rPr>
          <w:bCs/>
          <w:b/>
        </w:rPr>
        <w:t xml:space="preserve">Comprovado:</w:t>
      </w:r>
      <w:r>
        <w:t xml:space="preserve"> </w:t>
      </w:r>
      <w:r>
        <w:t xml:space="preserve">no estudo de íleo, a ipamorelina foi descrita como bem tolerada por até sete dias, sem acúmulo de efeitos colaterais em relação ao placebo</w:t>
      </w:r>
      <w:r>
        <w:rPr>
          <w:rStyle w:val="FootnoteReference"/>
        </w:rPr>
        <w:footnoteReference w:id="1354"/>
      </w:r>
      <w:r>
        <w:t xml:space="preserve">. Trata-se de um uso curto, em ambiente hospitalar, com administração intravenosa.</w:t>
      </w:r>
    </w:p>
    <w:p>
      <w:pPr>
        <w:pStyle w:val="BodyText"/>
      </w:pPr>
      <w:r>
        <w:rPr>
          <w:bCs/>
          <w:b/>
        </w:rPr>
        <w:t xml:space="preserve">Desconhecido:</w:t>
      </w:r>
      <w:r>
        <w:t xml:space="preserve"> </w:t>
      </w:r>
      <w:r>
        <w:t xml:space="preserve">não há dados sobre o uso repetido ao longo de semanas ou meses, como descrito na internet. Teoricamente, seriam de esperar os efeitos de níveis elevados de GH (retenção de líquidos, queixas articulares, redução da sensibilidade à insulina), bem como, via receptor de grelina, aumento do apetite. Sobre a questão de um risco de câncer por IGF-1 continuamente elevado, veja a introdução deste grupo e a Parte IV.</w:t>
      </w:r>
    </w:p>
    <w:p>
      <w:pPr>
        <w:pStyle w:val="BodyText"/>
      </w:pPr>
      <w:r>
        <w:rPr>
          <w:bCs/>
          <w:b/>
        </w:rPr>
        <w:t xml:space="preserve">Mercado cinza:</w:t>
      </w:r>
      <w:r>
        <w:t xml:space="preserve"> </w:t>
      </w:r>
      <w:r>
        <w:t xml:space="preserve">análises laboratoriais de produtos apreendidos encontraram</w:t>
      </w:r>
      <w:r>
        <w:t xml:space="preserve"> </w:t>
      </w:r>
      <w:r>
        <w:t xml:space="preserve">“</w:t>
      </w:r>
      <w:r>
        <w:t xml:space="preserve">Gly-ipamorelina</w:t>
      </w:r>
      <w:r>
        <w:t xml:space="preserve">”</w:t>
      </w:r>
      <w:r>
        <w:t xml:space="preserve">, ou seja, ipamorelina com um aminoácido adicional, não declarado, no início – provavelmente para burlar testes antidoping</w:t>
      </w:r>
      <w:r>
        <w:rPr>
          <w:rStyle w:val="FootnoteReference"/>
        </w:rPr>
        <w:footnoteReference w:id="1355"/>
      </w:r>
      <w:r>
        <w:t xml:space="preserve">. Como tais modificações se comportam no organismo é desconhecido.</w:t>
      </w:r>
    </w:p>
    <w:bookmarkEnd w:id="1356"/>
    <w:bookmarkStart w:id="1359" w:name="situação-legal-26"/>
    <w:p>
      <w:pPr>
        <w:pStyle w:val="Heading3"/>
      </w:pPr>
      <w:r>
        <w:t xml:space="preserve">Situação legal</w:t>
      </w:r>
    </w:p>
    <w:p>
      <w:pPr>
        <w:pStyle w:val="FirstParagraph"/>
      </w:pPr>
      <w:r>
        <w:rPr>
          <w:iCs/>
          <w:i/>
        </w:rPr>
        <w:t xml:space="preserve">Situação em 2026, verificar atualização.</w:t>
      </w:r>
    </w:p>
    <w:p>
      <w:pPr>
        <w:numPr>
          <w:ilvl w:val="0"/>
          <w:numId w:val="1160"/>
        </w:numPr>
        <w:pStyle w:val="Compact"/>
      </w:pPr>
      <w:r>
        <w:rPr>
          <w:bCs/>
          <w:b/>
        </w:rPr>
        <w:t xml:space="preserve">UE, Alemanha, Áustria:</w:t>
      </w:r>
      <w:r>
        <w:t xml:space="preserve"> </w:t>
      </w:r>
      <w:r>
        <w:t xml:space="preserve">nenhuma aprovação; fornecimento para uso em humanos proibido.</w:t>
      </w:r>
    </w:p>
    <w:p>
      <w:pPr>
        <w:numPr>
          <w:ilvl w:val="0"/>
          <w:numId w:val="1160"/>
        </w:numPr>
        <w:pStyle w:val="Compact"/>
      </w:pPr>
      <w:r>
        <w:rPr>
          <w:bCs/>
          <w:b/>
        </w:rPr>
        <w:t xml:space="preserve">EUA:</w:t>
      </w:r>
      <w:r>
        <w:t xml:space="preserve"> </w:t>
      </w:r>
      <w:r>
        <w:t xml:space="preserve">nenhuma aprovação. A FDA classificou a ipamorelina entre as substâncias de partida para farmácias de manipulação como substância com preocupações de segurança (categoria 2); a classificação de peptídeos é desde então discutida de forma controversa</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proibida (S2), em competição e fora dela. A ipamorelina e seus produtos de degradação podem ser detectados na urina, também após uso como spray nasal</w:t>
      </w:r>
      <w:r>
        <w:rPr>
          <w:rStyle w:val="FootnoteReference"/>
        </w:rPr>
        <w:footnoteReference w:id="1358"/>
      </w:r>
      <w:r>
        <w:t xml:space="preserve">.</w:t>
      </w:r>
    </w:p>
    <w:bookmarkEnd w:id="1359"/>
    <w:bookmarkStart w:id="1360" w:name="estudos-em-andamento-e-perspectivas-26"/>
    <w:p>
      <w:pPr>
        <w:pStyle w:val="Heading3"/>
      </w:pPr>
      <w:r>
        <w:t xml:space="preserve">Estudos em andamento e perspectivas</w:t>
      </w:r>
    </w:p>
    <w:p>
      <w:pPr>
        <w:pStyle w:val="FirstParagraph"/>
      </w:pPr>
      <w:r>
        <w:t xml:space="preserve">No ClinicalTrials.gov, em outubro de 2026, não há registro de estudo em andamento que examine a ipamorelina como medicamento em teste.</w:t>
      </w:r>
      <w:r>
        <w:t xml:space="preserve"> </w:t>
      </w:r>
      <w:r>
        <w:rPr>
          <w:iCs/>
          <w:i/>
        </w:rPr>
        <w:t xml:space="preserve">Avaliação do autor:</w:t>
      </w:r>
      <w:r>
        <w:t xml:space="preserve"> </w:t>
      </w:r>
      <w:r>
        <w:t xml:space="preserve">após o resultado negativo no íleo pós-operatório, falta uma empresa que continue o desenvolvimento da substância. Novos dados são mais prováveis a partir de relatos de caso sobre usos do mercado cinza.</w:t>
      </w:r>
    </w:p>
    <w:bookmarkEnd w:id="1360"/>
    <w:bookmarkStart w:id="1361" w:name="conclusão-26"/>
    <w:p>
      <w:pPr>
        <w:pStyle w:val="Heading3"/>
      </w:pPr>
      <w:r>
        <w:t xml:space="preserve">Conclusão</w:t>
      </w:r>
    </w:p>
    <w:p>
      <w:pPr>
        <w:pStyle w:val="FirstParagraph"/>
      </w:pPr>
      <w:r>
        <w:t xml:space="preserve">A ipamorelina é um agonista do receptor de grelina desenvolvido de forma direcionada, que em animais libera hormônio do crescimento sem secreção relevante de hormônios do estresse. O único estudo de eficácia publicado em humanos – 117 pacientes após cirurgias intestinais – não encontrou benefício significativo; um estudo subsequente maior permaneceu sem publicação. Para os usos anunciados na internet (ganho muscular, perda de gordura, sono, anti-aging) não há estudos em humanos, e produtos do mercado cinza comprovadamente contêm também moléculas modificadas.</w:t>
      </w:r>
    </w:p>
    <w:bookmarkEnd w:id="1361"/>
    <w:bookmarkEnd w:id="1362"/>
    <w:bookmarkStart w:id="1395" w:name="ghrp-2-pralmorelina"/>
    <w:p>
      <w:pPr>
        <w:pStyle w:val="Heading2"/>
      </w:pPr>
      <w:r>
        <w:t xml:space="preserve">GHRP-2 (pralmorelina)</w:t>
      </w:r>
    </w:p>
    <w:p>
      <w:pPr>
        <w:pStyle w:val="FirstParagraph"/>
      </w:pPr>
      <w:r>
        <w:t xml:space="preserve">O GHRP-2 é um pequeno peptídeo artificial de seis aminoácidos que estimula a hipófise a secretar hormônio do crescimento com mais força do que quase qualquer outro estímulo conhecido. Essa potência fez dele, no Japão, um medicamento aprovado – não como terapia, mas como substância de teste: com uma única injeção é possível verificar se um adulto tem deficiência de hormônio do crescimento. No mercado cinza, o mesmo peptídeo é vendido como</w:t>
      </w:r>
      <w:r>
        <w:t xml:space="preserve"> </w:t>
      </w:r>
      <w:r>
        <w:t xml:space="preserve">“</w:t>
      </w:r>
      <w:r>
        <w:t xml:space="preserve">peptídeo para músculos e anti-aging</w:t>
      </w:r>
      <w:r>
        <w:t xml:space="preserve">”</w:t>
      </w:r>
      <w:r>
        <w:t xml:space="preserve">. Para isso não há evidências.</w:t>
      </w:r>
    </w:p>
    <w:bookmarkStart w:id="1365" w:name="ficha-técnica-27"/>
    <w:p>
      <w:pPr>
        <w:pStyle w:val="Heading3"/>
      </w:pPr>
      <w:r>
        <w:t xml:space="preserve">Ficha técnica</w:t>
      </w:r>
    </w:p>
    <w:p>
      <w:pPr>
        <w:numPr>
          <w:ilvl w:val="0"/>
          <w:numId w:val="1161"/>
        </w:numPr>
        <w:pStyle w:val="Compact"/>
      </w:pPr>
      <w:r>
        <w:rPr>
          <w:bCs/>
          <w:b/>
        </w:rPr>
        <w:t xml:space="preserve">Tipo e estrutura:</w:t>
      </w:r>
      <w:r>
        <w:t xml:space="preserve"> </w:t>
      </w:r>
      <w:r>
        <w:t xml:space="preserve">hexapeptídeo sintético (D-Ala-D-2-Nal-Ala-Trp-D-Phe-Lys-NH2) com vários aminoácidos não naturais; nomes de desenvolvimento KP-102 e GPA-748, denominação comum internacional pralmorelina</w:t>
      </w:r>
      <w:r>
        <w:rPr>
          <w:rStyle w:val="FootnoteReference"/>
        </w:rPr>
        <w:footnoteReference w:id="1363"/>
      </w:r>
      <w:r>
        <w:t xml:space="preserve">.</w:t>
      </w:r>
    </w:p>
    <w:p>
      <w:pPr>
        <w:numPr>
          <w:ilvl w:val="0"/>
          <w:numId w:val="1161"/>
        </w:numPr>
        <w:pStyle w:val="Compact"/>
      </w:pPr>
      <w:r>
        <w:rPr>
          <w:bCs/>
          <w:b/>
        </w:rPr>
        <w:t xml:space="preserve">Origem:</w:t>
      </w:r>
      <w:r>
        <w:t xml:space="preserve"> </w:t>
      </w:r>
      <w:r>
        <w:t xml:space="preserve">desenvolvido nos anos 1990 a partir da série de peptídeos liberadores de GH fundada por Cyril Bowers (Tulane University, EUA); direitos com a Kaken (Japão)</w:t>
      </w:r>
      <w:r>
        <w:rPr>
          <w:rStyle w:val="FootnoteReference"/>
        </w:rPr>
        <w:footnoteReference w:id="1364"/>
      </w:r>
      <w:r>
        <w:t xml:space="preserve">.</w:t>
      </w:r>
    </w:p>
    <w:p>
      <w:pPr>
        <w:numPr>
          <w:ilvl w:val="0"/>
          <w:numId w:val="1161"/>
        </w:numPr>
        <w:pStyle w:val="Compact"/>
      </w:pPr>
      <w:r>
        <w:rPr>
          <w:bCs/>
          <w:b/>
        </w:rPr>
        <w:t xml:space="preserve">Princípio de ação:</w:t>
      </w:r>
      <w:r>
        <w:t xml:space="preserve"> </w:t>
      </w:r>
      <w:r>
        <w:t xml:space="preserve">agonista do receptor de grelina (GHS-R1a) na hipófise e no diencéfalo; libera hormônio do crescimento e, em menor grau, também ACTH, cortisol e prolactina; aumenta o apetite.</w:t>
      </w:r>
    </w:p>
    <w:p>
      <w:pPr>
        <w:numPr>
          <w:ilvl w:val="0"/>
          <w:numId w:val="1161"/>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r>
        <w:t xml:space="preserve"> </w:t>
      </w:r>
      <w:r>
        <w:rPr>
          <w:bCs/>
          <w:b/>
        </w:rPr>
        <w:t xml:space="preserve">Japão:</w:t>
      </w:r>
      <w:r>
        <w:t xml:space="preserve"> </w:t>
      </w:r>
      <w:r>
        <w:t xml:space="preserve">aprovado como agente diagnóstico da função hipofisária.</w:t>
      </w:r>
    </w:p>
    <w:p>
      <w:pPr>
        <w:numPr>
          <w:ilvl w:val="0"/>
          <w:numId w:val="1161"/>
        </w:numPr>
        <w:pStyle w:val="Compact"/>
      </w:pPr>
      <w:r>
        <w:rPr>
          <w:bCs/>
          <w:b/>
        </w:rPr>
        <w:t xml:space="preserve">WADA:</w:t>
      </w:r>
      <w:r>
        <w:t xml:space="preserve"> </w:t>
      </w:r>
      <w:r>
        <w:t xml:space="preserve">proibido, grupo S2 – o GHRP-2 (pralmorelina) é expressamente citado como peptídeo liberador de hormônio do crescimento.</w:t>
      </w:r>
    </w:p>
    <w:p>
      <w:pPr>
        <w:numPr>
          <w:ilvl w:val="0"/>
          <w:numId w:val="1161"/>
        </w:numPr>
        <w:pStyle w:val="Compact"/>
      </w:pPr>
      <w:r>
        <w:rPr>
          <w:bCs/>
          <w:b/>
        </w:rPr>
        <w:t xml:space="preserve">Nível de evidência: B</w:t>
      </w:r>
      <w:r>
        <w:t xml:space="preserve"> </w:t>
      </w:r>
      <w:r>
        <w:t xml:space="preserve">– numerosos pequenos estudos randomizados sobre fisiologia hormonal e um estudo de validação como agente diagnóstico; nenhum estudo randomizado sobre benefício terapêutico.</w:t>
      </w:r>
    </w:p>
    <w:bookmarkEnd w:id="1365"/>
    <w:bookmarkStart w:id="1368" w:name="como-deveria-agir-27"/>
    <w:p>
      <w:pPr>
        <w:pStyle w:val="Heading3"/>
      </w:pPr>
      <w:r>
        <w:t xml:space="preserve">Como deveria agir</w:t>
      </w:r>
    </w:p>
    <w:p>
      <w:pPr>
        <w:pStyle w:val="FirstParagraph"/>
      </w:pPr>
      <w:r>
        <w:t xml:space="preserve">O GHRP-2 imita a grelina, o hormônio da fome produzido no estômago, que ao mesmo tempo controla a secreção de hormônio do crescimento</w:t>
      </w:r>
      <w:r>
        <w:rPr>
          <w:rStyle w:val="FootnoteReference"/>
        </w:rPr>
        <w:footnoteReference w:id="1366"/>
      </w:r>
      <w:r>
        <w:t xml:space="preserve">. Historicamente, foi o contrário: os GHRPs sintéticos vieram primeiro, seu receptor foi encontrado, e só depois se descobriu a grelina como sua chave natural.</w:t>
      </w:r>
    </w:p>
    <w:p>
      <w:pPr>
        <w:pStyle w:val="BodyText"/>
      </w:pPr>
      <w:r>
        <w:t xml:space="preserve">O GHRP-2 atua em dois níveis: diretamente na hipófise e indiretamente no diencéfalo, onde atenua o freio somatostatina e apoia o GHRH do próprio organismo. Para o efeito pleno ele precisa, por isso, de um diencéfalo intacto: em ratos sem hipófise não teve efeito algum, e em ratos com a conexão entre diencéfalo e hipófise destruída, apenas um efeito atenuado</w:t>
      </w:r>
      <w:r>
        <w:rPr>
          <w:rStyle w:val="FootnoteReference"/>
        </w:rPr>
        <w:footnoteReference w:id="1367"/>
      </w:r>
      <w:r>
        <w:t xml:space="preserve">. Quando se administram GHRP-2 e GHRH juntos, a secreção é bem maior do que a soma dos efeitos individuais.</w:t>
      </w:r>
    </w:p>
    <w:bookmarkEnd w:id="1368"/>
    <w:bookmarkStart w:id="1382" w:name="estudos-em-humanos-27"/>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55</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O número elevado engana: a maioria dos trabalhos (sobretudo de um grupo de pesquisa da Mayo Clinic) usa o GHRP-2 como ferramenta para estudar o controle da secreção de hormônio do crescimento em mulheres e homens, sob hormônios sexuais ou no envelhecimento. Eles nada dizem sobre um benefício para a saúde.</w:t>
      </w:r>
    </w:p>
    <w:bookmarkStart w:id="1373" w:name="X1cfcb42bfb7c016049fe6d68fa0732e8ef8ca3c"/>
    <w:p>
      <w:pPr>
        <w:pStyle w:val="Heading4"/>
      </w:pPr>
      <w:r>
        <w:t xml:space="preserve">Diagnóstico da deficiência de hormônio do crescimento</w:t>
      </w:r>
    </w:p>
    <w:p>
      <w:pPr>
        <w:pStyle w:val="FirstParagraph"/>
      </w:pPr>
      <w:r>
        <w:t xml:space="preserve">A aplicação mais importante é o teste com GHRP-2. Em um estudo de validação, 77 pessoas saudáveis e 58 pacientes com deficiência grave confirmada de hormônio do crescimento receberam uma dose única intravenosa. O pico de GH foi em média de 84,6 µg/l nas pessoas saudáveis e de 1,36 µg/l nas pessoas afetadas. O teste teve boa reprodutibilidade e foi pouco influenciado por idade e excesso de peso; um ponto de corte de 15 µg/l correspondeu ao ponto de corte usual do teste de hipoglicemia insulínica</w:t>
      </w:r>
      <w:r>
        <w:rPr>
          <w:rStyle w:val="FootnoteReference"/>
        </w:rPr>
        <w:footnoteReference w:id="1369"/>
      </w:r>
      <w:r>
        <w:t xml:space="preserve">. Em uma comparação com 71 pessoas com tumores hipofisários, o teste com GHRP-2 alcançou, em relação ao teste com insulina, uma sensibilidade de 81,3% e uma especificidade de 94,5%</w:t>
      </w:r>
      <w:r>
        <w:rPr>
          <w:rStyle w:val="FootnoteReference"/>
        </w:rPr>
        <w:footnoteReference w:id="1370"/>
      </w:r>
      <w:r>
        <w:t xml:space="preserve">.</w:t>
      </w:r>
    </w:p>
    <w:p>
      <w:pPr>
        <w:pStyle w:val="BodyText"/>
      </w:pPr>
      <w:r>
        <w:t xml:space="preserve">Como o GHRP-2 também libera ACTH, verificou-se se o teste reconhece adicionalmente uma hipofunção do eixo adrenal. Os resultados são mistos: em um estudo com 47 pessoas, alcançou uma sensibilidade de 89,7%</w:t>
      </w:r>
      <w:r>
        <w:rPr>
          <w:rStyle w:val="FootnoteReference"/>
        </w:rPr>
        <w:footnoteReference w:id="1371"/>
      </w:r>
      <w:r>
        <w:t xml:space="preserve">; em uma análise maior de 254 pessoas, não foi, no geral, suficientemente confiável (sensibilidade de 64%, especificidade de 79%), tendo bom desempenho apenas em homens sem tumor hormonalmente ativo</w:t>
      </w:r>
      <w:r>
        <w:rPr>
          <w:rStyle w:val="FootnoteReference"/>
        </w:rPr>
        <w:footnoteReference w:id="1372"/>
      </w:r>
      <w:r>
        <w:t xml:space="preserve">.</w:t>
      </w:r>
    </w:p>
    <w:bookmarkEnd w:id="1373"/>
    <w:bookmarkStart w:id="1378" w:name="tentativas-de-tratamento-em-crianças"/>
    <w:p>
      <w:pPr>
        <w:pStyle w:val="Heading4"/>
      </w:pPr>
      <w:r>
        <w:t xml:space="preserve">Tentativas de tratamento em crianças</w:t>
      </w:r>
    </w:p>
    <w:p>
      <w:pPr>
        <w:pStyle w:val="FirstParagraph"/>
      </w:pPr>
      <w:r>
        <w:t xml:space="preserve">Nos anos 1990, o GHRP-2 foi testado como terapia para crianças de baixa estatura. Em seis crianças com deficiência de hormônio do crescimento, a secreção noturna de GH aumentou de forma dependente da dose, mas o IGF-1 não; a velocidade de crescimento foi maior durante o tratamento</w:t>
      </w:r>
      <w:r>
        <w:rPr>
          <w:rStyle w:val="FootnoteReference"/>
        </w:rPr>
        <w:footnoteReference w:id="1374"/>
      </w:r>
      <w:r>
        <w:t xml:space="preserve">. Como spray nasal, o GHRP-2 aumentou em 15 crianças a velocidade de crescimento de 3,7 para 6,1 cm por ano, novamente sem aumento do IGF-1</w:t>
      </w:r>
      <w:r>
        <w:rPr>
          <w:rStyle w:val="FootnoteReference"/>
        </w:rPr>
        <w:footnoteReference w:id="1375"/>
      </w:r>
      <w:r>
        <w:t xml:space="preserve">. Em dez crianças que receberam GHRP-2 em comprimido por doze meses, sete relataram apetite claramente maior nos primeiros meses</w:t>
      </w:r>
      <w:r>
        <w:rPr>
          <w:rStyle w:val="FootnoteReference"/>
        </w:rPr>
        <w:footnoteReference w:id="1376"/>
      </w:r>
      <w:r>
        <w:t xml:space="preserve">. O desenvolvimento como terapia foi encerrado nos EUA</w:t>
      </w:r>
      <w:r>
        <w:rPr>
          <w:rStyle w:val="FootnoteReference"/>
        </w:rPr>
        <w:footnoteReference w:id="1377"/>
      </w:r>
      <w:r>
        <w:t xml:space="preserve">.</w:t>
      </w:r>
    </w:p>
    <w:bookmarkEnd w:id="1378"/>
    <w:bookmarkStart w:id="1381" w:name="apetite-e-medicina-intensiva"/>
    <w:p>
      <w:pPr>
        <w:pStyle w:val="Heading4"/>
      </w:pPr>
      <w:r>
        <w:t xml:space="preserve">Apetite e medicina intensiva</w:t>
      </w:r>
    </w:p>
    <w:p>
      <w:pPr>
        <w:pStyle w:val="FirstParagraph"/>
      </w:pPr>
      <w:r>
        <w:t xml:space="preserve">Em 19 adultos magros e com excesso de peso, uma infusão de GHRP-2 aumentou a quantidade de comida escolhida livremente, de forma dependente da dose, em 10,2% e 33,5%, respectivamente, em relação ao placebo</w:t>
      </w:r>
      <w:r>
        <w:rPr>
          <w:rStyle w:val="FootnoteReference"/>
        </w:rPr>
        <w:footnoteReference w:id="1379"/>
      </w:r>
      <w:r>
        <w:t xml:space="preserve">. Em 14 pacientes de terapia intensiva de longa permanência, uma infusão de cinco dias de GHRP-2 junto com o hormônio liberador de tireotrofina TRH reativou o eixo do GH e o eixo tireoidiano suprimidos e deslocou marcadores metabólicos em direção ao anabolismo</w:t>
      </w:r>
      <w:r>
        <w:rPr>
          <w:rStyle w:val="FootnoteReference"/>
        </w:rPr>
        <w:footnoteReference w:id="1380"/>
      </w:r>
      <w:r>
        <w:t xml:space="preserve">. Se isso altera as chances de sobrevivência nunca foi verificado em um estudo de desfechos.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saudáveis, 58 afetados com deficiência de GH, validação controlada</w:t>
            </w:r>
          </w:p>
        </w:tc>
        <w:tc>
          <w:tcPr/>
          <w:p>
            <w:pPr>
              <w:pStyle w:val="Compact"/>
              <w:jc w:val="left"/>
            </w:pPr>
            <w:r>
              <w:t xml:space="preserve">teste único</w:t>
            </w:r>
          </w:p>
        </w:tc>
        <w:tc>
          <w:tcPr/>
          <w:p>
            <w:pPr>
              <w:pStyle w:val="Compact"/>
              <w:jc w:val="left"/>
            </w:pPr>
            <w:r>
              <w:t xml:space="preserve">pico de GH 84,6 vs. 1,36 µg/l; ponto de corte 15 µg/l</w:t>
            </w:r>
          </w:p>
        </w:tc>
      </w:tr>
      <w:tr>
        <w:tc>
          <w:tcPr/>
          <w:p>
            <w:pPr>
              <w:pStyle w:val="Compact"/>
              <w:jc w:val="left"/>
            </w:pPr>
            <w:r>
              <w:t xml:space="preserve">Diagnóstico (Kinoshita 2013), PMID 23079545</w:t>
            </w:r>
          </w:p>
        </w:tc>
        <w:tc>
          <w:tcPr/>
          <w:p>
            <w:pPr>
              <w:pStyle w:val="Compact"/>
              <w:jc w:val="left"/>
            </w:pPr>
            <w:r>
              <w:t xml:space="preserve">71 pessoas com tumores hipofisários, comparação com teste de insulina</w:t>
            </w:r>
          </w:p>
        </w:tc>
        <w:tc>
          <w:tcPr/>
          <w:p>
            <w:pPr>
              <w:pStyle w:val="Compact"/>
              <w:jc w:val="left"/>
            </w:pPr>
            <w:r>
              <w:t xml:space="preserve">teste único</w:t>
            </w:r>
          </w:p>
        </w:tc>
        <w:tc>
          <w:tcPr/>
          <w:p>
            <w:pPr>
              <w:pStyle w:val="Compact"/>
              <w:jc w:val="left"/>
            </w:pPr>
            <w:r>
              <w:t xml:space="preserve">sensibilidade 81,3%, especificidade 94,5%</w:t>
            </w:r>
          </w:p>
        </w:tc>
      </w:tr>
      <w:tr>
        <w:tc>
          <w:tcPr/>
          <w:p>
            <w:pPr>
              <w:pStyle w:val="Compact"/>
              <w:jc w:val="left"/>
            </w:pPr>
            <w:r>
              <w:t xml:space="preserve">Crianças, spray nasal (Pihoker 1997), PMID 9390009</w:t>
            </w:r>
          </w:p>
        </w:tc>
        <w:tc>
          <w:tcPr/>
          <w:p>
            <w:pPr>
              <w:pStyle w:val="Compact"/>
              <w:jc w:val="left"/>
            </w:pPr>
            <w:r>
              <w:t xml:space="preserve">15 crianças de baixa estatura, sem grupo controle</w:t>
            </w:r>
          </w:p>
        </w:tc>
        <w:tc>
          <w:tcPr/>
          <w:p>
            <w:pPr>
              <w:pStyle w:val="Compact"/>
              <w:jc w:val="left"/>
            </w:pPr>
            <w:r>
              <w:t xml:space="preserve">6–24 meses</w:t>
            </w:r>
          </w:p>
        </w:tc>
        <w:tc>
          <w:tcPr/>
          <w:p>
            <w:pPr>
              <w:pStyle w:val="Compact"/>
              <w:jc w:val="left"/>
            </w:pPr>
            <w:r>
              <w:t xml:space="preserve">crescimento 3,7 → 6,1 cm/ano</w:t>
            </w:r>
          </w:p>
        </w:tc>
      </w:tr>
      <w:tr>
        <w:tc>
          <w:tcPr/>
          <w:p>
            <w:pPr>
              <w:pStyle w:val="Compact"/>
              <w:jc w:val="left"/>
            </w:pPr>
            <w:r>
              <w:t xml:space="preserve">Apetite (Laferrère 2006), PMID 16861611</w:t>
            </w:r>
          </w:p>
        </w:tc>
        <w:tc>
          <w:tcPr/>
          <w:p>
            <w:pPr>
              <w:pStyle w:val="Compact"/>
              <w:jc w:val="left"/>
            </w:pPr>
            <w:r>
              <w:t xml:space="preserve">19 adultos, ECR cruzado contra placebo</w:t>
            </w:r>
          </w:p>
        </w:tc>
        <w:tc>
          <w:tcPr/>
          <w:p>
            <w:pPr>
              <w:pStyle w:val="Compact"/>
              <w:jc w:val="left"/>
            </w:pPr>
            <w:r>
              <w:t xml:space="preserve">3 infusões únicas</w:t>
            </w:r>
          </w:p>
        </w:tc>
        <w:tc>
          <w:tcPr/>
          <w:p>
            <w:pPr>
              <w:pStyle w:val="Compact"/>
              <w:jc w:val="left"/>
            </w:pPr>
            <w:r>
              <w:t xml:space="preserve">quantidade de comida +10,2% e +33,5%</w:t>
            </w:r>
          </w:p>
        </w:tc>
      </w:tr>
      <w:tr>
        <w:tc>
          <w:tcPr/>
          <w:p>
            <w:pPr>
              <w:pStyle w:val="Compact"/>
              <w:jc w:val="left"/>
            </w:pPr>
            <w:r>
              <w:t xml:space="preserve">Medicina intensiva (Van den Berghe 1999), PMID 10199772</w:t>
            </w:r>
          </w:p>
        </w:tc>
        <w:tc>
          <w:tcPr/>
          <w:p>
            <w:pPr>
              <w:pStyle w:val="Compact"/>
              <w:jc w:val="left"/>
            </w:pPr>
            <w:r>
              <w:t xml:space="preserve">14 pacientes de terapia intensiva de longa permanência, desenho cruzado randomizado</w:t>
            </w:r>
          </w:p>
        </w:tc>
        <w:tc>
          <w:tcPr/>
          <w:p>
            <w:pPr>
              <w:pStyle w:val="Compact"/>
              <w:jc w:val="left"/>
            </w:pPr>
            <w:r>
              <w:t xml:space="preserve">5 dias</w:t>
            </w:r>
          </w:p>
        </w:tc>
        <w:tc>
          <w:tcPr/>
          <w:p>
            <w:pPr>
              <w:pStyle w:val="Compact"/>
              <w:jc w:val="left"/>
            </w:pPr>
            <w:r>
              <w:t xml:space="preserve">eixos do GH e tireoidiano reativados</w:t>
            </w:r>
          </w:p>
        </w:tc>
      </w:tr>
    </w:tbl>
    <w:bookmarkEnd w:id="1381"/>
    <w:bookmarkEnd w:id="1382"/>
    <w:bookmarkStart w:id="1385" w:name="estudos-em-animais-e-em-laboratório-27"/>
    <w:p>
      <w:pPr>
        <w:pStyle w:val="Heading3"/>
      </w:pPr>
      <w:r>
        <w:t xml:space="preserve">Estudos em animais e em laboratório</w:t>
      </w:r>
    </w:p>
    <w:p>
      <w:pPr>
        <w:pStyle w:val="FirstParagraph"/>
      </w:pPr>
      <w:r>
        <w:t xml:space="preserve">Em ratos acordados, o GHRP-2 liberou mais hormônio do crescimento do que o GHRH e funcionou também em cães, nos quais o GHRH falhou; em ratos, aumentou ACTH e corticosterona, mas não prolactina, e acelerou o crescimento ao longo de três semanas</w:t>
      </w:r>
      <w:r>
        <w:rPr>
          <w:rStyle w:val="FootnoteReference"/>
        </w:rPr>
        <w:footnoteReference w:id="1383"/>
      </w:r>
      <w:r>
        <w:t xml:space="preserve">. Em porcos, o GHRP-2 foi particularmente potente em um estudo comparativo, mas, ao contrário da ipamorelina, também liberou ACTH e cortisol</w:t>
      </w:r>
      <w:r>
        <w:rPr>
          <w:rStyle w:val="FootnoteReference"/>
        </w:rPr>
        <w:footnoteReference w:id="1384"/>
      </w:r>
      <w:r>
        <w:t xml:space="preserve">.</w:t>
      </w:r>
    </w:p>
    <w:bookmarkEnd w:id="1385"/>
    <w:bookmarkStart w:id="1390" w:name="riscos-e-efeitos-colaterais-27"/>
    <w:p>
      <w:pPr>
        <w:pStyle w:val="Heading3"/>
      </w:pPr>
      <w:r>
        <w:t xml:space="preserve">Riscos e efeitos colaterais</w:t>
      </w:r>
    </w:p>
    <w:p>
      <w:pPr>
        <w:pStyle w:val="FirstParagraph"/>
      </w:pPr>
      <w:r>
        <w:rPr>
          <w:bCs/>
          <w:b/>
        </w:rPr>
        <w:t xml:space="preserve">Comprovado:</w:t>
      </w:r>
      <w:r>
        <w:t xml:space="preserve"> </w:t>
      </w:r>
      <w:r>
        <w:t xml:space="preserve">nos estudos, o GHRP-2 foi bem tolerado a curto prazo. Foram descritos repetidamente aumento do apetite</w:t>
      </w:r>
      <w:r>
        <w:rPr>
          <w:rStyle w:val="FootnoteReference"/>
        </w:rPr>
        <w:footnoteReference w:id="1386"/>
      </w:r>
      <w:r>
        <w:t xml:space="preserve">, bem como a liberação de ACTH e cortisol</w:t>
      </w:r>
      <w:r>
        <w:rPr>
          <w:rStyle w:val="FootnoteReference"/>
        </w:rPr>
        <w:footnoteReference w:id="1387"/>
      </w:r>
      <w:r>
        <w:t xml:space="preserve">. Uma revisão sobre liberadores de GH cita ainda um possível aumento da glicemia por redução da sensibilidade à insulina e pede dados de longo prazo sobre câncer e mortalidade</w:t>
      </w:r>
      <w:r>
        <w:rPr>
          <w:rStyle w:val="FootnoteReference"/>
        </w:rPr>
        <w:footnoteReference w:id="1388"/>
      </w:r>
      <w:r>
        <w:t xml:space="preserve">.</w:t>
      </w:r>
    </w:p>
    <w:p>
      <w:pPr>
        <w:pStyle w:val="BodyText"/>
      </w:pPr>
      <w:r>
        <w:rPr>
          <w:bCs/>
          <w:b/>
        </w:rPr>
        <w:t xml:space="preserve">Desconhecido:</w:t>
      </w:r>
      <w:r>
        <w:t xml:space="preserve"> </w:t>
      </w:r>
      <w:r>
        <w:t xml:space="preserve">não há dados sobre o uso por meses ou anos em adultos. Sobre a questão de se um hormônio do crescimento/IGF-1 continuamente elevado aumenta o risco de câncer, veja a introdução deste grupo e a Parte IV.</w:t>
      </w:r>
    </w:p>
    <w:p>
      <w:pPr>
        <w:pStyle w:val="BodyText"/>
      </w:pPr>
      <w:r>
        <w:rPr>
          <w:bCs/>
          <w:b/>
        </w:rPr>
        <w:t xml:space="preserve">Mercado cinza:</w:t>
      </w:r>
      <w:r>
        <w:t xml:space="preserve"> </w:t>
      </w:r>
      <w:r>
        <w:t xml:space="preserve">em produtos apreendidos foi encontrado</w:t>
      </w:r>
      <w:r>
        <w:t xml:space="preserve"> </w:t>
      </w:r>
      <w:r>
        <w:t xml:space="preserve">“</w:t>
      </w:r>
      <w:r>
        <w:t xml:space="preserve">Gly-GHRP-2</w:t>
      </w:r>
      <w:r>
        <w:t xml:space="preserve">”</w:t>
      </w:r>
      <w:r>
        <w:t xml:space="preserve">, ou seja, GHRP-2 com um aminoácido adicional que não estava declarado</w:t>
      </w:r>
      <w:r>
        <w:rPr>
          <w:rStyle w:val="FootnoteReference"/>
        </w:rPr>
        <w:footnoteReference w:id="1389"/>
      </w:r>
      <w:r>
        <w:t xml:space="preserve">.</w:t>
      </w:r>
    </w:p>
    <w:bookmarkEnd w:id="1390"/>
    <w:bookmarkStart w:id="1392" w:name="situação-legal-27"/>
    <w:p>
      <w:pPr>
        <w:pStyle w:val="Heading3"/>
      </w:pPr>
      <w:r>
        <w:t xml:space="preserve">Situação legal</w:t>
      </w:r>
    </w:p>
    <w:p>
      <w:pPr>
        <w:pStyle w:val="FirstParagraph"/>
      </w:pPr>
      <w:r>
        <w:rPr>
          <w:iCs/>
          <w:i/>
        </w:rPr>
        <w:t xml:space="preserve">Situação em 2026, verificar atualização.</w:t>
      </w:r>
    </w:p>
    <w:p>
      <w:pPr>
        <w:numPr>
          <w:ilvl w:val="0"/>
          <w:numId w:val="1162"/>
        </w:numPr>
        <w:pStyle w:val="Compact"/>
      </w:pPr>
      <w:r>
        <w:rPr>
          <w:bCs/>
          <w:b/>
        </w:rPr>
        <w:t xml:space="preserve">Japão:</w:t>
      </w:r>
      <w:r>
        <w:t xml:space="preserve"> </w:t>
      </w:r>
      <w:r>
        <w:t xml:space="preserve">aprovado como agente diagnóstico; uso exclusivamente no contexto de testes funcionais médicos.</w:t>
      </w:r>
    </w:p>
    <w:p>
      <w:pPr>
        <w:numPr>
          <w:ilvl w:val="0"/>
          <w:numId w:val="1162"/>
        </w:numPr>
        <w:pStyle w:val="Compact"/>
      </w:pPr>
      <w:r>
        <w:rPr>
          <w:bCs/>
          <w:b/>
        </w:rPr>
        <w:t xml:space="preserve">UE, Alemanha, Áustria:</w:t>
      </w:r>
      <w:r>
        <w:t xml:space="preserve"> </w:t>
      </w:r>
      <w:r>
        <w:t xml:space="preserve">nenhuma aprovação; fornecimento para uso em humanos proibido.</w:t>
      </w:r>
    </w:p>
    <w:p>
      <w:pPr>
        <w:numPr>
          <w:ilvl w:val="0"/>
          <w:numId w:val="1162"/>
        </w:numPr>
        <w:pStyle w:val="Compact"/>
      </w:pPr>
      <w:r>
        <w:rPr>
          <w:bCs/>
          <w:b/>
        </w:rPr>
        <w:t xml:space="preserve">EUA:</w:t>
      </w:r>
      <w:r>
        <w:t xml:space="preserve"> </w:t>
      </w:r>
      <w:r>
        <w:t xml:space="preserve">nenhuma aprovação.</w:t>
      </w:r>
    </w:p>
    <w:p>
      <w:pPr>
        <w:numPr>
          <w:ilvl w:val="0"/>
          <w:numId w:val="1162"/>
        </w:numPr>
        <w:pStyle w:val="Compact"/>
      </w:pPr>
      <w:r>
        <w:rPr>
          <w:bCs/>
          <w:b/>
        </w:rPr>
        <w:t xml:space="preserve">WADA:</w:t>
      </w:r>
      <w:r>
        <w:t xml:space="preserve"> </w:t>
      </w:r>
      <w:r>
        <w:t xml:space="preserve">proibido (S2). O GHRP-2 e seus produtos de degradação são detectáveis na urina por até 47 horas após administração como spray nasal em um voluntário</w:t>
      </w:r>
      <w:r>
        <w:rPr>
          <w:rStyle w:val="FootnoteReference"/>
        </w:rPr>
        <w:footnoteReference w:id="1391"/>
      </w:r>
      <w:r>
        <w:t xml:space="preserve">.</w:t>
      </w:r>
    </w:p>
    <w:bookmarkEnd w:id="1392"/>
    <w:bookmarkStart w:id="1393" w:name="estudos-em-andamento-e-perspectivas-27"/>
    <w:p>
      <w:pPr>
        <w:pStyle w:val="Heading3"/>
      </w:pPr>
      <w:r>
        <w:t xml:space="preserve">Estudos em andamento e perspectivas</w:t>
      </w:r>
    </w:p>
    <w:p>
      <w:pPr>
        <w:pStyle w:val="FirstParagraph"/>
      </w:pPr>
      <w:r>
        <w:t xml:space="preserve">No ClinicalTrials.gov, em outubro de 2026, não há estudo registrado com GHRP-2 ou pralmorelina.</w:t>
      </w:r>
      <w:r>
        <w:t xml:space="preserve"> </w:t>
      </w:r>
      <w:r>
        <w:rPr>
          <w:iCs/>
          <w:i/>
        </w:rPr>
        <w:t xml:space="preserve">Avaliação do autor:</w:t>
      </w:r>
      <w:r>
        <w:t xml:space="preserve"> </w:t>
      </w:r>
      <w:r>
        <w:t xml:space="preserve">o GHRP-2 continuará sendo uma ferramenta de diagnóstico no Japão e de pesquisa hormonal. Em outros países, como substância de teste, ele concorre com a macimorelina, disponível em forma oral.</w:t>
      </w:r>
    </w:p>
    <w:bookmarkEnd w:id="1393"/>
    <w:bookmarkStart w:id="1394" w:name="conclusão-27"/>
    <w:p>
      <w:pPr>
        <w:pStyle w:val="Heading3"/>
      </w:pPr>
      <w:r>
        <w:t xml:space="preserve">Conclusão</w:t>
      </w:r>
    </w:p>
    <w:p>
      <w:pPr>
        <w:pStyle w:val="FirstParagraph"/>
      </w:pPr>
      <w:r>
        <w:t xml:space="preserve">O GHRP-2 é um dos mais fortes desencadeadores conhecidos da secreção de hormônio do crescimento e está estabelecido no Japão como agente diagnóstico para a deficiência de hormônio do crescimento. Tentativas de tratamento em crianças mostraram apenas efeitos modestos e não tiveram continuidade. Para ganho muscular, perda de gordura ou</w:t>
      </w:r>
      <w:r>
        <w:t xml:space="preserve"> </w:t>
      </w:r>
      <w:r>
        <w:t xml:space="preserve">“</w:t>
      </w:r>
      <w:r>
        <w:t xml:space="preserve">anti-aging</w:t>
      </w:r>
      <w:r>
        <w:t xml:space="preserve">”</w:t>
      </w:r>
      <w:r>
        <w:t xml:space="preserve"> </w:t>
      </w:r>
      <w:r>
        <w:t xml:space="preserve">em pessoas saudáveis não há estudos; comprovados, por outro lado, são efeitos secundários como fome intensa e ativação dos hormônios do estresse.</w:t>
      </w:r>
    </w:p>
    <w:bookmarkEnd w:id="1394"/>
    <w:bookmarkEnd w:id="1395"/>
    <w:bookmarkStart w:id="1425" w:name="ghrp-6"/>
    <w:p>
      <w:pPr>
        <w:pStyle w:val="Heading2"/>
      </w:pPr>
      <w:r>
        <w:t xml:space="preserve">GHRP-6</w:t>
      </w:r>
    </w:p>
    <w:p>
      <w:pPr>
        <w:pStyle w:val="FirstParagraph"/>
      </w:pPr>
      <w:r>
        <w:t xml:space="preserve">O GHRP-6 é o ancestral de todos os peptídeos liberadores de hormônio do crescimento. Em 1984, o endocrinologista americano Cyril Bowers descreveu um hexapeptídeo artificial que libera seletivamente hormônio do crescimento – 15 anos antes de se conhecer o correspondente natural, a grelina. Na pesquisa, o GHRP-6 tornou-se a ferramenta padrão para testar o eixo do hormônio do crescimento. Nos círculos de fisiculturismo, por outro lado, é considerado um impulsionador barato de GH com o efeito secundário de</w:t>
      </w:r>
      <w:r>
        <w:t xml:space="preserve"> </w:t>
      </w:r>
      <w:r>
        <w:t xml:space="preserve">“</w:t>
      </w:r>
      <w:r>
        <w:t xml:space="preserve">fome intensa</w:t>
      </w:r>
      <w:r>
        <w:t xml:space="preserve">”</w:t>
      </w:r>
      <w:r>
        <w:t xml:space="preserve">. Nunca se tornou um medicamento.</w:t>
      </w:r>
    </w:p>
    <w:bookmarkStart w:id="1397" w:name="ficha-técnica-28"/>
    <w:p>
      <w:pPr>
        <w:pStyle w:val="Heading3"/>
      </w:pPr>
      <w:r>
        <w:t xml:space="preserve">Ficha técnica</w:t>
      </w:r>
    </w:p>
    <w:p>
      <w:pPr>
        <w:numPr>
          <w:ilvl w:val="0"/>
          <w:numId w:val="1163"/>
        </w:numPr>
        <w:pStyle w:val="Compact"/>
      </w:pPr>
      <w:r>
        <w:rPr>
          <w:bCs/>
          <w:b/>
        </w:rPr>
        <w:t xml:space="preserve">Tipo e estrutura:</w:t>
      </w:r>
      <w:r>
        <w:t xml:space="preserve"> </w:t>
      </w:r>
      <w:r>
        <w:t xml:space="preserve">hexapeptídeo sintético His-D-Trp-Ala-Trp-D-Phe-Lys-NH2 com dois D-aminoácidos não naturais</w:t>
      </w:r>
      <w:r>
        <w:rPr>
          <w:rStyle w:val="FootnoteReference"/>
        </w:rPr>
        <w:footnoteReference w:id="1396"/>
      </w:r>
      <w:r>
        <w:t xml:space="preserve">.</w:t>
      </w:r>
    </w:p>
    <w:p>
      <w:pPr>
        <w:numPr>
          <w:ilvl w:val="0"/>
          <w:numId w:val="1163"/>
        </w:numPr>
        <w:pStyle w:val="Compact"/>
      </w:pPr>
      <w:r>
        <w:rPr>
          <w:bCs/>
          <w:b/>
        </w:rPr>
        <w:t xml:space="preserve">Origem:</w:t>
      </w:r>
      <w:r>
        <w:t xml:space="preserve"> </w:t>
      </w:r>
      <w:r>
        <w:t xml:space="preserve">Tulane University (EUA), início dos anos 1980.</w:t>
      </w:r>
    </w:p>
    <w:p>
      <w:pPr>
        <w:numPr>
          <w:ilvl w:val="0"/>
          <w:numId w:val="1163"/>
        </w:numPr>
        <w:pStyle w:val="Compact"/>
      </w:pPr>
      <w:r>
        <w:rPr>
          <w:bCs/>
          <w:b/>
        </w:rPr>
        <w:t xml:space="preserve">Princípio de ação:</w:t>
      </w:r>
      <w:r>
        <w:t xml:space="preserve"> </w:t>
      </w:r>
      <w:r>
        <w:t xml:space="preserve">agonista do receptor de grelina (GHS-R1a) na hipófise e no diencéfalo; libera hormônio do crescimento e, além disso, ACTH, cortisol e prolactina; aumenta o apetite.</w:t>
      </w:r>
    </w:p>
    <w:p>
      <w:pPr>
        <w:numPr>
          <w:ilvl w:val="0"/>
          <w:numId w:val="1163"/>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Também não aprovado como medicamento em nenhum outro lugar (situação em 2026).</w:t>
      </w:r>
    </w:p>
    <w:p>
      <w:pPr>
        <w:numPr>
          <w:ilvl w:val="0"/>
          <w:numId w:val="1163"/>
        </w:numPr>
        <w:pStyle w:val="Compact"/>
      </w:pPr>
      <w:r>
        <w:rPr>
          <w:bCs/>
          <w:b/>
        </w:rPr>
        <w:t xml:space="preserve">WADA:</w:t>
      </w:r>
      <w:r>
        <w:t xml:space="preserve"> </w:t>
      </w:r>
      <w:r>
        <w:t xml:space="preserve">proibido, grupo S2 – o GHRP-6 é expressamente citado como peptídeo liberador de hormônio do crescimento.</w:t>
      </w:r>
    </w:p>
    <w:p>
      <w:pPr>
        <w:numPr>
          <w:ilvl w:val="0"/>
          <w:numId w:val="1163"/>
        </w:numPr>
        <w:pStyle w:val="Compact"/>
      </w:pPr>
      <w:r>
        <w:rPr>
          <w:bCs/>
          <w:b/>
        </w:rPr>
        <w:t xml:space="preserve">Nível de evidência: C</w:t>
      </w:r>
      <w:r>
        <w:t xml:space="preserve"> </w:t>
      </w:r>
      <w:r>
        <w:t xml:space="preserve">– muitos pequenos estudos sobre fisiologia hormonal e diagnóstico, com 10 a 250 pessoas cada, mas nenhum estudo controlado sobre benefício terapêutico.</w:t>
      </w:r>
    </w:p>
    <w:bookmarkEnd w:id="1397"/>
    <w:bookmarkStart w:id="1400" w:name="como-deveria-agir-28"/>
    <w:p>
      <w:pPr>
        <w:pStyle w:val="Heading3"/>
      </w:pPr>
      <w:r>
        <w:t xml:space="preserve">Como deveria agir</w:t>
      </w:r>
    </w:p>
    <w:p>
      <w:pPr>
        <w:pStyle w:val="FirstParagraph"/>
      </w:pPr>
      <w:r>
        <w:t xml:space="preserve">Bowers e colegas mostraram em 1984 que o hexapeptídeo libera hormônio do crescimento em poucos minutos em ratos, macacos, cordeiros e bezerros, sem influenciar outros hormônios hipofisários como LH, FSH ou TSH; ratos que o receberam repetidamente ganharam mais peso</w:t>
      </w:r>
      <w:r>
        <w:rPr>
          <w:rStyle w:val="FootnoteReference"/>
        </w:rPr>
        <w:footnoteReference w:id="1398"/>
      </w:r>
      <w:r>
        <w:t xml:space="preserve">. Mais tarde, verificou-se que o GHRP-6 atua no mesmo receptor que o hormônio gástrico grelina</w:t>
      </w:r>
      <w:r>
        <w:rPr>
          <w:rStyle w:val="FootnoteReference"/>
        </w:rPr>
        <w:footnoteReference w:id="1399"/>
      </w:r>
      <w:r>
        <w:t xml:space="preserve">.</w:t>
      </w:r>
    </w:p>
    <w:p>
      <w:pPr>
        <w:pStyle w:val="BodyText"/>
      </w:pPr>
      <w:r>
        <w:t xml:space="preserve">Como o GHRP-2, o GHRP-6 tem efeito máximo quando o GHRH do próprio organismo, vindo do diencéfalo, também participa. Combinando os dois, a secreção de hormônio do crescimento é maior do que a soma dos efeitos individuais. Justamente essa característica tornou o GHRP-6 interessante como agente diagnóstico. Ao contrário da ipamorelina, o GHRP-6 também ativa o eixo dos hormônios do estresse (ACTH e cortisol).</w:t>
      </w:r>
    </w:p>
    <w:bookmarkEnd w:id="1400"/>
    <w:bookmarkStart w:id="1411" w:name="estudos-em-humanos-28"/>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40</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Quase todos os trabalhos usam o GHRP-6 como substância de teste administrada uma única vez, para estudar a regulação hormonal em doenças como síndrome de Cushing, hipertireoidismo, excesso de peso ou no envelhecimento. Um estudo dessa lista foi realizado em cães.</w:t>
      </w:r>
    </w:p>
    <w:bookmarkStart w:id="1405" w:name="Xa2131a185652b89ba62b78c7b8d6a61454b27d3"/>
    <w:p>
      <w:pPr>
        <w:pStyle w:val="Heading4"/>
      </w:pPr>
      <w:r>
        <w:t xml:space="preserve">Diagnóstico da deficiência de hormônio do crescimento</w:t>
      </w:r>
    </w:p>
    <w:p>
      <w:pPr>
        <w:pStyle w:val="FirstParagraph"/>
      </w:pPr>
      <w:r>
        <w:t xml:space="preserve">O estudo mais conhecido foi publicado em 2000 na revista Lancet: 125 adultos com doenças da hipófise e 125 pessoas saudáveis receberam GHRH mais GHRP-6 como teste combinado. O pico médio de GH foi de 59,2 µg/l nas pessoas saudáveis e de 4,1 µg/l nas pessoas afetadas; um ponto de corte de 15 µg/l separou os dois grupos de forma confiável. Não ocorreram efeitos colaterais, e idade, sexo e gordura corporal não influenciaram o resultado</w:t>
      </w:r>
      <w:r>
        <w:rPr>
          <w:rStyle w:val="FootnoteReference"/>
        </w:rPr>
        <w:footnoteReference w:id="1401"/>
      </w:r>
      <w:r>
        <w:t xml:space="preserve">. Em um estudo menor com 20 pessoas, o teste identificou corretamente todos os casos de deficiência de hormônio do crescimento; o único efeito colateral observado foi uma sensação de calor (rubor)</w:t>
      </w:r>
      <w:r>
        <w:rPr>
          <w:rStyle w:val="FootnoteReference"/>
        </w:rPr>
        <w:footnoteReference w:id="1402"/>
      </w:r>
      <w:r>
        <w:t xml:space="preserve">. Em 21 adultos nos quais uma deficiência havia sido constatada anteriormente com testes convencionais, cerca de 40% ainda responderam claramente à combinação</w:t>
      </w:r>
      <w:r>
        <w:rPr>
          <w:rStyle w:val="FootnoteReference"/>
        </w:rPr>
        <w:footnoteReference w:id="1403"/>
      </w:r>
      <w:r>
        <w:t xml:space="preserve"> </w:t>
      </w:r>
      <w:r>
        <w:t xml:space="preserve">– um indício de que testes diferentes respondem a perguntas diferentes.</w:t>
      </w:r>
    </w:p>
    <w:p>
      <w:pPr>
        <w:pStyle w:val="BodyText"/>
      </w:pPr>
      <w:r>
        <w:t xml:space="preserve">Como teste para hipofunção do eixo adrenal, por outro lado, o GHRP-6 foi de utilidade limitada: em 49 pacientes, alcançou, em comparação com o teste de insulina, uma sensibilidade de 71,0% e uma especificidade de 77,8%</w:t>
      </w:r>
      <w:r>
        <w:rPr>
          <w:rStyle w:val="FootnoteReference"/>
        </w:rPr>
        <w:footnoteReference w:id="1404"/>
      </w:r>
      <w:r>
        <w:t xml:space="preserve">.</w:t>
      </w:r>
    </w:p>
    <w:bookmarkEnd w:id="1405"/>
    <w:bookmarkStart w:id="1410" w:name="farmacologia-sono-envelhecimento"/>
    <w:p>
      <w:pPr>
        <w:pStyle w:val="Heading4"/>
      </w:pPr>
      <w:r>
        <w:t xml:space="preserve">Farmacologia, sono, envelhecimento</w:t>
      </w:r>
    </w:p>
    <w:p>
      <w:pPr>
        <w:numPr>
          <w:ilvl w:val="0"/>
          <w:numId w:val="1164"/>
        </w:numPr>
        <w:pStyle w:val="Compact"/>
      </w:pPr>
      <w:r>
        <w:rPr>
          <w:bCs/>
          <w:b/>
        </w:rPr>
        <w:t xml:space="preserve">Farmacocinética:</w:t>
      </w:r>
      <w:r>
        <w:t xml:space="preserve"> </w:t>
      </w:r>
      <w:r>
        <w:t xml:space="preserve">em nove homens saudáveis, a meia-vida de eliminação após administração intravenosa foi em média de 2,5 horas</w:t>
      </w:r>
      <w:r>
        <w:rPr>
          <w:rStyle w:val="FootnoteReference"/>
        </w:rPr>
        <w:footnoteReference w:id="1406"/>
      </w:r>
      <w:r>
        <w:t xml:space="preserve">.</w:t>
      </w:r>
    </w:p>
    <w:p>
      <w:pPr>
        <w:numPr>
          <w:ilvl w:val="0"/>
          <w:numId w:val="1164"/>
        </w:numPr>
        <w:pStyle w:val="Compact"/>
      </w:pPr>
      <w:r>
        <w:rPr>
          <w:bCs/>
          <w:b/>
        </w:rPr>
        <w:t xml:space="preserve">Sono:</w:t>
      </w:r>
      <w:r>
        <w:t xml:space="preserve"> </w:t>
      </w:r>
      <w:r>
        <w:t xml:space="preserve">em homens saudáveis, o GHRP-6 aumentou à noite o hormônio do crescimento, o ACTH e o cortisol e prolongou o sono leve (estágio 2), mas não o sono profundo</w:t>
      </w:r>
      <w:r>
        <w:rPr>
          <w:rStyle w:val="FootnoteReference"/>
        </w:rPr>
        <w:footnoteReference w:id="1407"/>
      </w:r>
      <w:r>
        <w:t xml:space="preserve">.</w:t>
      </w:r>
    </w:p>
    <w:p>
      <w:pPr>
        <w:numPr>
          <w:ilvl w:val="0"/>
          <w:numId w:val="1164"/>
        </w:numPr>
        <w:pStyle w:val="Compact"/>
      </w:pPr>
      <w:r>
        <w:rPr>
          <w:bCs/>
          <w:b/>
        </w:rPr>
        <w:t xml:space="preserve">Envelhecimento:</w:t>
      </w:r>
      <w:r>
        <w:t xml:space="preserve"> </w:t>
      </w:r>
      <w:r>
        <w:t xml:space="preserve">em nove adultos jovens e nove mais velhos, a hipófise respondeu com a idade mais fracamente ao GHRH, mas não ao GHRP-6</w:t>
      </w:r>
      <w:r>
        <w:rPr>
          <w:rStyle w:val="FootnoteReference"/>
        </w:rPr>
        <w:footnoteReference w:id="1408"/>
      </w:r>
      <w:r>
        <w:t xml:space="preserve">.</w:t>
      </w:r>
    </w:p>
    <w:p>
      <w:pPr>
        <w:numPr>
          <w:ilvl w:val="0"/>
          <w:numId w:val="1164"/>
        </w:numPr>
        <w:pStyle w:val="Compact"/>
      </w:pPr>
      <w:r>
        <w:rPr>
          <w:bCs/>
          <w:b/>
        </w:rPr>
        <w:t xml:space="preserve">Crianças:</w:t>
      </w:r>
      <w:r>
        <w:t xml:space="preserve"> </w:t>
      </w:r>
      <w:r>
        <w:t xml:space="preserve">em comprimido, o GHRP-6 desencadeou em crianças de baixa estatura sem deficiência hormonal um aumento de GH semelhante ao observado após injeção de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afetados, 125 saudáveis; estudo comparativo multicêntrico</w:t>
            </w:r>
          </w:p>
        </w:tc>
        <w:tc>
          <w:tcPr/>
          <w:p>
            <w:pPr>
              <w:pStyle w:val="Compact"/>
              <w:jc w:val="left"/>
            </w:pPr>
            <w:r>
              <w:t xml:space="preserve">teste único</w:t>
            </w:r>
          </w:p>
        </w:tc>
        <w:tc>
          <w:tcPr/>
          <w:p>
            <w:pPr>
              <w:pStyle w:val="Compact"/>
              <w:jc w:val="left"/>
            </w:pPr>
            <w:r>
              <w:t xml:space="preserve">pico de GH 59,2 vs. 4,1 µg/l; ponto de corte 15 µg/l</w:t>
            </w:r>
          </w:p>
        </w:tc>
      </w:tr>
      <w:tr>
        <w:tc>
          <w:tcPr/>
          <w:p>
            <w:pPr>
              <w:pStyle w:val="Compact"/>
              <w:jc w:val="left"/>
            </w:pPr>
            <w:r>
              <w:t xml:space="preserve">Diagnóstico (Petersenn 2002), PMID 11980622</w:t>
            </w:r>
          </w:p>
        </w:tc>
        <w:tc>
          <w:tcPr/>
          <w:p>
            <w:pPr>
              <w:pStyle w:val="Compact"/>
              <w:jc w:val="left"/>
            </w:pPr>
            <w:r>
              <w:t xml:space="preserve">20 pessoas, comparação com teste de insulina</w:t>
            </w:r>
          </w:p>
        </w:tc>
        <w:tc>
          <w:tcPr/>
          <w:p>
            <w:pPr>
              <w:pStyle w:val="Compact"/>
              <w:jc w:val="left"/>
            </w:pPr>
            <w:r>
              <w:t xml:space="preserve">testes únicos</w:t>
            </w:r>
          </w:p>
        </w:tc>
        <w:tc>
          <w:tcPr/>
          <w:p>
            <w:pPr>
              <w:pStyle w:val="Compact"/>
              <w:jc w:val="left"/>
            </w:pPr>
            <w:r>
              <w:t xml:space="preserve">todos os casos de deficiência de GH identificados</w:t>
            </w:r>
          </w:p>
        </w:tc>
      </w:tr>
      <w:tr>
        <w:tc>
          <w:tcPr/>
          <w:p>
            <w:pPr>
              <w:pStyle w:val="Compact"/>
              <w:jc w:val="left"/>
            </w:pPr>
            <w:r>
              <w:t xml:space="preserve">Teste adrenal (Alaioubi 2010), PMID 19946832</w:t>
            </w:r>
          </w:p>
        </w:tc>
        <w:tc>
          <w:tcPr/>
          <w:p>
            <w:pPr>
              <w:pStyle w:val="Compact"/>
              <w:jc w:val="left"/>
            </w:pPr>
            <w:r>
              <w:t xml:space="preserve">49 afetados, 20 saudáveis</w:t>
            </w:r>
          </w:p>
        </w:tc>
        <w:tc>
          <w:tcPr/>
          <w:p>
            <w:pPr>
              <w:pStyle w:val="Compact"/>
              <w:jc w:val="left"/>
            </w:pPr>
            <w:r>
              <w:t xml:space="preserve">teste único</w:t>
            </w:r>
          </w:p>
        </w:tc>
        <w:tc>
          <w:tcPr/>
          <w:p>
            <w:pPr>
              <w:pStyle w:val="Compact"/>
              <w:jc w:val="left"/>
            </w:pPr>
            <w:r>
              <w:t xml:space="preserve">sensibilidade 71,0%, especificidade 77,8%</w:t>
            </w:r>
          </w:p>
        </w:tc>
      </w:tr>
      <w:tr>
        <w:tc>
          <w:tcPr/>
          <w:p>
            <w:pPr>
              <w:pStyle w:val="Compact"/>
              <w:jc w:val="left"/>
            </w:pPr>
            <w:r>
              <w:t xml:space="preserve">Farmacocinética (Cabrales 2013), PMID 23099431</w:t>
            </w:r>
          </w:p>
        </w:tc>
        <w:tc>
          <w:tcPr/>
          <w:p>
            <w:pPr>
              <w:pStyle w:val="Compact"/>
              <w:jc w:val="left"/>
            </w:pPr>
            <w:r>
              <w:t xml:space="preserve">9 homens saudáveis, fase 1</w:t>
            </w:r>
          </w:p>
        </w:tc>
        <w:tc>
          <w:tcPr/>
          <w:p>
            <w:pPr>
              <w:pStyle w:val="Compact"/>
              <w:jc w:val="left"/>
            </w:pPr>
            <w:r>
              <w:t xml:space="preserve">doses únicas</w:t>
            </w:r>
          </w:p>
        </w:tc>
        <w:tc>
          <w:tcPr/>
          <w:p>
            <w:pPr>
              <w:pStyle w:val="Compact"/>
              <w:jc w:val="left"/>
            </w:pPr>
            <w:r>
              <w:t xml:space="preserve">meia-vida 2,5 h</w:t>
            </w:r>
          </w:p>
        </w:tc>
      </w:tr>
      <w:tr>
        <w:tc>
          <w:tcPr/>
          <w:p>
            <w:pPr>
              <w:pStyle w:val="Compact"/>
              <w:jc w:val="left"/>
            </w:pPr>
            <w:r>
              <w:t xml:space="preserve">Sono (Frieboes 1995), PMID 7617137</w:t>
            </w:r>
          </w:p>
        </w:tc>
        <w:tc>
          <w:tcPr/>
          <w:p>
            <w:pPr>
              <w:pStyle w:val="Compact"/>
              <w:jc w:val="left"/>
            </w:pPr>
            <w:r>
              <w:t xml:space="preserve">homens saudáveis, comparação com placebo</w:t>
            </w:r>
          </w:p>
        </w:tc>
        <w:tc>
          <w:tcPr/>
          <w:p>
            <w:pPr>
              <w:pStyle w:val="Compact"/>
              <w:jc w:val="left"/>
            </w:pPr>
            <w:r>
              <w:t xml:space="preserve">1 noite</w:t>
            </w:r>
          </w:p>
        </w:tc>
        <w:tc>
          <w:tcPr/>
          <w:p>
            <w:pPr>
              <w:pStyle w:val="Compact"/>
              <w:jc w:val="left"/>
            </w:pPr>
            <w:r>
              <w:t xml:space="preserve">GH, ACTH, cortisol ↑; sono profundo inalterado</w:t>
            </w:r>
          </w:p>
        </w:tc>
      </w:tr>
    </w:tbl>
    <w:bookmarkEnd w:id="1410"/>
    <w:bookmarkEnd w:id="1411"/>
    <w:bookmarkStart w:id="1415" w:name="estudos-em-animais-e-em-laboratório-28"/>
    <w:p>
      <w:pPr>
        <w:pStyle w:val="Heading3"/>
      </w:pPr>
      <w:r>
        <w:t xml:space="preserve">Estudos em animais e em laboratório</w:t>
      </w:r>
    </w:p>
    <w:p>
      <w:pPr>
        <w:pStyle w:val="FirstParagraph"/>
      </w:pPr>
      <w:r>
        <w:t xml:space="preserve">Grande parte da pesquisa mais recente diz respeito à proteção de órgãos:</w:t>
      </w:r>
    </w:p>
    <w:p>
      <w:pPr>
        <w:numPr>
          <w:ilvl w:val="0"/>
          <w:numId w:val="1165"/>
        </w:numPr>
        <w:pStyle w:val="Compact"/>
      </w:pPr>
      <w:r>
        <w:rPr>
          <w:bCs/>
          <w:b/>
        </w:rPr>
        <w:t xml:space="preserve">Coração (ratos):</w:t>
      </w:r>
      <w:r>
        <w:t xml:space="preserve"> </w:t>
      </w:r>
      <w:r>
        <w:t xml:space="preserve">em ratos que receberam o quimioterápico cardiotóxico doxorrubicina, a administração simultânea de GHRP-6 impediu a dilatação dos ventrículos e preservou a função de bombeamento</w:t>
      </w:r>
      <w:r>
        <w:rPr>
          <w:rStyle w:val="FootnoteReference"/>
        </w:rPr>
        <w:footnoteReference w:id="1412"/>
      </w:r>
      <w:r>
        <w:t xml:space="preserve">.</w:t>
      </w:r>
    </w:p>
    <w:p>
      <w:pPr>
        <w:numPr>
          <w:ilvl w:val="0"/>
          <w:numId w:val="1165"/>
        </w:numPr>
        <w:pStyle w:val="Compact"/>
      </w:pPr>
      <w:r>
        <w:rPr>
          <w:bCs/>
          <w:b/>
        </w:rPr>
        <w:t xml:space="preserve">Falência de múltiplos órgãos (ratos, culturas de células):</w:t>
      </w:r>
      <w:r>
        <w:t xml:space="preserve"> </w:t>
      </w:r>
      <w:r>
        <w:t xml:space="preserve">após interrupção temporária da circulação hepática, o GHRP-6 reduziu danos ao fígado e ao intestino; em culturas de células, acelerou a migração de células intestinais</w:t>
      </w:r>
      <w:r>
        <w:rPr>
          <w:rStyle w:val="FootnoteReference"/>
        </w:rPr>
        <w:footnoteReference w:id="1413"/>
      </w:r>
      <w:r>
        <w:t xml:space="preserve">.</w:t>
      </w:r>
    </w:p>
    <w:p>
      <w:pPr>
        <w:numPr>
          <w:ilvl w:val="0"/>
          <w:numId w:val="1165"/>
        </w:numPr>
        <w:pStyle w:val="Compact"/>
      </w:pPr>
      <w:r>
        <w:rPr>
          <w:bCs/>
          <w:b/>
        </w:rPr>
        <w:t xml:space="preserve">Sistema nervoso (ratos, camundongos):</w:t>
      </w:r>
      <w:r>
        <w:t xml:space="preserve"> </w:t>
      </w:r>
      <w:r>
        <w:t xml:space="preserve">em um modelo animal de esclerose múltipla, apenas a combinação de GHRP-6 com o fator de crescimento EGF melhorou a evolução da doença, não o GHRP-6 sozinho</w:t>
      </w:r>
      <w:r>
        <w:rPr>
          <w:rStyle w:val="FootnoteReference"/>
        </w:rPr>
        <w:footnoteReference w:id="1414"/>
      </w:r>
      <w:r>
        <w:t xml:space="preserve">.</w:t>
      </w:r>
    </w:p>
    <w:p>
      <w:pPr>
        <w:pStyle w:val="FirstParagraph"/>
      </w:pPr>
      <w:r>
        <w:t xml:space="preserve">Nenhuma dessas abordagens levou até agora a um estudo controlado publicado em humanos.</w:t>
      </w:r>
    </w:p>
    <w:bookmarkEnd w:id="1415"/>
    <w:bookmarkStart w:id="1420" w:name="riscos-e-efeitos-colaterais-28"/>
    <w:p>
      <w:pPr>
        <w:pStyle w:val="Heading3"/>
      </w:pPr>
      <w:r>
        <w:t xml:space="preserve">Riscos e efeitos colaterais</w:t>
      </w:r>
    </w:p>
    <w:p>
      <w:pPr>
        <w:pStyle w:val="FirstParagraph"/>
      </w:pPr>
      <w:r>
        <w:rPr>
          <w:bCs/>
          <w:b/>
        </w:rPr>
        <w:t xml:space="preserve">Comprovado pelos estudos de curta duração:</w:t>
      </w:r>
      <w:r>
        <w:t xml:space="preserve"> </w:t>
      </w:r>
      <w:r>
        <w:t xml:space="preserve">sensação de calor (rubor)</w:t>
      </w:r>
      <w:r>
        <w:rPr>
          <w:rStyle w:val="FootnoteReference"/>
        </w:rPr>
        <w:footnoteReference w:id="1416"/>
      </w:r>
      <w:r>
        <w:t xml:space="preserve">; aumento de ACTH, cortisol e prolactina</w:t>
      </w:r>
      <w:r>
        <w:rPr>
          <w:rStyle w:val="FootnoteReference"/>
        </w:rPr>
        <w:footnoteReference w:id="1417"/>
      </w:r>
      <w:r>
        <w:t xml:space="preserve">; fome como efeito conhecido da grelina. Nos estudos diagnósticos com doses únicas, não ocorreram outros efeitos colaterais relevantes.</w:t>
      </w:r>
    </w:p>
    <w:p>
      <w:pPr>
        <w:pStyle w:val="BodyText"/>
      </w:pPr>
      <w:r>
        <w:rPr>
          <w:bCs/>
          <w:b/>
        </w:rPr>
        <w:t xml:space="preserve">Desconhecido:</w:t>
      </w:r>
      <w:r>
        <w:t xml:space="preserve"> </w:t>
      </w:r>
      <w:r>
        <w:t xml:space="preserve">não há estudos em humanos sobre o uso repetido ao longo de semanas ou meses. Com o uso contínuo, são concebíveis as consequências conhecidas de níveis elevados de hormônio do crescimento e de uma estimulação repetida do cortisol, como piora da regulação da glicemia. Um relato de caso descreve um fisiculturista que, durante décadas, usou hormônio do crescimento e liberadores – entre eles uma combinação de sermorelina e GHRP-6 – e desenvolveu um grande osteófito na coluna cervical; uma relação causal não está comprovada</w:t>
      </w:r>
      <w:r>
        <w:rPr>
          <w:rStyle w:val="FootnoteReference"/>
        </w:rPr>
        <w:footnoteReference w:id="1418"/>
      </w:r>
      <w:r>
        <w:t xml:space="preserve">. Sobre a questão do câncer, veja a introdução deste grupo e a Parte IV.</w:t>
      </w:r>
    </w:p>
    <w:p>
      <w:pPr>
        <w:pStyle w:val="BodyText"/>
      </w:pPr>
      <w:r>
        <w:rPr>
          <w:bCs/>
          <w:b/>
        </w:rPr>
        <w:t xml:space="preserve">Mercado cinza:</w:t>
      </w:r>
      <w:r>
        <w:t xml:space="preserve"> </w:t>
      </w:r>
      <w:r>
        <w:t xml:space="preserve">em produtos apreendidos foi detectado</w:t>
      </w:r>
      <w:r>
        <w:t xml:space="preserve"> </w:t>
      </w:r>
      <w:r>
        <w:t xml:space="preserve">“</w:t>
      </w:r>
      <w:r>
        <w:t xml:space="preserve">Gly-GHRP-6</w:t>
      </w:r>
      <w:r>
        <w:t xml:space="preserve">”</w:t>
      </w:r>
      <w:r>
        <w:t xml:space="preserve">, uma modificação não declarada com um aminoácido adicional</w:t>
      </w:r>
      <w:r>
        <w:rPr>
          <w:rStyle w:val="FootnoteReference"/>
        </w:rPr>
        <w:footnoteReference w:id="1419"/>
      </w:r>
      <w:r>
        <w:t xml:space="preserve">.</w:t>
      </w:r>
    </w:p>
    <w:bookmarkEnd w:id="1420"/>
    <w:bookmarkStart w:id="1422" w:name="situação-legal-28"/>
    <w:p>
      <w:pPr>
        <w:pStyle w:val="Heading3"/>
      </w:pPr>
      <w:r>
        <w:t xml:space="preserve">Situação legal</w:t>
      </w:r>
    </w:p>
    <w:p>
      <w:pPr>
        <w:pStyle w:val="FirstParagraph"/>
      </w:pPr>
      <w:r>
        <w:rPr>
          <w:iCs/>
          <w:i/>
        </w:rPr>
        <w:t xml:space="preserve">Situação em 2026, verificar atualização.</w:t>
      </w:r>
    </w:p>
    <w:p>
      <w:pPr>
        <w:numPr>
          <w:ilvl w:val="0"/>
          <w:numId w:val="1166"/>
        </w:numPr>
        <w:pStyle w:val="Compact"/>
      </w:pPr>
      <w:r>
        <w:rPr>
          <w:bCs/>
          <w:b/>
        </w:rPr>
        <w:t xml:space="preserve">UE, Alemanha, Áustria, EUA:</w:t>
      </w:r>
      <w:r>
        <w:t xml:space="preserve"> </w:t>
      </w:r>
      <w:r>
        <w:t xml:space="preserve">nenhuma aprovação como medicamento; o fornecimento para uso em humanos é proibido. Na pesquisa, o GHRP-6 é usado no âmbito de estudos autorizados.</w:t>
      </w:r>
    </w:p>
    <w:p>
      <w:pPr>
        <w:numPr>
          <w:ilvl w:val="0"/>
          <w:numId w:val="1166"/>
        </w:numPr>
        <w:pStyle w:val="Compact"/>
      </w:pPr>
      <w:r>
        <w:rPr>
          <w:bCs/>
          <w:b/>
        </w:rPr>
        <w:t xml:space="preserve">WADA:</w:t>
      </w:r>
      <w:r>
        <w:t xml:space="preserve"> </w:t>
      </w:r>
      <w:r>
        <w:t xml:space="preserve">proibido (S2). O GHRP-6 é excretado em grande parte inalterado pela urina e, após administração como spray nasal em um voluntário, foi detectável por 23 horas</w:t>
      </w:r>
      <w:r>
        <w:rPr>
          <w:rStyle w:val="FootnoteReference"/>
        </w:rPr>
        <w:footnoteReference w:id="1421"/>
      </w:r>
      <w:r>
        <w:t xml:space="preserve">.</w:t>
      </w:r>
    </w:p>
    <w:bookmarkEnd w:id="1422"/>
    <w:bookmarkStart w:id="1423" w:name="estudos-em-andamento-e-perspectivas-28"/>
    <w:p>
      <w:pPr>
        <w:pStyle w:val="Heading3"/>
      </w:pPr>
      <w:r>
        <w:t xml:space="preserve">Estudos em andamento e perspectivas</w:t>
      </w:r>
    </w:p>
    <w:p>
      <w:pPr>
        <w:pStyle w:val="FirstParagraph"/>
      </w:pPr>
      <w:r>
        <w:t xml:space="preserve">No ClinicalTrials.gov, em outubro de 2026, não há estudo registrado com GHRP-6.</w:t>
      </w:r>
      <w:r>
        <w:t xml:space="preserve"> </w:t>
      </w:r>
      <w:r>
        <w:rPr>
          <w:iCs/>
          <w:i/>
        </w:rPr>
        <w:t xml:space="preserve">Avaliação do autor:</w:t>
      </w:r>
      <w:r>
        <w:t xml:space="preserve"> </w:t>
      </w:r>
      <w:r>
        <w:t xml:space="preserve">os trabalhos em animais sobre proteção de órgãos são a única linha de desenvolvimento reconhecível; se daí surgirão estudos em humanos é incerto. No diagnóstico, o GHRP-6 foi em grande parte substituído por outros testes.</w:t>
      </w:r>
    </w:p>
    <w:bookmarkEnd w:id="1423"/>
    <w:bookmarkStart w:id="1424" w:name="conclusão-28"/>
    <w:p>
      <w:pPr>
        <w:pStyle w:val="Heading3"/>
      </w:pPr>
      <w:r>
        <w:t xml:space="preserve">Conclusão</w:t>
      </w:r>
    </w:p>
    <w:p>
      <w:pPr>
        <w:pStyle w:val="FirstParagraph"/>
      </w:pPr>
      <w:r>
        <w:t xml:space="preserve">O GHRP-6 foi o primeiro peptídeo artificial a liberar seletivamente hormônio do crescimento e contribuiu de forma decisiva para a descoberta do sistema da grelina. Em humanos, foi estudado quase só como substância de teste administrada uma única vez, entre outros em um grande estudo publicado na Lancet sobre o diagnóstico da deficiência de hormônio do crescimento. Não há benefício terapêutico comprovado, e faltam completamente dados sobre o uso repetido, como é anunciado no mercado cinza.</w:t>
      </w:r>
    </w:p>
    <w:bookmarkEnd w:id="1424"/>
    <w:bookmarkEnd w:id="1425"/>
    <w:bookmarkStart w:id="1458" w:name="hexarelina"/>
    <w:p>
      <w:pPr>
        <w:pStyle w:val="Heading2"/>
      </w:pPr>
      <w:r>
        <w:t xml:space="preserve">Hexarelina</w:t>
      </w:r>
    </w:p>
    <w:p>
      <w:pPr>
        <w:pStyle w:val="FirstParagraph"/>
      </w:pPr>
      <w:r>
        <w:t xml:space="preserve">A hexarelina é uma parente próxima do GHRP-6 – e um dos mais potentes liberadores artificiais de hormônio do crescimento que existem. Nos anos 1990, foi estudada intensivamente em humanos, sobretudo na Itália. Nisso chamou a atenção algo inesperado: a hexarelina parece agir diretamente sobre o coração, independentemente do hormônio do crescimento. Mesmo assim, não houve aprovação. Um dos motivos estava em uma fraqueza típica desta classe de substâncias: com o uso contínuo, o efeito diminui.</w:t>
      </w:r>
    </w:p>
    <w:bookmarkStart w:id="1428" w:name="ficha-técnica-29"/>
    <w:p>
      <w:pPr>
        <w:pStyle w:val="Heading3"/>
      </w:pPr>
      <w:r>
        <w:t xml:space="preserve">Ficha técnica</w:t>
      </w:r>
    </w:p>
    <w:p>
      <w:pPr>
        <w:numPr>
          <w:ilvl w:val="0"/>
          <w:numId w:val="1167"/>
        </w:numPr>
        <w:pStyle w:val="Compact"/>
      </w:pPr>
      <w:r>
        <w:rPr>
          <w:bCs/>
          <w:b/>
        </w:rPr>
        <w:t xml:space="preserve">Tipo e estrutura:</w:t>
      </w:r>
      <w:r>
        <w:t xml:space="preserve"> </w:t>
      </w:r>
      <w:r>
        <w:t xml:space="preserve">hexapeptídeo sintético His-D-2-Metil-Trp-Ala-Trp-D-Phe-Lys-NH2; difere do GHRP-6 por um grupo metila adicional no segundo componente</w:t>
      </w:r>
      <w:r>
        <w:rPr>
          <w:rStyle w:val="FootnoteReference"/>
        </w:rPr>
        <w:footnoteReference w:id="1426"/>
      </w:r>
      <w:r>
        <w:t xml:space="preserve">.</w:t>
      </w:r>
    </w:p>
    <w:p>
      <w:pPr>
        <w:numPr>
          <w:ilvl w:val="0"/>
          <w:numId w:val="1167"/>
        </w:numPr>
        <w:pStyle w:val="Compact"/>
      </w:pPr>
      <w:r>
        <w:rPr>
          <w:bCs/>
          <w:b/>
        </w:rPr>
        <w:t xml:space="preserve">Origem:</w:t>
      </w:r>
      <w:r>
        <w:t xml:space="preserve"> </w:t>
      </w:r>
      <w:r>
        <w:t xml:space="preserve">desenvolvida no início dos anos 1990 como modificação do GHRP-6; grande parte da pesquisa clínica vem de centros universitários italianos.</w:t>
      </w:r>
    </w:p>
    <w:p>
      <w:pPr>
        <w:numPr>
          <w:ilvl w:val="0"/>
          <w:numId w:val="1167"/>
        </w:numPr>
        <w:pStyle w:val="Compact"/>
      </w:pPr>
      <w:r>
        <w:rPr>
          <w:bCs/>
          <w:b/>
        </w:rPr>
        <w:t xml:space="preserve">Princípio de ação:</w:t>
      </w:r>
      <w:r>
        <w:t xml:space="preserve"> </w:t>
      </w:r>
      <w:r>
        <w:t xml:space="preserve">agonista do receptor de grelina (GHS-R1a); libera hormônio do crescimento, ACTH, cortisol e prolactina. Além disso, a hexarelina se liga ao receptor CD36 no tecido cardíaco, através do qual se supõem efeitos cardíacos independentes do GH</w:t>
      </w:r>
      <w:r>
        <w:rPr>
          <w:rStyle w:val="FootnoteReference"/>
        </w:rPr>
        <w:footnoteReference w:id="1427"/>
      </w:r>
      <w:r>
        <w:t xml:space="preserve">.</w:t>
      </w:r>
    </w:p>
    <w:p>
      <w:pPr>
        <w:numPr>
          <w:ilvl w:val="0"/>
          <w:numId w:val="1167"/>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67"/>
        </w:numPr>
        <w:pStyle w:val="Compact"/>
      </w:pPr>
      <w:r>
        <w:rPr>
          <w:bCs/>
          <w:b/>
        </w:rPr>
        <w:t xml:space="preserve">WADA:</w:t>
      </w:r>
      <w:r>
        <w:t xml:space="preserve"> </w:t>
      </w:r>
      <w:r>
        <w:t xml:space="preserve">proibida, grupo S2 – a hexarelina é expressamente citada como peptídeo liberador de hormônio do crescimento.</w:t>
      </w:r>
    </w:p>
    <w:p>
      <w:pPr>
        <w:numPr>
          <w:ilvl w:val="0"/>
          <w:numId w:val="1167"/>
        </w:numPr>
        <w:pStyle w:val="Compact"/>
      </w:pPr>
      <w:r>
        <w:rPr>
          <w:bCs/>
          <w:b/>
        </w:rPr>
        <w:t xml:space="preserve">Nível de evidência: C</w:t>
      </w:r>
      <w:r>
        <w:t xml:space="preserve"> </w:t>
      </w:r>
      <w:r>
        <w:t xml:space="preserve">– numerosos pequenos estudos, muitos deles randomizados, mas quase exclusivamente com doses únicas e com parâmetros hormonais ou de fisiologia circulatória; nenhum estudo sobre um desfecho clínico.</w:t>
      </w:r>
    </w:p>
    <w:bookmarkEnd w:id="1428"/>
    <w:bookmarkStart w:id="1430" w:name="como-deveria-agir-29"/>
    <w:p>
      <w:pPr>
        <w:pStyle w:val="Heading3"/>
      </w:pPr>
      <w:r>
        <w:t xml:space="preserve">Como deveria agir</w:t>
      </w:r>
    </w:p>
    <w:p>
      <w:pPr>
        <w:pStyle w:val="FirstParagraph"/>
      </w:pPr>
      <w:r>
        <w:t xml:space="preserve">Como o GHRP-6 e o GHRP-2, a hexarelina imita o hormônio gástrico grelina e assim desencadeia a secreção de hormônio do crescimento. Seu efeito depende de uma conexão intacta entre o diencéfalo e a hipófise: em crianças e adultos nos quais essa conexão estava anatomicamente interrompida, a resposta de GH esteve ausente ou fortemente atenuada, ao passo que na deficiência idiopática foi intensa</w:t>
      </w:r>
      <w:r>
        <w:rPr>
          <w:rStyle w:val="FootnoteReference"/>
        </w:rPr>
        <w:footnoteReference w:id="1429"/>
      </w:r>
      <w:r>
        <w:t xml:space="preserve">.</w:t>
      </w:r>
    </w:p>
    <w:p>
      <w:pPr>
        <w:pStyle w:val="BodyText"/>
      </w:pPr>
      <w:r>
        <w:t xml:space="preserve">A segunda ideia, independente, diz respeito ao coração. Receptores de grelina e a molécula captadora CD36 também ocorrem no músculo cardíaco. A hexarelina poderia, portanto, aumentar diretamente a força de bombeamento do coração – uma possível abordagem na insuficiência cardíaca, independentemente do hormônio do crescimento.</w:t>
      </w:r>
    </w:p>
    <w:bookmarkEnd w:id="1430"/>
    <w:bookmarkStart w:id="1444" w:name="estudos-em-humanos-29"/>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58</w:t>
      </w:r>
      <w:r>
        <w:t xml:space="preserve"> </w:t>
      </w:r>
      <w:r>
        <w:t xml:space="preserve">estudos em humanos no PubMed (</w:t>
      </w:r>
      <w:r>
        <w:rPr>
          <w:rStyle w:val="VerbatimChar"/>
        </w:rPr>
        <w:t xml:space="preserve">humanstudien_alle</w:t>
      </w:r>
      <w:r>
        <w:t xml:space="preserve">) e</w:t>
      </w:r>
      <w:r>
        <w:t xml:space="preserve"> </w:t>
      </w:r>
      <w:r>
        <w:rPr>
          <w:bCs/>
          <w:b/>
        </w:rPr>
        <w:t xml:space="preserve">nenhum</w:t>
      </w:r>
      <w:r>
        <w:t xml:space="preserve"> </w:t>
      </w:r>
      <w:r>
        <w:t xml:space="preserve">registro no ClinicalTrials.gov. A maioria dos estudos é de 1994 a 2004 e examina, com doses únicas, como a resposta hormonal depende de idade, sexo, alimentação, medicamentos ou doenças. Alguns registros da lista tratam principalmente de grelina ou GHRP-6 e usam a hexarelina apenas como comparação.</w:t>
      </w:r>
    </w:p>
    <w:bookmarkStart w:id="1434" w:name="efeito-hormonal-e-dose"/>
    <w:p>
      <w:pPr>
        <w:pStyle w:val="Heading4"/>
      </w:pPr>
      <w:r>
        <w:t xml:space="preserve">Efeito hormonal e dose</w:t>
      </w:r>
    </w:p>
    <w:p>
      <w:pPr>
        <w:pStyle w:val="FirstParagraph"/>
      </w:pPr>
      <w:r>
        <w:t xml:space="preserve">Em um estudo duplo-cego e controlado por placebo com doze homens saudáveis, o hormônio do crescimento aumentou de forma dependente da dose após administração intravenosa, com pico após cerca de 30 minutos e retorno ao valor inicial em quatro horas</w:t>
      </w:r>
      <w:r>
        <w:rPr>
          <w:rStyle w:val="FootnoteReference"/>
        </w:rPr>
        <w:footnoteReference w:id="1431"/>
      </w:r>
      <w:r>
        <w:t xml:space="preserve">. A hexarelina também liberou prolactina e cortisol de forma dependente da dose; combinada com GHRH, uma dose baixa de hexarelina bastou para uma secreção maciça de GH sem aumento do cortisol</w:t>
      </w:r>
      <w:r>
        <w:rPr>
          <w:rStyle w:val="FootnoteReference"/>
        </w:rPr>
        <w:footnoteReference w:id="1432"/>
      </w:r>
      <w:r>
        <w:t xml:space="preserve">. A ativação do eixo dos hormônios do estresse ocorre aparentemente via diencéfalo; em um estudo com 15 homens jovens, a hexarelina também aumentou o apetite a curto prazo</w:t>
      </w:r>
      <w:r>
        <w:rPr>
          <w:rStyle w:val="FootnoteReference"/>
        </w:rPr>
        <w:footnoteReference w:id="1433"/>
      </w:r>
      <w:r>
        <w:t xml:space="preserve">.</w:t>
      </w:r>
    </w:p>
    <w:bookmarkEnd w:id="1434"/>
    <w:bookmarkStart w:id="1439" w:name="Xd91ebaf58933254b25d20d165c30b8ffe616444"/>
    <w:p>
      <w:pPr>
        <w:pStyle w:val="Heading4"/>
      </w:pPr>
      <w:r>
        <w:t xml:space="preserve">Administração prolongada: o efeito diminui</w:t>
      </w:r>
    </w:p>
    <w:p>
      <w:pPr>
        <w:pStyle w:val="FirstParagraph"/>
      </w:pPr>
      <w:r>
        <w:t xml:space="preserve">Decisivo para uma terapia é saber se o efeito se mantém com a administração repetida. Em adultos que injetaram hexarelina por via subcutânea duas vezes ao dia por 16 semanas, a resposta de GH diminuiu claramente e só se recuperou quatro semanas após a suspensão. IGF-1, gordura corporal, massa muscular e densidade óssea não se alteraram significativamente</w:t>
      </w:r>
      <w:r>
        <w:rPr>
          <w:rStyle w:val="FootnoteReference"/>
        </w:rPr>
        <w:footnoteReference w:id="1435"/>
      </w:r>
      <w:r>
        <w:t xml:space="preserve">. A resposta do cortisol também se atenuou temporariamente no mesmo estudo</w:t>
      </w:r>
      <w:r>
        <w:rPr>
          <w:rStyle w:val="FootnoteReference"/>
        </w:rPr>
        <w:footnoteReference w:id="1436"/>
      </w:r>
      <w:r>
        <w:t xml:space="preserve">.</w:t>
      </w:r>
    </w:p>
    <w:p>
      <w:pPr>
        <w:pStyle w:val="BodyText"/>
      </w:pPr>
      <w:r>
        <w:t xml:space="preserve">Em crianças de baixa estatura, o quadro foi um pouco mais favorável: com spray nasal, a velocidade de crescimento subiu em oito crianças de 5,3 para 8,3 cm por ano, e o IGF-1 aumentou</w:t>
      </w:r>
      <w:r>
        <w:rPr>
          <w:rStyle w:val="FootnoteReference"/>
        </w:rPr>
        <w:footnoteReference w:id="1437"/>
      </w:r>
      <w:r>
        <w:t xml:space="preserve">. Um estudo subsequente com sete crianças mostrou que a resposta de GH da hipófise já estava reduzida à metade após sete dias, mas o crescimento mais rápido se manteve mesmo assim</w:t>
      </w:r>
      <w:r>
        <w:rPr>
          <w:rStyle w:val="FootnoteReference"/>
        </w:rPr>
        <w:footnoteReference w:id="1438"/>
      </w:r>
      <w:r>
        <w:t xml:space="preserve">.</w:t>
      </w:r>
    </w:p>
    <w:bookmarkEnd w:id="1439"/>
    <w:bookmarkStart w:id="1443" w:name="efeitos-cardíacos"/>
    <w:p>
      <w:pPr>
        <w:pStyle w:val="Heading4"/>
      </w:pPr>
      <w:r>
        <w:t xml:space="preserve">Efeitos cardíacos</w:t>
      </w:r>
    </w:p>
    <w:p>
      <w:pPr>
        <w:pStyle w:val="FirstParagraph"/>
      </w:pPr>
      <w:r>
        <w:t xml:space="preserve">Vários pequenos estudos de um grupo de trabalho italiano examinaram o coração:</w:t>
      </w:r>
    </w:p>
    <w:p>
      <w:pPr>
        <w:numPr>
          <w:ilvl w:val="0"/>
          <w:numId w:val="1168"/>
        </w:numPr>
        <w:pStyle w:val="Compact"/>
      </w:pPr>
      <w:r>
        <w:t xml:space="preserve">Em sete homens com deficiência de hormônio do crescimento e nove controles saudáveis, a fração de ejeção do ventrículo esquerdo (a proporção de sangue que o ventrículo esquerdo ejeta a cada batimento) aumentou após uma dose única de hexarelina nos dois grupos, embora os afetados quase não secretassem hormônio do crescimento. Os autores concluem por um efeito independente do GH</w:t>
      </w:r>
      <w:r>
        <w:rPr>
          <w:rStyle w:val="FootnoteReference"/>
        </w:rPr>
        <w:footnoteReference w:id="1440"/>
      </w:r>
      <w:r>
        <w:t xml:space="preserve">.</w:t>
      </w:r>
    </w:p>
    <w:p>
      <w:pPr>
        <w:numPr>
          <w:ilvl w:val="0"/>
          <w:numId w:val="1168"/>
        </w:numPr>
        <w:pStyle w:val="Compact"/>
      </w:pPr>
      <w:r>
        <w:t xml:space="preserve">Em pacientes com doença grave do músculo cardíaco com dilatação (cardiomiopatia dilatada), por outro lado, esse efeito esteve ausente</w:t>
      </w:r>
      <w:r>
        <w:rPr>
          <w:rStyle w:val="FootnoteReference"/>
        </w:rPr>
        <w:footnoteReference w:id="1441"/>
      </w:r>
      <w:r>
        <w:t xml:space="preserve">.</w:t>
      </w:r>
    </w:p>
    <w:p>
      <w:pPr>
        <w:numPr>
          <w:ilvl w:val="0"/>
          <w:numId w:val="1168"/>
        </w:numPr>
        <w:pStyle w:val="Compact"/>
      </w:pPr>
      <w:r>
        <w:t xml:space="preserve">Em 24 homens com doença arterial coronariana durante uma cirurgia de revascularização (bypass), a hexarelina aumentou a fração de ejeção e o débito cardíaco por até 90 minutos, enquanto GHRH, hormônio do crescimento e placebo não tiveram efeito</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Determinação de dose (Imbimbo 1994), PMID 7957536</w:t>
            </w:r>
          </w:p>
        </w:tc>
        <w:tc>
          <w:tcPr/>
          <w:p>
            <w:pPr>
              <w:pStyle w:val="Compact"/>
              <w:jc w:val="left"/>
            </w:pPr>
            <w:r>
              <w:t xml:space="preserve">12 homens saudáveis, duplo-cego, placebo, doses crescentes</w:t>
            </w:r>
          </w:p>
        </w:tc>
        <w:tc>
          <w:tcPr/>
          <w:p>
            <w:pPr>
              <w:pStyle w:val="Compact"/>
              <w:jc w:val="left"/>
            </w:pPr>
            <w:r>
              <w:t xml:space="preserve">doses únicas</w:t>
            </w:r>
          </w:p>
        </w:tc>
        <w:tc>
          <w:tcPr/>
          <w:p>
            <w:pPr>
              <w:pStyle w:val="Compact"/>
              <w:jc w:val="left"/>
            </w:pPr>
            <w:r>
              <w:t xml:space="preserve">pico de GH após cerca de 30 min, dependente da dose</w:t>
            </w:r>
          </w:p>
        </w:tc>
      </w:tr>
      <w:tr>
        <w:tc>
          <w:tcPr/>
          <w:p>
            <w:pPr>
              <w:pStyle w:val="Compact"/>
              <w:jc w:val="left"/>
            </w:pPr>
            <w:r>
              <w:t xml:space="preserve">Administração prolongada (Rahim 1998), PMID 9589671</w:t>
            </w:r>
          </w:p>
        </w:tc>
        <w:tc>
          <w:tcPr/>
          <w:p>
            <w:pPr>
              <w:pStyle w:val="Compact"/>
              <w:jc w:val="left"/>
            </w:pPr>
            <w:r>
              <w:t xml:space="preserve">adultos, sem grupo controle</w:t>
            </w:r>
          </w:p>
        </w:tc>
        <w:tc>
          <w:tcPr/>
          <w:p>
            <w:pPr>
              <w:pStyle w:val="Compact"/>
              <w:jc w:val="left"/>
            </w:pPr>
            <w:r>
              <w:t xml:space="preserve">16 semanas</w:t>
            </w:r>
          </w:p>
        </w:tc>
        <w:tc>
          <w:tcPr/>
          <w:p>
            <w:pPr>
              <w:pStyle w:val="Compact"/>
              <w:jc w:val="left"/>
            </w:pPr>
            <w:r>
              <w:t xml:space="preserve">resposta de GH atenuada; IGF-1 e composição corporal inalterados</w:t>
            </w:r>
          </w:p>
        </w:tc>
      </w:tr>
      <w:tr>
        <w:tc>
          <w:tcPr/>
          <w:p>
            <w:pPr>
              <w:pStyle w:val="Compact"/>
              <w:jc w:val="left"/>
            </w:pPr>
            <w:r>
              <w:t xml:space="preserve">Crianças, spray nasal (Laron 1995), PMID 8548949</w:t>
            </w:r>
          </w:p>
        </w:tc>
        <w:tc>
          <w:tcPr/>
          <w:p>
            <w:pPr>
              <w:pStyle w:val="Compact"/>
              <w:jc w:val="left"/>
            </w:pPr>
            <w:r>
              <w:t xml:space="preserve">8 crianças de baixa estatura, sem grupo controle</w:t>
            </w:r>
          </w:p>
        </w:tc>
        <w:tc>
          <w:tcPr/>
          <w:p>
            <w:pPr>
              <w:pStyle w:val="Compact"/>
              <w:jc w:val="left"/>
            </w:pPr>
            <w:r>
              <w:t xml:space="preserve">até 8 meses</w:t>
            </w:r>
          </w:p>
        </w:tc>
        <w:tc>
          <w:tcPr/>
          <w:p>
            <w:pPr>
              <w:pStyle w:val="Compact"/>
              <w:jc w:val="left"/>
            </w:pPr>
            <w:r>
              <w:t xml:space="preserve">crescimento 5,3 → 8,3 cm/ano</w:t>
            </w:r>
          </w:p>
        </w:tc>
      </w:tr>
      <w:tr>
        <w:tc>
          <w:tcPr/>
          <w:p>
            <w:pPr>
              <w:pStyle w:val="Compact"/>
              <w:jc w:val="left"/>
            </w:pPr>
            <w:r>
              <w:t xml:space="preserve">Coração, deficiência de GH (Bisi 1999), PMID 10528131</w:t>
            </w:r>
          </w:p>
        </w:tc>
        <w:tc>
          <w:tcPr/>
          <w:p>
            <w:pPr>
              <w:pStyle w:val="Compact"/>
              <w:jc w:val="left"/>
            </w:pPr>
            <w:r>
              <w:t xml:space="preserve">7 homens com deficiência de GH, 9 saudáveis</w:t>
            </w:r>
          </w:p>
        </w:tc>
        <w:tc>
          <w:tcPr/>
          <w:p>
            <w:pPr>
              <w:pStyle w:val="Compact"/>
              <w:jc w:val="left"/>
            </w:pPr>
            <w:r>
              <w:t xml:space="preserve">dose única</w:t>
            </w:r>
          </w:p>
        </w:tc>
        <w:tc>
          <w:tcPr/>
          <w:p>
            <w:pPr>
              <w:pStyle w:val="Compact"/>
              <w:jc w:val="left"/>
            </w:pPr>
            <w:r>
              <w:t xml:space="preserve">fração de ejeção 50 → 57% e 63 → 70%</w:t>
            </w:r>
          </w:p>
        </w:tc>
      </w:tr>
      <w:tr>
        <w:tc>
          <w:tcPr/>
          <w:p>
            <w:pPr>
              <w:pStyle w:val="Compact"/>
              <w:jc w:val="left"/>
            </w:pPr>
            <w:r>
              <w:t xml:space="preserve">Coração, cirurgia de bypass (Broglio 2002), PMID 12144941</w:t>
            </w:r>
          </w:p>
        </w:tc>
        <w:tc>
          <w:tcPr/>
          <w:p>
            <w:pPr>
              <w:pStyle w:val="Compact"/>
              <w:jc w:val="left"/>
            </w:pPr>
            <w:r>
              <w:t xml:space="preserve">24 homens com DAC, comparação com GHRH, GH, placebo</w:t>
            </w:r>
          </w:p>
        </w:tc>
        <w:tc>
          <w:tcPr/>
          <w:p>
            <w:pPr>
              <w:pStyle w:val="Compact"/>
              <w:jc w:val="left"/>
            </w:pPr>
            <w:r>
              <w:t xml:space="preserve">dose única</w:t>
            </w:r>
          </w:p>
        </w:tc>
        <w:tc>
          <w:tcPr/>
          <w:p>
            <w:pPr>
              <w:pStyle w:val="Compact"/>
              <w:jc w:val="left"/>
            </w:pPr>
            <w:r>
              <w:t xml:space="preserve">fração de ejeção e débito cardíaco ↑</w:t>
            </w:r>
          </w:p>
        </w:tc>
      </w:tr>
    </w:tbl>
    <w:bookmarkEnd w:id="1443"/>
    <w:bookmarkEnd w:id="1444"/>
    <w:bookmarkStart w:id="1448" w:name="estudos-em-animais-e-em-laboratório-29"/>
    <w:p>
      <w:pPr>
        <w:pStyle w:val="Heading3"/>
      </w:pPr>
      <w:r>
        <w:t xml:space="preserve">Estudos em animais e em laboratório</w:t>
      </w:r>
    </w:p>
    <w:p>
      <w:pPr>
        <w:numPr>
          <w:ilvl w:val="0"/>
          <w:numId w:val="1169"/>
        </w:numPr>
        <w:pStyle w:val="Compact"/>
      </w:pPr>
      <w:r>
        <w:rPr>
          <w:bCs/>
          <w:b/>
        </w:rPr>
        <w:t xml:space="preserve">Infarto do miocárdio (ratos, camundongos):</w:t>
      </w:r>
      <w:r>
        <w:t xml:space="preserve"> </w:t>
      </w:r>
      <w:r>
        <w:t xml:space="preserve">em ratos, quatro semanas após um infarto induzido artificialmente, a hexarelina melhorou ao longo de duas semanas o volume sistólico e reduziu a resistência vascular, de modo semelhante ao hormônio do crescimento</w:t>
      </w:r>
      <w:r>
        <w:rPr>
          <w:rStyle w:val="FootnoteReference"/>
        </w:rPr>
        <w:footnoteReference w:id="1445"/>
      </w:r>
      <w:r>
        <w:t xml:space="preserve">. Em camundongos após infarto, preservou a função de bombeamento e reduziu a cicatrização do músculo cardíaco</w:t>
      </w:r>
      <w:r>
        <w:rPr>
          <w:rStyle w:val="FootnoteReference"/>
        </w:rPr>
        <w:footnoteReference w:id="1446"/>
      </w:r>
      <w:r>
        <w:t xml:space="preserve">.</w:t>
      </w:r>
    </w:p>
    <w:p>
      <w:pPr>
        <w:numPr>
          <w:ilvl w:val="0"/>
          <w:numId w:val="1169"/>
        </w:numPr>
        <w:pStyle w:val="Compact"/>
      </w:pPr>
      <w:r>
        <w:rPr>
          <w:bCs/>
          <w:b/>
        </w:rPr>
        <w:t xml:space="preserve">Mecanismo:</w:t>
      </w:r>
      <w:r>
        <w:t xml:space="preserve"> </w:t>
      </w:r>
      <w:r>
        <w:t xml:space="preserve">uma revisão descreve o CD36 como receptor cardíaco específico para a hexarelina, que mediaria os efeitos protetores</w:t>
      </w:r>
      <w:r>
        <w:rPr>
          <w:rStyle w:val="FootnoteReference"/>
        </w:rPr>
        <w:footnoteReference w:id="1447"/>
      </w:r>
      <w:r>
        <w:t xml:space="preserve">.</w:t>
      </w:r>
    </w:p>
    <w:bookmarkEnd w:id="1448"/>
    <w:bookmarkStart w:id="1453" w:name="riscos-e-efeitos-colaterais-29"/>
    <w:p>
      <w:pPr>
        <w:pStyle w:val="Heading3"/>
      </w:pPr>
      <w:r>
        <w:t xml:space="preserve">Riscos e efeitos colaterais</w:t>
      </w:r>
    </w:p>
    <w:p>
      <w:pPr>
        <w:pStyle w:val="FirstParagraph"/>
      </w:pPr>
      <w:r>
        <w:rPr>
          <w:bCs/>
          <w:b/>
        </w:rPr>
        <w:t xml:space="preserve">Comprovado:</w:t>
      </w:r>
      <w:r>
        <w:t xml:space="preserve"> </w:t>
      </w:r>
      <w:r>
        <w:t xml:space="preserve">aumento de cortisol, ACTH e prolactina</w:t>
      </w:r>
      <w:r>
        <w:rPr>
          <w:rStyle w:val="FootnoteReference"/>
        </w:rPr>
        <w:footnoteReference w:id="1449"/>
      </w:r>
      <w:r>
        <w:t xml:space="preserve">; aumento do apetite a curto prazo</w:t>
      </w:r>
      <w:r>
        <w:rPr>
          <w:rStyle w:val="FootnoteReference"/>
        </w:rPr>
        <w:footnoteReference w:id="1450"/>
      </w:r>
      <w:r>
        <w:t xml:space="preserve">; perda de efeito com administração contínua</w:t>
      </w:r>
      <w:r>
        <w:rPr>
          <w:rStyle w:val="FootnoteReference"/>
        </w:rPr>
        <w:footnoteReference w:id="1451"/>
      </w:r>
      <w:r>
        <w:t xml:space="preserve">. Efeitos colaterais graves não foram relatados nos pequenos estudos; em crianças, os autores não encontraram efeitos indesejados</w:t>
      </w:r>
      <w:r>
        <w:rPr>
          <w:rStyle w:val="FootnoteReference"/>
        </w:rPr>
        <w:footnoteReference w:id="1452"/>
      </w:r>
      <w:r>
        <w:t xml:space="preserve">.</w:t>
      </w:r>
    </w:p>
    <w:p>
      <w:pPr>
        <w:pStyle w:val="BodyText"/>
      </w:pPr>
      <w:r>
        <w:rPr>
          <w:bCs/>
          <w:b/>
        </w:rPr>
        <w:t xml:space="preserve">Desconhecido:</w:t>
      </w:r>
      <w:r>
        <w:t xml:space="preserve"> </w:t>
      </w:r>
      <w:r>
        <w:t xml:space="preserve">faltam dados de segurança de longo prazo, especialmente no coração. O fato de uma substância aumentar agudamente a força de bombeamento nada diz sobre se, na insuficiência cardíaca, ela é benéfica ou prejudicial a longo prazo – isso só poderia ser esclarecido em estudos de longo prazo próprios, com desfechos clínicos, que não existem. Sobre a questão de um risco de câncer com hormônio do crescimento continuamente elevado, veja a introdução deste grupo e a Parte IV.</w:t>
      </w:r>
    </w:p>
    <w:bookmarkEnd w:id="1453"/>
    <w:bookmarkStart w:id="1455" w:name="situação-legal-29"/>
    <w:p>
      <w:pPr>
        <w:pStyle w:val="Heading3"/>
      </w:pPr>
      <w:r>
        <w:t xml:space="preserve">Situação legal</w:t>
      </w:r>
    </w:p>
    <w:p>
      <w:pPr>
        <w:pStyle w:val="FirstParagraph"/>
      </w:pPr>
      <w:r>
        <w:rPr>
          <w:iCs/>
          <w:i/>
        </w:rPr>
        <w:t xml:space="preserve">Situação em 2026, verificar atualização.</w:t>
      </w:r>
    </w:p>
    <w:p>
      <w:pPr>
        <w:numPr>
          <w:ilvl w:val="0"/>
          <w:numId w:val="1170"/>
        </w:numPr>
        <w:pStyle w:val="Compact"/>
      </w:pPr>
      <w:r>
        <w:rPr>
          <w:bCs/>
          <w:b/>
        </w:rPr>
        <w:t xml:space="preserve">UE, Alemanha, Áustria, EUA:</w:t>
      </w:r>
      <w:r>
        <w:t xml:space="preserve"> </w:t>
      </w:r>
      <w:r>
        <w:t xml:space="preserve">nenhuma aprovação como medicamento; o fornecimento para uso em humanos é proibido.</w:t>
      </w:r>
    </w:p>
    <w:p>
      <w:pPr>
        <w:numPr>
          <w:ilvl w:val="0"/>
          <w:numId w:val="1170"/>
        </w:numPr>
        <w:pStyle w:val="Compact"/>
      </w:pPr>
      <w:r>
        <w:rPr>
          <w:bCs/>
          <w:b/>
        </w:rPr>
        <w:t xml:space="preserve">WADA:</w:t>
      </w:r>
      <w:r>
        <w:t xml:space="preserve"> </w:t>
      </w:r>
      <w:r>
        <w:t xml:space="preserve">proibida (S2). A hexarelina é intensamente metabolizada no organismo; produtos de degradação permanecem detectáveis na urina após o desaparecimento da substância original</w:t>
      </w:r>
      <w:r>
        <w:rPr>
          <w:rStyle w:val="FootnoteReference"/>
        </w:rPr>
        <w:footnoteReference w:id="1454"/>
      </w:r>
      <w:r>
        <w:t xml:space="preserve">.</w:t>
      </w:r>
    </w:p>
    <w:bookmarkEnd w:id="1455"/>
    <w:bookmarkStart w:id="1456" w:name="estudos-em-andamento-e-perspectivas-29"/>
    <w:p>
      <w:pPr>
        <w:pStyle w:val="Heading3"/>
      </w:pPr>
      <w:r>
        <w:t xml:space="preserve">Estudos em andamento e perspectivas</w:t>
      </w:r>
    </w:p>
    <w:p>
      <w:pPr>
        <w:pStyle w:val="FirstParagraph"/>
      </w:pPr>
      <w:r>
        <w:t xml:space="preserve">No ClinicalTrials.gov, em outubro de 2026, não há estudo registrado com hexarelina.</w:t>
      </w:r>
      <w:r>
        <w:t xml:space="preserve"> </w:t>
      </w:r>
      <w:r>
        <w:rPr>
          <w:iCs/>
          <w:i/>
        </w:rPr>
        <w:t xml:space="preserve">Avaliação do autor:</w:t>
      </w:r>
      <w:r>
        <w:t xml:space="preserve"> </w:t>
      </w:r>
      <w:r>
        <w:t xml:space="preserve">a pesquisa cardíaca continua, mas apenas em modelos animais. Um desenvolvimento clínico pressuporia uma empresa que detenha os direitos e financie estudos – no momento, não se vislumbra nenhuma.</w:t>
      </w:r>
    </w:p>
    <w:bookmarkEnd w:id="1456"/>
    <w:bookmarkStart w:id="1457" w:name="conclusão-29"/>
    <w:p>
      <w:pPr>
        <w:pStyle w:val="Heading3"/>
      </w:pPr>
      <w:r>
        <w:t xml:space="preserve">Conclusão</w:t>
      </w:r>
    </w:p>
    <w:p>
      <w:pPr>
        <w:pStyle w:val="FirstParagraph"/>
      </w:pPr>
      <w:r>
        <w:t xml:space="preserve">A hexarelina libera intensamente hormônio do crescimento em humanos, mas também hormônios do estresse e prolactina, e com a administração contínua o efeito diminui claramente; IGF-1 e composição corporal não se alteraram em um estudo de 16 semanas. Interessantes são pequenos estudos nos quais uma dose única aumentou a força de bombeamento do coração, aparentemente de forma independente do hormônio do crescimento. Se disso algum dia resultará um benefício para pessoas com doenças cardíacas é totalmente incerto; para ganho muscular ou rejuvenescimento não há evidências.</w:t>
      </w:r>
    </w:p>
    <w:bookmarkEnd w:id="1457"/>
    <w:bookmarkEnd w:id="1458"/>
    <w:bookmarkStart w:id="1490" w:name="macimorelina"/>
    <w:p>
      <w:pPr>
        <w:pStyle w:val="Heading2"/>
      </w:pPr>
      <w:r>
        <w:t xml:space="preserve">Macimorelina</w:t>
      </w:r>
    </w:p>
    <w:p>
      <w:pPr>
        <w:pStyle w:val="FirstParagraph"/>
      </w:pPr>
      <w:r>
        <w:t xml:space="preserve">A macimorelina é o membro mais sóbrio deste grupo – e justamente por isso um bom contraexemplo aos peptídeos do mercado cinza. Ela não é usada para tratamento, mas como teste: a pessoa bebe uma solução com macimorelina e, em seguida, colhe-se sangue várias vezes. Se o hormônio do crescimento quase não sobe, isso indica uma deficiência de hormônio do crescimento. Para isso a macimorelina está aprovada nos EUA e na UE. Ela é um exemplo de como um mimético de grelina pode se tornar um medicamento de verdade com estudos comparativos bem conduzidos.</w:t>
      </w:r>
    </w:p>
    <w:bookmarkStart w:id="1460" w:name="ficha-técnica-30"/>
    <w:p>
      <w:pPr>
        <w:pStyle w:val="Heading3"/>
      </w:pPr>
      <w:r>
        <w:t xml:space="preserve">Ficha técnica</w:t>
      </w:r>
    </w:p>
    <w:p>
      <w:pPr>
        <w:numPr>
          <w:ilvl w:val="0"/>
          <w:numId w:val="1171"/>
        </w:numPr>
        <w:pStyle w:val="Compact"/>
      </w:pPr>
      <w:r>
        <w:rPr>
          <w:bCs/>
          <w:b/>
        </w:rPr>
        <w:t xml:space="preserve">Tipo e estrutura:</w:t>
      </w:r>
      <w:r>
        <w:t xml:space="preserve"> </w:t>
      </w:r>
      <w:r>
        <w:t xml:space="preserve">pequena molécula semelhante a um peptídeo (peptidomimético), ativa após ser engolida</w:t>
      </w:r>
      <w:r>
        <w:rPr>
          <w:rStyle w:val="FootnoteReference"/>
        </w:rPr>
        <w:footnoteReference w:id="1459"/>
      </w:r>
      <w:r>
        <w:t xml:space="preserve">. Designações anteriores: EP01572, ARD-07, AEZS-130.</w:t>
      </w:r>
    </w:p>
    <w:p>
      <w:pPr>
        <w:numPr>
          <w:ilvl w:val="0"/>
          <w:numId w:val="1171"/>
        </w:numPr>
        <w:pStyle w:val="Compact"/>
      </w:pPr>
      <w:r>
        <w:rPr>
          <w:bCs/>
          <w:b/>
        </w:rPr>
        <w:t xml:space="preserve">Origem:</w:t>
      </w:r>
      <w:r>
        <w:t xml:space="preserve"> </w:t>
      </w:r>
      <w:r>
        <w:t xml:space="preserve">desenvolvida a partir da pesquisa sobre liberadores de hormônio do crescimento ativos por via oral; aprovada a pedido da Aeterna Zentaris.</w:t>
      </w:r>
    </w:p>
    <w:p>
      <w:pPr>
        <w:numPr>
          <w:ilvl w:val="0"/>
          <w:numId w:val="1171"/>
        </w:numPr>
        <w:pStyle w:val="Compact"/>
      </w:pPr>
      <w:r>
        <w:rPr>
          <w:bCs/>
          <w:b/>
        </w:rPr>
        <w:t xml:space="preserve">Princípio de ação:</w:t>
      </w:r>
      <w:r>
        <w:t xml:space="preserve"> </w:t>
      </w:r>
      <w:r>
        <w:t xml:space="preserve">agonista do receptor de grelina (GHS-R1a); desencadeia uma única secreção de hormônio do crescimento, cuja magnitude reflete a capacidade funcional da hipófise.</w:t>
      </w:r>
    </w:p>
    <w:p>
      <w:pPr>
        <w:numPr>
          <w:ilvl w:val="0"/>
          <w:numId w:val="1171"/>
        </w:numPr>
        <w:pStyle w:val="Compact"/>
      </w:pPr>
      <w:r>
        <w:rPr>
          <w:bCs/>
          <w:b/>
        </w:rPr>
        <w:t xml:space="preserve">Aprovação EUA:</w:t>
      </w:r>
      <w:r>
        <w:t xml:space="preserve"> </w:t>
      </w:r>
      <w:r>
        <w:t xml:space="preserve">sim (Macrilen, desde 2017) para o diagnóstico da deficiência de hormônio do crescimento em adultos.</w:t>
      </w:r>
      <w:r>
        <w:t xml:space="preserve"> </w:t>
      </w:r>
      <w:r>
        <w:rPr>
          <w:bCs/>
          <w:b/>
        </w:rPr>
        <w:t xml:space="preserve">Aprovação UE:</w:t>
      </w:r>
      <w:r>
        <w:t xml:space="preserve"> </w:t>
      </w:r>
      <w:r>
        <w:t xml:space="preserve">sim (aprovação centralizada em 2019) para a mesma indicação. Sobre a disponibilidade atual em cada país, veja abaixo.</w:t>
      </w:r>
    </w:p>
    <w:p>
      <w:pPr>
        <w:numPr>
          <w:ilvl w:val="0"/>
          <w:numId w:val="1171"/>
        </w:numPr>
        <w:pStyle w:val="Compact"/>
      </w:pPr>
      <w:r>
        <w:rPr>
          <w:bCs/>
          <w:b/>
        </w:rPr>
        <w:t xml:space="preserve">WADA:</w:t>
      </w:r>
      <w:r>
        <w:t xml:space="preserve"> </w:t>
      </w:r>
      <w:r>
        <w:t xml:space="preserve">proibida, grupo S2 (secretagogos do hormônio do crescimento; a macimorelina é expressamente citada).</w:t>
      </w:r>
    </w:p>
    <w:p>
      <w:pPr>
        <w:numPr>
          <w:ilvl w:val="0"/>
          <w:numId w:val="1171"/>
        </w:numPr>
        <w:pStyle w:val="Compact"/>
      </w:pPr>
      <w:r>
        <w:rPr>
          <w:bCs/>
          <w:b/>
        </w:rPr>
        <w:t xml:space="preserve">Nível de evidência: A</w:t>
      </w:r>
      <w:r>
        <w:t xml:space="preserve"> </w:t>
      </w:r>
      <w:r>
        <w:t xml:space="preserve">– dois estudos de fase 3 sobre acurácia diagnóstica, aprovação nos EUA e na UE. Ressalva: trata-se de um agente diagnóstico, não de uma terapia.</w:t>
      </w:r>
    </w:p>
    <w:bookmarkEnd w:id="1460"/>
    <w:bookmarkStart w:id="1461" w:name="como-deveria-agir-30"/>
    <w:p>
      <w:pPr>
        <w:pStyle w:val="Heading3"/>
      </w:pPr>
      <w:r>
        <w:t xml:space="preserve">Como deveria agir</w:t>
      </w:r>
    </w:p>
    <w:p>
      <w:pPr>
        <w:pStyle w:val="FirstParagraph"/>
      </w:pPr>
      <w:r>
        <w:t xml:space="preserve">O diagnóstico de deficiência de hormônio do crescimento em adultos é difícil. Um único valor sanguíneo não basta, porque o hormônio do crescimento é secretado em pulsos. É necessário um teste de estimulação: a hipófise é estimulada de forma direcionada e mede-se quanto hormônio do crescimento ela libera.</w:t>
      </w:r>
    </w:p>
    <w:p>
      <w:pPr>
        <w:pStyle w:val="BodyText"/>
      </w:pPr>
      <w:r>
        <w:t xml:space="preserve">O teste de referência é o teste de hipoglicemia insulínica (teste de tolerância à insulina, TTI). Nele, a glicemia é intencionalmente reduzida de forma acentuada com insulina – o que é desagradável, exige supervisão médica e não é permitido em caso de doenças cardíacas ou convulsões. A macimorelina oferece uma alternativa: ela ativa o receptor de grelina, que desencadeia diretamente a secreção de hormônio do crescimento, sem baixar a glicemia. Como é engolida, também dispensa uma infusão.</w:t>
      </w:r>
    </w:p>
    <w:bookmarkEnd w:id="1461"/>
    <w:bookmarkStart w:id="1475" w:name="estudos-em-humanos-30"/>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4</w:t>
      </w:r>
      <w:r>
        <w:t xml:space="preserve"> </w:t>
      </w:r>
      <w:r>
        <w:t xml:space="preserve">estudos em humanos no PubMed (</w:t>
      </w:r>
      <w:r>
        <w:rPr>
          <w:rStyle w:val="VerbatimChar"/>
        </w:rPr>
        <w:t xml:space="preserve">humanstudien_alle</w:t>
      </w:r>
      <w:r>
        <w:t xml:space="preserve">) e</w:t>
      </w:r>
      <w:r>
        <w:t xml:space="preserve"> </w:t>
      </w:r>
      <w:r>
        <w:rPr>
          <w:bCs/>
          <w:b/>
        </w:rPr>
        <w:t xml:space="preserve">6</w:t>
      </w:r>
      <w:r>
        <w:t xml:space="preserve"> </w:t>
      </w:r>
      <w:r>
        <w:t xml:space="preserve">registros no ClinicalTrials.gov. Uma busca direcionada adicional revelou outros estudos, entre eles o primeiro estudo de fase 3, um estudo pediátrico, vários trabalhos em pessoas saudáveis e uma análise da prática clínica.</w:t>
      </w:r>
    </w:p>
    <w:bookmarkStart w:id="1464" w:name="farmacologia-inicial"/>
    <w:p>
      <w:pPr>
        <w:pStyle w:val="Heading4"/>
      </w:pPr>
      <w:r>
        <w:t xml:space="preserve">Farmacologia inicial</w:t>
      </w:r>
    </w:p>
    <w:p>
      <w:pPr>
        <w:pStyle w:val="FirstParagraph"/>
      </w:pPr>
      <w:r>
        <w:t xml:space="preserve">Já em 2007, um estudo com 36 homens saudáveis mostrou que a substância (na época EP01572) chega rapidamente ao sangue após ser engolida, de forma dependente da dose, e libera intensamente hormônio do crescimento</w:t>
      </w:r>
      <w:r>
        <w:rPr>
          <w:rStyle w:val="FootnoteReference"/>
        </w:rPr>
        <w:footnoteReference w:id="1462"/>
      </w:r>
      <w:r>
        <w:t xml:space="preserve">. Em um estudo randomizado de fase 1 com 28 pessoas saudáveis, a meia-vida foi de 3,5 horas para as duas doses mais baixas; o pico de GH ocorreu após 45 a 60 minutos. ACTH, cortisol e prolactina subiram temporariamente</w:t>
      </w:r>
      <w:r>
        <w:rPr>
          <w:rStyle w:val="FootnoteReference"/>
        </w:rPr>
        <w:footnoteReference w:id="1463"/>
      </w:r>
      <w:r>
        <w:t xml:space="preserve">.</w:t>
      </w:r>
    </w:p>
    <w:bookmarkEnd w:id="1464"/>
    <w:bookmarkStart w:id="1468" w:name="os-estudos-de-aprovação-1"/>
    <w:p>
      <w:pPr>
        <w:pStyle w:val="Heading4"/>
      </w:pPr>
      <w:r>
        <w:t xml:space="preserve">Os estudos de aprovação</w:t>
      </w:r>
    </w:p>
    <w:p>
      <w:pPr>
        <w:pStyle w:val="FirstParagraph"/>
      </w:pPr>
      <w:r>
        <w:rPr>
          <w:bCs/>
          <w:b/>
        </w:rPr>
        <w:t xml:space="preserve">Primeiro estudo de fase 3:</w:t>
      </w:r>
      <w:r>
        <w:t xml:space="preserve"> </w:t>
      </w:r>
      <w:r>
        <w:t xml:space="preserve">em um estudo aberto multicêntrico, a macimorelina foi comparada com o teste combinado de arginina e GHRH, então usual. Foram avaliados 50 adultos com deficiência de hormônio do crescimento e 48 pessoas saudáveis. O pico de GH foi em média de 2,36 ng/ml nos afetados e de 17,71 ng/ml nos saudáveis. Com um ponto de corte de 2,7 ng/ml, o teste alcançou uma sensibilidade de 82% e uma especificidade de 92%. O único efeito colateral grave relacionado ao medicamento relatado foi um prolongamento assintomático do intervalo QT no ECG. Durante o estudo, o preparado de GHRH (sermorelina) foi retirado do mercado nos EUA, de modo que parte dos participantes foi testada apenas com macimorelina</w:t>
      </w:r>
      <w:r>
        <w:rPr>
          <w:rStyle w:val="FootnoteReference"/>
        </w:rPr>
        <w:footnoteReference w:id="1465"/>
      </w:r>
      <w:r>
        <w:t xml:space="preserve">.</w:t>
      </w:r>
    </w:p>
    <w:p>
      <w:pPr>
        <w:pStyle w:val="BodyText"/>
      </w:pPr>
      <w:r>
        <w:rPr>
          <w:bCs/>
          <w:b/>
        </w:rPr>
        <w:t xml:space="preserve">Segundo estudo de fase 3 (base da aprovação):</w:t>
      </w:r>
      <w:r>
        <w:t xml:space="preserve"> </w:t>
      </w:r>
      <w:r>
        <w:t xml:space="preserve">em um estudo cruzado randomizado, adultos com probabilidade alta, intermediária e baixa de deficiência de hormônio do crescimento, bem como pessoas saudáveis de comparação, receberam tanto o teste de macimorelina quanto o teste de insulina. 99% dos testes de macimorelina, mas apenas 82% dos testes de insulina, foram avaliáveis. Com os pontos de corte de 2,8 ng/ml (macimorelina) e 5,1 ng/ml (TTI), a sensibilidade foi de 87% e a especificidade de 96%; na repetição, o resultado foi igual em 97%. Não ocorreram efeitos colaterais graves causados pela macimorelina. Um ponto de corte único de 5,1 ng/ml para os dois testes resultou, em uma análise posterior, em 92% de sensibilidade com 96% de especificidade</w:t>
      </w:r>
      <w:r>
        <w:rPr>
          <w:rStyle w:val="FootnoteReference"/>
        </w:rPr>
        <w:footnoteReference w:id="1466"/>
      </w:r>
      <w:r>
        <w:t xml:space="preserve">. Outras análises mostraram que idade, peso corporal e sexo não influenciaram substancialmente a acurácia do teste</w:t>
      </w:r>
      <w:r>
        <w:rPr>
          <w:rStyle w:val="FootnoteReference"/>
        </w:rPr>
        <w:footnoteReference w:id="1467"/>
      </w:r>
      <w:r>
        <w:t xml:space="preserve">.</w:t>
      </w:r>
    </w:p>
    <w:bookmarkEnd w:id="1468"/>
    <w:bookmarkStart w:id="1470" w:name="experiências-da-prática-clínica"/>
    <w:p>
      <w:pPr>
        <w:pStyle w:val="Heading4"/>
      </w:pPr>
      <w:r>
        <w:t xml:space="preserve">Experiências da prática clínica</w:t>
      </w:r>
    </w:p>
    <w:p>
      <w:pPr>
        <w:pStyle w:val="FirstParagraph"/>
      </w:pPr>
      <w:r>
        <w:t xml:space="preserve">Uma análise retrospectiva de 37 pacientes de uma clínica constatou que, com o ponto de corte aprovado nos EUA de 2,8 ng/ml, 40,5% foram classificados como tendo deficiência de hormônio do crescimento, enquanto com 5,1 ng/ml foram 54,0%. As classificações divergentes se referiam sobretudo a pessoas com obesidade acentuada e baixa probabilidade pré-teste</w:t>
      </w:r>
      <w:r>
        <w:rPr>
          <w:rStyle w:val="FootnoteReference"/>
        </w:rPr>
        <w:footnoteReference w:id="1469"/>
      </w:r>
      <w:r>
        <w:t xml:space="preserve">. Isso mostra: o ponto de corte não é trivial, e em caso de obesidade acentuada é preciso cautela na interpretação.</w:t>
      </w:r>
    </w:p>
    <w:bookmarkEnd w:id="1470"/>
    <w:bookmarkStart w:id="1474" w:name="crianças-e-outras-aplicações"/>
    <w:p>
      <w:pPr>
        <w:pStyle w:val="Heading4"/>
      </w:pPr>
      <w:r>
        <w:t xml:space="preserve">Crianças e outras aplicações</w:t>
      </w:r>
    </w:p>
    <w:p>
      <w:pPr>
        <w:numPr>
          <w:ilvl w:val="0"/>
          <w:numId w:val="1172"/>
        </w:numPr>
        <w:pStyle w:val="Compact"/>
      </w:pPr>
      <w:r>
        <w:rPr>
          <w:bCs/>
          <w:b/>
        </w:rPr>
        <w:t xml:space="preserve">Crianças:</w:t>
      </w:r>
      <w:r>
        <w:t xml:space="preserve"> </w:t>
      </w:r>
      <w:r>
        <w:t xml:space="preserve">um estudo aberto de determinação de dose com 24 crianças e adolescentes com suspeita de deficiência de hormônio do crescimento não encontrou efeitos colaterais atribuíveis à macimorelina</w:t>
      </w:r>
      <w:r>
        <w:rPr>
          <w:rStyle w:val="FootnoteReference"/>
        </w:rPr>
        <w:footnoteReference w:id="1471"/>
      </w:r>
      <w:r>
        <w:t xml:space="preserve">. O estudo de fase 3 subsequente, DETECT, com 101 crianças</w:t>
      </w:r>
      <w:r>
        <w:rPr>
          <w:rStyle w:val="FootnoteReference"/>
        </w:rPr>
        <w:footnoteReference w:id="1472"/>
      </w:r>
      <w:r>
        <w:t xml:space="preserve">, foi concluído em junho de 2024; os resultados não estão depositados no registro, e não encontrei uma publicação no PubMed.</w:t>
      </w:r>
    </w:p>
    <w:p>
      <w:pPr>
        <w:numPr>
          <w:ilvl w:val="0"/>
          <w:numId w:val="1172"/>
        </w:numPr>
        <w:pStyle w:val="Compact"/>
      </w:pPr>
      <w:r>
        <w:rPr>
          <w:bCs/>
          <w:b/>
        </w:rPr>
        <w:t xml:space="preserve">Caquexia tumoral:</w:t>
      </w:r>
      <w:r>
        <w:t xml:space="preserve"> </w:t>
      </w:r>
      <w:r>
        <w:t xml:space="preserve">em um estudo piloto com 15 pacientes com câncer e perda de peso patológica, a macimorelina foi bem tolerada por uma semana; peso e qualidade de vida melhoraram numericamente, mas sem diferença significativa em relação ao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3, estudo 1 (Garcia 2013), PMID 23559086</w:t>
            </w:r>
          </w:p>
        </w:tc>
        <w:tc>
          <w:tcPr/>
          <w:p>
            <w:pPr>
              <w:pStyle w:val="Compact"/>
              <w:jc w:val="left"/>
            </w:pPr>
            <w:r>
              <w:t xml:space="preserve">50 adultos com deficiência de GH, 48 saudáveis; comparação com arginina+GHRH</w:t>
            </w:r>
          </w:p>
        </w:tc>
        <w:tc>
          <w:tcPr/>
          <w:p>
            <w:pPr>
              <w:pStyle w:val="Compact"/>
              <w:jc w:val="left"/>
            </w:pPr>
            <w:r>
              <w:t xml:space="preserve">teste único</w:t>
            </w:r>
          </w:p>
        </w:tc>
        <w:tc>
          <w:tcPr/>
          <w:p>
            <w:pPr>
              <w:pStyle w:val="Compact"/>
              <w:jc w:val="left"/>
            </w:pPr>
            <w:r>
              <w:t xml:space="preserve">sensibilidade 82%, especificidade 92%</w:t>
            </w:r>
          </w:p>
        </w:tc>
      </w:tr>
      <w:tr>
        <w:tc>
          <w:tcPr/>
          <w:p>
            <w:pPr>
              <w:pStyle w:val="Compact"/>
              <w:jc w:val="left"/>
            </w:pPr>
            <w:r>
              <w:t xml:space="preserve">Fase 3, estudo 2 (Garcia 2018), PMID 29860473</w:t>
            </w:r>
          </w:p>
        </w:tc>
        <w:tc>
          <w:tcPr/>
          <w:p>
            <w:pPr>
              <w:pStyle w:val="Compact"/>
              <w:jc w:val="left"/>
            </w:pPr>
            <w:r>
              <w:t xml:space="preserve">adultos com diferentes probabilidades pré-teste e saudáveis; estudo cruzado randomizado contra TTI</w:t>
            </w:r>
          </w:p>
        </w:tc>
        <w:tc>
          <w:tcPr/>
          <w:p>
            <w:pPr>
              <w:pStyle w:val="Compact"/>
              <w:jc w:val="left"/>
            </w:pPr>
            <w:r>
              <w:t xml:space="preserve">testes únicos</w:t>
            </w:r>
          </w:p>
        </w:tc>
        <w:tc>
          <w:tcPr/>
          <w:p>
            <w:pPr>
              <w:pStyle w:val="Compact"/>
              <w:jc w:val="left"/>
            </w:pPr>
            <w:r>
              <w:t xml:space="preserve">sensibilidade 87%, especificidade 96%; reprodutibilidade 97%</w:t>
            </w:r>
          </w:p>
        </w:tc>
      </w:tr>
      <w:tr>
        <w:tc>
          <w:tcPr/>
          <w:p>
            <w:pPr>
              <w:pStyle w:val="Compact"/>
              <w:jc w:val="left"/>
            </w:pPr>
            <w:r>
              <w:t xml:space="preserve">Estudo de QT (Lissy 2021), PMID 32961034</w:t>
            </w:r>
          </w:p>
        </w:tc>
        <w:tc>
          <w:tcPr/>
          <w:p>
            <w:pPr>
              <w:pStyle w:val="Compact"/>
              <w:jc w:val="left"/>
            </w:pPr>
            <w:r>
              <w:t xml:space="preserve">60 saudáveis, randomizado, placebo e moxifloxacino</w:t>
            </w:r>
          </w:p>
        </w:tc>
        <w:tc>
          <w:tcPr/>
          <w:p>
            <w:pPr>
              <w:pStyle w:val="Compact"/>
              <w:jc w:val="left"/>
            </w:pPr>
            <w:r>
              <w:t xml:space="preserve">doses únicas</w:t>
            </w:r>
          </w:p>
        </w:tc>
        <w:tc>
          <w:tcPr/>
          <w:p>
            <w:pPr>
              <w:pStyle w:val="Compact"/>
              <w:jc w:val="left"/>
            </w:pPr>
            <w:r>
              <w:t xml:space="preserve">prolongamento do QT de até 9,61 ms com dose excessiva</w:t>
            </w:r>
          </w:p>
        </w:tc>
      </w:tr>
      <w:tr>
        <w:tc>
          <w:tcPr/>
          <w:p>
            <w:pPr>
              <w:pStyle w:val="Compact"/>
              <w:jc w:val="left"/>
            </w:pPr>
            <w:r>
              <w:t xml:space="preserve">Dados da prática (Yadav 2026), PMID 41793495</w:t>
            </w:r>
          </w:p>
        </w:tc>
        <w:tc>
          <w:tcPr/>
          <w:p>
            <w:pPr>
              <w:pStyle w:val="Compact"/>
              <w:jc w:val="left"/>
            </w:pPr>
            <w:r>
              <w:t xml:space="preserve">37 pessoas, retrospectivo</w:t>
            </w:r>
          </w:p>
        </w:tc>
        <w:tc>
          <w:tcPr/>
          <w:p>
            <w:pPr>
              <w:pStyle w:val="Compact"/>
              <w:jc w:val="left"/>
            </w:pPr>
            <w:r>
              <w:t xml:space="preserve">teste único</w:t>
            </w:r>
          </w:p>
        </w:tc>
        <w:tc>
          <w:tcPr/>
          <w:p>
            <w:pPr>
              <w:pStyle w:val="Compact"/>
              <w:jc w:val="left"/>
            </w:pPr>
            <w:r>
              <w:t xml:space="preserve">ponto de corte influencia o diagnóstico, sobretudo na obesidade</w:t>
            </w:r>
          </w:p>
        </w:tc>
      </w:tr>
      <w:tr>
        <w:tc>
          <w:tcPr/>
          <w:p>
            <w:pPr>
              <w:pStyle w:val="Compact"/>
              <w:jc w:val="left"/>
            </w:pPr>
            <w:r>
              <w:t xml:space="preserve">Caquexia (Herodes 2023), PMID 36860137</w:t>
            </w:r>
          </w:p>
        </w:tc>
        <w:tc>
          <w:tcPr/>
          <w:p>
            <w:pPr>
              <w:pStyle w:val="Compact"/>
              <w:jc w:val="left"/>
            </w:pPr>
            <w:r>
              <w:t xml:space="preserve">15 pacientes com câncer, ECR piloto</w:t>
            </w:r>
          </w:p>
        </w:tc>
        <w:tc>
          <w:tcPr/>
          <w:p>
            <w:pPr>
              <w:pStyle w:val="Compact"/>
              <w:jc w:val="left"/>
            </w:pPr>
            <w:r>
              <w:t xml:space="preserve">1 semana</w:t>
            </w:r>
          </w:p>
        </w:tc>
        <w:tc>
          <w:tcPr/>
          <w:p>
            <w:pPr>
              <w:pStyle w:val="Compact"/>
              <w:jc w:val="left"/>
            </w:pPr>
            <w:r>
              <w:t xml:space="preserve">bem tolerada, nenhum efeito significativo</w:t>
            </w:r>
          </w:p>
        </w:tc>
      </w:tr>
    </w:tbl>
    <w:bookmarkEnd w:id="1474"/>
    <w:bookmarkEnd w:id="1475"/>
    <w:bookmarkStart w:id="1478" w:name="estudos-em-animais-e-em-laboratório-30"/>
    <w:p>
      <w:pPr>
        <w:pStyle w:val="Heading3"/>
      </w:pPr>
      <w:r>
        <w:t xml:space="preserve">Estudos em animais e em laboratório</w:t>
      </w:r>
    </w:p>
    <w:p>
      <w:pPr>
        <w:pStyle w:val="FirstParagraph"/>
      </w:pPr>
      <w:r>
        <w:t xml:space="preserve">Em camundongos com epilepsia de difícil tratamento, a macimorelina reduziu, durante o tratamento de duas semanas, o número e a duração das crises, mas não alterou a evolução da doença</w:t>
      </w:r>
      <w:r>
        <w:rPr>
          <w:rStyle w:val="FootnoteReference"/>
        </w:rPr>
        <w:footnoteReference w:id="1476"/>
      </w:r>
      <w:r>
        <w:t xml:space="preserve">. Estudos estruturais mostram como a macimorelina se liga ao receptor de grelina</w:t>
      </w:r>
      <w:r>
        <w:rPr>
          <w:rStyle w:val="FootnoteReference"/>
        </w:rPr>
        <w:footnoteReference w:id="1477"/>
      </w:r>
      <w:r>
        <w:t xml:space="preserve">. Para o uso aprovado, esses trabalhos não são relevantes.</w:t>
      </w:r>
    </w:p>
    <w:bookmarkEnd w:id="1478"/>
    <w:bookmarkStart w:id="1483" w:name="riscos-e-efeitos-colaterais-30"/>
    <w:p>
      <w:pPr>
        <w:pStyle w:val="Heading3"/>
      </w:pPr>
      <w:r>
        <w:t xml:space="preserve">Riscos e efeitos colaterais</w:t>
      </w:r>
    </w:p>
    <w:p>
      <w:pPr>
        <w:pStyle w:val="FirstParagraph"/>
      </w:pPr>
      <w:r>
        <w:rPr>
          <w:bCs/>
          <w:b/>
        </w:rPr>
        <w:t xml:space="preserve">Comprovado:</w:t>
      </w:r>
      <w:r>
        <w:t xml:space="preserve"> </w:t>
      </w:r>
      <w:r>
        <w:t xml:space="preserve">a macimorelina é tomada apenas uma vez por teste; os efeitos colaterais são, portanto, limitados. No estudo de aprovação, não ocorreram efeitos colaterais graves causados pela macimorelina</w:t>
      </w:r>
      <w:r>
        <w:rPr>
          <w:rStyle w:val="FootnoteReference"/>
        </w:rPr>
        <w:footnoteReference w:id="1479"/>
      </w:r>
      <w:r>
        <w:t xml:space="preserve">. ACTH, cortisol e prolactina sobem temporariamente</w:t>
      </w:r>
      <w:r>
        <w:rPr>
          <w:rStyle w:val="FootnoteReference"/>
        </w:rPr>
        <w:footnoteReference w:id="1480"/>
      </w:r>
      <w:r>
        <w:t xml:space="preserve">.</w:t>
      </w:r>
    </w:p>
    <w:p>
      <w:pPr>
        <w:pStyle w:val="BodyText"/>
      </w:pPr>
      <w:r>
        <w:rPr>
          <w:bCs/>
          <w:b/>
        </w:rPr>
        <w:t xml:space="preserve">Prolongamento do QT:</w:t>
      </w:r>
      <w:r>
        <w:t xml:space="preserve"> </w:t>
      </w:r>
      <w:r>
        <w:t xml:space="preserve">em um estudo minucioso de ECG com 60 pessoas saudáveis, uma dose única intencionalmente excessiva (supraterapêutica) prolongou o intervalo QT – uma medida da repolarização do coração – em média em até 9,61 milissegundos; o limite superior do intervalo de confiança ultrapassou o limiar regulatório de 10 milissegundos</w:t>
      </w:r>
      <w:r>
        <w:rPr>
          <w:rStyle w:val="FootnoteReference"/>
        </w:rPr>
        <w:footnoteReference w:id="1481"/>
      </w:r>
      <w:r>
        <w:t xml:space="preserve">. Por isso, é necessária cautela em pessoas que tomam outros medicamentos que prolongam o QT. Os detalhes sobre contraindicações e interações estão na bula técnica; o teste é realizado por médicos.</w:t>
      </w:r>
    </w:p>
    <w:p>
      <w:pPr>
        <w:pStyle w:val="BodyText"/>
      </w:pPr>
      <w:r>
        <w:rPr>
          <w:bCs/>
          <w:b/>
        </w:rPr>
        <w:t xml:space="preserve">Diagnósticos errados:</w:t>
      </w:r>
      <w:r>
        <w:t xml:space="preserve"> </w:t>
      </w:r>
      <w:r>
        <w:t xml:space="preserve">como todo teste de estimulação, também o teste de macimorelina pode fornecer resultados falso-positivos e falso-negativos, especialmente em caso de obesidade acentuada</w:t>
      </w:r>
      <w:r>
        <w:rPr>
          <w:rStyle w:val="FootnoteReference"/>
        </w:rPr>
        <w:footnoteReference w:id="1482"/>
      </w:r>
      <w:r>
        <w:t xml:space="preserve">.</w:t>
      </w:r>
    </w:p>
    <w:p>
      <w:pPr>
        <w:pStyle w:val="BodyText"/>
      </w:pPr>
      <w:r>
        <w:t xml:space="preserve">Um risco de câncer não é de esperar com uma administração única; a discussão sobre IGF-1 continuamente elevado (veja a introdução deste grupo) não se aplica, portanto, à macimorelina.</w:t>
      </w:r>
    </w:p>
    <w:bookmarkEnd w:id="1483"/>
    <w:bookmarkStart w:id="1485" w:name="situação-legal-30"/>
    <w:p>
      <w:pPr>
        <w:pStyle w:val="Heading3"/>
      </w:pPr>
      <w:r>
        <w:t xml:space="preserve">Situação legal</w:t>
      </w:r>
    </w:p>
    <w:p>
      <w:pPr>
        <w:pStyle w:val="FirstParagraph"/>
      </w:pPr>
      <w:r>
        <w:rPr>
          <w:iCs/>
          <w:i/>
        </w:rPr>
        <w:t xml:space="preserve">Situação em 2026, verificar atualização.</w:t>
      </w:r>
    </w:p>
    <w:p>
      <w:pPr>
        <w:numPr>
          <w:ilvl w:val="0"/>
          <w:numId w:val="1173"/>
        </w:numPr>
        <w:pStyle w:val="Compact"/>
      </w:pPr>
      <w:r>
        <w:rPr>
          <w:bCs/>
          <w:b/>
        </w:rPr>
        <w:t xml:space="preserve">UE:</w:t>
      </w:r>
      <w:r>
        <w:t xml:space="preserve"> </w:t>
      </w:r>
      <w:r>
        <w:t xml:space="preserve">aprovação centralizada para o diagnóstico da deficiência de hormônio do crescimento em adultos. Se o preparado está de fato à venda na Alemanha e na Áustria depende das decisões de distribuição do titular da autorização e deve ser verificado atualmente.</w:t>
      </w:r>
    </w:p>
    <w:p>
      <w:pPr>
        <w:numPr>
          <w:ilvl w:val="0"/>
          <w:numId w:val="1173"/>
        </w:numPr>
        <w:pStyle w:val="Compact"/>
      </w:pPr>
      <w:r>
        <w:rPr>
          <w:bCs/>
          <w:b/>
        </w:rPr>
        <w:t xml:space="preserve">EUA:</w:t>
      </w:r>
      <w:r>
        <w:t xml:space="preserve"> </w:t>
      </w:r>
      <w:r>
        <w:t xml:space="preserve">aprovada (Macrilen) para a mesma indicação; os direitos de distribuição mudaram nos últimos anos.</w:t>
      </w:r>
    </w:p>
    <w:p>
      <w:pPr>
        <w:numPr>
          <w:ilvl w:val="0"/>
          <w:numId w:val="1173"/>
        </w:numPr>
        <w:pStyle w:val="Compact"/>
      </w:pPr>
      <w:r>
        <w:rPr>
          <w:bCs/>
          <w:b/>
        </w:rPr>
        <w:t xml:space="preserve">Uso:</w:t>
      </w:r>
      <w:r>
        <w:t xml:space="preserve"> </w:t>
      </w:r>
      <w:r>
        <w:t xml:space="preserve">exclusivamente como teste funcional realizado por médicos conforme a bula técnica; nenhuma aprovação terapêutica.</w:t>
      </w:r>
    </w:p>
    <w:p>
      <w:pPr>
        <w:numPr>
          <w:ilvl w:val="0"/>
          <w:numId w:val="1173"/>
        </w:numPr>
        <w:pStyle w:val="Compact"/>
      </w:pPr>
      <w:r>
        <w:rPr>
          <w:bCs/>
          <w:b/>
        </w:rPr>
        <w:t xml:space="preserve">WADA:</w:t>
      </w:r>
      <w:r>
        <w:t xml:space="preserve"> </w:t>
      </w:r>
      <w:r>
        <w:t xml:space="preserve">proibida (S2). Para controles antidoping, foram caracterizados produtos de degradação da macimorelina e de miméticos de grelina relacionados</w:t>
      </w:r>
      <w:r>
        <w:rPr>
          <w:rStyle w:val="FootnoteReference"/>
        </w:rPr>
        <w:footnoteReference w:id="1484"/>
      </w:r>
      <w:r>
        <w:t xml:space="preserve">.</w:t>
      </w:r>
    </w:p>
    <w:bookmarkEnd w:id="1485"/>
    <w:bookmarkStart w:id="1488" w:name="estudos-em-andamento-e-perspectivas-30"/>
    <w:p>
      <w:pPr>
        <w:pStyle w:val="Heading3"/>
      </w:pPr>
      <w:r>
        <w:t xml:space="preserve">Estudos em andamento e perspectivas</w:t>
      </w:r>
    </w:p>
    <w:p>
      <w:pPr>
        <w:pStyle w:val="FirstParagraph"/>
      </w:pPr>
      <w:r>
        <w:rPr>
          <w:iCs/>
          <w:i/>
        </w:rPr>
        <w:t xml:space="preserve">Comprovado:</w:t>
      </w:r>
      <w:r>
        <w:t xml:space="preserve"> </w:t>
      </w:r>
      <w:r>
        <w:t xml:space="preserve">o estudo pediátrico DETECT</w:t>
      </w:r>
      <w:r>
        <w:rPr>
          <w:rStyle w:val="FootnoteReference"/>
        </w:rPr>
        <w:footnoteReference w:id="1486"/>
      </w:r>
      <w:r>
        <w:t xml:space="preserve"> </w:t>
      </w:r>
      <w:r>
        <w:t xml:space="preserve">foi concluído; os resultados ainda não foram divulgados. Outro estudo examinou como a macimorelina influencia o hormônio copeptina</w:t>
      </w:r>
      <w:r>
        <w:rPr>
          <w:rStyle w:val="FootnoteReference"/>
        </w:rPr>
        <w:footnoteReference w:id="1487"/>
      </w:r>
      <w:r>
        <w:t xml:space="preserve">.</w:t>
      </w:r>
      <w:r>
        <w:t xml:space="preserve"> </w:t>
      </w:r>
      <w:r>
        <w:rPr>
          <w:iCs/>
          <w:i/>
        </w:rPr>
        <w:t xml:space="preserve">Avaliação do autor:</w:t>
      </w:r>
      <w:r>
        <w:t xml:space="preserve"> </w:t>
      </w:r>
      <w:r>
        <w:t xml:space="preserve">uma ampliação da aprovação para crianças seria o próximo passo lógico, mas depende do resultado do estudo DETECT. Um uso terapêutico, por exemplo na caquexia, não se vislumbra com base nos dados atuais.</w:t>
      </w:r>
    </w:p>
    <w:bookmarkEnd w:id="1488"/>
    <w:bookmarkStart w:id="1489" w:name="conclusão-30"/>
    <w:p>
      <w:pPr>
        <w:pStyle w:val="Heading3"/>
      </w:pPr>
      <w:r>
        <w:t xml:space="preserve">Conclusão</w:t>
      </w:r>
    </w:p>
    <w:p>
      <w:pPr>
        <w:pStyle w:val="FirstParagraph"/>
      </w:pPr>
      <w:r>
        <w:t xml:space="preserve">A macimorelina é um agente diagnóstico aprovado nos EUA e na UE: um teste bebido uma única vez identifica a deficiência de hormônio do crescimento em adultos de forma quase tão confiável quanto o desgastante teste de insulina, com 87% de sensibilidade e 96% de especificidade no estudo de aprovação. O efeito colateral conhecido mais importante é um pequeno prolongamento do intervalo QT com dose excessiva. Para tratamento, ganho muscular ou</w:t>
      </w:r>
      <w:r>
        <w:t xml:space="preserve"> </w:t>
      </w:r>
      <w:r>
        <w:t xml:space="preserve">“</w:t>
      </w:r>
      <w:r>
        <w:t xml:space="preserve">anti-aging</w:t>
      </w:r>
      <w:r>
        <w:t xml:space="preserve">”</w:t>
      </w:r>
      <w:r>
        <w:t xml:space="preserve">, a macimorelina não foi concebida nem estudada.</w:t>
      </w:r>
    </w:p>
    <w:bookmarkEnd w:id="1489"/>
    <w:bookmarkEnd w:id="1490"/>
    <w:bookmarkStart w:id="1530" w:name="mecasermina-igf-1"/>
    <w:p>
      <w:pPr>
        <w:pStyle w:val="Heading2"/>
      </w:pPr>
      <w:r>
        <w:t xml:space="preserve">Mecasermina (IGF-1)</w:t>
      </w:r>
    </w:p>
    <w:p>
      <w:pPr>
        <w:pStyle w:val="FirstParagraph"/>
      </w:pPr>
      <w:r>
        <w:t xml:space="preserve">A mecasermina é IGF-1 humano produzido por engenharia genética – ou seja, o mensageiro por meio do qual o hormônio do crescimento exerce grande parte do seu efeito. Como medicamento (Increlex), está aprovada para um grupo muito raro de crianças: crianças cujo organismo produz hormônio do crescimento suficiente, mas não reage a ele e, por isso, quase não produz IGF-1. A mecasermina é, assim, um raro exemplo de peptídeo aprovado deste grupo – e, ao mesmo tempo, a substância na qual a questão da hipoglicemia e do risco de câncer pelo IGF-1 se coloca de forma mais nítida.</w:t>
      </w:r>
    </w:p>
    <w:bookmarkStart w:id="1491" w:name="ficha-técnica-31"/>
    <w:p>
      <w:pPr>
        <w:pStyle w:val="Heading3"/>
      </w:pPr>
      <w:r>
        <w:t xml:space="preserve">Ficha técnica</w:t>
      </w:r>
    </w:p>
    <w:p>
      <w:pPr>
        <w:numPr>
          <w:ilvl w:val="0"/>
          <w:numId w:val="1174"/>
        </w:numPr>
        <w:pStyle w:val="Compact"/>
      </w:pPr>
      <w:r>
        <w:rPr>
          <w:bCs/>
          <w:b/>
        </w:rPr>
        <w:t xml:space="preserve">Tipo e estrutura:</w:t>
      </w:r>
      <w:r>
        <w:t xml:space="preserve"> </w:t>
      </w:r>
      <w:r>
        <w:t xml:space="preserve">IGF-1 humano recombinante (produzido por engenharia genética em bactérias) de 70 aminoácidos, idêntico ao hormônio do próprio organismo.</w:t>
      </w:r>
    </w:p>
    <w:p>
      <w:pPr>
        <w:numPr>
          <w:ilvl w:val="0"/>
          <w:numId w:val="1174"/>
        </w:numPr>
        <w:pStyle w:val="Compact"/>
      </w:pPr>
      <w:r>
        <w:rPr>
          <w:bCs/>
          <w:b/>
        </w:rPr>
        <w:t xml:space="preserve">Origem:</w:t>
      </w:r>
      <w:r>
        <w:t xml:space="preserve"> </w:t>
      </w:r>
      <w:r>
        <w:t xml:space="preserve">o IGF-1 foi descrito nos anos 1970 como</w:t>
      </w:r>
      <w:r>
        <w:t xml:space="preserve"> </w:t>
      </w:r>
      <w:r>
        <w:t xml:space="preserve">“</w:t>
      </w:r>
      <w:r>
        <w:t xml:space="preserve">somatomedina</w:t>
      </w:r>
      <w:r>
        <w:t xml:space="preserve">”</w:t>
      </w:r>
      <w:r>
        <w:t xml:space="preserve">; a mecasermina foi desenvolvida pela Tercica e comercializada pela Ipsen, hoje por outro titular da autorização.</w:t>
      </w:r>
    </w:p>
    <w:p>
      <w:pPr>
        <w:numPr>
          <w:ilvl w:val="0"/>
          <w:numId w:val="1174"/>
        </w:numPr>
        <w:pStyle w:val="Compact"/>
      </w:pPr>
      <w:r>
        <w:rPr>
          <w:bCs/>
          <w:b/>
        </w:rPr>
        <w:t xml:space="preserve">Princípio de ação:</w:t>
      </w:r>
      <w:r>
        <w:t xml:space="preserve"> </w:t>
      </w:r>
      <w:r>
        <w:t xml:space="preserve">liga-se ao receptor de IGF-1 e substitui diretamente o IGF-1 ausente; promove o crescimento, tem ação anabólica e – em doses mais altas – reduz a glicemia de modo semelhante à insulina.</w:t>
      </w:r>
    </w:p>
    <w:p>
      <w:pPr>
        <w:numPr>
          <w:ilvl w:val="0"/>
          <w:numId w:val="1174"/>
        </w:numPr>
        <w:pStyle w:val="Compact"/>
      </w:pPr>
      <w:r>
        <w:rPr>
          <w:bCs/>
          <w:b/>
        </w:rPr>
        <w:t xml:space="preserve">Aprovação UE:</w:t>
      </w:r>
      <w:r>
        <w:t xml:space="preserve"> </w:t>
      </w:r>
      <w:r>
        <w:t xml:space="preserve">sim (Increlex) para o tratamento a longo prazo de distúrbios do crescimento em crianças e adolescentes com deficiência primária grave de IGF-1.</w:t>
      </w:r>
      <w:r>
        <w:t xml:space="preserve"> </w:t>
      </w:r>
      <w:r>
        <w:rPr>
          <w:bCs/>
          <w:b/>
        </w:rPr>
        <w:t xml:space="preserve">Aprovação EUA:</w:t>
      </w:r>
      <w:r>
        <w:t xml:space="preserve"> </w:t>
      </w:r>
      <w:r>
        <w:t xml:space="preserve">sim (Increlex), mesma indicação.</w:t>
      </w:r>
    </w:p>
    <w:p>
      <w:pPr>
        <w:numPr>
          <w:ilvl w:val="0"/>
          <w:numId w:val="1174"/>
        </w:numPr>
        <w:pStyle w:val="Compact"/>
      </w:pPr>
      <w:r>
        <w:rPr>
          <w:bCs/>
          <w:b/>
        </w:rPr>
        <w:t xml:space="preserve">WADA:</w:t>
      </w:r>
      <w:r>
        <w:t xml:space="preserve"> </w:t>
      </w:r>
      <w:r>
        <w:t xml:space="preserve">proibida, grupo S2 (IGF-1 e seus análogos como fatores de crescimento).</w:t>
      </w:r>
    </w:p>
    <w:p>
      <w:pPr>
        <w:numPr>
          <w:ilvl w:val="0"/>
          <w:numId w:val="1174"/>
        </w:numPr>
        <w:pStyle w:val="Compact"/>
      </w:pPr>
      <w:r>
        <w:rPr>
          <w:bCs/>
          <w:b/>
        </w:rPr>
        <w:t xml:space="preserve">Nível de evidência: A</w:t>
      </w:r>
      <w:r>
        <w:t xml:space="preserve"> </w:t>
      </w:r>
      <w:r>
        <w:t xml:space="preserve">– aprovada na UE e nos EUA. Ressalva: devido à raridade da doença, a aprovação se baseia em estudos abertos de longo prazo e registros, não em grandes estudos randomizados. Há estudos randomizados sobre outras aplicações, como a ELA (negativos).</w:t>
      </w:r>
    </w:p>
    <w:bookmarkEnd w:id="1491"/>
    <w:bookmarkStart w:id="1493" w:name="como-deveria-agir-31"/>
    <w:p>
      <w:pPr>
        <w:pStyle w:val="Heading3"/>
      </w:pPr>
      <w:r>
        <w:t xml:space="preserve">Como deveria agir</w:t>
      </w:r>
    </w:p>
    <w:p>
      <w:pPr>
        <w:pStyle w:val="FirstParagraph"/>
      </w:pPr>
      <w:r>
        <w:t xml:space="preserve">O hormônio do crescimento da hipófise age sobretudo no fígado, que então produz IGF-1. O IGF-1, por sua vez, faz os ossos crescerem em comprimento e promove a formação de músculo e de outros tecidos. Em algumas crianças essa cadeia está interrompida: seu receptor de hormônio do crescimento não funciona devido a uma alteração genética, ou a transmissão do sinal está comprometida. O exemplo clássico é a síndrome de Laron. Essas crianças têm muito hormônio do crescimento, mas quase nenhum IGF-1, e injeções de hormônio do crescimento não as ajudam. Sem tratamento, quando adultas muitas vezes atingem apenas 120 a 130 cm</w:t>
      </w:r>
      <w:r>
        <w:rPr>
          <w:rStyle w:val="FootnoteReference"/>
        </w:rPr>
        <w:footnoteReference w:id="1492"/>
      </w:r>
      <w:r>
        <w:t xml:space="preserve">.</w:t>
      </w:r>
    </w:p>
    <w:p>
      <w:pPr>
        <w:pStyle w:val="BodyText"/>
      </w:pPr>
      <w:r>
        <w:t xml:space="preserve">A mecasermina contorna a etapa defeituosa e fornece IGF-1 diretamente. Como o IGF-1 se assemelha à insulina, ele pode baixar a glicemia – o efeito colateral mais importante.</w:t>
      </w:r>
    </w:p>
    <w:bookmarkEnd w:id="1493"/>
    <w:bookmarkStart w:id="1509" w:name="estudos-em-humanos-31"/>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21</w:t>
      </w:r>
      <w:r>
        <w:t xml:space="preserve"> </w:t>
      </w:r>
      <w:r>
        <w:t xml:space="preserve">estudos em humanos no PubMed (</w:t>
      </w:r>
      <w:r>
        <w:rPr>
          <w:rStyle w:val="VerbatimChar"/>
        </w:rPr>
        <w:t xml:space="preserve">humanstudien_alle</w:t>
      </w:r>
      <w:r>
        <w:t xml:space="preserve">) e</w:t>
      </w:r>
      <w:r>
        <w:t xml:space="preserve"> </w:t>
      </w:r>
      <w:r>
        <w:rPr>
          <w:bCs/>
          <w:b/>
        </w:rPr>
        <w:t xml:space="preserve">37</w:t>
      </w:r>
      <w:r>
        <w:t xml:space="preserve"> </w:t>
      </w:r>
      <w:r>
        <w:t xml:space="preserve">registros no ClinicalTrials.gov; alguns desses registros tratam de outros temas e aparecem apenas por causa do termo de busca. Somam-se três revisões sistemáticas. Uma busca direcionada adicional revelou os importantes estudos de longo prazo e análises de registros sobre a indicação aprovada.</w:t>
      </w:r>
    </w:p>
    <w:bookmarkStart w:id="1499" w:name="Xa0de77d799017ed91a78d6e20f04597fde78c5e"/>
    <w:p>
      <w:pPr>
        <w:pStyle w:val="Heading4"/>
      </w:pPr>
      <w:r>
        <w:t xml:space="preserve">Deficiência primária grave de IGF-1 em crianças</w:t>
      </w:r>
    </w:p>
    <w:p>
      <w:pPr>
        <w:pStyle w:val="FirstParagraph"/>
      </w:pPr>
      <w:r>
        <w:t xml:space="preserve">A base da aprovação é um estudo predominantemente aberto, com duração de até doze anos, com 76 crianças com deficiência de IGF-1 por resistência ao hormônio do crescimento. A velocidade de crescimento subiu de uma média de 2,8 cm por ano antes do tratamento para 8,0 cm no primeiro ano de tratamento; nos anos seguintes caiu, mas permaneceu acima do valor inicial por até oito anos. O efeito colateral mais frequente foi hipoglicemia (em 49% das crianças, embora já observada antes do início da terapia), seguido de alterações do tecido adiposo no local da injeção (32%) e aumento das amígdalas e adenoides (22%)</w:t>
      </w:r>
      <w:r>
        <w:rPr>
          <w:rStyle w:val="FootnoteReference"/>
        </w:rPr>
        <w:footnoteReference w:id="1494"/>
      </w:r>
      <w:r>
        <w:t xml:space="preserve">.</w:t>
      </w:r>
    </w:p>
    <w:p>
      <w:pPr>
        <w:pStyle w:val="BodyText"/>
      </w:pPr>
      <w:r>
        <w:t xml:space="preserve">Desde 2008, um registro europeu, hoje global, coleta dados da prática clínica</w:t>
      </w:r>
      <w:r>
        <w:rPr>
          <w:rStyle w:val="FootnoteReference"/>
        </w:rPr>
        <w:footnoteReference w:id="1495"/>
      </w:r>
      <w:r>
        <w:t xml:space="preserve">. Em 138 crianças pré-púberes não tratadas anteriormente, a estatura melhorou no primeiro ano; crianças com síndrome de Laron responderam um pouco melhor, e entre as demais 56% foram consideradas respondedoras. 65,3% das crianças tiveram pelo menos um efeito indesejado, mais frequentemente hipoglicemia</w:t>
      </w:r>
      <w:r>
        <w:rPr>
          <w:rStyle w:val="FootnoteReference"/>
        </w:rPr>
        <w:footnoteReference w:id="1496"/>
      </w:r>
      <w:r>
        <w:t xml:space="preserve">. 102 crianças e adolescentes que já tinham atingido quase a estatura final ganharam em média 0,9 desvio padrão de altura, e 1,4 quando o tratamento começou antes da puberdade. Quase metade dessas crianças tratadas precocemente atingiu uma estatura dentro da faixa normal; na síndrome de Laron, apenas 10,5%</w:t>
      </w:r>
      <w:r>
        <w:rPr>
          <w:rStyle w:val="FootnoteReference"/>
        </w:rPr>
        <w:footnoteReference w:id="1497"/>
      </w:r>
      <w:r>
        <w:t xml:space="preserve">. Hipoglicemias graves foram raras, com 0,01 evento por paciente e ano de tratamento; estavam em risco sobretudo crianças com síndrome de Laron ou hipoglicemias anteriores</w:t>
      </w:r>
      <w:r>
        <w:rPr>
          <w:rStyle w:val="FootnoteReference"/>
        </w:rPr>
        <w:footnoteReference w:id="1498"/>
      </w:r>
      <w:r>
        <w:t xml:space="preserve">.</w:t>
      </w:r>
    </w:p>
    <w:bookmarkEnd w:id="1499"/>
    <w:bookmarkStart w:id="1508" w:name="outras-aplicações-1"/>
    <w:p>
      <w:pPr>
        <w:pStyle w:val="Heading4"/>
      </w:pPr>
      <w:r>
        <w:t xml:space="preserve">Outras aplicações</w:t>
      </w:r>
    </w:p>
    <w:p>
      <w:pPr>
        <w:numPr>
          <w:ilvl w:val="0"/>
          <w:numId w:val="1175"/>
        </w:numPr>
        <w:pStyle w:val="Compact"/>
      </w:pPr>
      <w:r>
        <w:rPr>
          <w:bCs/>
          <w:b/>
        </w:rPr>
        <w:t xml:space="preserve">ELA:</w:t>
      </w:r>
      <w:r>
        <w:t xml:space="preserve"> </w:t>
      </w:r>
      <w:r>
        <w:t xml:space="preserve">em um estudo de fase 3 com 330 pessoas com esclerose lateral amiotrófica, o IGF-1 não trouxe, ao longo de dois anos, diferença em relação ao placebo – nem na força muscular nem na sobrevida sem traqueostomia</w:t>
      </w:r>
      <w:r>
        <w:rPr>
          <w:rStyle w:val="FootnoteReference"/>
        </w:rPr>
        <w:footnoteReference w:id="1500"/>
      </w:r>
      <w:r>
        <w:t xml:space="preserve">.</w:t>
      </w:r>
    </w:p>
    <w:p>
      <w:pPr>
        <w:numPr>
          <w:ilvl w:val="0"/>
          <w:numId w:val="1175"/>
        </w:numPr>
        <w:pStyle w:val="Compact"/>
      </w:pPr>
      <w:r>
        <w:rPr>
          <w:bCs/>
          <w:b/>
        </w:rPr>
        <w:t xml:space="preserve">Distrofia muscular de Duchenne:</w:t>
      </w:r>
      <w:r>
        <w:t xml:space="preserve"> </w:t>
      </w:r>
      <w:r>
        <w:t xml:space="preserve">em 17 meninos tratados frente a 21 controles, os meninos cresceram mais rápido ao longo de seis meses (6,5 vs. 3,3 cm por ano), mas a distância percorrida no teste de 6 minutos não se alterou</w:t>
      </w:r>
      <w:r>
        <w:rPr>
          <w:rStyle w:val="FootnoteReference"/>
        </w:rPr>
        <w:footnoteReference w:id="1501"/>
      </w:r>
      <w:r>
        <w:t xml:space="preserve">.</w:t>
      </w:r>
    </w:p>
    <w:p>
      <w:pPr>
        <w:numPr>
          <w:ilvl w:val="0"/>
          <w:numId w:val="1175"/>
        </w:numPr>
        <w:pStyle w:val="Compact"/>
      </w:pPr>
      <w:r>
        <w:rPr>
          <w:bCs/>
          <w:b/>
        </w:rPr>
        <w:t xml:space="preserve">Síndrome de Rett:</w:t>
      </w:r>
      <w:r>
        <w:t xml:space="preserve"> </w:t>
      </w:r>
      <w:r>
        <w:t xml:space="preserve">uma revisão sistemática descreve indícios de preservação de habilidades sociais e cognitivas, mas resultados inconsistentes, e pede estudos maiores</w:t>
      </w:r>
      <w:r>
        <w:rPr>
          <w:rStyle w:val="FootnoteReference"/>
        </w:rPr>
        <w:footnoteReference w:id="1502"/>
      </w:r>
      <w:r>
        <w:t xml:space="preserve">.</w:t>
      </w:r>
    </w:p>
    <w:p>
      <w:pPr>
        <w:numPr>
          <w:ilvl w:val="0"/>
          <w:numId w:val="1175"/>
        </w:numPr>
        <w:pStyle w:val="Compact"/>
      </w:pPr>
      <w:r>
        <w:rPr>
          <w:bCs/>
          <w:b/>
        </w:rPr>
        <w:t xml:space="preserve">Prematuros:</w:t>
      </w:r>
      <w:r>
        <w:t xml:space="preserve"> </w:t>
      </w:r>
      <w:r>
        <w:t xml:space="preserve">o IGF-1 junto com sua proteína de ligação IGFBP-3 não preveniu a retinopatia da prematuridade em 121 prematuros extremos, mas reduziu a displasia broncopulmonar grave (21,3% vs. 44,9%). Eventos graves fatais ocorreram em 19,7% das crianças tratadas e 11,7% das crianças do grupo controle</w:t>
      </w:r>
      <w:r>
        <w:rPr>
          <w:rStyle w:val="FootnoteReference"/>
        </w:rPr>
        <w:footnoteReference w:id="1503"/>
      </w:r>
      <w:r>
        <w:t xml:space="preserve">. Um estudo subsequente sobre o desenvolvimento pulmonar está em andamento</w:t>
      </w:r>
      <w:r>
        <w:rPr>
          <w:rStyle w:val="FootnoteReference"/>
        </w:rPr>
        <w:footnoteReference w:id="1504"/>
      </w:r>
      <w:r>
        <w:t xml:space="preserve">.</w:t>
      </w:r>
    </w:p>
    <w:p>
      <w:pPr>
        <w:numPr>
          <w:ilvl w:val="0"/>
          <w:numId w:val="1175"/>
        </w:numPr>
        <w:pStyle w:val="Compact"/>
      </w:pPr>
      <w:r>
        <w:rPr>
          <w:bCs/>
          <w:b/>
        </w:rPr>
        <w:t xml:space="preserve">Anorexia:</w:t>
      </w:r>
      <w:r>
        <w:t xml:space="preserve"> </w:t>
      </w:r>
      <w:r>
        <w:t xml:space="preserve">em 90 mulheres com anorexia nervosa, um tratamento de seis meses com IGF-1, seguido de um medicamento para os ossos, aumentou a densidade óssea da coluna mais do que o placebo</w:t>
      </w:r>
      <w:r>
        <w:rPr>
          <w:rStyle w:val="FootnoteReference"/>
        </w:rPr>
        <w:footnoteReference w:id="1505"/>
      </w:r>
      <w:r>
        <w:t xml:space="preserve">.</w:t>
      </w:r>
    </w:p>
    <w:p>
      <w:pPr>
        <w:numPr>
          <w:ilvl w:val="0"/>
          <w:numId w:val="1175"/>
        </w:numPr>
        <w:pStyle w:val="Compact"/>
      </w:pPr>
      <w:r>
        <w:rPr>
          <w:bCs/>
          <w:b/>
        </w:rPr>
        <w:t xml:space="preserve">Adultos com síndrome de Laron:</w:t>
      </w:r>
      <w:r>
        <w:t xml:space="preserve"> </w:t>
      </w:r>
      <w:r>
        <w:t xml:space="preserve">em dez adultos, após oito semanas de IGF-1 a proporção de gordura diminuiu e a massa magra aumentou</w:t>
      </w:r>
      <w:r>
        <w:rPr>
          <w:rStyle w:val="FootnoteReference"/>
        </w:rPr>
        <w:footnoteReference w:id="1506"/>
      </w:r>
      <w:r>
        <w:t xml:space="preserve">.</w:t>
      </w:r>
    </w:p>
    <w:p>
      <w:pPr>
        <w:numPr>
          <w:ilvl w:val="0"/>
          <w:numId w:val="1175"/>
        </w:numPr>
        <w:pStyle w:val="Compact"/>
      </w:pPr>
      <w:r>
        <w:rPr>
          <w:bCs/>
          <w:b/>
        </w:rPr>
        <w:t xml:space="preserve">Atletas:</w:t>
      </w:r>
      <w:r>
        <w:t xml:space="preserve"> </w:t>
      </w:r>
      <w:r>
        <w:t xml:space="preserve">em um estudo randomizado e duplo-cego com 56 atletas amadores ao longo de 28 dias, com IGF-1/IGFBP-3 alteraram-se os lipídios sanguíneos e os valores de insulina</w:t>
      </w:r>
      <w:r>
        <w:rPr>
          <w:rStyle w:val="FootnoteReference"/>
        </w:rPr>
        <w:footnoteReference w:id="1507"/>
      </w:r>
      <w:r>
        <w:t xml:space="preserve">. Esse estudo não fornece dados de desempenho.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Estudo de longo prazo (Chernausek 2007), PMID 17192294</w:t>
            </w:r>
          </w:p>
        </w:tc>
        <w:tc>
          <w:tcPr/>
          <w:p>
            <w:pPr>
              <w:pStyle w:val="Compact"/>
              <w:jc w:val="left"/>
            </w:pPr>
            <w:r>
              <w:t xml:space="preserve">76 crianças com resistência ao GH, predominantemente aberto</w:t>
            </w:r>
          </w:p>
        </w:tc>
        <w:tc>
          <w:tcPr/>
          <w:p>
            <w:pPr>
              <w:pStyle w:val="Compact"/>
              <w:jc w:val="left"/>
            </w:pPr>
            <w:r>
              <w:t xml:space="preserve">até 12 anos</w:t>
            </w:r>
          </w:p>
        </w:tc>
        <w:tc>
          <w:tcPr/>
          <w:p>
            <w:pPr>
              <w:pStyle w:val="Compact"/>
              <w:jc w:val="left"/>
            </w:pPr>
            <w:r>
              <w:t xml:space="preserve">crescimento 2,8 → 8,0 cm/ano no 1.º ano; hipoglicemia em 49%</w:t>
            </w:r>
          </w:p>
        </w:tc>
      </w:tr>
      <w:tr>
        <w:tc>
          <w:tcPr/>
          <w:p>
            <w:pPr>
              <w:pStyle w:val="Compact"/>
              <w:jc w:val="left"/>
            </w:pPr>
            <w:r>
              <w:t xml:space="preserve">Registro (Bang 2021), PMID 33434161</w:t>
            </w:r>
          </w:p>
        </w:tc>
        <w:tc>
          <w:tcPr/>
          <w:p>
            <w:pPr>
              <w:pStyle w:val="Compact"/>
              <w:jc w:val="left"/>
            </w:pPr>
            <w:r>
              <w:t xml:space="preserve">242 crianças, das quais 138 não tratadas antes da puberdade; observacional</w:t>
            </w:r>
          </w:p>
        </w:tc>
        <w:tc>
          <w:tcPr/>
          <w:p>
            <w:pPr>
              <w:pStyle w:val="Compact"/>
              <w:jc w:val="left"/>
            </w:pPr>
            <w:r>
              <w:t xml:space="preserve">até 5 anos</w:t>
            </w:r>
          </w:p>
        </w:tc>
        <w:tc>
          <w:tcPr/>
          <w:p>
            <w:pPr>
              <w:pStyle w:val="Compact"/>
              <w:jc w:val="left"/>
            </w:pPr>
            <w:r>
              <w:t xml:space="preserve">ganho de estatura; 65,3% com efeitos colaterais</w:t>
            </w:r>
          </w:p>
        </w:tc>
      </w:tr>
      <w:tr>
        <w:tc>
          <w:tcPr/>
          <w:p>
            <w:pPr>
              <w:pStyle w:val="Compact"/>
              <w:jc w:val="left"/>
            </w:pPr>
            <w:r>
              <w:t xml:space="preserve">Registro, estatura final (Ramon-Krauel 2026), PMID 40626687</w:t>
            </w:r>
          </w:p>
        </w:tc>
        <w:tc>
          <w:tcPr/>
          <w:p>
            <w:pPr>
              <w:pStyle w:val="Compact"/>
              <w:jc w:val="left"/>
            </w:pPr>
            <w:r>
              <w:t xml:space="preserve">102 adolescentes com estatura final quase atingida</w:t>
            </w:r>
          </w:p>
        </w:tc>
        <w:tc>
          <w:tcPr/>
          <w:p>
            <w:pPr>
              <w:pStyle w:val="Compact"/>
              <w:jc w:val="left"/>
            </w:pPr>
            <w:r>
              <w:t xml:space="preserve">mediana de 3,9 anos</w:t>
            </w:r>
          </w:p>
        </w:tc>
        <w:tc>
          <w:tcPr/>
          <w:p>
            <w:pPr>
              <w:pStyle w:val="Compact"/>
              <w:jc w:val="left"/>
            </w:pPr>
            <w:r>
              <w:t xml:space="preserve">+0,9 DP (tratamento precoce +1,4 DP)</w:t>
            </w:r>
          </w:p>
        </w:tc>
      </w:tr>
      <w:tr>
        <w:tc>
          <w:tcPr/>
          <w:p>
            <w:pPr>
              <w:pStyle w:val="Compact"/>
              <w:jc w:val="left"/>
            </w:pPr>
            <w:r>
              <w:t xml:space="preserve">ELA (Sorenson 2008), PMID 19029516</w:t>
            </w:r>
          </w:p>
        </w:tc>
        <w:tc>
          <w:tcPr/>
          <w:p>
            <w:pPr>
              <w:pStyle w:val="Compact"/>
              <w:jc w:val="left"/>
            </w:pPr>
            <w:r>
              <w:t xml:space="preserve">330 pessoas com ELA, ECR contra placebo</w:t>
            </w:r>
          </w:p>
        </w:tc>
        <w:tc>
          <w:tcPr/>
          <w:p>
            <w:pPr>
              <w:pStyle w:val="Compact"/>
              <w:jc w:val="left"/>
            </w:pPr>
            <w:r>
              <w:t xml:space="preserve">2 anos</w:t>
            </w:r>
          </w:p>
        </w:tc>
        <w:tc>
          <w:tcPr/>
          <w:p>
            <w:pPr>
              <w:pStyle w:val="Compact"/>
              <w:jc w:val="left"/>
            </w:pPr>
            <w:r>
              <w:t xml:space="preserve">nenhum benefício</w:t>
            </w:r>
          </w:p>
        </w:tc>
      </w:tr>
      <w:tr>
        <w:tc>
          <w:tcPr/>
          <w:p>
            <w:pPr>
              <w:pStyle w:val="Compact"/>
              <w:jc w:val="left"/>
            </w:pPr>
            <w:r>
              <w:t xml:space="preserve">Prematuros (Ley 2019), PMID 30471715</w:t>
            </w:r>
          </w:p>
        </w:tc>
        <w:tc>
          <w:tcPr/>
          <w:p>
            <w:pPr>
              <w:pStyle w:val="Compact"/>
              <w:jc w:val="left"/>
            </w:pPr>
            <w:r>
              <w:t xml:space="preserve">121 prematuros extremos, ECR contra tratamento padrão</w:t>
            </w:r>
          </w:p>
        </w:tc>
        <w:tc>
          <w:tcPr/>
          <w:p>
            <w:pPr>
              <w:pStyle w:val="Compact"/>
              <w:jc w:val="left"/>
            </w:pPr>
            <w:r>
              <w:t xml:space="preserve">até a 40.ª semana</w:t>
            </w:r>
          </w:p>
        </w:tc>
        <w:tc>
          <w:tcPr/>
          <w:p>
            <w:pPr>
              <w:pStyle w:val="Compact"/>
              <w:jc w:val="left"/>
            </w:pPr>
            <w:r>
              <w:t xml:space="preserve">nenhum efeito sobre a retina; menos DBP grave</w:t>
            </w:r>
          </w:p>
        </w:tc>
      </w:tr>
    </w:tbl>
    <w:bookmarkEnd w:id="1508"/>
    <w:bookmarkEnd w:id="1509"/>
    <w:bookmarkStart w:id="1512" w:name="estudos-em-animais-e-em-laboratório-31"/>
    <w:p>
      <w:pPr>
        <w:pStyle w:val="Heading3"/>
      </w:pPr>
      <w:r>
        <w:t xml:space="preserve">Estudos em animais e em laboratório</w:t>
      </w:r>
    </w:p>
    <w:p>
      <w:pPr>
        <w:pStyle w:val="FirstParagraph"/>
      </w:pPr>
      <w:r>
        <w:t xml:space="preserve">Os efeitos do IGF-1 sobre crescimento, músculo e metabolismo foram estudados de forma muito ampla em estudos com animais e células e constituem a base da terapia. Importantes para a questão da segurança são experimentos com células usando soro sanguíneo de pessoas com síndrome de Laron: células tratadas com esse soro pobre em IGF-1 e depois expostas a estresse oxidativo tiveram menos quebras de DNA, e células danificadas morreram com mais frequência</w:t>
      </w:r>
      <w:r>
        <w:rPr>
          <w:rStyle w:val="FootnoteReference"/>
        </w:rPr>
        <w:footnoteReference w:id="1510"/>
      </w:r>
      <w:r>
        <w:t xml:space="preserve">. Quando se acrescentava IGF-1 ao soro, essas diferenças desapareciam</w:t>
      </w:r>
      <w:r>
        <w:rPr>
          <w:rStyle w:val="FootnoteReference"/>
        </w:rPr>
        <w:footnoteReference w:id="1511"/>
      </w:r>
      <w:r>
        <w:t xml:space="preserve">. O IGF-1, portanto, tende a manter vivas também células danificadas – um possível mecanismo para um risco de câncer.</w:t>
      </w:r>
    </w:p>
    <w:bookmarkEnd w:id="1512"/>
    <w:bookmarkStart w:id="1523" w:name="riscos-e-efeitos-colaterais-31"/>
    <w:p>
      <w:pPr>
        <w:pStyle w:val="Heading3"/>
      </w:pPr>
      <w:r>
        <w:t xml:space="preserve">Riscos e efeitos colaterais</w:t>
      </w:r>
    </w:p>
    <w:p>
      <w:pPr>
        <w:pStyle w:val="FirstParagraph"/>
      </w:pPr>
      <w:r>
        <w:rPr>
          <w:bCs/>
          <w:b/>
        </w:rPr>
        <w:t xml:space="preserve">Comprovado:</w:t>
      </w:r>
    </w:p>
    <w:p>
      <w:pPr>
        <w:numPr>
          <w:ilvl w:val="0"/>
          <w:numId w:val="1176"/>
        </w:numPr>
        <w:pStyle w:val="Compact"/>
      </w:pPr>
      <w:r>
        <w:rPr>
          <w:bCs/>
          <w:b/>
        </w:rPr>
        <w:t xml:space="preserve">Hipoglicemia</w:t>
      </w:r>
      <w:r>
        <w:t xml:space="preserve"> </w:t>
      </w:r>
      <w:r>
        <w:t xml:space="preserve">– o efeito colateral mais frequente e mais importante, especialmente em crianças pequenas, na síndrome de Laron e após hipoglicemias anteriores</w:t>
      </w:r>
      <w:r>
        <w:rPr>
          <w:rStyle w:val="FootnoteReference"/>
        </w:rPr>
        <w:footnoteReference w:id="1513"/>
      </w:r>
      <w:r>
        <w:t xml:space="preserve">. Por isso, a bula técnica prescreve uma relação temporal estreita com as refeições; os detalhes estão na própria bula.</w:t>
      </w:r>
    </w:p>
    <w:p>
      <w:pPr>
        <w:numPr>
          <w:ilvl w:val="0"/>
          <w:numId w:val="1176"/>
        </w:numPr>
        <w:pStyle w:val="Compact"/>
      </w:pPr>
      <w:r>
        <w:rPr>
          <w:bCs/>
          <w:b/>
        </w:rPr>
        <w:t xml:space="preserve">Aumento das amígdalas e das adenoides</w:t>
      </w:r>
      <w:r>
        <w:t xml:space="preserve"> </w:t>
      </w:r>
      <w:r>
        <w:t xml:space="preserve">(22%) e alterações do tecido adiposo no local da injeção (32%)</w:t>
      </w:r>
      <w:r>
        <w:rPr>
          <w:rStyle w:val="FootnoteReference"/>
        </w:rPr>
        <w:footnoteReference w:id="1514"/>
      </w:r>
      <w:r>
        <w:t xml:space="preserve">.</w:t>
      </w:r>
    </w:p>
    <w:p>
      <w:pPr>
        <w:numPr>
          <w:ilvl w:val="0"/>
          <w:numId w:val="1176"/>
        </w:numPr>
        <w:pStyle w:val="Compact"/>
      </w:pPr>
      <w:r>
        <w:t xml:space="preserve">No estudo com prematuros, ocorreram numericamente mais eventos graves fatais com IGF-1/IGFBP-3 do que com o tratamento padrão</w:t>
      </w:r>
      <w:r>
        <w:rPr>
          <w:rStyle w:val="FootnoteReference"/>
        </w:rPr>
        <w:footnoteReference w:id="1515"/>
      </w:r>
      <w:r>
        <w:t xml:space="preserve">; o estudo não foi desenhado para avaliar essa diferença.</w:t>
      </w:r>
    </w:p>
    <w:p>
      <w:pPr>
        <w:pStyle w:val="FirstParagraph"/>
      </w:pPr>
      <w:r>
        <w:rPr>
          <w:bCs/>
          <w:b/>
        </w:rPr>
        <w:t xml:space="preserve">Risco de câncer – o que está comprovado e o que não está:</w:t>
      </w:r>
    </w:p>
    <w:p>
      <w:pPr>
        <w:pStyle w:val="BodyText"/>
      </w:pPr>
      <w:r>
        <w:t xml:space="preserve">O IGF-1 é um sinal de crescimento e sobrevivência para as células. A preocupação de que mais IGF-1 aumente o risco de câncer é, portanto, biologicamente plausível e é sustentada por vários tipos de achados:</w:t>
      </w:r>
    </w:p>
    <w:p>
      <w:pPr>
        <w:numPr>
          <w:ilvl w:val="0"/>
          <w:numId w:val="1177"/>
        </w:numPr>
        <w:pStyle w:val="Compact"/>
      </w:pPr>
      <w:r>
        <w:rPr>
          <w:iCs/>
          <w:i/>
        </w:rPr>
        <w:t xml:space="preserve">Estudos observacionais:</w:t>
      </w:r>
      <w:r>
        <w:t xml:space="preserve"> </w:t>
      </w:r>
      <w:r>
        <w:t xml:space="preserve">pessoas com níveis sanguíneos mais altos de IGF-1 adoecem um pouco mais frequentemente de câncer de próstata e de câncer de mama antes da menopausa</w:t>
      </w:r>
      <w:r>
        <w:rPr>
          <w:rStyle w:val="FootnoteReference"/>
        </w:rPr>
        <w:footnoteReference w:id="1516"/>
      </w:r>
      <w:r>
        <w:t xml:space="preserve">. No UK Biobank, cada aumento de 5 nmol/l esteve associado a um risco 11% maior de câncer de mama</w:t>
      </w:r>
      <w:r>
        <w:rPr>
          <w:rStyle w:val="FootnoteReference"/>
        </w:rPr>
        <w:footnoteReference w:id="1517"/>
      </w:r>
      <w:r>
        <w:t xml:space="preserve">; associações semelhantes aparecem para câncer colorretal</w:t>
      </w:r>
      <w:r>
        <w:rPr>
          <w:rStyle w:val="FootnoteReference"/>
        </w:rPr>
        <w:footnoteReference w:id="1518"/>
      </w:r>
      <w:r>
        <w:t xml:space="preserve"> </w:t>
      </w:r>
      <w:r>
        <w:t xml:space="preserve">e câncer de próstata</w:t>
      </w:r>
      <w:r>
        <w:rPr>
          <w:rStyle w:val="FootnoteReference"/>
        </w:rPr>
        <w:footnoteReference w:id="1519"/>
      </w:r>
      <w:r>
        <w:t xml:space="preserve">.</w:t>
      </w:r>
    </w:p>
    <w:p>
      <w:pPr>
        <w:numPr>
          <w:ilvl w:val="0"/>
          <w:numId w:val="1177"/>
        </w:numPr>
        <w:pStyle w:val="Compact"/>
      </w:pPr>
      <w:r>
        <w:rPr>
          <w:iCs/>
          <w:i/>
        </w:rPr>
        <w:t xml:space="preserve">Análises genéticas (randomização mendeliana):</w:t>
      </w:r>
      <w:r>
        <w:t xml:space="preserve"> </w:t>
      </w:r>
      <w:r>
        <w:t xml:space="preserve">também pessoas com níveis de IGF-1 geneticamente mais altos adoecem um pouco mais frequentemente de câncer de mama e colorretal – um indício de que a associação pode ser causal</w:t>
      </w:r>
      <w:r>
        <w:rPr>
          <w:rStyle w:val="FootnoteReference"/>
        </w:rPr>
        <w:footnoteReference w:id="1520"/>
      </w:r>
      <w:r>
        <w:t xml:space="preserve">.</w:t>
      </w:r>
    </w:p>
    <w:p>
      <w:pPr>
        <w:numPr>
          <w:ilvl w:val="0"/>
          <w:numId w:val="1177"/>
        </w:numPr>
        <w:pStyle w:val="Compact"/>
      </w:pPr>
      <w:r>
        <w:rPr>
          <w:iCs/>
          <w:i/>
        </w:rPr>
        <w:t xml:space="preserve">O contraponto:</w:t>
      </w:r>
      <w:r>
        <w:t xml:space="preserve"> </w:t>
      </w:r>
      <w:r>
        <w:t xml:space="preserve">em um grupo equatoriano com síndrome de Laron, ou seja, com deficiência de IGF-1 ao longo da vida, ocorreu em 22 anos de observação apenas um único câncer, não fatal, frente a 17% entre parentes não afetados</w:t>
      </w:r>
      <w:r>
        <w:rPr>
          <w:rStyle w:val="FootnoteReference"/>
        </w:rPr>
        <w:footnoteReference w:id="1521"/>
      </w:r>
      <w:r>
        <w:t xml:space="preserve">.</w:t>
      </w:r>
    </w:p>
    <w:p>
      <w:pPr>
        <w:pStyle w:val="FirstParagraph"/>
      </w:pPr>
      <w:r>
        <w:t xml:space="preserve">Importante é a ordem de grandeza: os aumentos de risco medidos com IGF-1 naturalmente mais alto são moderados (dependendo da comparação e do tipo de câncer, em geral entre cerca de 5 e 65% em termos relativos). Nas crianças para as quais a mecasermina está aprovada, substitui-se um hormônio ausente, e não se eleva um nível normal. Mesmo assim, após a introdução no mercado foram notificados casos de neoplasias benignas e malignas em crianças tratadas; a bula técnica na UE e nos EUA recebeu então advertências correspondentes, e em caso de câncer ativo ou suspeito a mecasermina não pode ser usada (situação em 2026, detalhes na bula técnica atual). Se existe uma relação causal não é possível esclarecer a partir de notificações isoladas; o registro de longo prazo</w:t>
      </w:r>
      <w:r>
        <w:rPr>
          <w:rStyle w:val="FootnoteReference"/>
        </w:rPr>
        <w:footnoteReference w:id="1522"/>
      </w:r>
      <w:r>
        <w:t xml:space="preserve"> </w:t>
      </w:r>
      <w:r>
        <w:t xml:space="preserve">deve fornecer dados sobre isso.</w:t>
      </w:r>
    </w:p>
    <w:p>
      <w:pPr>
        <w:pStyle w:val="BodyText"/>
      </w:pPr>
      <w:r>
        <w:t xml:space="preserve">Para adultos que usam IGF-1 sem deficiência, para aumentar o desempenho ou para</w:t>
      </w:r>
      <w:r>
        <w:t xml:space="preserve"> </w:t>
      </w:r>
      <w:r>
        <w:t xml:space="preserve">“</w:t>
      </w:r>
      <w:r>
        <w:t xml:space="preserve">rejuvenescer</w:t>
      </w:r>
      <w:r>
        <w:t xml:space="preserve">”</w:t>
      </w:r>
      <w:r>
        <w:t xml:space="preserve">, essas considerações devem ser levadas muito mais a sério: aqui um nível normal seria elevado continuamente – exatamente a situação que, nos estudos observacionais, está associada a um risco maior. O tema é tratado em detalhe na Parte IV.</w:t>
      </w:r>
    </w:p>
    <w:bookmarkEnd w:id="1523"/>
    <w:bookmarkStart w:id="1526" w:name="situação-legal-31"/>
    <w:p>
      <w:pPr>
        <w:pStyle w:val="Heading3"/>
      </w:pPr>
      <w:r>
        <w:t xml:space="preserve">Situação legal</w:t>
      </w:r>
    </w:p>
    <w:p>
      <w:pPr>
        <w:pStyle w:val="FirstParagraph"/>
      </w:pPr>
      <w:r>
        <w:rPr>
          <w:iCs/>
          <w:i/>
        </w:rPr>
        <w:t xml:space="preserve">Situação em 2026, verificar atualização.</w:t>
      </w:r>
    </w:p>
    <w:p>
      <w:pPr>
        <w:numPr>
          <w:ilvl w:val="0"/>
          <w:numId w:val="1178"/>
        </w:numPr>
        <w:pStyle w:val="Compact"/>
      </w:pPr>
      <w:r>
        <w:rPr>
          <w:bCs/>
          <w:b/>
        </w:rPr>
        <w:t xml:space="preserve">UE, Alemanha, Áustria:</w:t>
      </w:r>
      <w:r>
        <w:t xml:space="preserve"> </w:t>
      </w:r>
      <w:r>
        <w:t xml:space="preserve">aprovada (Increlex) exclusivamente para crianças e adolescentes com deficiência primária grave de IGF-1; sujeita a prescrição, tratamento por médicos com experiência em endocrinologia pediátrica conforme a bula técnica. A aprovação na UE está vinculada à coleta de dados no registro de longo prazo</w:t>
      </w:r>
      <w:r>
        <w:rPr>
          <w:rStyle w:val="FootnoteReference"/>
        </w:rPr>
        <w:footnoteReference w:id="1524"/>
      </w:r>
      <w:r>
        <w:t xml:space="preserve">.</w:t>
      </w:r>
    </w:p>
    <w:p>
      <w:pPr>
        <w:numPr>
          <w:ilvl w:val="0"/>
          <w:numId w:val="1178"/>
        </w:numPr>
        <w:pStyle w:val="Compact"/>
      </w:pPr>
      <w:r>
        <w:rPr>
          <w:bCs/>
          <w:b/>
        </w:rPr>
        <w:t xml:space="preserve">EUA:</w:t>
      </w:r>
      <w:r>
        <w:t xml:space="preserve"> </w:t>
      </w:r>
      <w:r>
        <w:t xml:space="preserve">aprovada (Increlex) para a mesma indicação.</w:t>
      </w:r>
    </w:p>
    <w:p>
      <w:pPr>
        <w:numPr>
          <w:ilvl w:val="0"/>
          <w:numId w:val="1178"/>
        </w:numPr>
        <w:pStyle w:val="Compact"/>
      </w:pPr>
      <w:r>
        <w:rPr>
          <w:bCs/>
          <w:b/>
        </w:rPr>
        <w:t xml:space="preserve">Outras aplicações</w:t>
      </w:r>
      <w:r>
        <w:t xml:space="preserve"> </w:t>
      </w:r>
      <w:r>
        <w:t xml:space="preserve">(adultos, esporte, anti-aging) não são aprovadas.</w:t>
      </w:r>
    </w:p>
    <w:p>
      <w:pPr>
        <w:numPr>
          <w:ilvl w:val="0"/>
          <w:numId w:val="1178"/>
        </w:numPr>
        <w:pStyle w:val="Compact"/>
      </w:pPr>
      <w:r>
        <w:rPr>
          <w:bCs/>
          <w:b/>
        </w:rPr>
        <w:t xml:space="preserve">WADA:</w:t>
      </w:r>
      <w:r>
        <w:t xml:space="preserve"> </w:t>
      </w:r>
      <w:r>
        <w:t xml:space="preserve">proibida (S2). Para a detecção do abuso de IGF-1, estão sendo desenvolvidos métodos com marcadores semelhantes aos do teste de hormônio do crescimento</w:t>
      </w:r>
      <w:r>
        <w:rPr>
          <w:rStyle w:val="FootnoteReference"/>
        </w:rPr>
        <w:footnoteReference w:id="1525"/>
      </w:r>
      <w:r>
        <w:t xml:space="preserve">.</w:t>
      </w:r>
    </w:p>
    <w:bookmarkEnd w:id="1526"/>
    <w:bookmarkStart w:id="1528" w:name="estudos-em-andamento-e-perspectivas-31"/>
    <w:p>
      <w:pPr>
        <w:pStyle w:val="Heading3"/>
      </w:pPr>
      <w:r>
        <w:t xml:space="preserve">Estudos em andamento e perspectivas</w:t>
      </w:r>
    </w:p>
    <w:p>
      <w:pPr>
        <w:pStyle w:val="FirstParagraph"/>
      </w:pPr>
      <w:r>
        <w:rPr>
          <w:iCs/>
          <w:i/>
        </w:rPr>
        <w:t xml:space="preserve">Comprovado:</w:t>
      </w:r>
      <w:r>
        <w:t xml:space="preserve"> </w:t>
      </w:r>
      <w:r>
        <w:t xml:space="preserve">o registro global do Increlex</w:t>
      </w:r>
      <w:r>
        <w:rPr>
          <w:rStyle w:val="FootnoteReference"/>
        </w:rPr>
        <w:footnoteReference w:id="1527"/>
      </w:r>
      <w:r>
        <w:t xml:space="preserve"> </w:t>
      </w:r>
      <w:r>
        <w:t xml:space="preserve">segue, segundo o registro, até o final de 2027. Um estudo de fase 2 com IGF-1/IGFBP-3 para a prevenção da displasia broncopulmonar em prematuros extremos (NCT03253263, 295 crianças) está ativo, mas não está mais recrutando.</w:t>
      </w:r>
      <w:r>
        <w:t xml:space="preserve"> </w:t>
      </w:r>
      <w:r>
        <w:rPr>
          <w:iCs/>
          <w:i/>
        </w:rPr>
        <w:t xml:space="preserve">Avaliação do autor:</w:t>
      </w:r>
      <w:r>
        <w:t xml:space="preserve"> </w:t>
      </w:r>
      <w:r>
        <w:t xml:space="preserve">novas aprovações para adultos não estão à vista; a importância da mecasermina continuará limitada a distúrbios raros do crescimento e, eventualmente, à medicina de prematuros.</w:t>
      </w:r>
    </w:p>
    <w:bookmarkEnd w:id="1528"/>
    <w:bookmarkStart w:id="1529" w:name="conclusão-31"/>
    <w:p>
      <w:pPr>
        <w:pStyle w:val="Heading3"/>
      </w:pPr>
      <w:r>
        <w:t xml:space="preserve">Conclusão</w:t>
      </w:r>
    </w:p>
    <w:p>
      <w:pPr>
        <w:pStyle w:val="FirstParagraph"/>
      </w:pPr>
      <w:r>
        <w:t xml:space="preserve">A mecasermina substitui o IGF-1 ausente em crianças com deficiência primária grave de IGF-1 e melhora claramente seu crescimento, especialmente quando o tratamento começa cedo. O efeito colateral mais frequente é a hipoglicemia; após notificações de neoplasias, as advertências foram reforçadas. Em outras aplicações, como na ELA, o IGF-1 não trouxe benefício. Para pessoas saudáveis, o uso não está comprovado nem é justificável, porque o IGF-1 continuamente elevado está associado, em grandes estudos observacionais e genéticos, a um risco um pouco maior de câncer.</w:t>
      </w:r>
    </w:p>
    <w:bookmarkEnd w:id="1529"/>
    <w:bookmarkEnd w:id="1530"/>
    <w:bookmarkStart w:id="1560" w:name="igf-1-lr3"/>
    <w:p>
      <w:pPr>
        <w:pStyle w:val="Heading2"/>
      </w:pPr>
      <w:r>
        <w:t xml:space="preserve">IGF-1 LR3</w:t>
      </w:r>
    </w:p>
    <w:p>
      <w:pPr>
        <w:pStyle w:val="FirstParagraph"/>
      </w:pPr>
      <w:r>
        <w:t xml:space="preserve">O IGF-1 LR3 (por extenso</w:t>
      </w:r>
      <w:r>
        <w:t xml:space="preserve"> </w:t>
      </w:r>
      <w:r>
        <w:t xml:space="preserve">“</w:t>
      </w:r>
      <w:r>
        <w:t xml:space="preserve">Long-R3-IGF-I</w:t>
      </w:r>
      <w:r>
        <w:t xml:space="preserve">”</w:t>
      </w:r>
      <w:r>
        <w:t xml:space="preserve">) não é um medicamento, mas um reagente de laboratório. Foi desenvolvido para fazer culturas de células crescerem melhor na biotecnologia e é usado em experimentos com animais. O fato de ser vendido na internet em frascos para injeção é um exemplo típico do mercado de</w:t>
      </w:r>
      <w:r>
        <w:t xml:space="preserve"> </w:t>
      </w:r>
      <w:r>
        <w:t xml:space="preserve">“</w:t>
      </w:r>
      <w:r>
        <w:t xml:space="preserve">Research Peptides</w:t>
      </w:r>
      <w:r>
        <w:t xml:space="preserve">”</w:t>
      </w:r>
      <w:r>
        <w:t xml:space="preserve">: uma substância que nunca foi pensada para humanos, nunca foi testada em humanos e cujas propriedades reforçam justamente os riscos que preocupam no IGF-1 natural.</w:t>
      </w:r>
    </w:p>
    <w:bookmarkStart w:id="1532" w:name="ficha-técnica-32"/>
    <w:p>
      <w:pPr>
        <w:pStyle w:val="Heading3"/>
      </w:pPr>
      <w:r>
        <w:t xml:space="preserve">Ficha técnica</w:t>
      </w:r>
    </w:p>
    <w:p>
      <w:pPr>
        <w:numPr>
          <w:ilvl w:val="0"/>
          <w:numId w:val="1179"/>
        </w:numPr>
        <w:pStyle w:val="Compact"/>
      </w:pPr>
      <w:r>
        <w:rPr>
          <w:bCs/>
          <w:b/>
        </w:rPr>
        <w:t xml:space="preserve">Tipo e estrutura:</w:t>
      </w:r>
      <w:r>
        <w:t xml:space="preserve"> </w:t>
      </w:r>
      <w:r>
        <w:t xml:space="preserve">IGF-1 humano modificado: na posição 3 está o aminoácido arginina (</w:t>
      </w:r>
      <w:r>
        <w:t xml:space="preserve">“</w:t>
      </w:r>
      <w:r>
        <w:t xml:space="preserve">R3</w:t>
      </w:r>
      <w:r>
        <w:t xml:space="preserve">”</w:t>
      </w:r>
      <w:r>
        <w:t xml:space="preserve">), e no início foi acrescentada uma cadeia adicional de aminoácidos (</w:t>
      </w:r>
      <w:r>
        <w:t xml:space="preserve">“</w:t>
      </w:r>
      <w:r>
        <w:t xml:space="preserve">Long</w:t>
      </w:r>
      <w:r>
        <w:t xml:space="preserve">”</w:t>
      </w:r>
      <w:r>
        <w:t xml:space="preserve">). Ambas as alterações reduzem fortemente a ligação às proteínas de ligação de IGF</w:t>
      </w:r>
      <w:r>
        <w:rPr>
          <w:rStyle w:val="FootnoteReference"/>
        </w:rPr>
        <w:footnoteReference w:id="1531"/>
      </w:r>
      <w:r>
        <w:t xml:space="preserve">.</w:t>
      </w:r>
    </w:p>
    <w:p>
      <w:pPr>
        <w:numPr>
          <w:ilvl w:val="0"/>
          <w:numId w:val="1179"/>
        </w:numPr>
        <w:pStyle w:val="Compact"/>
      </w:pPr>
      <w:r>
        <w:rPr>
          <w:bCs/>
          <w:b/>
        </w:rPr>
        <w:t xml:space="preserve">Origem:</w:t>
      </w:r>
      <w:r>
        <w:t xml:space="preserve"> </w:t>
      </w:r>
      <w:r>
        <w:t xml:space="preserve">descrito no início dos anos 1990 como ferramenta de pesquisa; hoje disponível comercialmente como aditivo para meios de cultura de células.</w:t>
      </w:r>
    </w:p>
    <w:p>
      <w:pPr>
        <w:numPr>
          <w:ilvl w:val="0"/>
          <w:numId w:val="1179"/>
        </w:numPr>
        <w:pStyle w:val="Compact"/>
      </w:pPr>
      <w:r>
        <w:rPr>
          <w:bCs/>
          <w:b/>
        </w:rPr>
        <w:t xml:space="preserve">Princípio de ação:</w:t>
      </w:r>
      <w:r>
        <w:t xml:space="preserve"> </w:t>
      </w:r>
      <w:r>
        <w:t xml:space="preserve">liga-se, como o IGF-1, ao receptor de IGF-1; como quase não é captado por proteínas de ligação, encontra-se no sangue predominantemente na forma livre e, portanto, diretamente ativa.</w:t>
      </w:r>
    </w:p>
    <w:p>
      <w:pPr>
        <w:numPr>
          <w:ilvl w:val="0"/>
          <w:numId w:val="1179"/>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 Em nenhum lugar aprovado como medicamento, nem jamais solicitado.</w:t>
      </w:r>
    </w:p>
    <w:p>
      <w:pPr>
        <w:numPr>
          <w:ilvl w:val="0"/>
          <w:numId w:val="1179"/>
        </w:numPr>
        <w:pStyle w:val="Compact"/>
      </w:pPr>
      <w:r>
        <w:rPr>
          <w:bCs/>
          <w:b/>
        </w:rPr>
        <w:t xml:space="preserve">WADA:</w:t>
      </w:r>
      <w:r>
        <w:t xml:space="preserve"> </w:t>
      </w:r>
      <w:r>
        <w:t xml:space="preserve">proibido, grupo S2 (análogos de IGF-1 como fatores de crescimento).</w:t>
      </w:r>
    </w:p>
    <w:p>
      <w:pPr>
        <w:numPr>
          <w:ilvl w:val="0"/>
          <w:numId w:val="1179"/>
        </w:numPr>
        <w:pStyle w:val="Compact"/>
      </w:pPr>
      <w:r>
        <w:rPr>
          <w:bCs/>
          <w:b/>
        </w:rPr>
        <w:t xml:space="preserve">Nível de evidência: D</w:t>
      </w:r>
      <w:r>
        <w:t xml:space="preserve"> </w:t>
      </w:r>
      <w:r>
        <w:t xml:space="preserve">– nenhum estudo em humanos; apenas estudos em animais e em laboratório.</w:t>
      </w:r>
    </w:p>
    <w:bookmarkEnd w:id="1532"/>
    <w:bookmarkStart w:id="1536" w:name="como-deveria-agir-32"/>
    <w:p>
      <w:pPr>
        <w:pStyle w:val="Heading3"/>
      </w:pPr>
      <w:r>
        <w:t xml:space="preserve">Como deveria agir</w:t>
      </w:r>
    </w:p>
    <w:p>
      <w:pPr>
        <w:pStyle w:val="FirstParagraph"/>
      </w:pPr>
      <w:r>
        <w:t xml:space="preserve">No sangue, quase todo o IGF-1 está acoplado a proteínas de ligação, sobretudo à IGFBP-3. Essas proteínas funcionam como um tampão: prolongam a vida útil do IGF-1, mas também o mantêm afastado das células e assim atenuam seu efeito. Em experimentos com células, a IGFBP-3 inibiu a ativação do receptor de IGF-1 pelo IGF-1 e também pelo Long-R3-IGF-I, captando os mensageiros</w:t>
      </w:r>
      <w:r>
        <w:rPr>
          <w:rStyle w:val="FootnoteReference"/>
        </w:rPr>
        <w:footnoteReference w:id="1533"/>
      </w:r>
      <w:r>
        <w:t xml:space="preserve">.</w:t>
      </w:r>
    </w:p>
    <w:p>
      <w:pPr>
        <w:pStyle w:val="BodyText"/>
      </w:pPr>
      <w:r>
        <w:t xml:space="preserve">O LR3 foi modificado de forma a escapar em grande parte desse tampão. Em ratos, encontrava-se no sangue predominantemente como peptídeo livre e era removido do sangue – em animais não prenhes – cerca de dez vezes mais rápido do que o IGF-1 – ou seja, desaparece rapidamente para os tecidos</w:t>
      </w:r>
      <w:r>
        <w:rPr>
          <w:rStyle w:val="FootnoteReference"/>
        </w:rPr>
        <w:footnoteReference w:id="1534"/>
      </w:r>
      <w:r>
        <w:t xml:space="preserve">. Em ratos diabéticos, foi 2,5 a 3 vezes mais eficaz do que o IGF-1 na restauração do crescimento</w:t>
      </w:r>
      <w:r>
        <w:rPr>
          <w:rStyle w:val="FootnoteReference"/>
        </w:rPr>
        <w:footnoteReference w:id="1535"/>
      </w:r>
      <w:r>
        <w:t xml:space="preserve">. No mercado cinza, deriva-se daí a expectativa de que o LR3 desenvolveria músculos em humanos com mais força do que o IGF-1 natural. Não há evidências disso.</w:t>
      </w:r>
    </w:p>
    <w:bookmarkEnd w:id="1536"/>
    <w:bookmarkStart w:id="1540" w:name="estudos-em-humanos-32"/>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w:t>
      </w:r>
      <w:r>
        <w:t xml:space="preserve"> </w:t>
      </w:r>
      <w:r>
        <w:rPr>
          <w:bCs/>
          <w:b/>
        </w:rPr>
        <w:t xml:space="preserve">não</w:t>
      </w:r>
      <w:r>
        <w:t xml:space="preserve"> </w:t>
      </w:r>
      <w:r>
        <w:t xml:space="preserve">encontrou nenhum estudo em humanos no PubMed (</w:t>
      </w:r>
      <w:r>
        <w:rPr>
          <w:rStyle w:val="VerbatimChar"/>
        </w:rPr>
        <w:t xml:space="preserve">humanstudien_alle</w:t>
      </w:r>
      <w:r>
        <w:t xml:space="preserve">: 0) e</w:t>
      </w:r>
      <w:r>
        <w:t xml:space="preserve"> </w:t>
      </w:r>
      <w:r>
        <w:rPr>
          <w:bCs/>
          <w:b/>
        </w:rPr>
        <w:t xml:space="preserve">nenhum</w:t>
      </w:r>
      <w:r>
        <w:t xml:space="preserve"> </w:t>
      </w:r>
      <w:r>
        <w:t xml:space="preserve">registro no ClinicalTrials.gov. Também uma busca direcionada adicional por estudos piloto, relatos de caso sobre intoxicações ou efeitos colaterais não revelou nenhuma publicação na qual pessoas tenham recebido IGF-1 LR3.</w:t>
      </w:r>
    </w:p>
    <w:p>
      <w:pPr>
        <w:pStyle w:val="BodyText"/>
      </w:pPr>
      <w:r>
        <w:t xml:space="preserve">Foram encontrados apenas:</w:t>
      </w:r>
    </w:p>
    <w:p>
      <w:pPr>
        <w:numPr>
          <w:ilvl w:val="0"/>
          <w:numId w:val="1180"/>
        </w:numPr>
        <w:pStyle w:val="Compact"/>
      </w:pPr>
      <w:r>
        <w:rPr>
          <w:bCs/>
          <w:b/>
        </w:rPr>
        <w:t xml:space="preserve">Análises do mercado cinza:</w:t>
      </w:r>
      <w:r>
        <w:t xml:space="preserve"> </w:t>
      </w:r>
      <w:r>
        <w:t xml:space="preserve">um laboratório antidoping encontrou em um frasco de injeção do mercado negro Long-R3-IGF-I com uma chamada His-tag – um apêndice de seis unidades de histidina usado na produção de proteínas de laboratório para purificação. Os autores supõem que se tratava de um subproduto da pesquisa bioquímica, e não de um preparado fabricado para injeções; o efeito dessa variante em humanos é totalmente desconhecido</w:t>
      </w:r>
      <w:r>
        <w:rPr>
          <w:rStyle w:val="FootnoteReference"/>
        </w:rPr>
        <w:footnoteReference w:id="1537"/>
      </w:r>
      <w:r>
        <w:t xml:space="preserve">. Outro grupo de pesquisa encontrou em produtos do mercado negro numerosos indícios de formas peptídicas de baixa qualidade, oxidadas</w:t>
      </w:r>
      <w:r>
        <w:rPr>
          <w:rStyle w:val="FootnoteReference"/>
        </w:rPr>
        <w:footnoteReference w:id="1538"/>
      </w:r>
      <w:r>
        <w:t xml:space="preserve">.</w:t>
      </w:r>
    </w:p>
    <w:p>
      <w:pPr>
        <w:numPr>
          <w:ilvl w:val="0"/>
          <w:numId w:val="1180"/>
        </w:numPr>
        <w:pStyle w:val="Compact"/>
      </w:pPr>
      <w:r>
        <w:rPr>
          <w:bCs/>
          <w:b/>
        </w:rPr>
        <w:t xml:space="preserve">Revisões sobre doping:</w:t>
      </w:r>
      <w:r>
        <w:t xml:space="preserve"> </w:t>
      </w:r>
      <w:r>
        <w:t xml:space="preserve">o IGF-1 e seus análogos são anunciados na internet e estão disponíveis há anos no mercado negro</w:t>
      </w:r>
      <w:r>
        <w:rPr>
          <w:rStyle w:val="FootnoteReference"/>
        </w:rPr>
        <w:footnoteReference w:id="1539"/>
      </w:r>
      <w:r>
        <w:t xml:space="preserve">.</w:t>
      </w:r>
    </w:p>
    <w:bookmarkEnd w:id="1540"/>
    <w:bookmarkStart w:id="1548" w:name="estudos-em-animais-e-em-laboratório-32"/>
    <w:p>
      <w:pPr>
        <w:pStyle w:val="Heading3"/>
      </w:pPr>
      <w:r>
        <w:t xml:space="preserve">Estudos em animais e em laboratório</w:t>
      </w:r>
    </w:p>
    <w:p>
      <w:pPr>
        <w:pStyle w:val="FirstParagraph"/>
      </w:pPr>
      <w:r>
        <w:t xml:space="preserve">Quase toda a pesquisa sobre o LR3 vem da biologia de animais de produção e do desenvolvimento:</w:t>
      </w:r>
    </w:p>
    <w:p>
      <w:pPr>
        <w:numPr>
          <w:ilvl w:val="0"/>
          <w:numId w:val="1181"/>
        </w:numPr>
        <w:pStyle w:val="Compact"/>
      </w:pPr>
      <w:r>
        <w:rPr>
          <w:bCs/>
          <w:b/>
        </w:rPr>
        <w:t xml:space="preserve">Ratos:</w:t>
      </w:r>
      <w:r>
        <w:t xml:space="preserve"> </w:t>
      </w:r>
      <w:r>
        <w:t xml:space="preserve">distribuição rápida para os tecidos, predominantemente como peptídeo livre</w:t>
      </w:r>
      <w:r>
        <w:rPr>
          <w:rStyle w:val="FootnoteReference"/>
        </w:rPr>
        <w:footnoteReference w:id="1541"/>
      </w:r>
      <w:r>
        <w:t xml:space="preserve">; efeito de crescimento mais forte do que o IGF-1 em ratos diabéticos, sem reduzir a excreção de glicose na urina</w:t>
      </w:r>
      <w:r>
        <w:rPr>
          <w:rStyle w:val="FootnoteReference"/>
        </w:rPr>
        <w:footnoteReference w:id="1542"/>
      </w:r>
      <w:r>
        <w:t xml:space="preserve">.</w:t>
      </w:r>
    </w:p>
    <w:p>
      <w:pPr>
        <w:numPr>
          <w:ilvl w:val="0"/>
          <w:numId w:val="1181"/>
        </w:numPr>
        <w:pStyle w:val="Compact"/>
      </w:pPr>
      <w:r>
        <w:rPr>
          <w:bCs/>
          <w:b/>
        </w:rPr>
        <w:t xml:space="preserve">Porcos:</w:t>
      </w:r>
      <w:r>
        <w:t xml:space="preserve"> </w:t>
      </w:r>
      <w:r>
        <w:t xml:space="preserve">uma infusão de quatro dias</w:t>
      </w:r>
      <w:r>
        <w:t xml:space="preserve"> </w:t>
      </w:r>
      <w:r>
        <w:rPr>
          <w:bCs/>
          <w:b/>
        </w:rPr>
        <w:t xml:space="preserve">reduziu</w:t>
      </w:r>
      <w:r>
        <w:t xml:space="preserve"> </w:t>
      </w:r>
      <w:r>
        <w:t xml:space="preserve">em porcos de engorda o ganho de peso e a ingestão de alimento e suprimiu os níveis próprios de hormônio do crescimento, IGF-1, IGFBP-3 e insulina</w:t>
      </w:r>
      <w:r>
        <w:rPr>
          <w:rStyle w:val="FootnoteReference"/>
        </w:rPr>
        <w:footnoteReference w:id="1543"/>
      </w:r>
      <w:r>
        <w:t xml:space="preserve">.</w:t>
      </w:r>
    </w:p>
    <w:p>
      <w:pPr>
        <w:numPr>
          <w:ilvl w:val="0"/>
          <w:numId w:val="1181"/>
        </w:numPr>
        <w:pStyle w:val="Compact"/>
      </w:pPr>
      <w:r>
        <w:rPr>
          <w:bCs/>
          <w:b/>
        </w:rPr>
        <w:t xml:space="preserve">Porquinhos-da-índia:</w:t>
      </w:r>
      <w:r>
        <w:t xml:space="preserve"> </w:t>
      </w:r>
      <w:r>
        <w:t xml:space="preserve">órgãos como intestino, rins, baço e adrenais ficaram mais pesados, mas o crescimento corporal como um todo não aumentou</w:t>
      </w:r>
      <w:r>
        <w:rPr>
          <w:rStyle w:val="FootnoteReference"/>
        </w:rPr>
        <w:footnoteReference w:id="1544"/>
      </w:r>
      <w:r>
        <w:t xml:space="preserve">.</w:t>
      </w:r>
    </w:p>
    <w:p>
      <w:pPr>
        <w:numPr>
          <w:ilvl w:val="0"/>
          <w:numId w:val="1181"/>
        </w:numPr>
        <w:pStyle w:val="Compact"/>
      </w:pPr>
      <w:r>
        <w:rPr>
          <w:bCs/>
          <w:b/>
        </w:rPr>
        <w:t xml:space="preserve">Fetos de ovelha:</w:t>
      </w:r>
      <w:r>
        <w:t xml:space="preserve"> </w:t>
      </w:r>
      <w:r>
        <w:t xml:space="preserve">em fetos com crescimento normal, o LR3 reduziu a secreção de insulina; uma infusão curta diminuiu os níveis de insulina sob sobrecarga de glicose em 66%</w:t>
      </w:r>
      <w:r>
        <w:rPr>
          <w:rStyle w:val="FootnoteReference"/>
        </w:rPr>
        <w:footnoteReference w:id="1545"/>
      </w:r>
      <w:r>
        <w:t xml:space="preserve">. Em fetos com restrição de crescimento, um tratamento de uma semana não melhorou o crescimento</w:t>
      </w:r>
      <w:r>
        <w:rPr>
          <w:rStyle w:val="FootnoteReference"/>
        </w:rPr>
        <w:footnoteReference w:id="1546"/>
      </w:r>
      <w:r>
        <w:t xml:space="preserve">.</w:t>
      </w:r>
    </w:p>
    <w:p>
      <w:pPr>
        <w:numPr>
          <w:ilvl w:val="0"/>
          <w:numId w:val="1181"/>
        </w:numPr>
        <w:pStyle w:val="Compact"/>
      </w:pPr>
      <w:r>
        <w:rPr>
          <w:bCs/>
          <w:b/>
        </w:rPr>
        <w:t xml:space="preserve">Camundongos:</w:t>
      </w:r>
      <w:r>
        <w:t xml:space="preserve"> </w:t>
      </w:r>
      <w:r>
        <w:t xml:space="preserve">em um modelo de Alzheimer, o LR3 como spray nasal alterou os depósitos de amiloide, mas não impediu a perda de memória</w:t>
      </w:r>
      <w:r>
        <w:rPr>
          <w:rStyle w:val="FootnoteReference"/>
        </w:rPr>
        <w:footnoteReference w:id="1547"/>
      </w:r>
      <w:r>
        <w:t xml:space="preserve">.</w:t>
      </w:r>
    </w:p>
    <w:p>
      <w:pPr>
        <w:pStyle w:val="FirstParagraph"/>
      </w:pPr>
      <w:r>
        <w:t xml:space="preserve">Os dados em animais são contraditórios: dependendo da espécie, o LR3 promoveu o crescimento, não teve efeito ou chegou a inibir o crescimento. Uma transposição para humanos não é possível.</w:t>
      </w:r>
    </w:p>
    <w:bookmarkEnd w:id="1548"/>
    <w:bookmarkStart w:id="1555" w:name="riscos-e-efeitos-colaterais-32"/>
    <w:p>
      <w:pPr>
        <w:pStyle w:val="Heading3"/>
      </w:pPr>
      <w:r>
        <w:t xml:space="preserve">Riscos e efeitos colaterais</w:t>
      </w:r>
    </w:p>
    <w:p>
      <w:pPr>
        <w:pStyle w:val="FirstParagraph"/>
      </w:pPr>
      <w:r>
        <w:t xml:space="preserve">Como não há estudos em humanos, os riscos só podem ser deduzidos da biologia e da experiência com o IGF-1 natural (mecasermina). Essas deduções são</w:t>
      </w:r>
      <w:r>
        <w:t xml:space="preserve"> </w:t>
      </w:r>
      <w:r>
        <w:rPr>
          <w:bCs/>
          <w:b/>
        </w:rPr>
        <w:t xml:space="preserve">teóricas</w:t>
      </w:r>
      <w:r>
        <w:t xml:space="preserve">, mas bem fundamentadas:</w:t>
      </w:r>
    </w:p>
    <w:p>
      <w:pPr>
        <w:numPr>
          <w:ilvl w:val="0"/>
          <w:numId w:val="1182"/>
        </w:numPr>
        <w:pStyle w:val="Compact"/>
      </w:pPr>
      <w:r>
        <w:rPr>
          <w:bCs/>
          <w:b/>
        </w:rPr>
        <w:t xml:space="preserve">Hipoglicemia:</w:t>
      </w:r>
      <w:r>
        <w:t xml:space="preserve"> </w:t>
      </w:r>
      <w:r>
        <w:t xml:space="preserve">em doses mais altas, o IGF-1 age de forma semelhante à insulina. Com a mecasermina aprovada, a hipoglicemia é o efeito colateral mais frequente, embora ali o tampão das proteínas de ligação seja em grande parte preservado</w:t>
      </w:r>
      <w:r>
        <w:rPr>
          <w:rStyle w:val="FootnoteReference"/>
        </w:rPr>
        <w:footnoteReference w:id="1549"/>
      </w:r>
      <w:r>
        <w:t xml:space="preserve">. Um análogo que escapa deliberadamente desse tampão poderia agir de forma mais intensa e menos previsível. Isso não foi medido em humanos. Nos experimentos com animais, os níveis de insulina caíram em parte</w:t>
      </w:r>
      <w:r>
        <w:rPr>
          <w:rStyle w:val="FootnoteReference"/>
        </w:rPr>
        <w:footnoteReference w:id="1550"/>
      </w:r>
      <w:r>
        <w:t xml:space="preserve">, o que poderia alterar adicionalmente a regulação da glicemia.</w:t>
      </w:r>
    </w:p>
    <w:p>
      <w:pPr>
        <w:numPr>
          <w:ilvl w:val="0"/>
          <w:numId w:val="1182"/>
        </w:numPr>
        <w:pStyle w:val="Compact"/>
      </w:pPr>
      <w:r>
        <w:rPr>
          <w:bCs/>
          <w:b/>
        </w:rPr>
        <w:t xml:space="preserve">Crescimento de órgãos e tecidos:</w:t>
      </w:r>
      <w:r>
        <w:t xml:space="preserve"> </w:t>
      </w:r>
      <w:r>
        <w:t xml:space="preserve">em porquinhos-da-índia, órgãos internos aumentaram de tamanho</w:t>
      </w:r>
      <w:r>
        <w:rPr>
          <w:rStyle w:val="FootnoteReference"/>
        </w:rPr>
        <w:footnoteReference w:id="1551"/>
      </w:r>
      <w:r>
        <w:t xml:space="preserve">. Em humanos, não se sabe se algo semelhante ocorre.</w:t>
      </w:r>
    </w:p>
    <w:p>
      <w:pPr>
        <w:numPr>
          <w:ilvl w:val="0"/>
          <w:numId w:val="1182"/>
        </w:numPr>
        <w:pStyle w:val="Compact"/>
      </w:pPr>
      <w:r>
        <w:rPr>
          <w:bCs/>
          <w:b/>
        </w:rPr>
        <w:t xml:space="preserve">Teoria do câncer:</w:t>
      </w:r>
      <w:r>
        <w:t xml:space="preserve"> </w:t>
      </w:r>
      <w:r>
        <w:t xml:space="preserve">o IGF-1 promove a divisão e a sobrevivência celular. Níveis mais altos de IGF-1 estão associados, em grandes estudos observacionais e genéticos, a um risco um pouco maior de câncer de mama e de próstata</w:t>
      </w:r>
      <w:r>
        <w:rPr>
          <w:rStyle w:val="FootnoteReference"/>
        </w:rPr>
        <w:footnoteReference w:id="1552"/>
      </w:r>
      <w:r>
        <w:t xml:space="preserve">, e pessoas com deficiência congênita de IGF-1 adoecem de câncer com notável raridade</w:t>
      </w:r>
      <w:r>
        <w:rPr>
          <w:rStyle w:val="FootnoteReference"/>
        </w:rPr>
        <w:footnoteReference w:id="1553"/>
      </w:r>
      <w:r>
        <w:t xml:space="preserve">. Um análogo que age de forma mais intensa e sem tampão no receptor de IGF-1 reforça justamente essa via de sinalização. Se isso aumenta de forma mensurável o risco de câncer em humanos não foi estudado – e, por falta de estudos, também não será. A preocupação se baseia em plausibilidade, não em relatos de caso.</w:t>
      </w:r>
    </w:p>
    <w:p>
      <w:pPr>
        <w:numPr>
          <w:ilvl w:val="0"/>
          <w:numId w:val="1182"/>
        </w:numPr>
        <w:pStyle w:val="Compact"/>
      </w:pPr>
      <w:r>
        <w:rPr>
          <w:bCs/>
          <w:b/>
        </w:rPr>
        <w:t xml:space="preserve">Qualidade do produto:</w:t>
      </w:r>
      <w:r>
        <w:t xml:space="preserve"> </w:t>
      </w:r>
      <w:r>
        <w:t xml:space="preserve">os preparados do mercado negro encontrados continham variantes de laboratório com apêndice de purificação e peptídeos oxidados</w:t>
      </w:r>
      <w:r>
        <w:rPr>
          <w:rStyle w:val="FootnoteReference"/>
        </w:rPr>
        <w:footnoteReference w:id="1554"/>
      </w:r>
      <w:r>
        <w:t xml:space="preserve">. Somam-se os riscos gerais de injeções não estéreis. Reagentes para cultura de células não estão sujeitos a controle de medicamentos.</w:t>
      </w:r>
    </w:p>
    <w:bookmarkEnd w:id="1555"/>
    <w:bookmarkStart w:id="1557" w:name="situação-legal-32"/>
    <w:p>
      <w:pPr>
        <w:pStyle w:val="Heading3"/>
      </w:pPr>
      <w:r>
        <w:t xml:space="preserve">Situação legal</w:t>
      </w:r>
    </w:p>
    <w:p>
      <w:pPr>
        <w:pStyle w:val="FirstParagraph"/>
      </w:pPr>
      <w:r>
        <w:rPr>
          <w:iCs/>
          <w:i/>
        </w:rPr>
        <w:t xml:space="preserve">Situação em 2026, verificar atualização.</w:t>
      </w:r>
    </w:p>
    <w:p>
      <w:pPr>
        <w:numPr>
          <w:ilvl w:val="0"/>
          <w:numId w:val="1183"/>
        </w:numPr>
        <w:pStyle w:val="Compact"/>
      </w:pPr>
      <w:r>
        <w:rPr>
          <w:bCs/>
          <w:b/>
        </w:rPr>
        <w:t xml:space="preserve">UE, Alemanha, Áustria:</w:t>
      </w:r>
      <w:r>
        <w:t xml:space="preserve"> </w:t>
      </w:r>
      <w:r>
        <w:t xml:space="preserve">não é medicamento, não tem aprovação, nem foi solicitada. Como reagente de laboratório, pode ser vendido para pesquisa; o fornecimento para uso em humanos é proibido pelas leis de medicamentos.</w:t>
      </w:r>
    </w:p>
    <w:p>
      <w:pPr>
        <w:numPr>
          <w:ilvl w:val="0"/>
          <w:numId w:val="1183"/>
        </w:numPr>
        <w:pStyle w:val="Compact"/>
      </w:pPr>
      <w:r>
        <w:rPr>
          <w:bCs/>
          <w:b/>
        </w:rPr>
        <w:t xml:space="preserve">EUA:</w:t>
      </w:r>
      <w:r>
        <w:t xml:space="preserve"> </w:t>
      </w:r>
      <w:r>
        <w:t xml:space="preserve">nenhuma aprovação; distribuição apenas como produto químico de pesquisa.</w:t>
      </w:r>
    </w:p>
    <w:p>
      <w:pPr>
        <w:numPr>
          <w:ilvl w:val="0"/>
          <w:numId w:val="1183"/>
        </w:numPr>
        <w:pStyle w:val="Compact"/>
      </w:pPr>
      <w:r>
        <w:rPr>
          <w:bCs/>
          <w:b/>
        </w:rPr>
        <w:t xml:space="preserve">WADA:</w:t>
      </w:r>
      <w:r>
        <w:t xml:space="preserve"> </w:t>
      </w:r>
      <w:r>
        <w:t xml:space="preserve">proibido (S2). Foi desenvolvido um método de detecção no sangue para o LR3 e análogos de IGF-1 relacionados; em ratos, o LR3 inalterado desapareceu já após cerca de 4 horas, e produtos de degradação foram detectáveis por até 16 horas</w:t>
      </w:r>
      <w:r>
        <w:rPr>
          <w:rStyle w:val="FootnoteReference"/>
        </w:rPr>
        <w:footnoteReference w:id="1556"/>
      </w:r>
      <w:r>
        <w:t xml:space="preserve">.</w:t>
      </w:r>
    </w:p>
    <w:bookmarkEnd w:id="1557"/>
    <w:bookmarkStart w:id="1558" w:name="estudos-em-andamento-e-perspectivas-32"/>
    <w:p>
      <w:pPr>
        <w:pStyle w:val="Heading3"/>
      </w:pPr>
      <w:r>
        <w:t xml:space="preserve">Estudos em andamento e perspectivas</w:t>
      </w:r>
    </w:p>
    <w:p>
      <w:pPr>
        <w:pStyle w:val="FirstParagraph"/>
      </w:pPr>
      <w:r>
        <w:t xml:space="preserve">No ClinicalTrials.gov, em outubro de 2026, não há estudo registrado com IGF-1 LR3.</w:t>
      </w:r>
      <w:r>
        <w:t xml:space="preserve"> </w:t>
      </w:r>
      <w:r>
        <w:rPr>
          <w:iCs/>
          <w:i/>
        </w:rPr>
        <w:t xml:space="preserve">Avaliação do autor:</w:t>
      </w:r>
      <w:r>
        <w:t xml:space="preserve"> </w:t>
      </w:r>
      <w:r>
        <w:t xml:space="preserve">não é de esperar um desenvolvimento como medicamento. O LR3 continua sendo uma ferramenta para cultura de células e pesquisa animal.</w:t>
      </w:r>
    </w:p>
    <w:bookmarkEnd w:id="1558"/>
    <w:bookmarkStart w:id="1559" w:name="conclusão-32"/>
    <w:p>
      <w:pPr>
        <w:pStyle w:val="Heading3"/>
      </w:pPr>
      <w:r>
        <w:t xml:space="preserve">Conclusão</w:t>
      </w:r>
    </w:p>
    <w:p>
      <w:pPr>
        <w:pStyle w:val="FirstParagraph"/>
      </w:pPr>
      <w:r>
        <w:t xml:space="preserve">O IGF-1 LR3 é um reagente de laboratório que nunca foi estudado em humanos. Em experimentos com animais, dependendo da espécie, promoveu o crescimento, não teve efeito ou chegou a inibir o crescimento. Sua propriedade especial – a ausência de ligação às proteínas de ligação tamponantes – faz esperar um risco maior de hipoglicemia e uma sinalização de crescimento reforçada. Produtos do mercado negro comprovadamente continham variantes de laboratório que nunca foram pensadas para injeções.</w:t>
      </w:r>
    </w:p>
    <w:bookmarkEnd w:id="1559"/>
    <w:bookmarkEnd w:id="1560"/>
    <w:bookmarkStart w:id="1602" w:name="ibutamoreno-mk-677"/>
    <w:p>
      <w:pPr>
        <w:pStyle w:val="Heading2"/>
      </w:pPr>
      <w:r>
        <w:t xml:space="preserve">Ibutamoreno (MK-677)</w:t>
      </w:r>
    </w:p>
    <w:p>
      <w:pPr>
        <w:pStyle w:val="FirstParagraph"/>
      </w:pPr>
      <w:r>
        <w:rPr>
          <w:iCs/>
          <w:i/>
        </w:rPr>
        <w:t xml:space="preserve">Capítulo comparativo:</w:t>
      </w:r>
      <w:r>
        <w:t xml:space="preserve"> </w:t>
      </w:r>
      <w:r>
        <w:t xml:space="preserve">o ibutamoreno não é um peptídeo. É uma pequena molécula sintética que se engole em comprimido ou líquido – e justamente por isso está neste livro: como comparação. Ele age no mesmo receptor que a ipamorelina, o GHRP-2 ou a hexarelina, ou seja, no receptor de grelina, e eleva o hormônio do crescimento e o IGF-1 ao longo de meses. O ibutamoreno foi testado nos anos 1990 e 2000 pela empresa farmacêutica Merck em vários estudos randomizados de maior porte. Esses estudos mostram com bastante precisão o que uma estimulação contínua do eixo do hormônio do crescimento traz para pessoas idosas – e onde estão os riscos. No mercado cinza, o ibutamoreno é hoje vendido geralmente como</w:t>
      </w:r>
      <w:r>
        <w:t xml:space="preserve"> </w:t>
      </w:r>
      <w:r>
        <w:t xml:space="preserve">“</w:t>
      </w:r>
      <w:r>
        <w:t xml:space="preserve">suplemento semelhante a SARM</w:t>
      </w:r>
      <w:r>
        <w:t xml:space="preserve">”</w:t>
      </w:r>
      <w:r>
        <w:t xml:space="preserve">.</w:t>
      </w:r>
    </w:p>
    <w:bookmarkStart w:id="1562" w:name="ficha-técnica-33"/>
    <w:p>
      <w:pPr>
        <w:pStyle w:val="Heading3"/>
      </w:pPr>
      <w:r>
        <w:t xml:space="preserve">Ficha técnica</w:t>
      </w:r>
    </w:p>
    <w:p>
      <w:pPr>
        <w:numPr>
          <w:ilvl w:val="0"/>
          <w:numId w:val="1184"/>
        </w:numPr>
        <w:pStyle w:val="Compact"/>
      </w:pPr>
      <w:r>
        <w:rPr>
          <w:bCs/>
          <w:b/>
        </w:rPr>
        <w:t xml:space="preserve">Tipo e estrutura:</w:t>
      </w:r>
      <w:r>
        <w:t xml:space="preserve"> </w:t>
      </w:r>
      <w:r>
        <w:t xml:space="preserve">pequena molécula sintética, não é peptídeo (</w:t>
      </w:r>
      <w:r>
        <w:t xml:space="preserve">“</w:t>
      </w:r>
      <w:r>
        <w:t xml:space="preserve">non-peptide agonist</w:t>
      </w:r>
      <w:r>
        <w:t xml:space="preserve">”</w:t>
      </w:r>
      <w:r>
        <w:t xml:space="preserve">; Liu 2021, PMID 34737341); ativa por via oral. Nomes de desenvolvimento MK-677 ou MK-0677, hoje em desenvolvimento como LUM-201</w:t>
      </w:r>
      <w:r>
        <w:rPr>
          <w:rStyle w:val="FootnoteReference"/>
        </w:rPr>
        <w:footnoteReference w:id="1561"/>
      </w:r>
      <w:r>
        <w:t xml:space="preserve">.</w:t>
      </w:r>
    </w:p>
    <w:p>
      <w:pPr>
        <w:numPr>
          <w:ilvl w:val="0"/>
          <w:numId w:val="1184"/>
        </w:numPr>
        <w:pStyle w:val="Compact"/>
      </w:pPr>
      <w:r>
        <w:rPr>
          <w:bCs/>
          <w:b/>
        </w:rPr>
        <w:t xml:space="preserve">Origem:</w:t>
      </w:r>
      <w:r>
        <w:t xml:space="preserve"> </w:t>
      </w:r>
      <w:r>
        <w:t xml:space="preserve">desenvolvido pela Merck (EUA) nos anos 1990 como</w:t>
      </w:r>
      <w:r>
        <w:t xml:space="preserve"> </w:t>
      </w:r>
      <w:r>
        <w:t xml:space="preserve">“</w:t>
      </w:r>
      <w:r>
        <w:t xml:space="preserve">peptidomimético</w:t>
      </w:r>
      <w:r>
        <w:t xml:space="preserve">”</w:t>
      </w:r>
      <w:r>
        <w:t xml:space="preserve"> </w:t>
      </w:r>
      <w:r>
        <w:t xml:space="preserve">dos peptídeos liberadores de hormônio do crescimento.</w:t>
      </w:r>
    </w:p>
    <w:p>
      <w:pPr>
        <w:numPr>
          <w:ilvl w:val="0"/>
          <w:numId w:val="1184"/>
        </w:numPr>
        <w:pStyle w:val="Compact"/>
      </w:pPr>
      <w:r>
        <w:rPr>
          <w:bCs/>
          <w:b/>
        </w:rPr>
        <w:t xml:space="preserve">Princípio de ação:</w:t>
      </w:r>
      <w:r>
        <w:t xml:space="preserve"> </w:t>
      </w:r>
      <w:r>
        <w:t xml:space="preserve">agonista do receptor de grelina (GHS-R1a); reforça os pulsos existentes de GH e eleva o IGF-1 de forma contínua; aumenta o apetite.</w:t>
      </w:r>
    </w:p>
    <w:p>
      <w:pPr>
        <w:numPr>
          <w:ilvl w:val="0"/>
          <w:numId w:val="1184"/>
        </w:numPr>
        <w:pStyle w:val="Compact"/>
      </w:pPr>
      <w:r>
        <w:rPr>
          <w:bCs/>
          <w:b/>
        </w:rPr>
        <w:t xml:space="preserve">Aprovação UE:</w:t>
      </w:r>
      <w:r>
        <w:t xml:space="preserve"> </w:t>
      </w:r>
      <w:r>
        <w:t xml:space="preserve">não.</w:t>
      </w:r>
      <w:r>
        <w:t xml:space="preserve"> </w:t>
      </w:r>
      <w:r>
        <w:rPr>
          <w:bCs/>
          <w:b/>
        </w:rPr>
        <w:t xml:space="preserve">Aprovação EUA:</w:t>
      </w:r>
      <w:r>
        <w:t xml:space="preserve"> </w:t>
      </w:r>
      <w:r>
        <w:t xml:space="preserve">não.</w:t>
      </w:r>
    </w:p>
    <w:p>
      <w:pPr>
        <w:numPr>
          <w:ilvl w:val="0"/>
          <w:numId w:val="1184"/>
        </w:numPr>
        <w:pStyle w:val="Compact"/>
      </w:pPr>
      <w:r>
        <w:rPr>
          <w:bCs/>
          <w:b/>
        </w:rPr>
        <w:t xml:space="preserve">WADA:</w:t>
      </w:r>
      <w:r>
        <w:t xml:space="preserve"> </w:t>
      </w:r>
      <w:r>
        <w:t xml:space="preserve">proibido, grupo S2 (secretagogos do hormônio do crescimento; o ibutamoreno é expressamente citado).</w:t>
      </w:r>
    </w:p>
    <w:p>
      <w:pPr>
        <w:numPr>
          <w:ilvl w:val="0"/>
          <w:numId w:val="1184"/>
        </w:numPr>
        <w:pStyle w:val="Compact"/>
      </w:pPr>
      <w:r>
        <w:rPr>
          <w:bCs/>
          <w:b/>
        </w:rPr>
        <w:t xml:space="preserve">Nível de evidência: B</w:t>
      </w:r>
      <w:r>
        <w:t xml:space="preserve"> </w:t>
      </w:r>
      <w:r>
        <w:t xml:space="preserve">– vários estudos randomizados e controlados por placebo com até 563 participantes, mas nenhuma aprovação e nenhum estudo com resultado clínico principal positivo.</w:t>
      </w:r>
    </w:p>
    <w:bookmarkEnd w:id="1562"/>
    <w:bookmarkStart w:id="1564" w:name="como-deveria-agir-33"/>
    <w:p>
      <w:pPr>
        <w:pStyle w:val="Heading3"/>
      </w:pPr>
      <w:r>
        <w:t xml:space="preserve">Como deveria agir</w:t>
      </w:r>
    </w:p>
    <w:p>
      <w:pPr>
        <w:pStyle w:val="FirstParagraph"/>
      </w:pPr>
      <w:r>
        <w:t xml:space="preserve">O ibutamoreno imita a grelina. Diferentemente dos peptídeos do grupo, ele não é destruído no estômago e age por tempo suficiente para, com uma ingestão diária, reforçar a secreção de hormônio do crescimento durante as 24 horas. Em pessoas idosas saudáveis, em um estudo, ele praticamente duplicou a concentração média de hormônio do crescimento em 24 horas; o número de pulsos de GH permaneceu igual, sua amplitude aumentou. O IGF-1 atingiu, após quatro semanas, valores como os de adultos jovens</w:t>
      </w:r>
      <w:r>
        <w:rPr>
          <w:rStyle w:val="FootnoteReference"/>
        </w:rPr>
        <w:footnoteReference w:id="1563"/>
      </w:r>
      <w:r>
        <w:t xml:space="preserve">.</w:t>
      </w:r>
    </w:p>
    <w:p>
      <w:pPr>
        <w:pStyle w:val="BodyText"/>
      </w:pPr>
      <w:r>
        <w:t xml:space="preserve">A esperança da Merck era compensar assim o declínio do eixo do hormônio do crescimento com a idade, chamado</w:t>
      </w:r>
      <w:r>
        <w:t xml:space="preserve"> </w:t>
      </w:r>
      <w:r>
        <w:t xml:space="preserve">“</w:t>
      </w:r>
      <w:r>
        <w:t xml:space="preserve">somatopausa</w:t>
      </w:r>
      <w:r>
        <w:t xml:space="preserve">”</w:t>
      </w:r>
      <w:r>
        <w:t xml:space="preserve">: perda muscular (sarcopenia), fragilidade, perda óssea e recuperação lenta após lesões.</w:t>
      </w:r>
    </w:p>
    <w:bookmarkEnd w:id="1564"/>
    <w:bookmarkStart w:id="1579" w:name="estudos-em-humanos-33"/>
    <w:p>
      <w:pPr>
        <w:pStyle w:val="Heading3"/>
      </w:pPr>
      <w:r>
        <w:t xml:space="preserve">Estudos em humanos</w:t>
      </w:r>
    </w:p>
    <w:p>
      <w:pPr>
        <w:pStyle w:val="FirstParagraph"/>
      </w:pPr>
      <w:r>
        <w:rPr>
          <w:bCs/>
          <w:b/>
        </w:rPr>
        <w:t xml:space="preserve">Dimensão do conjunto de estudos (consulta de outubro de 2026):</w:t>
      </w:r>
      <w:r>
        <w:t xml:space="preserve"> </w:t>
      </w:r>
      <w:r>
        <w:t xml:space="preserve">a busca automatizada deste livro encontrou</w:t>
      </w:r>
      <w:r>
        <w:t xml:space="preserve"> </w:t>
      </w:r>
      <w:r>
        <w:rPr>
          <w:bCs/>
          <w:b/>
        </w:rPr>
        <w:t xml:space="preserve">19</w:t>
      </w:r>
      <w:r>
        <w:t xml:space="preserve"> </w:t>
      </w:r>
      <w:r>
        <w:t xml:space="preserve">estudos em humanos no PubMed (</w:t>
      </w:r>
      <w:r>
        <w:rPr>
          <w:rStyle w:val="VerbatimChar"/>
        </w:rPr>
        <w:t xml:space="preserve">humanstudien_alle</w:t>
      </w:r>
      <w:r>
        <w:t xml:space="preserve">) e</w:t>
      </w:r>
      <w:r>
        <w:t xml:space="preserve"> </w:t>
      </w:r>
      <w:r>
        <w:rPr>
          <w:bCs/>
          <w:b/>
        </w:rPr>
        <w:t xml:space="preserve">8</w:t>
      </w:r>
      <w:r>
        <w:t xml:space="preserve"> </w:t>
      </w:r>
      <w:r>
        <w:t xml:space="preserve">registros no ClinicalTrials.gov.</w:t>
      </w:r>
    </w:p>
    <w:bookmarkStart w:id="1566" w:name="adultos-idosos-saudáveis"/>
    <w:p>
      <w:pPr>
        <w:pStyle w:val="Heading4"/>
      </w:pPr>
      <w:r>
        <w:t xml:space="preserve">Adultos idosos saudáveis</w:t>
      </w:r>
    </w:p>
    <w:p>
      <w:pPr>
        <w:pStyle w:val="FirstParagraph"/>
      </w:pPr>
      <w:r>
        <w:t xml:space="preserve">O estudo mais importante durou dois anos: 65 mulheres e homens saudáveis entre 60 e 81 anos receberam diariamente ibutamoreno ou placebo. Hormônio do crescimento e IGF-1 subiram a valores de adultos jovens. A massa livre de gordura aumentou 1,1 kg com ibutamoreno e diminuiu 0,5 kg com placebo. A gordura abdominal não se alterou, o peso corporal subiu 2,7 kg (placebo: 0,8 kg), e a gordura em braços e pernas aumentou mais. O aumento da massa livre de gordura</w:t>
      </w:r>
      <w:r>
        <w:t xml:space="preserve"> </w:t>
      </w:r>
      <w:r>
        <w:rPr>
          <w:bCs/>
          <w:b/>
        </w:rPr>
        <w:t xml:space="preserve">não</w:t>
      </w:r>
      <w:r>
        <w:t xml:space="preserve"> </w:t>
      </w:r>
      <w:r>
        <w:t xml:space="preserve">levou a mais força ou melhor função; os autores admitem que o estudo era pequeno demais para isso. A glicemia de jejum subiu em média 0,3 mmol/l (5 mg/dl), e a sensibilidade à insulina diminuiu. Os efeitos colaterais mais frequentes foram aumento inicial do apetite, leve retenção de líquidos nas pernas e dores musculares</w:t>
      </w:r>
      <w:r>
        <w:rPr>
          <w:rStyle w:val="FootnoteReference"/>
        </w:rPr>
        <w:footnoteReference w:id="1565"/>
      </w:r>
      <w:r>
        <w:t xml:space="preserve">.</w:t>
      </w:r>
    </w:p>
    <w:bookmarkEnd w:id="1566"/>
    <w:bookmarkStart w:id="1569" w:name="fratura-de-quadril"/>
    <w:p>
      <w:pPr>
        <w:pStyle w:val="Heading4"/>
      </w:pPr>
      <w:r>
        <w:t xml:space="preserve">Fratura de quadril</w:t>
      </w:r>
    </w:p>
    <w:p>
      <w:pPr>
        <w:pStyle w:val="FirstParagraph"/>
      </w:pPr>
      <w:r>
        <w:t xml:space="preserve">Dois estudos verificaram se o ibutamoreno ajuda pessoas idosas a se recuperarem após uma fratura de quadril:</w:t>
      </w:r>
    </w:p>
    <w:p>
      <w:pPr>
        <w:numPr>
          <w:ilvl w:val="0"/>
          <w:numId w:val="1185"/>
        </w:numPr>
        <w:pStyle w:val="Compact"/>
      </w:pPr>
      <w:r>
        <w:t xml:space="preserve">No primeiro estudo, com 161 pacientes de 13 centros, o IGF-1 subiu 84% (placebo: 17%). Nos testes funcionais houve em parte tendências favoráveis, mas nenhuma diferença estatisticamente significativa</w:t>
      </w:r>
      <w:r>
        <w:rPr>
          <w:rStyle w:val="FootnoteReference"/>
        </w:rPr>
        <w:footnoteReference w:id="1567"/>
      </w:r>
      <w:r>
        <w:t xml:space="preserve">.</w:t>
      </w:r>
    </w:p>
    <w:p>
      <w:pPr>
        <w:numPr>
          <w:ilvl w:val="0"/>
          <w:numId w:val="1185"/>
        </w:numPr>
        <w:pStyle w:val="Compact"/>
      </w:pPr>
      <w:r>
        <w:t xml:space="preserve">O segundo estudo, com 123 pacientes, foi</w:t>
      </w:r>
      <w:r>
        <w:t xml:space="preserve"> </w:t>
      </w:r>
      <w:r>
        <w:rPr>
          <w:bCs/>
          <w:b/>
        </w:rPr>
        <w:t xml:space="preserve">interrompido antecipadamente porque ocorreu insuficiência cardíaca em um número limitado de tratados</w:t>
      </w:r>
      <w:r>
        <w:t xml:space="preserve">. A velocidade de marcha havia melhorado levemente, a maioria das outras medidas funcionais não; os autores avaliaram o perfil de segurança nesse grupo de pacientes como desfavorável</w:t>
      </w:r>
      <w:r>
        <w:rPr>
          <w:rStyle w:val="FootnoteReference"/>
        </w:rPr>
        <w:footnoteReference w:id="1568"/>
      </w:r>
      <w:r>
        <w:t xml:space="preserve">.</w:t>
      </w:r>
    </w:p>
    <w:p>
      <w:pPr>
        <w:pStyle w:val="FirstParagraph"/>
      </w:pPr>
      <w:r>
        <w:t xml:space="preserve">Outro registro da Merck sobre sarcopenia após fratura de quadril (NCT00128115, 83 pessoas) consta como interrompido, sem indicação de motivos ou resultados.</w:t>
      </w:r>
    </w:p>
    <w:bookmarkEnd w:id="1569"/>
    <w:bookmarkStart w:id="1571" w:name="doença-de-alzheimer"/>
    <w:p>
      <w:pPr>
        <w:pStyle w:val="Heading4"/>
      </w:pPr>
      <w:r>
        <w:t xml:space="preserve">Doença de Alzheimer</w:t>
      </w:r>
    </w:p>
    <w:p>
      <w:pPr>
        <w:pStyle w:val="FirstParagraph"/>
      </w:pPr>
      <w:r>
        <w:t xml:space="preserve">Em um grande estudo, 563 pessoas com demência de Alzheimer leve a moderada receberam por um ano ibutamoreno ou placebo. O IGF-1 subiu 60,1% após seis semanas e 72,9% após doze meses. Em nenhuma das quatro escalas de desempenho cognitivo, capacidade para atividades diárias e impressão global a evolução diferiu do placebo</w:t>
      </w:r>
      <w:r>
        <w:rPr>
          <w:rStyle w:val="FootnoteReference"/>
        </w:rPr>
        <w:footnoteReference w:id="1570"/>
      </w:r>
      <w:r>
        <w:t xml:space="preserve">.</w:t>
      </w:r>
    </w:p>
    <w:bookmarkEnd w:id="1571"/>
    <w:bookmarkStart w:id="1578" w:name="outros-estudos-1"/>
    <w:p>
      <w:pPr>
        <w:pStyle w:val="Heading4"/>
      </w:pPr>
      <w:r>
        <w:t xml:space="preserve">Outros estudos</w:t>
      </w:r>
    </w:p>
    <w:p>
      <w:pPr>
        <w:numPr>
          <w:ilvl w:val="0"/>
          <w:numId w:val="1186"/>
        </w:numPr>
        <w:pStyle w:val="Compact"/>
      </w:pPr>
      <w:r>
        <w:rPr>
          <w:bCs/>
          <w:b/>
        </w:rPr>
        <w:t xml:space="preserve">Homens com excesso de peso:</w:t>
      </w:r>
      <w:r>
        <w:t xml:space="preserve"> </w:t>
      </w:r>
      <w:r>
        <w:t xml:space="preserve">em 24 homens, a massa livre de gordura aumentou ao longo de oito semanas, a gordura total e abdominal não se alteraram; no teste de tolerância à glicose, a regulação da glicemia piorou</w:t>
      </w:r>
      <w:r>
        <w:rPr>
          <w:rStyle w:val="FootnoteReference"/>
        </w:rPr>
        <w:footnoteReference w:id="1572"/>
      </w:r>
      <w:r>
        <w:t xml:space="preserve">.</w:t>
      </w:r>
    </w:p>
    <w:p>
      <w:pPr>
        <w:numPr>
          <w:ilvl w:val="0"/>
          <w:numId w:val="1186"/>
        </w:numPr>
        <w:pStyle w:val="Compact"/>
      </w:pPr>
      <w:r>
        <w:rPr>
          <w:bCs/>
          <w:b/>
        </w:rPr>
        <w:t xml:space="preserve">Osteoporose:</w:t>
      </w:r>
      <w:r>
        <w:t xml:space="preserve"> </w:t>
      </w:r>
      <w:r>
        <w:t xml:space="preserve">em 292 mulheres após a menopausa, o ibutamoreno junto com o medicamento para os ossos alendronato aumentou a densidade óssea mais do que o alendronato sozinho apenas no colo do fêmur, não na coluna nem no quadril total</w:t>
      </w:r>
      <w:r>
        <w:rPr>
          <w:rStyle w:val="FootnoteReference"/>
        </w:rPr>
        <w:footnoteReference w:id="1573"/>
      </w:r>
      <w:r>
        <w:t xml:space="preserve">.</w:t>
      </w:r>
    </w:p>
    <w:p>
      <w:pPr>
        <w:numPr>
          <w:ilvl w:val="0"/>
          <w:numId w:val="1186"/>
        </w:numPr>
        <w:pStyle w:val="Compact"/>
      </w:pPr>
      <w:r>
        <w:rPr>
          <w:bCs/>
          <w:b/>
        </w:rPr>
        <w:t xml:space="preserve">Sono:</w:t>
      </w:r>
      <w:r>
        <w:t xml:space="preserve"> </w:t>
      </w:r>
      <w:r>
        <w:t xml:space="preserve">em pequenos estudos com oito pessoas jovens e seis idosas, o sono profundo e o sono REM, respectivamente, se prolongaram</w:t>
      </w:r>
      <w:r>
        <w:rPr>
          <w:rStyle w:val="FootnoteReference"/>
        </w:rPr>
        <w:footnoteReference w:id="1574"/>
      </w:r>
      <w:r>
        <w:t xml:space="preserve">.</w:t>
      </w:r>
    </w:p>
    <w:p>
      <w:pPr>
        <w:numPr>
          <w:ilvl w:val="0"/>
          <w:numId w:val="1186"/>
        </w:numPr>
        <w:pStyle w:val="Compact"/>
      </w:pPr>
      <w:r>
        <w:rPr>
          <w:bCs/>
          <w:b/>
        </w:rPr>
        <w:t xml:space="preserve">Diálise:</w:t>
      </w:r>
      <w:r>
        <w:t xml:space="preserve"> </w:t>
      </w:r>
      <w:r>
        <w:t xml:space="preserve">em 22 pacientes em diálise, o IGF-1 subiu 65% mais do que com placebo, sem efeitos colaterais graves</w:t>
      </w:r>
      <w:r>
        <w:rPr>
          <w:rStyle w:val="FootnoteReference"/>
        </w:rPr>
        <w:footnoteReference w:id="1575"/>
      </w:r>
      <w:r>
        <w:t xml:space="preserve">.</w:t>
      </w:r>
    </w:p>
    <w:p>
      <w:pPr>
        <w:numPr>
          <w:ilvl w:val="0"/>
          <w:numId w:val="1186"/>
        </w:numPr>
        <w:pStyle w:val="Compact"/>
      </w:pPr>
      <w:r>
        <w:rPr>
          <w:bCs/>
          <w:b/>
        </w:rPr>
        <w:t xml:space="preserve">Crianças com deficiência de hormônio do crescimento:</w:t>
      </w:r>
      <w:r>
        <w:t xml:space="preserve"> </w:t>
      </w:r>
      <w:r>
        <w:t xml:space="preserve">já em 2001, o ibutamoreno aumentou o hormônio do crescimento e o IGF-1 em 18 crianças</w:t>
      </w:r>
      <w:r>
        <w:rPr>
          <w:rStyle w:val="FootnoteReference"/>
        </w:rPr>
        <w:footnoteReference w:id="1576"/>
      </w:r>
      <w:r>
        <w:t xml:space="preserve">. Sob o nome LUM-201, desencadeou em um estudo com 68 crianças respostas de GH mais altas do que os testes de estimulação usuais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Idosos saudáveis (Nass 2008), PMID 18981485</w:t>
            </w:r>
          </w:p>
        </w:tc>
        <w:tc>
          <w:tcPr/>
          <w:p>
            <w:pPr>
              <w:pStyle w:val="Compact"/>
              <w:jc w:val="left"/>
            </w:pPr>
            <w:r>
              <w:t xml:space="preserve">65 pessoas de 60–81 anos, ECR contra placebo</w:t>
            </w:r>
          </w:p>
        </w:tc>
        <w:tc>
          <w:tcPr/>
          <w:p>
            <w:pPr>
              <w:pStyle w:val="Compact"/>
              <w:jc w:val="left"/>
            </w:pPr>
            <w:r>
              <w:t xml:space="preserve">2 anos</w:t>
            </w:r>
          </w:p>
        </w:tc>
        <w:tc>
          <w:tcPr/>
          <w:p>
            <w:pPr>
              <w:pStyle w:val="Compact"/>
              <w:jc w:val="left"/>
            </w:pPr>
            <w:r>
              <w:t xml:space="preserve">massa livre de gordura +1,1 vs. −0,5 kg; força e função inalteradas; glicemia de jejum ↑</w:t>
            </w:r>
          </w:p>
        </w:tc>
      </w:tr>
      <w:tr>
        <w:tc>
          <w:tcPr/>
          <w:p>
            <w:pPr>
              <w:pStyle w:val="Compact"/>
              <w:jc w:val="left"/>
            </w:pPr>
            <w:r>
              <w:t xml:space="preserve">Fratura de quadril 1 (Bach 2004), PMID 15066065</w:t>
            </w:r>
          </w:p>
        </w:tc>
        <w:tc>
          <w:tcPr/>
          <w:p>
            <w:pPr>
              <w:pStyle w:val="Compact"/>
              <w:jc w:val="left"/>
            </w:pPr>
            <w:r>
              <w:t xml:space="preserve">161 idosos após fratura de quadril, ECR</w:t>
            </w:r>
          </w:p>
        </w:tc>
        <w:tc>
          <w:tcPr/>
          <w:p>
            <w:pPr>
              <w:pStyle w:val="Compact"/>
              <w:jc w:val="left"/>
            </w:pPr>
            <w:r>
              <w:t xml:space="preserve">6 meses</w:t>
            </w:r>
          </w:p>
        </w:tc>
        <w:tc>
          <w:tcPr/>
          <w:p>
            <w:pPr>
              <w:pStyle w:val="Compact"/>
              <w:jc w:val="left"/>
            </w:pPr>
            <w:r>
              <w:t xml:space="preserve">IGF-1 +84%; função não significativamente melhor</w:t>
            </w:r>
          </w:p>
        </w:tc>
      </w:tr>
      <w:tr>
        <w:tc>
          <w:tcPr/>
          <w:p>
            <w:pPr>
              <w:pStyle w:val="Compact"/>
              <w:jc w:val="left"/>
            </w:pPr>
            <w:r>
              <w:t xml:space="preserve">Fratura de quadril 2 (Adunsky 2011), PMID 21067829</w:t>
            </w:r>
          </w:p>
        </w:tc>
        <w:tc>
          <w:tcPr/>
          <w:p>
            <w:pPr>
              <w:pStyle w:val="Compact"/>
              <w:jc w:val="left"/>
            </w:pPr>
            <w:r>
              <w:t xml:space="preserve">123 idosos após fratura de quadril, ECR</w:t>
            </w:r>
          </w:p>
        </w:tc>
        <w:tc>
          <w:tcPr/>
          <w:p>
            <w:pPr>
              <w:pStyle w:val="Compact"/>
              <w:jc w:val="left"/>
            </w:pPr>
            <w:r>
              <w:t xml:space="preserve">24 semanas previstas</w:t>
            </w:r>
          </w:p>
        </w:tc>
        <w:tc>
          <w:tcPr/>
          <w:p>
            <w:pPr>
              <w:pStyle w:val="Compact"/>
              <w:jc w:val="left"/>
            </w:pPr>
            <w:r>
              <w:t xml:space="preserve">interrupção por sinal de insuficiência cardíaca</w:t>
            </w:r>
          </w:p>
        </w:tc>
      </w:tr>
      <w:tr>
        <w:tc>
          <w:tcPr/>
          <w:p>
            <w:pPr>
              <w:pStyle w:val="Compact"/>
              <w:jc w:val="left"/>
            </w:pPr>
            <w:r>
              <w:t xml:space="preserve">Alzheimer (Sevigny 2008), PMID 19015485</w:t>
            </w:r>
          </w:p>
        </w:tc>
        <w:tc>
          <w:tcPr/>
          <w:p>
            <w:pPr>
              <w:pStyle w:val="Compact"/>
              <w:jc w:val="left"/>
            </w:pPr>
            <w:r>
              <w:t xml:space="preserve">563 pessoas com Alzheimer, ECR</w:t>
            </w:r>
          </w:p>
        </w:tc>
        <w:tc>
          <w:tcPr/>
          <w:p>
            <w:pPr>
              <w:pStyle w:val="Compact"/>
              <w:jc w:val="left"/>
            </w:pPr>
            <w:r>
              <w:t xml:space="preserve">12 meses</w:t>
            </w:r>
          </w:p>
        </w:tc>
        <w:tc>
          <w:tcPr/>
          <w:p>
            <w:pPr>
              <w:pStyle w:val="Compact"/>
              <w:jc w:val="left"/>
            </w:pPr>
            <w:r>
              <w:t xml:space="preserve">IGF-1 +72,9%; nenhum efeito na evolução da doença</w:t>
            </w:r>
          </w:p>
        </w:tc>
      </w:tr>
      <w:tr>
        <w:tc>
          <w:tcPr/>
          <w:p>
            <w:pPr>
              <w:pStyle w:val="Compact"/>
              <w:jc w:val="left"/>
            </w:pPr>
            <w:r>
              <w:t xml:space="preserve">Osteoporose (Murphy 2001), PMID 11238495</w:t>
            </w:r>
          </w:p>
        </w:tc>
        <w:tc>
          <w:tcPr/>
          <w:p>
            <w:pPr>
              <w:pStyle w:val="Compact"/>
              <w:jc w:val="left"/>
            </w:pPr>
            <w:r>
              <w:t xml:space="preserve">292 mulheres, ECR com alendronato</w:t>
            </w:r>
          </w:p>
        </w:tc>
        <w:tc>
          <w:tcPr/>
          <w:p>
            <w:pPr>
              <w:pStyle w:val="Compact"/>
              <w:jc w:val="left"/>
            </w:pPr>
            <w:r>
              <w:t xml:space="preserve">12–18 meses</w:t>
            </w:r>
          </w:p>
        </w:tc>
        <w:tc>
          <w:tcPr/>
          <w:p>
            <w:pPr>
              <w:pStyle w:val="Compact"/>
              <w:jc w:val="left"/>
            </w:pPr>
            <w:r>
              <w:t xml:space="preserve">apenas densidade óssea do colo do fêmur um pouco maior</w:t>
            </w:r>
          </w:p>
        </w:tc>
      </w:tr>
    </w:tbl>
    <w:bookmarkEnd w:id="1578"/>
    <w:bookmarkEnd w:id="1579"/>
    <w:bookmarkStart w:id="1582" w:name="estudos-em-animais-e-em-laboratório-33"/>
    <w:p>
      <w:pPr>
        <w:pStyle w:val="Heading3"/>
      </w:pPr>
      <w:r>
        <w:t xml:space="preserve">Estudos em animais e em laboratório</w:t>
      </w:r>
    </w:p>
    <w:p>
      <w:pPr>
        <w:pStyle w:val="FirstParagraph"/>
      </w:pPr>
      <w:r>
        <w:t xml:space="preserve">Em camundongos com um modelo de Alzheimer, o ibutamoreno reduziu depósitos de amiloide e perdas de neurônios no cérebro</w:t>
      </w:r>
      <w:r>
        <w:rPr>
          <w:rStyle w:val="FootnoteReference"/>
        </w:rPr>
        <w:footnoteReference w:id="1580"/>
      </w:r>
      <w:r>
        <w:t xml:space="preserve"> </w:t>
      </w:r>
      <w:r>
        <w:t xml:space="preserve">– um achado que, no grande estudo de Alzheimer em humanos, não se traduziu em benefício clínico. A estrutura do receptor de grelina com ibutamoreno ligado foi elucidada em 2021</w:t>
      </w:r>
      <w:r>
        <w:rPr>
          <w:rStyle w:val="FootnoteReference"/>
        </w:rPr>
        <w:footnoteReference w:id="1581"/>
      </w:r>
      <w:r>
        <w:t xml:space="preserve">.</w:t>
      </w:r>
    </w:p>
    <w:bookmarkEnd w:id="1582"/>
    <w:bookmarkStart w:id="1593" w:name="riscos-e-efeitos-colaterais-33"/>
    <w:p>
      <w:pPr>
        <w:pStyle w:val="Heading3"/>
      </w:pPr>
      <w:r>
        <w:t xml:space="preserve">Riscos e efeitos colaterais</w:t>
      </w:r>
    </w:p>
    <w:p>
      <w:pPr>
        <w:pStyle w:val="FirstParagraph"/>
      </w:pPr>
      <w:r>
        <w:rPr>
          <w:bCs/>
          <w:b/>
        </w:rPr>
        <w:t xml:space="preserve">Comprovado por estudos randomizados:</w:t>
      </w:r>
    </w:p>
    <w:p>
      <w:pPr>
        <w:numPr>
          <w:ilvl w:val="0"/>
          <w:numId w:val="1187"/>
        </w:numPr>
        <w:pStyle w:val="Compact"/>
      </w:pPr>
      <w:r>
        <w:rPr>
          <w:bCs/>
          <w:b/>
        </w:rPr>
        <w:t xml:space="preserve">Sinal de insuficiência cardíaca:</w:t>
      </w:r>
      <w:r>
        <w:t xml:space="preserve"> </w:t>
      </w:r>
      <w:r>
        <w:t xml:space="preserve">interrupção de um estudo em pessoas idosas após fratura de quadril por casos de insuficiência cardíaca</w:t>
      </w:r>
      <w:r>
        <w:rPr>
          <w:rStyle w:val="FootnoteReference"/>
        </w:rPr>
        <w:footnoteReference w:id="1583"/>
      </w:r>
      <w:r>
        <w:t xml:space="preserve">. Quantos casos foram, o resumo não informa. A retenção de líquidos está entre os efeitos conhecidos de níveis elevados de hormônio do crescimento e sobrecarrega um coração previamente lesado.</w:t>
      </w:r>
    </w:p>
    <w:p>
      <w:pPr>
        <w:numPr>
          <w:ilvl w:val="0"/>
          <w:numId w:val="1187"/>
        </w:numPr>
        <w:pStyle w:val="Compact"/>
      </w:pPr>
      <w:r>
        <w:rPr>
          <w:bCs/>
          <w:b/>
        </w:rPr>
        <w:t xml:space="preserve">Glicemia:</w:t>
      </w:r>
      <w:r>
        <w:t xml:space="preserve"> </w:t>
      </w:r>
      <w:r>
        <w:t xml:space="preserve">aumento da glicemia de jejum e redução da sensibilidade à insulina</w:t>
      </w:r>
      <w:r>
        <w:rPr>
          <w:rStyle w:val="FootnoteReference"/>
        </w:rPr>
        <w:footnoteReference w:id="1584"/>
      </w:r>
      <w:r>
        <w:t xml:space="preserve">; piora da tolerância à glicose em homens com excesso de peso</w:t>
      </w:r>
      <w:r>
        <w:rPr>
          <w:rStyle w:val="FootnoteReference"/>
        </w:rPr>
        <w:footnoteReference w:id="1585"/>
      </w:r>
      <w:r>
        <w:t xml:space="preserve">.</w:t>
      </w:r>
    </w:p>
    <w:p>
      <w:pPr>
        <w:numPr>
          <w:ilvl w:val="0"/>
          <w:numId w:val="1187"/>
        </w:numPr>
        <w:pStyle w:val="Compact"/>
      </w:pPr>
      <w:r>
        <w:rPr>
          <w:bCs/>
          <w:b/>
        </w:rPr>
        <w:t xml:space="preserve">Ganho de peso e apetite:</w:t>
      </w:r>
      <w:r>
        <w:t xml:space="preserve"> </w:t>
      </w:r>
      <w:r>
        <w:t xml:space="preserve">mais peso corporal, mais gordura em braços e pernas, aumento da fome</w:t>
      </w:r>
      <w:r>
        <w:rPr>
          <w:rStyle w:val="FootnoteReference"/>
        </w:rPr>
        <w:footnoteReference w:id="1586"/>
      </w:r>
      <w:r>
        <w:t xml:space="preserve">.</w:t>
      </w:r>
    </w:p>
    <w:p>
      <w:pPr>
        <w:numPr>
          <w:ilvl w:val="0"/>
          <w:numId w:val="1187"/>
        </w:numPr>
        <w:pStyle w:val="Compact"/>
      </w:pPr>
      <w:r>
        <w:rPr>
          <w:bCs/>
          <w:b/>
        </w:rPr>
        <w:t xml:space="preserve">Retenção de líquidos e dores musculares</w:t>
      </w:r>
      <w:r>
        <w:rPr>
          <w:rStyle w:val="FootnoteReference"/>
        </w:rPr>
        <w:footnoteReference w:id="1587"/>
      </w:r>
      <w:r>
        <w:t xml:space="preserve">.</w:t>
      </w:r>
    </w:p>
    <w:p>
      <w:pPr>
        <w:pStyle w:val="FirstParagraph"/>
      </w:pPr>
      <w:r>
        <w:rPr>
          <w:bCs/>
          <w:b/>
        </w:rPr>
        <w:t xml:space="preserve">Relatos de caso do uso no mercado cinza:</w:t>
      </w:r>
      <w:r>
        <w:t xml:space="preserve"> </w:t>
      </w:r>
      <w:r>
        <w:t xml:space="preserve">um homem de pouco mais de 30 anos desenvolveu, após dois meses de uso de MK-677, enzimas hepáticas elevadas, que se normalizaram após a suspensão</w:t>
      </w:r>
      <w:r>
        <w:rPr>
          <w:rStyle w:val="FootnoteReference"/>
        </w:rPr>
        <w:footnoteReference w:id="1588"/>
      </w:r>
      <w:r>
        <w:t xml:space="preserve">. Um homem de 40 anos desenvolveu crescimento das mamas e deficiência de testosterona; seus suplementos de fitness continham, além de MK-677, também um SARM, cardarine e hormônios não declarados</w:t>
      </w:r>
      <w:r>
        <w:rPr>
          <w:rStyle w:val="FootnoteReference"/>
        </w:rPr>
        <w:footnoteReference w:id="1589"/>
      </w:r>
      <w:r>
        <w:t xml:space="preserve">.</w:t>
      </w:r>
    </w:p>
    <w:p>
      <w:pPr>
        <w:pStyle w:val="BodyText"/>
      </w:pPr>
      <w:r>
        <w:rPr>
          <w:bCs/>
          <w:b/>
        </w:rPr>
        <w:t xml:space="preserve">Câncer:</w:t>
      </w:r>
      <w:r>
        <w:t xml:space="preserve"> </w:t>
      </w:r>
      <w:r>
        <w:t xml:space="preserve">o ibutamoreno eleva o IGF-1 ao longo de meses a anos ao nível de adultos jovens. Nos estudos não foi relatado sinal de câncer, mas eles não foram nem grandes nem longos o suficiente para isso. Uma revisão sobre liberadores de GH pede expressamente dados de longo prazo sobre câncer e mortalidade</w:t>
      </w:r>
      <w:r>
        <w:rPr>
          <w:rStyle w:val="FootnoteReference"/>
        </w:rPr>
        <w:footnoteReference w:id="1590"/>
      </w:r>
      <w:r>
        <w:t xml:space="preserve">. Sobre o panorama geral dos dados, veja a introdução deste grupo e a Parte IV.</w:t>
      </w:r>
    </w:p>
    <w:p>
      <w:pPr>
        <w:pStyle w:val="BodyText"/>
      </w:pPr>
      <w:r>
        <w:rPr>
          <w:bCs/>
          <w:b/>
        </w:rPr>
        <w:t xml:space="preserve">Qualidade no mercado cinza:</w:t>
      </w:r>
      <w:r>
        <w:t xml:space="preserve"> </w:t>
      </w:r>
      <w:r>
        <w:t xml:space="preserve">em uma análise americana de 44 produtos vendidos na internet como SARMs, 39% continham, em vez da substância declarada ou adicionalmente, outras substâncias não aprovadas, entre elas o ibutamoreno; apenas 41% continham a quantidade declarada da substância ativa</w:t>
      </w:r>
      <w:r>
        <w:rPr>
          <w:rStyle w:val="FootnoteReference"/>
        </w:rPr>
        <w:footnoteReference w:id="1591"/>
      </w:r>
      <w:r>
        <w:t xml:space="preserve">. Uma vigilância de mercado europeia com 324 amostras de 13 países encontrou o ibutamoreno como substância mais frequente entre os preparados para ganho muscular examinados; 24% dos produtos eram apresentados como suplementos alimentares</w:t>
      </w:r>
      <w:r>
        <w:rPr>
          <w:rStyle w:val="FootnoteReference"/>
        </w:rPr>
        <w:footnoteReference w:id="1592"/>
      </w:r>
      <w:r>
        <w:t xml:space="preserve">.</w:t>
      </w:r>
    </w:p>
    <w:bookmarkEnd w:id="1593"/>
    <w:bookmarkStart w:id="1595" w:name="situação-legal-33"/>
    <w:p>
      <w:pPr>
        <w:pStyle w:val="Heading3"/>
      </w:pPr>
      <w:r>
        <w:t xml:space="preserve">Situação legal</w:t>
      </w:r>
    </w:p>
    <w:p>
      <w:pPr>
        <w:pStyle w:val="FirstParagraph"/>
      </w:pPr>
      <w:r>
        <w:rPr>
          <w:iCs/>
          <w:i/>
        </w:rPr>
        <w:t xml:space="preserve">Situação em 2026, verificar atualização.</w:t>
      </w:r>
    </w:p>
    <w:p>
      <w:pPr>
        <w:numPr>
          <w:ilvl w:val="0"/>
          <w:numId w:val="1188"/>
        </w:numPr>
        <w:pStyle w:val="Compact"/>
      </w:pPr>
      <w:r>
        <w:rPr>
          <w:bCs/>
          <w:b/>
        </w:rPr>
        <w:t xml:space="preserve">UE, Alemanha, Áustria:</w:t>
      </w:r>
      <w:r>
        <w:t xml:space="preserve"> </w:t>
      </w:r>
      <w:r>
        <w:t xml:space="preserve">nenhuma aprovação. O ibutamoreno é um fármaco não aprovado; como suplemento alimentar, não pode ser comercializado. Quem o oferece para uso em humanos viola a legislação de medicamentos.</w:t>
      </w:r>
    </w:p>
    <w:p>
      <w:pPr>
        <w:numPr>
          <w:ilvl w:val="0"/>
          <w:numId w:val="1188"/>
        </w:numPr>
        <w:pStyle w:val="Compact"/>
      </w:pPr>
      <w:r>
        <w:rPr>
          <w:bCs/>
          <w:b/>
        </w:rPr>
        <w:t xml:space="preserve">EUA:</w:t>
      </w:r>
      <w:r>
        <w:t xml:space="preserve"> </w:t>
      </w:r>
      <w:r>
        <w:t xml:space="preserve">nenhuma aprovação; mesmo assim é vendido como</w:t>
      </w:r>
      <w:r>
        <w:t xml:space="preserve"> </w:t>
      </w:r>
      <w:r>
        <w:t xml:space="preserve">“</w:t>
      </w:r>
      <w:r>
        <w:t xml:space="preserve">Research Chemical</w:t>
      </w:r>
      <w:r>
        <w:t xml:space="preserve">”</w:t>
      </w:r>
      <w:r>
        <w:t xml:space="preserve"> </w:t>
      </w:r>
      <w:r>
        <w:t xml:space="preserve">ou em suplementos.</w:t>
      </w:r>
    </w:p>
    <w:p>
      <w:pPr>
        <w:numPr>
          <w:ilvl w:val="0"/>
          <w:numId w:val="1188"/>
        </w:numPr>
        <w:pStyle w:val="Compact"/>
      </w:pPr>
      <w:r>
        <w:rPr>
          <w:bCs/>
          <w:b/>
        </w:rPr>
        <w:t xml:space="preserve">WADA:</w:t>
      </w:r>
      <w:r>
        <w:t xml:space="preserve"> </w:t>
      </w:r>
      <w:r>
        <w:t xml:space="preserve">proibido (S2). Também no hipismo é controlado, por exemplo por meio de análises de pelos</w:t>
      </w:r>
      <w:r>
        <w:rPr>
          <w:rStyle w:val="FootnoteReference"/>
        </w:rPr>
        <w:footnoteReference w:id="1594"/>
      </w:r>
      <w:r>
        <w:t xml:space="preserve">.</w:t>
      </w:r>
    </w:p>
    <w:bookmarkEnd w:id="1595"/>
    <w:bookmarkStart w:id="1600" w:name="estudos-em-andamento-e-perspectivas-33"/>
    <w:p>
      <w:pPr>
        <w:pStyle w:val="Heading3"/>
      </w:pPr>
      <w:r>
        <w:t xml:space="preserve">Estudos em andamento e perspectivas</w:t>
      </w:r>
    </w:p>
    <w:p>
      <w:pPr>
        <w:pStyle w:val="FirstParagraph"/>
      </w:pPr>
      <w:r>
        <w:rPr>
          <w:iCs/>
          <w:i/>
        </w:rPr>
        <w:t xml:space="preserve">Comprovado:</w:t>
      </w:r>
      <w:r>
        <w:t xml:space="preserve"> </w:t>
      </w:r>
      <w:r>
        <w:t xml:space="preserve">sob o nome LUM-201, o ibutamoreno está sendo desenvolvido como comprimido para crianças com deficiência de hormônio do crescimento. Um estudo de fase 2 com 104 crianças</w:t>
      </w:r>
      <w:r>
        <w:rPr>
          <w:rStyle w:val="FootnoteReference"/>
        </w:rPr>
        <w:footnoteReference w:id="1596"/>
      </w:r>
      <w:r>
        <w:t xml:space="preserve"> </w:t>
      </w:r>
      <w:r>
        <w:t xml:space="preserve">foi concluído; um estudo de fase 3 com 150 crianças previstas está recrutando desde 2026</w:t>
      </w:r>
      <w:r>
        <w:rPr>
          <w:rStyle w:val="FootnoteReference"/>
        </w:rPr>
        <w:footnoteReference w:id="1597"/>
      </w:r>
      <w:r>
        <w:t xml:space="preserve">, e um estudo de segurança de longo prazo está planejado</w:t>
      </w:r>
      <w:r>
        <w:rPr>
          <w:rStyle w:val="FootnoteReference"/>
        </w:rPr>
        <w:footnoteReference w:id="1598"/>
      </w:r>
      <w:r>
        <w:t xml:space="preserve">. Outro estudo de fase 2 deverá examinar, a partir de 2027, o LUM-201 adicionado à semaglutida em pessoas idosas com obesidade, para limitar a perda muscular durante o emagrecimento</w:t>
      </w:r>
      <w:r>
        <w:rPr>
          <w:rStyle w:val="FootnoteReference"/>
        </w:rPr>
        <w:footnoteReference w:id="1599"/>
      </w:r>
      <w:r>
        <w:t xml:space="preserve">.</w:t>
      </w:r>
    </w:p>
    <w:p>
      <w:pPr>
        <w:pStyle w:val="BodyText"/>
      </w:pPr>
      <w:r>
        <w:rPr>
          <w:iCs/>
          <w:i/>
        </w:rPr>
        <w:t xml:space="preserve">Avaliação do autor:</w:t>
      </w:r>
      <w:r>
        <w:t xml:space="preserve"> </w:t>
      </w:r>
      <w:r>
        <w:t xml:space="preserve">uma aprovação para crianças só é concebível após a conclusão do estudo de fase 3, ou seja, não antes do final dos anos 2020. Uma aprovação para adultos idosos não está à vista após o sinal de insuficiência cardíaca e a ausência de melhorias funcionais.</w:t>
      </w:r>
    </w:p>
    <w:bookmarkEnd w:id="1600"/>
    <w:bookmarkStart w:id="1601" w:name="conclusão-33"/>
    <w:p>
      <w:pPr>
        <w:pStyle w:val="Heading3"/>
      </w:pPr>
      <w:r>
        <w:t xml:space="preserve">Conclusão</w:t>
      </w:r>
    </w:p>
    <w:p>
      <w:pPr>
        <w:pStyle w:val="FirstParagraph"/>
      </w:pPr>
      <w:r>
        <w:t xml:space="preserve">O ibutamoreno é o agente ativo por via oral mais minuciosamente estudado que estimula continuamente o eixo do hormônio do crescimento. Os estudos mostram o padrão básico de todo o grupo: IGF-1 e massa magra sobem, mas força, função e evolução de doenças – no envelhecimento, na fratura de quadril e no Alzheimer – não melhoraram. Em contrapartida, glicemia e peso subiram, e um estudo em pessoas idosas foi interrompido por insuficiência cardíaca. Produtos do mercado cinza com</w:t>
      </w:r>
      <w:r>
        <w:t xml:space="preserve"> </w:t>
      </w:r>
      <w:r>
        <w:t xml:space="preserve">“</w:t>
      </w:r>
      <w:r>
        <w:t xml:space="preserve">MK-677</w:t>
      </w:r>
      <w:r>
        <w:t xml:space="preserve">”</w:t>
      </w:r>
      <w:r>
        <w:t xml:space="preserve"> </w:t>
      </w:r>
      <w:r>
        <w:t xml:space="preserve">são frequentemente rotulados de forma incorreta.</w:t>
      </w:r>
    </w:p>
    <w:bookmarkEnd w:id="1601"/>
    <w:bookmarkEnd w:id="1602"/>
    <w:bookmarkEnd w:id="1603"/>
    <w:bookmarkStart w:id="1958" w:name="parte-ii-d-cérebro-sono-e-longevidade"/>
    <w:p>
      <w:pPr>
        <w:pStyle w:val="Heading1"/>
      </w:pPr>
      <w:r>
        <w:t xml:space="preserve">Parte II · D – Cérebro, sono e longevidade</w:t>
      </w:r>
    </w:p>
    <w:p>
      <w:pPr>
        <w:pStyle w:val="FirstParagraph"/>
      </w:pPr>
      <w:r>
        <w:t xml:space="preserve">Poucos grupos de peptídeos são anunciados na internet de forma tão promissora quanto este: substâncias para mais concentração e memória (</w:t>
      </w:r>
      <w:r>
        <w:t xml:space="preserve">“</w:t>
      </w:r>
      <w:r>
        <w:t xml:space="preserve">nootrópicos</w:t>
      </w:r>
      <w:r>
        <w:t xml:space="preserve">”</w:t>
      </w:r>
      <w:r>
        <w:t xml:space="preserve">), para um sono mais profundo, para telômeros mais longos e</w:t>
      </w:r>
      <w:r>
        <w:t xml:space="preserve"> </w:t>
      </w:r>
      <w:r>
        <w:t xml:space="preserve">“</w:t>
      </w:r>
      <w:r>
        <w:t xml:space="preserve">mitocôndrias mais jovens</w:t>
      </w:r>
      <w:r>
        <w:t xml:space="preserve">”</w:t>
      </w:r>
      <w:r>
        <w:t xml:space="preserve">. Em comum, as doze substâncias desta seção têm o fato de visarem o cérebro, o envelhecimento celular ou o metabolismo energético – e o fato de que aqui o abismo entre promessa e evidência é especialmente grande.</w:t>
      </w:r>
    </w:p>
    <w:bookmarkStart w:id="1604" w:name="o-que-une-estes-peptídeos"/>
    <w:p>
      <w:pPr>
        <w:pStyle w:val="Heading3"/>
      </w:pPr>
      <w:r>
        <w:t xml:space="preserve">O que une estes peptídeos</w:t>
      </w:r>
    </w:p>
    <w:p>
      <w:pPr>
        <w:pStyle w:val="FirstParagraph"/>
      </w:pPr>
      <w:r>
        <w:t xml:space="preserve">O grupo pode ser dividido, grosso modo, em três famílias:</w:t>
      </w:r>
    </w:p>
    <w:p>
      <w:pPr>
        <w:numPr>
          <w:ilvl w:val="0"/>
          <w:numId w:val="1189"/>
        </w:numPr>
        <w:pStyle w:val="Compact"/>
      </w:pPr>
      <w:r>
        <w:rPr>
          <w:bCs/>
          <w:b/>
        </w:rPr>
        <w:t xml:space="preserve">Neuropeptídeos russos e</w:t>
      </w:r>
      <w:r>
        <w:rPr>
          <w:bCs/>
          <w:b/>
        </w:rPr>
        <w:t xml:space="preserve"> </w:t>
      </w:r>
      <w:r>
        <w:rPr>
          <w:bCs/>
          <w:b/>
        </w:rPr>
        <w:t xml:space="preserve">“</w:t>
      </w:r>
      <w:r>
        <w:rPr>
          <w:bCs/>
          <w:b/>
        </w:rPr>
        <w:t xml:space="preserve">biorreguladores</w:t>
      </w:r>
      <w:r>
        <w:rPr>
          <w:bCs/>
          <w:b/>
        </w:rPr>
        <w:t xml:space="preserve">”</w:t>
      </w:r>
      <w:r>
        <w:rPr>
          <w:bCs/>
          <w:b/>
        </w:rPr>
        <w:t xml:space="preserve">:</w:t>
      </w:r>
      <w:r>
        <w:t xml:space="preserve"> </w:t>
      </w:r>
      <w:r>
        <w:t xml:space="preserve">Semax, Selank, DSIP, Epitalon e Pinealon vêm da pesquisa soviética e russa. A cerebrolisina, uma mistura de peptídeos de cérebro de porco, vem da Áustria, mas é usada sobretudo no Leste Europeu e na Ásia.</w:t>
      </w:r>
    </w:p>
    <w:p>
      <w:pPr>
        <w:numPr>
          <w:ilvl w:val="0"/>
          <w:numId w:val="1189"/>
        </w:numPr>
        <w:pStyle w:val="Compact"/>
      </w:pPr>
      <w:r>
        <w:rPr>
          <w:bCs/>
          <w:b/>
        </w:rPr>
        <w:t xml:space="preserve">Peptídeos mitocondriais:</w:t>
      </w:r>
      <w:r>
        <w:t xml:space="preserve"> </w:t>
      </w:r>
      <w:r>
        <w:t xml:space="preserve">MOTS-c e humanina são sinalizadores do próprio organismo codificados no material genético das mitocôndrias. O SS-31 (elamipretida) é um peptídeo artificial que se liga especificamente à membrana mitocondrial.</w:t>
      </w:r>
    </w:p>
    <w:p>
      <w:pPr>
        <w:numPr>
          <w:ilvl w:val="0"/>
          <w:numId w:val="1189"/>
        </w:numPr>
        <w:pStyle w:val="Compact"/>
      </w:pPr>
      <w:r>
        <w:rPr>
          <w:bCs/>
          <w:b/>
        </w:rPr>
        <w:t xml:space="preserve">Moléculas</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experimentais:</w:t>
      </w:r>
      <w:r>
        <w:t xml:space="preserve"> </w:t>
      </w:r>
      <w:r>
        <w:t xml:space="preserve">Dihexa (um derivado da angiotensina IV) e FOXO4-DRI (um senolítico que eliminaria células envelhecidas) nunca foram estudados em humanos. A glutationa, por fim, é um tripeptídeo do próprio organismo vendido como suplemento alimentar e em infusão.</w:t>
      </w:r>
    </w:p>
    <w:bookmarkEnd w:id="1604"/>
    <w:bookmarkStart w:id="1605" w:name="a-cena-dos-nootrópicos-e-da-longevidade"/>
    <w:p>
      <w:pPr>
        <w:pStyle w:val="Heading3"/>
      </w:pPr>
      <w:r>
        <w:t xml:space="preserve">A cena dos nootrópicos e da longevidade</w:t>
      </w:r>
    </w:p>
    <w:p>
      <w:pPr>
        <w:pStyle w:val="FirstParagraph"/>
      </w:pPr>
      <w:r>
        <w:t xml:space="preserve">Quem procura essas substâncias na internet chega rapidamente a fóruns, influenciadores e</w:t>
      </w:r>
      <w:r>
        <w:t xml:space="preserve"> </w:t>
      </w:r>
      <w:r>
        <w:t xml:space="preserve">“</w:t>
      </w:r>
      <w:r>
        <w:t xml:space="preserve">clínicas de longevidade</w:t>
      </w:r>
      <w:r>
        <w:t xml:space="preserve">”</w:t>
      </w:r>
      <w:r>
        <w:t xml:space="preserve">. São típicos três erros de raciocínio que você encontrará repetidamente nos capítulos seguintes:</w:t>
      </w:r>
    </w:p>
    <w:p>
      <w:pPr>
        <w:numPr>
          <w:ilvl w:val="0"/>
          <w:numId w:val="1190"/>
        </w:numPr>
        <w:pStyle w:val="Compact"/>
      </w:pPr>
      <w:r>
        <w:rPr>
          <w:bCs/>
          <w:b/>
        </w:rPr>
        <w:t xml:space="preserve">Do animal para o ser humano:</w:t>
      </w:r>
      <w:r>
        <w:t xml:space="preserve"> </w:t>
      </w:r>
      <w:r>
        <w:t xml:space="preserve">o fato de um peptídeo melhorar a memória ou a expectativa de vida em camundongos diz pouco sobre se ele funciona em humanos. Na pesquisa sobre AVC e Alzheimer, centenas de substâncias bem-sucedidas em animais fracassaram em humanos.</w:t>
      </w:r>
    </w:p>
    <w:p>
      <w:pPr>
        <w:numPr>
          <w:ilvl w:val="0"/>
          <w:numId w:val="1190"/>
        </w:numPr>
        <w:pStyle w:val="Compact"/>
      </w:pPr>
      <w:r>
        <w:rPr>
          <w:bCs/>
          <w:b/>
        </w:rPr>
        <w:t xml:space="preserve">Do nível sanguíneo para a injeção:</w:t>
      </w:r>
      <w:r>
        <w:t xml:space="preserve"> </w:t>
      </w:r>
      <w:r>
        <w:t xml:space="preserve">o fato de pessoas com níveis baixos de MOTS-c ou humanina adoecerem com mais frequência não prova que uma suplementação traga saúde.</w:t>
      </w:r>
    </w:p>
    <w:p>
      <w:pPr>
        <w:numPr>
          <w:ilvl w:val="0"/>
          <w:numId w:val="1190"/>
        </w:numPr>
        <w:pStyle w:val="Compact"/>
      </w:pPr>
      <w:r>
        <w:rPr>
          <w:bCs/>
          <w:b/>
        </w:rPr>
        <w:t xml:space="preserve">Do mecanismo para o benefício:</w:t>
      </w:r>
      <w:r>
        <w:t xml:space="preserve"> </w:t>
      </w:r>
      <w:r>
        <w:t xml:space="preserve">um mecanismo coerente –</w:t>
      </w:r>
      <w:r>
        <w:t xml:space="preserve"> </w:t>
      </w:r>
      <w:r>
        <w:t xml:space="preserve">“</w:t>
      </w:r>
      <w:r>
        <w:t xml:space="preserve">protege as mitocôndrias</w:t>
      </w:r>
      <w:r>
        <w:t xml:space="preserve">”</w:t>
      </w:r>
      <w:r>
        <w:t xml:space="preserve">,</w:t>
      </w:r>
      <w:r>
        <w:t xml:space="preserve"> </w:t>
      </w:r>
      <w:r>
        <w:t xml:space="preserve">“</w:t>
      </w:r>
      <w:r>
        <w:t xml:space="preserve">alonga os telômeros</w:t>
      </w:r>
      <w:r>
        <w:t xml:space="preserve">”</w:t>
      </w:r>
      <w:r>
        <w:t xml:space="preserve"> </w:t>
      </w:r>
      <w:r>
        <w:t xml:space="preserve">– não é eficácia. O SS-31 é o melhor exemplo disso: foi testado em vários grandes estudos e não atingiu os desfechos principais no infarto do miocárdio, na insuficiência cardíaca e na miopatia mitocondrial.</w:t>
      </w:r>
    </w:p>
    <w:p>
      <w:pPr>
        <w:pStyle w:val="FirstParagraph"/>
      </w:pPr>
      <w:r>
        <w:t xml:space="preserve">Além disso, quase todas essas substâncias são vendidas no mercado cinza como</w:t>
      </w:r>
      <w:r>
        <w:t xml:space="preserve"> </w:t>
      </w:r>
      <w:r>
        <w:t xml:space="preserve">“</w:t>
      </w:r>
      <w:r>
        <w:t xml:space="preserve">Research Peptides</w:t>
      </w:r>
      <w:r>
        <w:t xml:space="preserve">”</w:t>
      </w:r>
      <w:r>
        <w:t xml:space="preserve"> </w:t>
      </w:r>
      <w:r>
        <w:t xml:space="preserve">– sem controle de qualidade (veja a Parte I e a Parte IV).</w:t>
      </w:r>
    </w:p>
    <w:bookmarkEnd w:id="1605"/>
    <w:bookmarkStart w:id="1606" w:name="Xf08a6ae354b7f29880be54209f84f19a3c68f5e"/>
    <w:p>
      <w:pPr>
        <w:pStyle w:val="Heading3"/>
      </w:pPr>
      <w:r>
        <w:t xml:space="preserve">A pesquisa russa de peptídeos e sua situação de publicação</w:t>
      </w:r>
    </w:p>
    <w:p>
      <w:pPr>
        <w:pStyle w:val="FirstParagraph"/>
      </w:pPr>
      <w:r>
        <w:t xml:space="preserve">Grande parte da literatura sobre Semax, Selank, DSIP, Epitalon e Pinealon vem de poucos institutos em Moscou e São Petersburgo. Isso não é motivo para rejeitar a pesquisa em bloco – mas é motivo para cautela:</w:t>
      </w:r>
    </w:p>
    <w:p>
      <w:pPr>
        <w:numPr>
          <w:ilvl w:val="0"/>
          <w:numId w:val="1191"/>
        </w:numPr>
        <w:pStyle w:val="Compact"/>
      </w:pPr>
      <w:r>
        <w:rPr>
          <w:bCs/>
          <w:b/>
        </w:rPr>
        <w:t xml:space="preserve">Aprovação sem padrões internacionais:</w:t>
      </w:r>
      <w:r>
        <w:t xml:space="preserve"> </w:t>
      </w:r>
      <w:r>
        <w:t xml:space="preserve">alguns peptídeos estão registrados como medicamentos na Rússia sem que tenham sido publicados grandes estudos cegos e pré-registrados, como os exigidos pela UE ou pelos EUA.</w:t>
      </w:r>
    </w:p>
    <w:p>
      <w:pPr>
        <w:numPr>
          <w:ilvl w:val="0"/>
          <w:numId w:val="1191"/>
        </w:numPr>
        <w:pStyle w:val="Compact"/>
      </w:pPr>
      <w:r>
        <w:rPr>
          <w:bCs/>
          <w:b/>
        </w:rPr>
        <w:t xml:space="preserve">Estudos pequenos e não controlados:</w:t>
      </w:r>
      <w:r>
        <w:t xml:space="preserve"> </w:t>
      </w:r>
      <w:r>
        <w:t xml:space="preserve">muitos trabalhos clínicos não têm grupo placebo, nem randomização, ou não informam números no resumo.</w:t>
      </w:r>
    </w:p>
    <w:p>
      <w:pPr>
        <w:numPr>
          <w:ilvl w:val="0"/>
          <w:numId w:val="1191"/>
        </w:numPr>
        <w:pStyle w:val="Compact"/>
      </w:pPr>
      <w:r>
        <w:rPr>
          <w:bCs/>
          <w:b/>
        </w:rPr>
        <w:t xml:space="preserve">Idioma e acesso:</w:t>
      </w:r>
      <w:r>
        <w:t xml:space="preserve"> </w:t>
      </w:r>
      <w:r>
        <w:t xml:space="preserve">muitos trabalhos são publicados apenas em russo, frequentemente em revistas nas quais os próprios grupos de autores publicam com frequência.</w:t>
      </w:r>
    </w:p>
    <w:p>
      <w:pPr>
        <w:numPr>
          <w:ilvl w:val="0"/>
          <w:numId w:val="1191"/>
        </w:numPr>
        <w:pStyle w:val="Compact"/>
      </w:pPr>
      <w:r>
        <w:rPr>
          <w:bCs/>
          <w:b/>
        </w:rPr>
        <w:t xml:space="preserve">Falta de replicação:</w:t>
      </w:r>
      <w:r>
        <w:t xml:space="preserve"> </w:t>
      </w:r>
      <w:r>
        <w:t xml:space="preserve">grupos independentes fora da Rússia raramente verificaram os resultados – e, quando o fizeram, muitas vezes com resultado decepcionante, como no caso do DSIP.</w:t>
      </w:r>
    </w:p>
    <w:p>
      <w:pPr>
        <w:numPr>
          <w:ilvl w:val="0"/>
          <w:numId w:val="1191"/>
        </w:numPr>
        <w:pStyle w:val="Compact"/>
      </w:pPr>
      <w:r>
        <w:rPr>
          <w:bCs/>
          <w:b/>
        </w:rPr>
        <w:t xml:space="preserve">Nenhum registro:</w:t>
      </w:r>
      <w:r>
        <w:t xml:space="preserve"> </w:t>
      </w:r>
      <w:r>
        <w:t xml:space="preserve">para Semax, Selank, DSIP e Pinealon não se encontra um único estudo no ClinicalTrials.gov.</w:t>
      </w:r>
    </w:p>
    <w:bookmarkEnd w:id="1606"/>
    <w:bookmarkStart w:id="1607" w:name="visão-geral-2"/>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fragmento de ACTH; pequenos estudos em 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só na Rússia</w:t>
            </w:r>
          </w:p>
        </w:tc>
        <w:tc>
          <w:tcPr/>
          <w:p>
            <w:pPr>
              <w:pStyle w:val="Compact"/>
              <w:jc w:val="left"/>
            </w:pPr>
            <w:r>
              <w:t xml:space="preserve">ansiolítico; nenhum estudo com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outros na Áustria</w:t>
            </w:r>
          </w:p>
        </w:tc>
        <w:tc>
          <w:tcPr/>
          <w:p>
            <w:pPr>
              <w:pStyle w:val="Compact"/>
              <w:jc w:val="left"/>
            </w:pPr>
            <w:r>
              <w:t xml:space="preserve">muitos ECRs, Cochrane reservada</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w:t>
            </w:r>
          </w:p>
        </w:tc>
        <w:tc>
          <w:tcPr/>
          <w:p>
            <w:pPr>
              <w:pStyle w:val="Compact"/>
              <w:jc w:val="left"/>
            </w:pPr>
            <w:r>
              <w:t xml:space="preserve">só dados em animais; questão do câncer em aberto</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w:t>
            </w:r>
          </w:p>
        </w:tc>
        <w:tc>
          <w:tcPr/>
          <w:p>
            <w:pPr>
              <w:pStyle w:val="Compact"/>
              <w:jc w:val="left"/>
            </w:pPr>
            <w:r>
              <w:t xml:space="preserve">“</w:t>
            </w:r>
            <w:r>
              <w:t xml:space="preserve">peptídeo do sono</w:t>
            </w:r>
            <w:r>
              <w:t xml:space="preserve">”</w:t>
            </w:r>
            <w:r>
              <w:t xml:space="preserve"> </w:t>
            </w:r>
            <w:r>
              <w:t xml:space="preserve">sem benefício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promessa de telômeros só em laboratório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w:t>
            </w:r>
          </w:p>
        </w:tc>
        <w:tc>
          <w:tcPr/>
          <w:p>
            <w:pPr>
              <w:pStyle w:val="Compact"/>
              <w:jc w:val="left"/>
            </w:pPr>
            <w:r>
              <w:t xml:space="preserve">pequenas observações russas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w:t>
            </w:r>
          </w:p>
        </w:tc>
        <w:tc>
          <w:tcPr/>
          <w:p>
            <w:pPr>
              <w:pStyle w:val="Compact"/>
              <w:jc w:val="left"/>
            </w:pPr>
            <w:r>
              <w:t xml:space="preserve">camundongos sim, humanos só níveis sanguíneos</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w:t>
            </w:r>
          </w:p>
        </w:tc>
        <w:tc>
          <w:tcPr/>
          <w:p>
            <w:pPr>
              <w:pStyle w:val="Compact"/>
              <w:jc w:val="left"/>
            </w:pPr>
            <w:r>
              <w:t xml:space="preserve">biomarcador; promotor de tumores em animais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EUA (síndrome de Barth)</w:t>
            </w:r>
          </w:p>
        </w:tc>
        <w:tc>
          <w:tcPr/>
          <w:p>
            <w:pPr>
              <w:pStyle w:val="Compact"/>
              <w:jc w:val="left"/>
            </w:pPr>
            <w:r>
              <w:t xml:space="preserve">grandes estudos em geral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w:t>
            </w:r>
          </w:p>
        </w:tc>
        <w:tc>
          <w:tcPr/>
          <w:p>
            <w:pPr>
              <w:pStyle w:val="Compact"/>
              <w:jc w:val="left"/>
            </w:pPr>
            <w:r>
              <w:t xml:space="preserve">senolítico, só dados em animais</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w:t>
            </w:r>
          </w:p>
        </w:tc>
        <w:tc>
          <w:tcPr/>
          <w:p>
            <w:pPr>
              <w:pStyle w:val="Compact"/>
              <w:jc w:val="left"/>
            </w:pPr>
            <w:r>
              <w:t xml:space="preserve">infusões para clareamento da pele arriscadas</w:t>
            </w:r>
          </w:p>
        </w:tc>
      </w:tr>
    </w:tbl>
    <w:bookmarkEnd w:id="1607"/>
    <w:bookmarkStart w:id="1608" w:name="orientação-de-leitura-3"/>
    <w:p>
      <w:pPr>
        <w:pStyle w:val="Heading3"/>
      </w:pPr>
      <w:r>
        <w:t xml:space="preserve">Orientação de leitura</w:t>
      </w:r>
    </w:p>
    <w:p>
      <w:pPr>
        <w:pStyle w:val="FirstParagraph"/>
      </w:pPr>
      <w:r>
        <w:t xml:space="preserve">Os capítulos seguem a estrutura uniforme deste livro. Em cada capítulo, preste atenção especialmente à seção</w:t>
      </w:r>
      <w:r>
        <w:t xml:space="preserve"> </w:t>
      </w:r>
      <w:r>
        <w:t xml:space="preserve">“</w:t>
      </w:r>
      <w:r>
        <w:t xml:space="preserve">Estudos em humanos</w:t>
      </w:r>
      <w:r>
        <w:t xml:space="preserve">”</w:t>
      </w:r>
      <w:r>
        <w:t xml:space="preserve"> </w:t>
      </w:r>
      <w:r>
        <w:t xml:space="preserve">e, nela, à dimensão do conjunto de estudos: em nove dos doze peptídeos não há nenhum estudo em que pessoas tenham recebido a substância, ou há apenas estudos muito pequenos e metodologicamente fracos. A situação legal e o status junto à FDA mudaram várias vezes em 2026; as informações correspondem à situação de outubro de 2026 e devem ser verificadas atualmente.</w:t>
      </w:r>
    </w:p>
    <w:bookmarkEnd w:id="1608"/>
    <w:bookmarkStart w:id="1637" w:name="semax"/>
    <w:p>
      <w:pPr>
        <w:pStyle w:val="Heading2"/>
      </w:pPr>
      <w:r>
        <w:t xml:space="preserve">Semax</w:t>
      </w:r>
    </w:p>
    <w:bookmarkStart w:id="1609" w:name="ficha-técnica-34"/>
    <w:p>
      <w:pPr>
        <w:pStyle w:val="Heading3"/>
      </w:pPr>
      <w:r>
        <w:t xml:space="preserve">Ficha técnica</w:t>
      </w:r>
    </w:p>
    <w:p>
      <w:pPr>
        <w:numPr>
          <w:ilvl w:val="0"/>
          <w:numId w:val="1192"/>
        </w:numPr>
        <w:pStyle w:val="Compact"/>
      </w:pPr>
      <w:r>
        <w:rPr>
          <w:bCs/>
          <w:b/>
        </w:rPr>
        <w:t xml:space="preserve">Tipo e estrutura:</w:t>
      </w:r>
      <w:r>
        <w:t xml:space="preserve"> </w:t>
      </w:r>
      <w:r>
        <w:t xml:space="preserve">heptapeptídeo sintético (sete aminoácidos: Met-Glu-His-Phe-Pro-Gly-Pro). Os quatro primeiros componentes correspondem a um fragmento do hormônio do estresse ACTH (hormônio adrenocorticotrófico, segmento 4–7); acrescentado está o tripeptídeo Pro-Gly-Pro, que deveria retardar a degradação.</w:t>
      </w:r>
    </w:p>
    <w:p>
      <w:pPr>
        <w:numPr>
          <w:ilvl w:val="0"/>
          <w:numId w:val="1192"/>
        </w:numPr>
        <w:pStyle w:val="Compact"/>
      </w:pPr>
      <w:r>
        <w:rPr>
          <w:bCs/>
          <w:b/>
        </w:rPr>
        <w:t xml:space="preserve">Origem:</w:t>
      </w:r>
      <w:r>
        <w:t xml:space="preserve"> </w:t>
      </w:r>
      <w:r>
        <w:t xml:space="preserve">desenvolvido a partir dos anos 1980 no Instituto de Genética Molecular da Academia Russa de Ciências, em Moscou.</w:t>
      </w:r>
    </w:p>
    <w:p>
      <w:pPr>
        <w:numPr>
          <w:ilvl w:val="0"/>
          <w:numId w:val="1192"/>
        </w:numPr>
        <w:pStyle w:val="Compact"/>
      </w:pPr>
      <w:r>
        <w:rPr>
          <w:bCs/>
          <w:b/>
        </w:rPr>
        <w:t xml:space="preserve">Princípio de ação:</w:t>
      </w:r>
      <w:r>
        <w:t xml:space="preserve"> </w:t>
      </w:r>
      <w:r>
        <w:t xml:space="preserve">estimularia a produção de fatores de crescimento neural (sobretudo BDNF) e protegeria neurônios em caso de falta de oxigênio; ao contrário do ACTH, não estimula a adrenal a secretar cortisol. É administrado em gotas nasais.</w:t>
      </w:r>
    </w:p>
    <w:p>
      <w:pPr>
        <w:numPr>
          <w:ilvl w:val="0"/>
          <w:numId w:val="1192"/>
        </w:numPr>
        <w:pStyle w:val="Compact"/>
      </w:pPr>
      <w:r>
        <w:rPr>
          <w:bCs/>
          <w:b/>
        </w:rPr>
        <w:t xml:space="preserve">Aprovação UE:</w:t>
      </w:r>
      <w:r>
        <w:t xml:space="preserve"> </w:t>
      </w:r>
      <w:r>
        <w:t xml:space="preserve">não.</w:t>
      </w:r>
    </w:p>
    <w:p>
      <w:pPr>
        <w:numPr>
          <w:ilvl w:val="0"/>
          <w:numId w:val="1192"/>
        </w:numPr>
        <w:pStyle w:val="Compact"/>
      </w:pPr>
      <w:r>
        <w:rPr>
          <w:bCs/>
          <w:b/>
        </w:rPr>
        <w:t xml:space="preserve">Aprovação EUA:</w:t>
      </w:r>
      <w:r>
        <w:t xml:space="preserve"> </w:t>
      </w:r>
      <w:r>
        <w:t xml:space="preserve">não. O Semax constava desde 2023 na lista da FDA de substâncias com possíveis riscos de segurança para preparações de farmácia (</w:t>
      </w:r>
      <w:r>
        <w:t xml:space="preserve">“</w:t>
      </w:r>
      <w:r>
        <w:t xml:space="preserve">categoria 2</w:t>
      </w:r>
      <w:r>
        <w:t xml:space="preserve">”</w:t>
      </w:r>
      <w:r>
        <w:t xml:space="preserve">), foi retirado dela em abril de 2026 e, em julho de 2026, recomendado por pequena margem pelo comitê consultivo PCAC para inclusão na lista de substâncias permitidas para manipulação. Isso não é uma aprovação como medicamento.</w:t>
      </w:r>
    </w:p>
    <w:p>
      <w:pPr>
        <w:numPr>
          <w:ilvl w:val="0"/>
          <w:numId w:val="1192"/>
        </w:numPr>
        <w:pStyle w:val="Compact"/>
      </w:pPr>
      <w:r>
        <w:rPr>
          <w:bCs/>
          <w:b/>
        </w:rPr>
        <w:t xml:space="preserve">Rússia e alguns países vizinhos:</w:t>
      </w:r>
      <w:r>
        <w:t xml:space="preserve"> </w:t>
      </w:r>
      <w:r>
        <w:t xml:space="preserve">registrado como medicamento (gotas nasais; solução a 0,1% como nootrópico, solução a 1% para AVC).</w:t>
      </w:r>
    </w:p>
    <w:p>
      <w:pPr>
        <w:numPr>
          <w:ilvl w:val="0"/>
          <w:numId w:val="1192"/>
        </w:numPr>
        <w:pStyle w:val="Compact"/>
      </w:pPr>
      <w:r>
        <w:rPr>
          <w:bCs/>
          <w:b/>
        </w:rPr>
        <w:t xml:space="preserve">WADA:</w:t>
      </w:r>
      <w:r>
        <w:t xml:space="preserve"> </w:t>
      </w:r>
      <w:r>
        <w:t xml:space="preserve">não listado nominalmente. Como o Semax é aprovado na Rússia, não se enquadra de forma inequívoca na categoria geral S0 para substâncias não aprovadas.</w:t>
      </w:r>
    </w:p>
    <w:p>
      <w:pPr>
        <w:numPr>
          <w:ilvl w:val="0"/>
          <w:numId w:val="1192"/>
        </w:numPr>
        <w:pStyle w:val="Compact"/>
      </w:pPr>
      <w:r>
        <w:rPr>
          <w:bCs/>
          <w:b/>
        </w:rPr>
        <w:t xml:space="preserve">Nível de evidência:</w:t>
      </w:r>
      <w:r>
        <w:t xml:space="preserve"> </w:t>
      </w:r>
      <w:r>
        <w:rPr>
          <w:bCs/>
          <w:b/>
        </w:rPr>
        <w:t xml:space="preserve">C</w:t>
      </w:r>
      <w:r>
        <w:t xml:space="preserve"> </w:t>
      </w:r>
      <w:r>
        <w:t xml:space="preserve">– poucos estudos pequenos, predominantemente não randomizados, de centros russos.</w:t>
      </w:r>
    </w:p>
    <w:bookmarkEnd w:id="1609"/>
    <w:bookmarkStart w:id="1612" w:name="como-deveria-agir-34"/>
    <w:p>
      <w:pPr>
        <w:pStyle w:val="Heading3"/>
      </w:pPr>
      <w:r>
        <w:t xml:space="preserve">Como deveria agir</w:t>
      </w:r>
    </w:p>
    <w:p>
      <w:pPr>
        <w:pStyle w:val="FirstParagraph"/>
      </w:pPr>
      <w:r>
        <w:t xml:space="preserve">O ACTH é um hormônio da hipófise que estimula a adrenal a produzir cortisol. Já nos anos 1970 observou-se que fragmentos curtos desse hormônio – sem o efeito sobre a adrenal – influenciam a atenção e o aprendizado em animais. Esses fragmentos, porém, são degradados no organismo em minutos. Os desenvolvedores do Semax, por isso, prolongaram o fragmento ACTH(4–7) com a sequência Pro-Gly-Pro, mais estável contra enzimas que clivam proteínas.</w:t>
      </w:r>
    </w:p>
    <w:p>
      <w:pPr>
        <w:pStyle w:val="BodyText"/>
      </w:pPr>
      <w:r>
        <w:t xml:space="preserve">Para o mecanismo de ação, os desenvolvedores se apoiam sobretudo em dados animais:</w:t>
      </w:r>
    </w:p>
    <w:p>
      <w:pPr>
        <w:numPr>
          <w:ilvl w:val="0"/>
          <w:numId w:val="1193"/>
        </w:numPr>
        <w:pStyle w:val="Compact"/>
      </w:pPr>
      <w:r>
        <w:rPr>
          <w:bCs/>
          <w:b/>
        </w:rPr>
        <w:t xml:space="preserve">Fatores de crescimento neural:</w:t>
      </w:r>
      <w:r>
        <w:t xml:space="preserve"> </w:t>
      </w:r>
      <w:r>
        <w:t xml:space="preserve">em ratos, foram encontrados sítios de ligação específicos para Semax marcado no prosencéfalo basal; após administração nasal, o teor de BDNF (Brain-Derived Neurotrophic Factor), uma proteína que favorece a adaptabilidade das conexões neurais, subiu ali em três horas. No cerebelo isso não ocorreu</w:t>
      </w:r>
      <w:r>
        <w:rPr>
          <w:rStyle w:val="FootnoteReference"/>
        </w:rPr>
        <w:footnoteReference w:id="1610"/>
      </w:r>
      <w:r>
        <w:t xml:space="preserve">.</w:t>
      </w:r>
    </w:p>
    <w:p>
      <w:pPr>
        <w:numPr>
          <w:ilvl w:val="0"/>
          <w:numId w:val="1193"/>
        </w:numPr>
        <w:pStyle w:val="Compact"/>
      </w:pPr>
      <w:r>
        <w:rPr>
          <w:bCs/>
          <w:b/>
        </w:rPr>
        <w:t xml:space="preserve">Atividade gênica após AVC:</w:t>
      </w:r>
      <w:r>
        <w:t xml:space="preserve"> </w:t>
      </w:r>
      <w:r>
        <w:t xml:space="preserve">em um modelo de AVC em ratos, o Semax alterou a atividade de numerosos genes, sobretudo do sistema imunológico e da formação de vasos sanguíneos</w:t>
      </w:r>
      <w:r>
        <w:rPr>
          <w:rStyle w:val="FootnoteReference"/>
        </w:rPr>
        <w:footnoteReference w:id="1611"/>
      </w:r>
      <w:r>
        <w:t xml:space="preserve">.</w:t>
      </w:r>
    </w:p>
    <w:p>
      <w:pPr>
        <w:pStyle w:val="FirstParagraph"/>
      </w:pPr>
      <w:r>
        <w:t xml:space="preserve">Um receptor próprio para o Semax não foi identificado. Se os aumentos de BDNF medidos em ratos ocorrem de forma comparável em humanos e se bastam para um benefício é uma questão em aberto.</w:t>
      </w:r>
    </w:p>
    <w:bookmarkEnd w:id="1612"/>
    <w:bookmarkStart w:id="1624" w:name="estudos-em-humanos-3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 4 publicações classificadas como estudos em humanos; ao todo, o PubMed lista cerca de 210 trabalhos com</w:t>
      </w:r>
      <w:r>
        <w:t xml:space="preserve"> </w:t>
      </w:r>
      <w:r>
        <w:t xml:space="preserve">“</w:t>
      </w:r>
      <w:r>
        <w:t xml:space="preserve">Semax</w:t>
      </w:r>
      <w:r>
        <w:t xml:space="preserve">”</w:t>
      </w:r>
      <w:r>
        <w:t xml:space="preserve"> </w:t>
      </w:r>
      <w:r>
        <w:t xml:space="preserve">no título ou resumo, em sua grande maioria estudos em animais e em laboratório. No ClinicalTrials.gov não há um único estudo registrado. Em uma busca direcionada adicional, foram encontrados alguns outros pequenos trabalhos clínicos. Praticamente todos vêm de instituições russas, muitos do círculo dos desenvolvedores, e foram publicados apenas em russo com resumo em inglês.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pessoas com AVC isquêmico agudo, comparação com 80 pessoas sob terapia padrão, não randomizado</w:t>
            </w:r>
          </w:p>
        </w:tc>
        <w:tc>
          <w:tcPr/>
          <w:p>
            <w:pPr>
              <w:pStyle w:val="Compact"/>
              <w:jc w:val="left"/>
            </w:pPr>
            <w:r>
              <w:t xml:space="preserve">5–10 dias de tratamento</w:t>
            </w:r>
          </w:p>
        </w:tc>
        <w:tc>
          <w:tcPr/>
          <w:p>
            <w:pPr>
              <w:pStyle w:val="Compact"/>
              <w:jc w:val="left"/>
            </w:pPr>
            <w:r>
              <w:t xml:space="preserve">“</w:t>
            </w:r>
            <w:r>
              <w:t xml:space="preserve">certa influência</w:t>
            </w:r>
            <w:r>
              <w:t xml:space="preserve">”</w:t>
            </w:r>
            <w:r>
              <w:t xml:space="preserve"> </w:t>
            </w:r>
            <w:r>
              <w:t xml:space="preserve">na velocidade de recuperação dos déficits neurológicos, sem tamanhos de efeito no resumo</w:t>
            </w:r>
          </w:p>
        </w:tc>
      </w:tr>
      <w:tr>
        <w:tc>
          <w:tcPr/>
          <w:p>
            <w:pPr>
              <w:pStyle w:val="Compact"/>
              <w:jc w:val="left"/>
            </w:pPr>
            <w:r>
              <w:t xml:space="preserve">Gusev 2005, PMID 15792140</w:t>
            </w:r>
          </w:p>
        </w:tc>
        <w:tc>
          <w:tcPr/>
          <w:p>
            <w:pPr>
              <w:pStyle w:val="Compact"/>
              <w:jc w:val="left"/>
            </w:pPr>
            <w:r>
              <w:t xml:space="preserve">187 pessoas com distúrbio crônico da circulação cerebral</w:t>
            </w:r>
          </w:p>
        </w:tc>
        <w:tc>
          <w:tcPr/>
          <w:p>
            <w:pPr>
              <w:pStyle w:val="Compact"/>
              <w:jc w:val="left"/>
            </w:pPr>
            <w:r>
              <w:t xml:space="preserve">não informada</w:t>
            </w:r>
          </w:p>
        </w:tc>
        <w:tc>
          <w:tcPr/>
          <w:p>
            <w:pPr>
              <w:pStyle w:val="Compact"/>
              <w:jc w:val="left"/>
            </w:pPr>
            <w:r>
              <w:t xml:space="preserve">segundo os autores, melhora clínica e menos AVCs; desenho e números não constam no resumo</w:t>
            </w:r>
          </w:p>
        </w:tc>
      </w:tr>
      <w:tr>
        <w:tc>
          <w:tcPr/>
          <w:p>
            <w:pPr>
              <w:pStyle w:val="Compact"/>
              <w:jc w:val="left"/>
            </w:pPr>
            <w:r>
              <w:t xml:space="preserve">Gusev 2018, PMID 29798983</w:t>
            </w:r>
          </w:p>
        </w:tc>
        <w:tc>
          <w:tcPr/>
          <w:p>
            <w:pPr>
              <w:pStyle w:val="Compact"/>
              <w:jc w:val="left"/>
            </w:pPr>
            <w:r>
              <w:t xml:space="preserve">110 pessoas após AVC, reabilitação precoce ou tardia, cada uma com ou sem Semax</w:t>
            </w:r>
          </w:p>
        </w:tc>
        <w:tc>
          <w:tcPr/>
          <w:p>
            <w:pPr>
              <w:pStyle w:val="Compact"/>
              <w:jc w:val="left"/>
            </w:pPr>
            <w:r>
              <w:t xml:space="preserve">cerca de 5 meses</w:t>
            </w:r>
          </w:p>
        </w:tc>
        <w:tc>
          <w:tcPr/>
          <w:p>
            <w:pPr>
              <w:pStyle w:val="Compact"/>
              <w:jc w:val="left"/>
            </w:pPr>
            <w:r>
              <w:t xml:space="preserve">nível mais alto de BDNF no sangue, melhora mais rápida no índice de Barthel</w:t>
            </w:r>
          </w:p>
        </w:tc>
      </w:tr>
      <w:tr>
        <w:tc>
          <w:tcPr/>
          <w:p>
            <w:pPr>
              <w:pStyle w:val="Compact"/>
              <w:jc w:val="left"/>
            </w:pPr>
            <w:r>
              <w:t xml:space="preserve">Serdiuk 2007, PMID 18379501</w:t>
            </w:r>
          </w:p>
        </w:tc>
        <w:tc>
          <w:tcPr/>
          <w:p>
            <w:pPr>
              <w:pStyle w:val="Compact"/>
              <w:jc w:val="left"/>
            </w:pPr>
            <w:r>
              <w:t xml:space="preserve">27 pessoas com doença do neurônio motor (p. ex. ELA), aberto</w:t>
            </w:r>
          </w:p>
        </w:tc>
        <w:tc>
          <w:tcPr/>
          <w:p>
            <w:pPr>
              <w:pStyle w:val="Compact"/>
              <w:jc w:val="left"/>
            </w:pPr>
            <w:r>
              <w:t xml:space="preserve">48 dias</w:t>
            </w:r>
          </w:p>
        </w:tc>
        <w:tc>
          <w:tcPr/>
          <w:p>
            <w:pPr>
              <w:pStyle w:val="Compact"/>
              <w:jc w:val="left"/>
            </w:pPr>
            <w:r>
              <w:t xml:space="preserve">nenhuma influência na evolução da doença e nos achados musculares; melhores escores de qualidade de vida</w:t>
            </w:r>
          </w:p>
        </w:tc>
      </w:tr>
      <w:tr>
        <w:tc>
          <w:tcPr/>
          <w:p>
            <w:pPr>
              <w:pStyle w:val="Compact"/>
              <w:jc w:val="left"/>
            </w:pPr>
            <w:r>
              <w:t xml:space="preserve">Polunin 2000, PMID 10741256</w:t>
            </w:r>
          </w:p>
        </w:tc>
        <w:tc>
          <w:tcPr/>
          <w:p>
            <w:pPr>
              <w:pStyle w:val="Compact"/>
              <w:jc w:val="left"/>
            </w:pPr>
            <w:r>
              <w:t xml:space="preserve">pessoas com doenças do nervo óptico, três grupos incl. controle</w:t>
            </w:r>
          </w:p>
        </w:tc>
        <w:tc>
          <w:tcPr/>
          <w:p>
            <w:pPr>
              <w:pStyle w:val="Compact"/>
              <w:jc w:val="left"/>
            </w:pPr>
            <w:r>
              <w:t xml:space="preserve">não informada</w:t>
            </w:r>
          </w:p>
        </w:tc>
        <w:tc>
          <w:tcPr/>
          <w:p>
            <w:pPr>
              <w:pStyle w:val="Compact"/>
              <w:jc w:val="left"/>
            </w:pPr>
            <w:r>
              <w:t xml:space="preserve">segundo os autores, melhor acuidade visual e campo visual; sem números no resumo</w:t>
            </w:r>
          </w:p>
        </w:tc>
      </w:tr>
      <w:tr>
        <w:tc>
          <w:tcPr/>
          <w:p>
            <w:pPr>
              <w:pStyle w:val="Compact"/>
              <w:jc w:val="left"/>
            </w:pPr>
            <w:r>
              <w:t xml:space="preserve">Lebedeva 2018, PMID 30225715</w:t>
            </w:r>
          </w:p>
        </w:tc>
        <w:tc>
          <w:tcPr/>
          <w:p>
            <w:pPr>
              <w:pStyle w:val="Compact"/>
              <w:jc w:val="left"/>
            </w:pPr>
            <w:r>
              <w:t xml:space="preserve">24 saudáveis, Semax (14) ou placebo (10)</w:t>
            </w:r>
          </w:p>
        </w:tc>
        <w:tc>
          <w:tcPr/>
          <w:p>
            <w:pPr>
              <w:pStyle w:val="Compact"/>
              <w:jc w:val="left"/>
            </w:pPr>
            <w:r>
              <w:t xml:space="preserve">administração única, medição após 20 minutos</w:t>
            </w:r>
          </w:p>
        </w:tc>
        <w:tc>
          <w:tcPr/>
          <w:p>
            <w:pPr>
              <w:pStyle w:val="Compact"/>
              <w:jc w:val="left"/>
            </w:pPr>
            <w:r>
              <w:t xml:space="preserve">atividade de redes em repouso alterada na ressonância magnética funcional</w:t>
            </w:r>
          </w:p>
        </w:tc>
      </w:tr>
    </w:tbl>
    <w:bookmarkStart w:id="1616" w:name="avc"/>
    <w:p>
      <w:pPr>
        <w:pStyle w:val="Heading4"/>
      </w:pPr>
      <w:r>
        <w:t xml:space="preserve">AVC</w:t>
      </w:r>
    </w:p>
    <w:p>
      <w:pPr>
        <w:pStyle w:val="FirstParagraph"/>
      </w:pPr>
      <w:r>
        <w:t xml:space="preserve">O AVC é a principal indicação para a qual o Semax está registrado na Rússia. A base para isso é escassa. No primeiro estudo clínico, 30 pessoas com AVC agudo receberam Semax além do tratamento padrão; como comparação serviram 80 pessoas que receberam apenas o tratamento padrão. Os grupos não foram alocados por sorteio. Os autores relatam uma</w:t>
      </w:r>
      <w:r>
        <w:t xml:space="preserve"> </w:t>
      </w:r>
      <w:r>
        <w:t xml:space="preserve">“</w:t>
      </w:r>
      <w:r>
        <w:t xml:space="preserve">certa influência</w:t>
      </w:r>
      <w:r>
        <w:t xml:space="preserve">”</w:t>
      </w:r>
      <w:r>
        <w:t xml:space="preserve"> </w:t>
      </w:r>
      <w:r>
        <w:t xml:space="preserve">na regressão dos déficits, sobretudo das paralisias</w:t>
      </w:r>
      <w:r>
        <w:rPr>
          <w:rStyle w:val="FootnoteReference"/>
        </w:rPr>
        <w:footnoteReference w:id="1613"/>
      </w:r>
      <w:r>
        <w:t xml:space="preserve">. Um trabalho posterior do mesmo grupo examinou mensageiros inflamatórios no sangue e foi expressamente uma análise retrospectiva</w:t>
      </w:r>
      <w:r>
        <w:rPr>
          <w:rStyle w:val="FootnoteReference"/>
        </w:rPr>
        <w:footnoteReference w:id="1614"/>
      </w:r>
      <w:r>
        <w:t xml:space="preserve">.</w:t>
      </w:r>
    </w:p>
    <w:p>
      <w:pPr>
        <w:pStyle w:val="BodyText"/>
      </w:pPr>
      <w:r>
        <w:t xml:space="preserve">O maior estudo até agora, com 110 pessoas após um AVC, comparou reabilitação precoce e tardia, cada uma com ou sem Semax. Com Semax, o nível de BDNF no plasma subiu e permaneceu elevado durante a observação; o índice de Barthel, uma medida da independência na vida diária, melhorou mais rapidamente</w:t>
      </w:r>
      <w:r>
        <w:rPr>
          <w:rStyle w:val="FootnoteReference"/>
        </w:rPr>
        <w:footnoteReference w:id="1615"/>
      </w:r>
      <w:r>
        <w:t xml:space="preserve">. O resumo não menciona randomização nem cegamento, e as diferenças entre os grupos não são apresentadas como tamanho de efeito. Para uma comprovação de benefício, isso não basta.</w:t>
      </w:r>
    </w:p>
    <w:p>
      <w:pPr>
        <w:pStyle w:val="BodyText"/>
      </w:pPr>
      <w:r>
        <w:t xml:space="preserve">Para comparação: no AVC, quase todas as outras substâncias que deveriam</w:t>
      </w:r>
      <w:r>
        <w:t xml:space="preserve"> </w:t>
      </w:r>
      <w:r>
        <w:t xml:space="preserve">“</w:t>
      </w:r>
      <w:r>
        <w:t xml:space="preserve">proteger neurônios</w:t>
      </w:r>
      <w:r>
        <w:t xml:space="preserve">”</w:t>
      </w:r>
      <w:r>
        <w:t xml:space="preserve"> </w:t>
      </w:r>
      <w:r>
        <w:t xml:space="preserve">fracassaram até agora em grandes estudos internacionais cegos. Um estudo assim não existe para o Semax.</w:t>
      </w:r>
    </w:p>
    <w:bookmarkEnd w:id="1616"/>
    <w:bookmarkStart w:id="1621" w:name="outras-aplicações-2"/>
    <w:p>
      <w:pPr>
        <w:pStyle w:val="Heading4"/>
      </w:pPr>
      <w:r>
        <w:t xml:space="preserve">Outras aplicações</w:t>
      </w:r>
    </w:p>
    <w:p>
      <w:pPr>
        <w:numPr>
          <w:ilvl w:val="0"/>
          <w:numId w:val="1194"/>
        </w:numPr>
        <w:pStyle w:val="Compact"/>
      </w:pPr>
      <w:r>
        <w:rPr>
          <w:bCs/>
          <w:b/>
        </w:rPr>
        <w:t xml:space="preserve">Doenças do neurônio motor:</w:t>
      </w:r>
      <w:r>
        <w:t xml:space="preserve"> </w:t>
      </w:r>
      <w:r>
        <w:t xml:space="preserve">em um estudo aberto com 27 pessoas, o Semax não alterou nem a evolução da lesão nervosa na eletromiografia nem as escalas de avaliação clínica. Os escores de qualidade de vida melhoraram, sobretudo humor e motivação, de forma mais acentuada no décimo dia</w:t>
      </w:r>
      <w:r>
        <w:rPr>
          <w:rStyle w:val="FootnoteReference"/>
        </w:rPr>
        <w:footnoteReference w:id="1617"/>
      </w:r>
      <w:r>
        <w:t xml:space="preserve">. Sem grupo placebo, um efeito de expectativa não pode ser descartado.</w:t>
      </w:r>
    </w:p>
    <w:p>
      <w:pPr>
        <w:numPr>
          <w:ilvl w:val="0"/>
          <w:numId w:val="1194"/>
        </w:numPr>
        <w:pStyle w:val="Compact"/>
      </w:pPr>
      <w:r>
        <w:rPr>
          <w:bCs/>
          <w:b/>
        </w:rPr>
        <w:t xml:space="preserve">Doenças do nervo óptico:</w:t>
      </w:r>
      <w:r>
        <w:t xml:space="preserve"> </w:t>
      </w:r>
      <w:r>
        <w:t xml:space="preserve">um estudo controlado relata melhores funções visuais com tratamento adicional com Semax, sem números no resumo</w:t>
      </w:r>
      <w:r>
        <w:rPr>
          <w:rStyle w:val="FootnoteReference"/>
        </w:rPr>
        <w:footnoteReference w:id="1618"/>
      </w:r>
      <w:r>
        <w:t xml:space="preserve">.</w:t>
      </w:r>
    </w:p>
    <w:p>
      <w:pPr>
        <w:numPr>
          <w:ilvl w:val="0"/>
          <w:numId w:val="1194"/>
        </w:numPr>
        <w:pStyle w:val="Compact"/>
      </w:pPr>
      <w:r>
        <w:rPr>
          <w:bCs/>
          <w:b/>
        </w:rPr>
        <w:t xml:space="preserve">Sequelas de falta de oxigênio:</w:t>
      </w:r>
      <w:r>
        <w:t xml:space="preserve"> </w:t>
      </w:r>
      <w:r>
        <w:t xml:space="preserve">em 73 pessoas com lesão cerebral após falta de oxigênio, os autores descrevem um efeito sobre distúrbios de memória. Em algumas, após a administração, ocorreram no EEG episódios de atividade de tipo convulsivo; por isso, os autores recomendam fazer a primeira administração sob controle de EEG</w:t>
      </w:r>
      <w:r>
        <w:rPr>
          <w:rStyle w:val="FootnoteReference"/>
        </w:rPr>
        <w:footnoteReference w:id="1619"/>
      </w:r>
      <w:r>
        <w:t xml:space="preserve">.</w:t>
      </w:r>
    </w:p>
    <w:p>
      <w:pPr>
        <w:numPr>
          <w:ilvl w:val="0"/>
          <w:numId w:val="1194"/>
        </w:numPr>
        <w:pStyle w:val="Compact"/>
      </w:pPr>
      <w:r>
        <w:rPr>
          <w:bCs/>
          <w:b/>
        </w:rPr>
        <w:t xml:space="preserve">Úlcera gástrica:</w:t>
      </w:r>
      <w:r>
        <w:t xml:space="preserve"> </w:t>
      </w:r>
      <w:r>
        <w:t xml:space="preserve">em um trabalho sobre úlceras gástricas resistentes à terapia, após 14 dias cicatrizaram 89,5% das úlceras com Semax adicionado à terapia padrão, frente a 30,8% no grupo controle</w:t>
      </w:r>
      <w:r>
        <w:rPr>
          <w:rStyle w:val="FootnoteReference"/>
        </w:rPr>
        <w:footnoteReference w:id="1620"/>
      </w:r>
      <w:r>
        <w:t xml:space="preserve">. O resumo não informa o tamanho dos grupos nem a alocação; os próprios autores pedem mais estudos.</w:t>
      </w:r>
    </w:p>
    <w:bookmarkEnd w:id="1621"/>
    <w:bookmarkStart w:id="1623" w:name="pessoas-saudáveis-e-nootrópico"/>
    <w:p>
      <w:pPr>
        <w:pStyle w:val="Heading4"/>
      </w:pPr>
      <w:r>
        <w:t xml:space="preserve">Pessoas saudáveis e</w:t>
      </w:r>
      <w:r>
        <w:t xml:space="preserve"> </w:t>
      </w:r>
      <w:r>
        <w:t xml:space="preserve">“</w:t>
      </w:r>
      <w:r>
        <w:t xml:space="preserve">nootrópico</w:t>
      </w:r>
      <w:r>
        <w:t xml:space="preserve">”</w:t>
      </w:r>
    </w:p>
    <w:p>
      <w:pPr>
        <w:pStyle w:val="FirstParagraph"/>
      </w:pPr>
      <w:r>
        <w:t xml:space="preserve">Na internet, o Semax é oferecido sobretudo como meio de aumentar a concentração e a memória em pessoas saudáveis. Faltam estudos confiáveis sobre isso. Um artigo de revisão dos desenvolvedores dos anos 1990 relata que o Semax melhora a memória e a atenção de homens saudáveis</w:t>
      </w:r>
      <w:r>
        <w:t xml:space="preserve"> </w:t>
      </w:r>
      <w:r>
        <w:t xml:space="preserve">“</w:t>
      </w:r>
      <w:r>
        <w:t xml:space="preserve">em condições extremas</w:t>
      </w:r>
      <w:r>
        <w:t xml:space="preserve">”</w:t>
      </w:r>
      <w:r>
        <w:t xml:space="preserve">, mas não apresenta dados de estudos no resumo</w:t>
      </w:r>
      <w:r>
        <w:rPr>
          <w:rStyle w:val="FootnoteReference"/>
        </w:rPr>
        <w:footnoteReference w:id="1622"/>
      </w:r>
      <w:r>
        <w:t xml:space="preserve">. Dois pequenos estudos de imagem em pessoas saudáveis mostraram, após uma única administração, padrões de atividade alterados na ressonância magnética funcional (Lebedeva 2018, PMID 30225715; Panikratova 2020, PMID 32342318, 52 saudáveis com Semax, Selank ou placebo). Atividade cerebral alterada no aparelho, porém, não é prova de melhor desempenho na vida diária.</w:t>
      </w:r>
    </w:p>
    <w:bookmarkEnd w:id="1623"/>
    <w:bookmarkEnd w:id="1624"/>
    <w:bookmarkStart w:id="1629" w:name="estudos-em-animais-e-em-laboratório-34"/>
    <w:p>
      <w:pPr>
        <w:pStyle w:val="Heading3"/>
      </w:pPr>
      <w:r>
        <w:t xml:space="preserve">Estudos em animais e em laboratório</w:t>
      </w:r>
    </w:p>
    <w:p>
      <w:pPr>
        <w:pStyle w:val="FirstParagraph"/>
      </w:pPr>
      <w:r>
        <w:t xml:space="preserve">A literatura pré-clínica é extensa e também vem predominantemente de Moscou:</w:t>
      </w:r>
    </w:p>
    <w:p>
      <w:pPr>
        <w:numPr>
          <w:ilvl w:val="0"/>
          <w:numId w:val="1195"/>
        </w:numPr>
        <w:pStyle w:val="Compact"/>
      </w:pPr>
      <w:r>
        <w:t xml:space="preserve">Em ratos com AVC induzido artificialmente, o Semax alterou a atividade de genes do sistema imunológico e vascular</w:t>
      </w:r>
      <w:r>
        <w:rPr>
          <w:rStyle w:val="FootnoteReference"/>
        </w:rPr>
        <w:footnoteReference w:id="1625"/>
      </w:r>
      <w:r>
        <w:t xml:space="preserve">.</w:t>
      </w:r>
    </w:p>
    <w:p>
      <w:pPr>
        <w:numPr>
          <w:ilvl w:val="0"/>
          <w:numId w:val="1195"/>
        </w:numPr>
        <w:pStyle w:val="Compact"/>
      </w:pPr>
      <w:r>
        <w:t xml:space="preserve">Em ratos cujo sistema dopaminérgico foi lesado com a neurotoxina MPTP, o Semax reduziu distúrbios de movimento e de ansiedade</w:t>
      </w:r>
      <w:r>
        <w:rPr>
          <w:rStyle w:val="FootnoteReference"/>
        </w:rPr>
        <w:footnoteReference w:id="1626"/>
      </w:r>
      <w:r>
        <w:t xml:space="preserve">.</w:t>
      </w:r>
    </w:p>
    <w:p>
      <w:pPr>
        <w:numPr>
          <w:ilvl w:val="0"/>
          <w:numId w:val="1195"/>
        </w:numPr>
        <w:pStyle w:val="Compact"/>
      </w:pPr>
      <w:r>
        <w:t xml:space="preserve">Em camundongos geneticamente modificados com depósitos semelhantes aos do Alzheimer, o Semax e um derivado melhoraram o comportamento em testes de memória e reduziram o número de depósitos de amiloide</w:t>
      </w:r>
      <w:r>
        <w:rPr>
          <w:rStyle w:val="FootnoteReference"/>
        </w:rPr>
        <w:footnoteReference w:id="1627"/>
      </w:r>
      <w:r>
        <w:t xml:space="preserve">.</w:t>
      </w:r>
    </w:p>
    <w:p>
      <w:pPr>
        <w:numPr>
          <w:ilvl w:val="0"/>
          <w:numId w:val="1195"/>
        </w:numPr>
        <w:pStyle w:val="Compact"/>
      </w:pPr>
      <w:r>
        <w:t xml:space="preserve">Em experimentos de laboratório, o Semax liga íons de cobre, o que atenuou a formação de radicais de oxigênio nocivos por complexos de amiloide e cobre</w:t>
      </w:r>
      <w:r>
        <w:rPr>
          <w:rStyle w:val="FootnoteReference"/>
        </w:rPr>
        <w:footnoteReference w:id="1628"/>
      </w:r>
      <w:r>
        <w:t xml:space="preserve">.</w:t>
      </w:r>
    </w:p>
    <w:p>
      <w:pPr>
        <w:pStyle w:val="FirstParagraph"/>
      </w:pPr>
      <w:r>
        <w:t xml:space="preserve">Esses resultados são achados em animais e em laboratório. Muitas substâncias que protegeram em tais modelos falharam mais tarde em humanos.</w:t>
      </w:r>
    </w:p>
    <w:bookmarkEnd w:id="1629"/>
    <w:bookmarkStart w:id="1633" w:name="riscos-e-efeitos-colaterais-34"/>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de estudos maiores. Os trabalhos russos descrevem o Semax como bem tolerado, em parte expressamente também em pessoas idosas</w:t>
      </w:r>
      <w:r>
        <w:rPr>
          <w:rStyle w:val="FootnoteReference"/>
        </w:rPr>
        <w:footnoteReference w:id="1630"/>
      </w:r>
      <w:r>
        <w:t xml:space="preserve">. Um sinal a ser levado a sério é a observação de alterações de tipo convulsivo no EEG após a administração em algumas pessoas com cérebro previamente lesado</w:t>
      </w:r>
      <w:r>
        <w:rPr>
          <w:rStyle w:val="FootnoteReference"/>
        </w:rPr>
        <w:footnoteReference w:id="1631"/>
      </w:r>
      <w:r>
        <w:t xml:space="preserve">.</w:t>
      </w:r>
    </w:p>
    <w:p>
      <w:pPr>
        <w:pStyle w:val="BodyText"/>
      </w:pPr>
      <w:r>
        <w:rPr>
          <w:bCs/>
          <w:b/>
        </w:rPr>
        <w:t xml:space="preserve">Teórico:</w:t>
      </w:r>
      <w:r>
        <w:t xml:space="preserve"> </w:t>
      </w:r>
      <w:r>
        <w:t xml:space="preserve">o Semax influenciaria fatores de crescimento e genes imunológicos; as consequências a longo prazo dessas intervenções não foram estudadas. Faltam dados para gravidez, amamentação, crianças, epilepsia e doenças psiquiátricas.</w:t>
      </w:r>
    </w:p>
    <w:p>
      <w:pPr>
        <w:pStyle w:val="BodyText"/>
      </w:pPr>
      <w:r>
        <w:rPr>
          <w:bCs/>
          <w:b/>
        </w:rPr>
        <w:t xml:space="preserve">Mercado cinza:</w:t>
      </w:r>
      <w:r>
        <w:t xml:space="preserve"> </w:t>
      </w:r>
      <w:r>
        <w:t xml:space="preserve">fora da Rússia, o Semax é vendido geralmente como</w:t>
      </w:r>
      <w:r>
        <w:t xml:space="preserve"> </w:t>
      </w:r>
      <w:r>
        <w:t xml:space="preserve">“</w:t>
      </w:r>
      <w:r>
        <w:t xml:space="preserve">Research Peptide</w:t>
      </w:r>
      <w:r>
        <w:t xml:space="preserve">”</w:t>
      </w:r>
      <w:r>
        <w:t xml:space="preserve"> </w:t>
      </w:r>
      <w:r>
        <w:t xml:space="preserve">ou como solução nasal preparada pelo próprio usuário. Teor, pureza e esterilidade desses produtos não são verificados. Um laboratório de controle de medicamentos identificou Semax e Selank em 2017 e 2018 em preparados desconhecidos apreendidos e constatou, em uma pesquisa online, que esses</w:t>
      </w:r>
      <w:r>
        <w:t xml:space="preserve"> </w:t>
      </w:r>
      <w:r>
        <w:t xml:space="preserve">“</w:t>
      </w:r>
      <w:r>
        <w:t xml:space="preserve">peptídeos nootrópicos</w:t>
      </w:r>
      <w:r>
        <w:t xml:space="preserve">”</w:t>
      </w:r>
      <w:r>
        <w:t xml:space="preserve"> </w:t>
      </w:r>
      <w:r>
        <w:t xml:space="preserve">são oferecidos livremente como pó para injeção ou como spray nasal</w:t>
      </w:r>
      <w:r>
        <w:rPr>
          <w:rStyle w:val="FootnoteReference"/>
        </w:rPr>
        <w:footnoteReference w:id="1632"/>
      </w:r>
      <w:r>
        <w:t xml:space="preserve">. Mais sobre isso na Parte I e na Parte IV.</w:t>
      </w:r>
    </w:p>
    <w:bookmarkEnd w:id="1633"/>
    <w:bookmarkStart w:id="1634" w:name="situação-legal-34"/>
    <w:p>
      <w:pPr>
        <w:pStyle w:val="Heading3"/>
      </w:pPr>
      <w:r>
        <w:t xml:space="preserve">Situação legal</w:t>
      </w:r>
    </w:p>
    <w:p>
      <w:pPr>
        <w:numPr>
          <w:ilvl w:val="0"/>
          <w:numId w:val="1196"/>
        </w:numPr>
        <w:pStyle w:val="Compact"/>
      </w:pPr>
      <w:r>
        <w:rPr>
          <w:bCs/>
          <w:b/>
        </w:rPr>
        <w:t xml:space="preserve">UE / Áustria / Alemanha:</w:t>
      </w:r>
      <w:r>
        <w:t xml:space="preserve"> </w:t>
      </w:r>
      <w:r>
        <w:t xml:space="preserve">o Semax não é aprovado. Como substância com efeito pretendido sobre funções corporais, é considerado medicamento; venda e publicidade sem aprovação não são permitidas. A importação da Rússia como medicamento está sujeita às regras para importações individuais.</w:t>
      </w:r>
    </w:p>
    <w:p>
      <w:pPr>
        <w:numPr>
          <w:ilvl w:val="0"/>
          <w:numId w:val="1196"/>
        </w:numPr>
        <w:pStyle w:val="Compact"/>
      </w:pPr>
      <w:r>
        <w:rPr>
          <w:bCs/>
          <w:b/>
        </w:rPr>
        <w:t xml:space="preserve">EUA:</w:t>
      </w:r>
      <w:r>
        <w:t xml:space="preserve"> </w:t>
      </w:r>
      <w:r>
        <w:t xml:space="preserve">não aprovado. A FDA retirou o Semax em abril de 2026 da sua lista da</w:t>
      </w:r>
      <w:r>
        <w:t xml:space="preserve"> </w:t>
      </w:r>
      <w:r>
        <w:t xml:space="preserve">“</w:t>
      </w:r>
      <w:r>
        <w:t xml:space="preserve">categoria 2</w:t>
      </w:r>
      <w:r>
        <w:t xml:space="preserve">”</w:t>
      </w:r>
      <w:r>
        <w:t xml:space="preserve">; o comitê consultivo PCAC votou em julho de 2026, por 8 a 5, a favor de incluir o Semax na lista de substâncias que farmácias podem usar para manipulação. Os especialistas da FDA haviam desaconselhado; a decisão da agência estava pendente no fechamento desta edição (situação em outubro de 2026, verificar atualização).</w:t>
      </w:r>
    </w:p>
    <w:p>
      <w:pPr>
        <w:numPr>
          <w:ilvl w:val="0"/>
          <w:numId w:val="1196"/>
        </w:numPr>
        <w:pStyle w:val="Compact"/>
      </w:pPr>
      <w:r>
        <w:rPr>
          <w:bCs/>
          <w:b/>
        </w:rPr>
        <w:t xml:space="preserve">Rússia:</w:t>
      </w:r>
      <w:r>
        <w:t xml:space="preserve"> </w:t>
      </w:r>
      <w:r>
        <w:t xml:space="preserve">registrado como medicamento e disponível em farmácias.</w:t>
      </w:r>
    </w:p>
    <w:p>
      <w:pPr>
        <w:numPr>
          <w:ilvl w:val="0"/>
          <w:numId w:val="1196"/>
        </w:numPr>
        <w:pStyle w:val="Compact"/>
      </w:pPr>
      <w:r>
        <w:rPr>
          <w:bCs/>
          <w:b/>
        </w:rPr>
        <w:t xml:space="preserve">Esporte:</w:t>
      </w:r>
      <w:r>
        <w:t xml:space="preserve"> </w:t>
      </w:r>
      <w:r>
        <w:t xml:space="preserve">não listado nominalmente na lista da WADA (situação em 2026, verificar atualização).</w:t>
      </w:r>
    </w:p>
    <w:bookmarkEnd w:id="1634"/>
    <w:bookmarkStart w:id="1635" w:name="estudos-em-andamento-e-perspectivas-34"/>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Semax (consulta de outubro de 2026). A pesquisa na Rússia continua concentrada em modelos animais, por exemplo sobre atividade gênica após AVC e modelos de Alzheimer.</w:t>
      </w:r>
    </w:p>
    <w:p>
      <w:pPr>
        <w:pStyle w:val="BodyText"/>
      </w:pPr>
      <w:r>
        <w:rPr>
          <w:bCs/>
          <w:b/>
        </w:rPr>
        <w:t xml:space="preserve">Avaliação:</w:t>
      </w:r>
      <w:r>
        <w:t xml:space="preserve"> </w:t>
      </w:r>
      <w:r>
        <w:t xml:space="preserve">sem um estudo suficientemente grande, cego e registrado internacionalmente, o Semax dificilmente obterá uma aprovação fora da Rússia. A discussão nos EUA gira em torno de preparações de farmácia, não de uma comprovação de eficácia.</w:t>
      </w:r>
    </w:p>
    <w:bookmarkEnd w:id="1635"/>
    <w:bookmarkStart w:id="1636" w:name="conclusão-34"/>
    <w:p>
      <w:pPr>
        <w:pStyle w:val="Heading3"/>
      </w:pPr>
      <w:r>
        <w:t xml:space="preserve">Conclusão</w:t>
      </w:r>
    </w:p>
    <w:p>
      <w:pPr>
        <w:pStyle w:val="FirstParagraph"/>
      </w:pPr>
      <w:r>
        <w:t xml:space="preserve">O Semax é um peptídeo usado há décadas na Rússia, derivado de um fragmento de ACTH, que em ratos aumentou fatores de crescimento neural. Os estudos em humanos são pequenos, em geral não randomizados e vêm quase exclusivamente do círculo dos desenvolvedores; no AVC, relatam recuperação mais rápida e níveis mais altos de BDNF, sem tamanhos de efeito em padrão internacional. Para o aumento de desempenho em pessoas saudáveis não há dados conclusivos. Os dados não são suficientes para avaliar um benefício ou a segurança a longo prazo.</w:t>
      </w:r>
    </w:p>
    <w:bookmarkEnd w:id="1636"/>
    <w:bookmarkEnd w:id="1637"/>
    <w:bookmarkStart w:id="1660" w:name="selank"/>
    <w:p>
      <w:pPr>
        <w:pStyle w:val="Heading2"/>
      </w:pPr>
      <w:r>
        <w:t xml:space="preserve">Selank</w:t>
      </w:r>
    </w:p>
    <w:bookmarkStart w:id="1638" w:name="ficha-técnica-35"/>
    <w:p>
      <w:pPr>
        <w:pStyle w:val="Heading3"/>
      </w:pPr>
      <w:r>
        <w:t xml:space="preserve">Ficha técnica</w:t>
      </w:r>
    </w:p>
    <w:p>
      <w:pPr>
        <w:numPr>
          <w:ilvl w:val="0"/>
          <w:numId w:val="1197"/>
        </w:numPr>
        <w:pStyle w:val="Compact"/>
      </w:pPr>
      <w:r>
        <w:rPr>
          <w:bCs/>
          <w:b/>
        </w:rPr>
        <w:t xml:space="preserve">Tipo e estrutura:</w:t>
      </w:r>
      <w:r>
        <w:t xml:space="preserve"> </w:t>
      </w:r>
      <w:r>
        <w:t xml:space="preserve">heptapeptídeo sintético (Thr-Lys-Pro-Arg-Pro-Gly-Pro). Os quatro primeiros aminoácidos correspondem à tuftsina, um peptídeo do próprio organismo que é clivado de um fragmento de anticorpo e estimula células imunológicas; acrescentada está – como no Semax – a sequência estabilizadora Pro-Gly-Pro.</w:t>
      </w:r>
    </w:p>
    <w:p>
      <w:pPr>
        <w:numPr>
          <w:ilvl w:val="0"/>
          <w:numId w:val="1197"/>
        </w:numPr>
        <w:pStyle w:val="Compact"/>
      </w:pPr>
      <w:r>
        <w:rPr>
          <w:bCs/>
          <w:b/>
        </w:rPr>
        <w:t xml:space="preserve">Origem:</w:t>
      </w:r>
      <w:r>
        <w:t xml:space="preserve"> </w:t>
      </w:r>
      <w:r>
        <w:t xml:space="preserve">desenvolvido em Moscou, no Instituto de Genética Molecular e no Instituto de Farmacologia Zakusov.</w:t>
      </w:r>
    </w:p>
    <w:p>
      <w:pPr>
        <w:numPr>
          <w:ilvl w:val="0"/>
          <w:numId w:val="1197"/>
        </w:numPr>
        <w:pStyle w:val="Compact"/>
      </w:pPr>
      <w:r>
        <w:rPr>
          <w:bCs/>
          <w:b/>
        </w:rPr>
        <w:t xml:space="preserve">Princípio de ação:</w:t>
      </w:r>
      <w:r>
        <w:t xml:space="preserve"> </w:t>
      </w:r>
      <w:r>
        <w:t xml:space="preserve">teria efeito ansiolítico sem causar sonolência ou dependência como os benzodiazepínicos. Discutem-se uma inibição da degradação das encefalinas do próprio organismo (mensageiros que atenuam dor e estresse), influências sobre o sistema GABA e sobre mensageiros imunológicos. É administrado em gotas nasais.</w:t>
      </w:r>
    </w:p>
    <w:p>
      <w:pPr>
        <w:numPr>
          <w:ilvl w:val="0"/>
          <w:numId w:val="1197"/>
        </w:numPr>
        <w:pStyle w:val="Compact"/>
      </w:pPr>
      <w:r>
        <w:rPr>
          <w:bCs/>
          <w:b/>
        </w:rPr>
        <w:t xml:space="preserve">Aprovação UE:</w:t>
      </w:r>
      <w:r>
        <w:t xml:space="preserve"> </w:t>
      </w:r>
      <w:r>
        <w:t xml:space="preserve">não.</w:t>
      </w:r>
    </w:p>
    <w:p>
      <w:pPr>
        <w:numPr>
          <w:ilvl w:val="0"/>
          <w:numId w:val="1197"/>
        </w:numPr>
        <w:pStyle w:val="Compact"/>
      </w:pPr>
      <w:r>
        <w:rPr>
          <w:bCs/>
          <w:b/>
        </w:rPr>
        <w:t xml:space="preserve">Aprovação EUA:</w:t>
      </w:r>
      <w:r>
        <w:t xml:space="preserve"> </w:t>
      </w:r>
      <w:r>
        <w:t xml:space="preserve">não. O Selank constava em 2023 na lista da FDA</w:t>
      </w:r>
      <w:r>
        <w:t xml:space="preserve"> </w:t>
      </w:r>
      <w:r>
        <w:t xml:space="preserve">“</w:t>
      </w:r>
      <w:r>
        <w:t xml:space="preserve">categoria 2</w:t>
      </w:r>
      <w:r>
        <w:t xml:space="preserve">”</w:t>
      </w:r>
      <w:r>
        <w:t xml:space="preserve"> </w:t>
      </w:r>
      <w:r>
        <w:t xml:space="preserve">para preparações de farmácia; o status atual está documentado de forma inconsistente (situação em outubro de 2026, verificar atualização).</w:t>
      </w:r>
    </w:p>
    <w:p>
      <w:pPr>
        <w:numPr>
          <w:ilvl w:val="0"/>
          <w:numId w:val="1197"/>
        </w:numPr>
        <w:pStyle w:val="Compact"/>
      </w:pPr>
      <w:r>
        <w:rPr>
          <w:bCs/>
          <w:b/>
        </w:rPr>
        <w:t xml:space="preserve">Rússia: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não listado nominalmente.</w:t>
      </w:r>
    </w:p>
    <w:p>
      <w:pPr>
        <w:numPr>
          <w:ilvl w:val="0"/>
          <w:numId w:val="1197"/>
        </w:numPr>
        <w:pStyle w:val="Compact"/>
      </w:pPr>
      <w:r>
        <w:rPr>
          <w:bCs/>
          <w:b/>
        </w:rPr>
        <w:t xml:space="preserve">Nível de evidência:</w:t>
      </w:r>
      <w:r>
        <w:t xml:space="preserve"> </w:t>
      </w:r>
      <w:r>
        <w:rPr>
          <w:bCs/>
          <w:b/>
        </w:rPr>
        <w:t xml:space="preserve">C</w:t>
      </w:r>
      <w:r>
        <w:t xml:space="preserve"> </w:t>
      </w:r>
      <w:r>
        <w:t xml:space="preserve">– três pequenos estudos comparativos da Rússia, sem controle por placebo e sem registro.</w:t>
      </w:r>
    </w:p>
    <w:bookmarkEnd w:id="1638"/>
    <w:bookmarkStart w:id="1642" w:name="como-deveria-agir-35"/>
    <w:p>
      <w:pPr>
        <w:pStyle w:val="Heading3"/>
      </w:pPr>
      <w:r>
        <w:t xml:space="preserve">Como deveria agir</w:t>
      </w:r>
    </w:p>
    <w:p>
      <w:pPr>
        <w:pStyle w:val="FirstParagraph"/>
      </w:pPr>
      <w:r>
        <w:t xml:space="preserve">A tuftsina é um peptídeo curto que ativa células fagocitárias do sistema imunológico. Em experimentos com animais, verificou-se que modificações dela também influenciam o comportamento. O Selank é uma dessas modificações, que, graças ao Pro-Gly-Pro acrescentado, deveria permanecer mais tempo no organismo.</w:t>
      </w:r>
    </w:p>
    <w:p>
      <w:pPr>
        <w:pStyle w:val="BodyText"/>
      </w:pPr>
      <w:r>
        <w:t xml:space="preserve">Para o mecanismo há várias hipóteses, apoiadas em dados de laboratório e de animais:</w:t>
      </w:r>
    </w:p>
    <w:p>
      <w:pPr>
        <w:numPr>
          <w:ilvl w:val="0"/>
          <w:numId w:val="1198"/>
        </w:numPr>
        <w:pStyle w:val="Compact"/>
      </w:pPr>
      <w:r>
        <w:rPr>
          <w:bCs/>
          <w:b/>
        </w:rPr>
        <w:t xml:space="preserve">Encefalinas:</w:t>
      </w:r>
      <w:r>
        <w:t xml:space="preserve"> </w:t>
      </w:r>
      <w:r>
        <w:t xml:space="preserve">no soro sanguíneo, o Selank inibiu em tubo de ensaio enzimas que degradam encefalinas. Os pesquisadores encontraram, além disso, em pessoas com transtorno de ansiedade generalizada uma meia-vida encurtada das encefalinas no sangue e concluíram que o Selank poderia agir por essa via</w:t>
      </w:r>
      <w:r>
        <w:rPr>
          <w:rStyle w:val="FootnoteReference"/>
        </w:rPr>
        <w:footnoteReference w:id="1639"/>
      </w:r>
      <w:r>
        <w:t xml:space="preserve">.</w:t>
      </w:r>
    </w:p>
    <w:p>
      <w:pPr>
        <w:numPr>
          <w:ilvl w:val="0"/>
          <w:numId w:val="1198"/>
        </w:numPr>
        <w:pStyle w:val="Compact"/>
      </w:pPr>
      <w:r>
        <w:rPr>
          <w:bCs/>
          <w:b/>
        </w:rPr>
        <w:t xml:space="preserve">Sistema GABA:</w:t>
      </w:r>
      <w:r>
        <w:t xml:space="preserve"> </w:t>
      </w:r>
      <w:r>
        <w:t xml:space="preserve">em ratos, o Selank alterou, uma hora após a administração, a atividade de 45 de 84 genes examinados da neurotransmissão no córtex cerebral, de forma semelhante ao próprio mensageiro GABA. Os autores supõem uma influência sobre o sistema GABA, no qual também atuam os benzodiazepínicos</w:t>
      </w:r>
      <w:r>
        <w:rPr>
          <w:rStyle w:val="FootnoteReference"/>
        </w:rPr>
        <w:footnoteReference w:id="1640"/>
      </w:r>
      <w:r>
        <w:t xml:space="preserve">.</w:t>
      </w:r>
    </w:p>
    <w:p>
      <w:pPr>
        <w:numPr>
          <w:ilvl w:val="0"/>
          <w:numId w:val="1198"/>
        </w:numPr>
        <w:pStyle w:val="Compact"/>
      </w:pPr>
      <w:r>
        <w:rPr>
          <w:bCs/>
          <w:b/>
        </w:rPr>
        <w:t xml:space="preserve">Sistema imunológico:</w:t>
      </w:r>
      <w:r>
        <w:t xml:space="preserve"> </w:t>
      </w:r>
      <w:r>
        <w:t xml:space="preserve">em ratos e camundongos, o Selank influenciou genes inflamatórios; em culturas de células e em camundongos, mostrou efeitos contra vírus da influenza</w:t>
      </w:r>
      <w:r>
        <w:rPr>
          <w:rStyle w:val="FootnoteReference"/>
        </w:rPr>
        <w:footnoteReference w:id="1641"/>
      </w:r>
      <w:r>
        <w:t xml:space="preserve">.</w:t>
      </w:r>
    </w:p>
    <w:p>
      <w:pPr>
        <w:pStyle w:val="FirstParagraph"/>
      </w:pPr>
      <w:r>
        <w:t xml:space="preserve">Quanto Selank de fato chega ao cérebro em humanos após administração nasal não foi publicado.</w:t>
      </w:r>
    </w:p>
    <w:bookmarkEnd w:id="1642"/>
    <w:bookmarkStart w:id="1650" w:name="estudos-em-humanos-3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3 publicações classificadas como estudos em humanos; ao todo, o PubMed lista cerca de 70 trabalhos com</w:t>
      </w:r>
      <w:r>
        <w:t xml:space="preserve"> </w:t>
      </w:r>
      <w:r>
        <w:t xml:space="preserve">“</w:t>
      </w:r>
      <w:r>
        <w:t xml:space="preserve">Selank</w:t>
      </w:r>
      <w:r>
        <w:t xml:space="preserve">”</w:t>
      </w:r>
      <w:r>
        <w:t xml:space="preserve"> </w:t>
      </w:r>
      <w:r>
        <w:t xml:space="preserve">no título ou resumo, quase todos experimentos com animais. A busca no ClinicalTrials.gov resultou em 2 ocorrências – ambas, em exame mais detalhado, se referem a outros procedimentos (estimulação cerebral) e não a um estudo com Selank. Não há, portanto, nenhum estudo clínico registrado com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pessoas com transtorno de ansiedade generalizada ou neurastenia; Selank (30) contra medazepam (32)</w:t>
            </w:r>
          </w:p>
        </w:tc>
        <w:tc>
          <w:tcPr/>
          <w:p>
            <w:pPr>
              <w:pStyle w:val="Compact"/>
              <w:jc w:val="left"/>
            </w:pPr>
            <w:r>
              <w:t xml:space="preserve">não consta no resumo</w:t>
            </w:r>
          </w:p>
        </w:tc>
        <w:tc>
          <w:tcPr/>
          <w:p>
            <w:pPr>
              <w:pStyle w:val="Compact"/>
              <w:jc w:val="left"/>
            </w:pPr>
            <w:r>
              <w:t xml:space="preserve">efeito ansiolítico semelhante dos dois agentes; com Selank, adicionalmente</w:t>
            </w:r>
            <w:r>
              <w:t xml:space="preserve"> </w:t>
            </w:r>
            <w:r>
              <w:t xml:space="preserve">“</w:t>
            </w:r>
            <w:r>
              <w:t xml:space="preserve">estimulante do ânimo</w:t>
            </w:r>
            <w:r>
              <w:t xml:space="preserve">”</w:t>
            </w:r>
          </w:p>
        </w:tc>
      </w:tr>
      <w:tr>
        <w:tc>
          <w:tcPr/>
          <w:p>
            <w:pPr>
              <w:pStyle w:val="Compact"/>
              <w:jc w:val="left"/>
            </w:pPr>
            <w:r>
              <w:t xml:space="preserve">Medvedev 2014, PMID 25176261</w:t>
            </w:r>
          </w:p>
        </w:tc>
        <w:tc>
          <w:tcPr/>
          <w:p>
            <w:pPr>
              <w:pStyle w:val="Compact"/>
              <w:jc w:val="left"/>
            </w:pPr>
            <w:r>
              <w:t xml:space="preserve">60 pessoas com transtornos de ansiedade e somatoformes; Selank contra fenazepam</w:t>
            </w:r>
          </w:p>
        </w:tc>
        <w:tc>
          <w:tcPr/>
          <w:p>
            <w:pPr>
              <w:pStyle w:val="Compact"/>
              <w:jc w:val="left"/>
            </w:pPr>
            <w:r>
              <w:t xml:space="preserve">não consta no resumo</w:t>
            </w:r>
          </w:p>
        </w:tc>
        <w:tc>
          <w:tcPr/>
          <w:p>
            <w:pPr>
              <w:pStyle w:val="Compact"/>
              <w:jc w:val="left"/>
            </w:pPr>
            <w:r>
              <w:t xml:space="preserve">segundo os autores, efeito ansiolítico claro, que persistiu uma semana após a suspensão</w:t>
            </w:r>
          </w:p>
        </w:tc>
      </w:tr>
      <w:tr>
        <w:tc>
          <w:tcPr/>
          <w:p>
            <w:pPr>
              <w:pStyle w:val="Compact"/>
              <w:jc w:val="left"/>
            </w:pPr>
            <w:r>
              <w:t xml:space="preserve">Medvedev 2015, PMID 26356395</w:t>
            </w:r>
          </w:p>
        </w:tc>
        <w:tc>
          <w:tcPr/>
          <w:p>
            <w:pPr>
              <w:pStyle w:val="Compact"/>
              <w:jc w:val="left"/>
            </w:pPr>
            <w:r>
              <w:t xml:space="preserve">70 pessoas; fenazepam sozinho (30) contra fenazepam mais Selank (40)</w:t>
            </w:r>
          </w:p>
        </w:tc>
        <w:tc>
          <w:tcPr/>
          <w:p>
            <w:pPr>
              <w:pStyle w:val="Compact"/>
              <w:jc w:val="left"/>
            </w:pPr>
            <w:r>
              <w:t xml:space="preserve">não consta no resumo</w:t>
            </w:r>
          </w:p>
        </w:tc>
        <w:tc>
          <w:tcPr/>
          <w:p>
            <w:pPr>
              <w:pStyle w:val="Compact"/>
              <w:jc w:val="left"/>
            </w:pPr>
            <w:r>
              <w:t xml:space="preserve">início de ação mais rápido e menos efeitos colaterais do fenazepam no grupo da combinação</w:t>
            </w:r>
          </w:p>
        </w:tc>
      </w:tr>
      <w:tr>
        <w:tc>
          <w:tcPr/>
          <w:p>
            <w:pPr>
              <w:pStyle w:val="Compact"/>
              <w:jc w:val="left"/>
            </w:pPr>
            <w:r>
              <w:t xml:space="preserve">Uchakina 2008, PMID 18577961</w:t>
            </w:r>
          </w:p>
        </w:tc>
        <w:tc>
          <w:tcPr/>
          <w:p>
            <w:pPr>
              <w:pStyle w:val="Compact"/>
              <w:jc w:val="left"/>
            </w:pPr>
            <w:r>
              <w:t xml:space="preserve">pessoas com transtorno de ansiedade ou neurastenia</w:t>
            </w:r>
          </w:p>
        </w:tc>
        <w:tc>
          <w:tcPr/>
          <w:p>
            <w:pPr>
              <w:pStyle w:val="Compact"/>
              <w:jc w:val="left"/>
            </w:pPr>
            <w:r>
              <w:t xml:space="preserve">14 dias</w:t>
            </w:r>
          </w:p>
        </w:tc>
        <w:tc>
          <w:tcPr/>
          <w:p>
            <w:pPr>
              <w:pStyle w:val="Compact"/>
              <w:jc w:val="left"/>
            </w:pPr>
            <w:r>
              <w:t xml:space="preserve">deslocamentos no equilíbrio de mensageiros imunológicos no sangue</w:t>
            </w:r>
          </w:p>
        </w:tc>
      </w:tr>
      <w:tr>
        <w:tc>
          <w:tcPr/>
          <w:p>
            <w:pPr>
              <w:pStyle w:val="Compact"/>
              <w:jc w:val="left"/>
            </w:pPr>
            <w:r>
              <w:t xml:space="preserve">Panikratova 2020, PMID 32342318</w:t>
            </w:r>
          </w:p>
        </w:tc>
        <w:tc>
          <w:tcPr/>
          <w:p>
            <w:pPr>
              <w:pStyle w:val="Compact"/>
              <w:jc w:val="left"/>
            </w:pPr>
            <w:r>
              <w:t xml:space="preserve">52 saudáveis; Selank, Semax ou placebo, administração única</w:t>
            </w:r>
          </w:p>
        </w:tc>
        <w:tc>
          <w:tcPr/>
          <w:p>
            <w:pPr>
              <w:pStyle w:val="Compact"/>
              <w:jc w:val="left"/>
            </w:pPr>
            <w:r>
              <w:t xml:space="preserve">20 minutos</w:t>
            </w:r>
          </w:p>
        </w:tc>
        <w:tc>
          <w:tcPr/>
          <w:p>
            <w:pPr>
              <w:pStyle w:val="Compact"/>
              <w:jc w:val="left"/>
            </w:pPr>
            <w:r>
              <w:t xml:space="preserve">conexões funcionais da amígdala alteradas na ressonância magnética</w:t>
            </w:r>
          </w:p>
        </w:tc>
      </w:tr>
    </w:tbl>
    <w:bookmarkStart w:id="1646" w:name="transtornos-de-ansiedade"/>
    <w:p>
      <w:pPr>
        <w:pStyle w:val="Heading4"/>
      </w:pPr>
      <w:r>
        <w:t xml:space="preserve">Transtornos de ansiedade</w:t>
      </w:r>
    </w:p>
    <w:p>
      <w:pPr>
        <w:pStyle w:val="FirstParagraph"/>
      </w:pPr>
      <w:r>
        <w:t xml:space="preserve">Os três estudos clínicos compararam o Selank com benzodiazepínicos – medazepam ou o fenazepam, difundido na Rússia. No primeiro estudo, com 62 pessoas, o efeito ansiolítico de Selank e medazepam em escalas de questionário (Hamilton, Zung, CGI) foi semelhante; o Selank teria agido adicionalmente contra a exaustão. Os pesquisadores mediram também a meia-vida do mensageiro Leu-encefalina no sangue, que aumentou com Selank</w:t>
      </w:r>
      <w:r>
        <w:rPr>
          <w:rStyle w:val="FootnoteReference"/>
        </w:rPr>
        <w:footnoteReference w:id="1643"/>
      </w:r>
      <w:r>
        <w:t xml:space="preserve">. Em um segundo estudo, com 60 pessoas, descreve-se um efeito ansiolítico pronunciado e um leve efeito favorecedor da memória, que persistiu uma semana além do fim do tratamento</w:t>
      </w:r>
      <w:r>
        <w:rPr>
          <w:rStyle w:val="FootnoteReference"/>
        </w:rPr>
        <w:footnoteReference w:id="1644"/>
      </w:r>
      <w:r>
        <w:t xml:space="preserve">.</w:t>
      </w:r>
    </w:p>
    <w:p>
      <w:pPr>
        <w:pStyle w:val="BodyText"/>
      </w:pPr>
      <w:r>
        <w:t xml:space="preserve">O terceiro estudo testou o Selank como complemento: 40 pessoas receberam fenazepam mais Selank, 30 apenas fenazepam. No grupo da combinação, segundo os autores, o efeito começou mais cedo, e efeitos colaterais típicos dos benzodiazepínicos, como distúrbios de atenção e memória, sonolência e disfunções sexuais, foram mais raros – também após a suspensão do calmante</w:t>
      </w:r>
      <w:r>
        <w:rPr>
          <w:rStyle w:val="FootnoteReference"/>
        </w:rPr>
        <w:footnoteReference w:id="1645"/>
      </w:r>
      <w:r>
        <w:t xml:space="preserve">.</w:t>
      </w:r>
    </w:p>
    <w:p>
      <w:pPr>
        <w:pStyle w:val="BodyText"/>
      </w:pPr>
      <w:r>
        <w:t xml:space="preserve">Esses resultados parecem encorajadores, mas têm limites claros:</w:t>
      </w:r>
    </w:p>
    <w:p>
      <w:pPr>
        <w:numPr>
          <w:ilvl w:val="0"/>
          <w:numId w:val="1199"/>
        </w:numPr>
        <w:pStyle w:val="Compact"/>
      </w:pPr>
      <w:r>
        <w:rPr>
          <w:bCs/>
          <w:b/>
        </w:rPr>
        <w:t xml:space="preserve">Sem placebo:</w:t>
      </w:r>
      <w:r>
        <w:t xml:space="preserve"> </w:t>
      </w:r>
      <w:r>
        <w:t xml:space="preserve">nos transtornos de ansiedade, os sintomas muitas vezes melhoram consideravelmente também com medicamentos simulados. Sem grupo placebo, não se pode dizer que parcela cabe ao Selank.</w:t>
      </w:r>
    </w:p>
    <w:p>
      <w:pPr>
        <w:numPr>
          <w:ilvl w:val="0"/>
          <w:numId w:val="1199"/>
        </w:numPr>
        <w:pStyle w:val="Compact"/>
      </w:pPr>
      <w:r>
        <w:rPr>
          <w:bCs/>
          <w:b/>
        </w:rPr>
        <w:t xml:space="preserve">“</w:t>
      </w:r>
      <w:r>
        <w:rPr>
          <w:bCs/>
          <w:b/>
        </w:rPr>
        <w:t xml:space="preserve">Eficácia semelhante</w:t>
      </w:r>
      <w:r>
        <w:rPr>
          <w:bCs/>
          <w:b/>
        </w:rPr>
        <w:t xml:space="preserve">”</w:t>
      </w:r>
      <w:r>
        <w:rPr>
          <w:bCs/>
          <w:b/>
        </w:rPr>
        <w:t xml:space="preserve"> </w:t>
      </w:r>
      <w:r>
        <w:rPr>
          <w:bCs/>
          <w:b/>
        </w:rPr>
        <w:t xml:space="preserve">não é prova:</w:t>
      </w:r>
      <w:r>
        <w:t xml:space="preserve"> </w:t>
      </w:r>
      <w:r>
        <w:t xml:space="preserve">uma demonstração de equivalência requer limites definidos previamente e participantes em número suficiente. Nenhum dos dois é reconhecível nos resumos.</w:t>
      </w:r>
    </w:p>
    <w:p>
      <w:pPr>
        <w:numPr>
          <w:ilvl w:val="0"/>
          <w:numId w:val="1199"/>
        </w:numPr>
        <w:pStyle w:val="Compact"/>
      </w:pPr>
      <w:r>
        <w:rPr>
          <w:bCs/>
          <w:b/>
        </w:rPr>
        <w:t xml:space="preserve">Observação curta, grupos pequenos, sem registro:</w:t>
      </w:r>
      <w:r>
        <w:t xml:space="preserve"> </w:t>
      </w:r>
      <w:r>
        <w:t xml:space="preserve">todos os estudos vêm de centros russos, não foram pré-registrados em um registro público e foram publicados em revistas especializadas de língua russa.</w:t>
      </w:r>
    </w:p>
    <w:bookmarkEnd w:id="1646"/>
    <w:bookmarkStart w:id="1649" w:name="sistema-imunológico-e-pessoas-saudáveis"/>
    <w:p>
      <w:pPr>
        <w:pStyle w:val="Heading4"/>
      </w:pPr>
      <w:r>
        <w:t xml:space="preserve">Sistema imunológico e pessoas saudáveis</w:t>
      </w:r>
    </w:p>
    <w:p>
      <w:pPr>
        <w:pStyle w:val="FirstParagraph"/>
      </w:pPr>
      <w:r>
        <w:t xml:space="preserve">Um trabalho descreve, em pessoas com estados de ansiedade e exaustão, após 14 dias de Selank, alterações nos mensageiros imunológicos (equilíbrio Th1/Th2) no sangue; em tubo de ensaio, o Selank suprimiu a formação do mensageiro inflamatório IL-6 em células sanguíneas de pessoas com depressão</w:t>
      </w:r>
      <w:r>
        <w:rPr>
          <w:rStyle w:val="FootnoteReference"/>
        </w:rPr>
        <w:footnoteReference w:id="1647"/>
      </w:r>
      <w:r>
        <w:t xml:space="preserve">. Se isso é clinicamente relevante não foi estudado. Em pessoas saudáveis, um pequeno estudo de imagem mostrou, após administração única, conexões alteradas entre a amígdala, uma região cerebral importante para a ansiedade, e partes do lobo temporal</w:t>
      </w:r>
      <w:r>
        <w:rPr>
          <w:rStyle w:val="FootnoteReference"/>
        </w:rPr>
        <w:footnoteReference w:id="1648"/>
      </w:r>
      <w:r>
        <w:t xml:space="preserve">. Estudos sobre concentração ou desempenho em pessoas saudáveis – a principal promessa na internet – não existem.</w:t>
      </w:r>
    </w:p>
    <w:bookmarkEnd w:id="1649"/>
    <w:bookmarkEnd w:id="1650"/>
    <w:bookmarkStart w:id="1654" w:name="estudos-em-animais-e-em-laboratório-35"/>
    <w:p>
      <w:pPr>
        <w:pStyle w:val="Heading3"/>
      </w:pPr>
      <w:r>
        <w:t xml:space="preserve">Estudos em animais e em laboratório</w:t>
      </w:r>
    </w:p>
    <w:p>
      <w:pPr>
        <w:numPr>
          <w:ilvl w:val="0"/>
          <w:numId w:val="1200"/>
        </w:numPr>
        <w:pStyle w:val="Compact"/>
      </w:pPr>
      <w:r>
        <w:t xml:space="preserve">Em ratos com 30 semanas de consumo de álcool, o Selank impediu distúrbios de memória e atenção na abstinência e influenciou o teor de BDNF no hipocampo e no lobo frontal</w:t>
      </w:r>
      <w:r>
        <w:rPr>
          <w:rStyle w:val="FootnoteReference"/>
        </w:rPr>
        <w:footnoteReference w:id="1651"/>
      </w:r>
      <w:r>
        <w:t xml:space="preserve">.</w:t>
      </w:r>
    </w:p>
    <w:p>
      <w:pPr>
        <w:numPr>
          <w:ilvl w:val="0"/>
          <w:numId w:val="1200"/>
        </w:numPr>
        <w:pStyle w:val="Compact"/>
      </w:pPr>
      <w:r>
        <w:t xml:space="preserve">Em ratos, o Selank alterou a atividade de numerosos genes do sistema GABA</w:t>
      </w:r>
      <w:r>
        <w:rPr>
          <w:rStyle w:val="FootnoteReference"/>
        </w:rPr>
        <w:footnoteReference w:id="1652"/>
      </w:r>
      <w:r>
        <w:t xml:space="preserve">.</w:t>
      </w:r>
    </w:p>
    <w:p>
      <w:pPr>
        <w:numPr>
          <w:ilvl w:val="0"/>
          <w:numId w:val="1200"/>
        </w:numPr>
        <w:pStyle w:val="Compact"/>
      </w:pPr>
      <w:r>
        <w:t xml:space="preserve">Em culturas de células e em camundongos, o Selank inibiu vírus da influenza, com mais força quando administrado antes da infecção</w:t>
      </w:r>
      <w:r>
        <w:rPr>
          <w:rStyle w:val="FootnoteReference"/>
        </w:rPr>
        <w:footnoteReference w:id="1653"/>
      </w:r>
      <w:r>
        <w:t xml:space="preserve">.</w:t>
      </w:r>
    </w:p>
    <w:p>
      <w:pPr>
        <w:numPr>
          <w:ilvl w:val="0"/>
          <w:numId w:val="1200"/>
        </w:numPr>
        <w:pStyle w:val="Compact"/>
      </w:pPr>
      <w:r>
        <w:t xml:space="preserve">Em outros trabalhos dos mesmos grupos de pesquisa, descrevem-se efeitos em roedores no estresse, na abstinência de morfina e álcool e em modelos de Parkinson.</w:t>
      </w:r>
    </w:p>
    <w:p>
      <w:pPr>
        <w:pStyle w:val="FirstParagraph"/>
      </w:pPr>
      <w:r>
        <w:t xml:space="preserve">Esses achados são achados em animais e em laboratório e vêm em grande parte de um pequeno círculo de grupos de pesquisa.</w:t>
      </w:r>
    </w:p>
    <w:bookmarkEnd w:id="1654"/>
    <w:bookmarkStart w:id="1656" w:name="riscos-e-efeitos-colaterais-35"/>
    <w:p>
      <w:pPr>
        <w:pStyle w:val="Heading3"/>
      </w:pPr>
      <w:r>
        <w:t xml:space="preserve">Riscos e efeitos colaterais</w:t>
      </w:r>
    </w:p>
    <w:p>
      <w:pPr>
        <w:pStyle w:val="FirstParagraph"/>
      </w:pPr>
      <w:r>
        <w:rPr>
          <w:bCs/>
          <w:b/>
        </w:rPr>
        <w:t xml:space="preserve">Comprovado:</w:t>
      </w:r>
      <w:r>
        <w:t xml:space="preserve"> </w:t>
      </w:r>
      <w:r>
        <w:t xml:space="preserve">nos pequenos estudos russos, o Selank é descrito como bem tolerado; os resumos não informam taxas de efeitos colaterais sistematicamente coletadas. Faltam dados de longo prazo e dados sobre dependência ou sintomas de abstinência.</w:t>
      </w:r>
    </w:p>
    <w:p>
      <w:pPr>
        <w:pStyle w:val="BodyText"/>
      </w:pPr>
      <w:r>
        <w:rPr>
          <w:bCs/>
          <w:b/>
        </w:rPr>
        <w:t xml:space="preserve">Teórico:</w:t>
      </w:r>
      <w:r>
        <w:t xml:space="preserve"> </w:t>
      </w:r>
      <w:r>
        <w:t xml:space="preserve">o Selank agiria sobre os sistemas imunológico, de encefalinas e GABA. Interações com calmantes, álcool ou antidepressivos não foram estudadas; o estudo russo de combinação mostra, de todo modo, que o Selank é usado junto com benzodiazepínicos. Para gravidez, amamentação e crianças não há dados.</w:t>
      </w:r>
    </w:p>
    <w:p>
      <w:pPr>
        <w:pStyle w:val="BodyText"/>
      </w:pPr>
      <w:r>
        <w:rPr>
          <w:bCs/>
          <w:b/>
        </w:rPr>
        <w:t xml:space="preserve">Mercado cinza:</w:t>
      </w:r>
      <w:r>
        <w:t xml:space="preserve"> </w:t>
      </w:r>
      <w:r>
        <w:t xml:space="preserve">fora da Rússia, o Selank é vendido como</w:t>
      </w:r>
      <w:r>
        <w:t xml:space="preserve"> </w:t>
      </w:r>
      <w:r>
        <w:t xml:space="preserve">“</w:t>
      </w:r>
      <w:r>
        <w:t xml:space="preserve">Research Peptide</w:t>
      </w:r>
      <w:r>
        <w:t xml:space="preserve">”</w:t>
      </w:r>
      <w:r>
        <w:t xml:space="preserve"> </w:t>
      </w:r>
      <w:r>
        <w:t xml:space="preserve">em pó para injeção ou como spray nasal. Um laboratório de controle belga encontrou Selank em preparados desconhecidos apreendidos</w:t>
      </w:r>
      <w:r>
        <w:rPr>
          <w:rStyle w:val="FootnoteReference"/>
        </w:rPr>
        <w:footnoteReference w:id="1655"/>
      </w:r>
      <w:r>
        <w:t xml:space="preserve">. A injeção não é uma via de administração testada em estudos; pureza e teor desses produtos não são verificados.</w:t>
      </w:r>
    </w:p>
    <w:p>
      <w:pPr>
        <w:pStyle w:val="BodyText"/>
      </w:pPr>
      <w:r>
        <w:rPr>
          <w:bCs/>
          <w:b/>
        </w:rPr>
        <w:t xml:space="preserve">Importante:</w:t>
      </w:r>
      <w:r>
        <w:t xml:space="preserve"> </w:t>
      </w:r>
      <w:r>
        <w:t xml:space="preserve">transtornos de ansiedade são bem tratáveis – com psicoterapia e com medicamentos aprovados, cujo efeito está comprovado em grandes estudos controlados por placebo. Um peptídeo do mercado cinza não é substituto para isso.</w:t>
      </w:r>
    </w:p>
    <w:bookmarkEnd w:id="1656"/>
    <w:bookmarkStart w:id="1657" w:name="situação-legal-35"/>
    <w:p>
      <w:pPr>
        <w:pStyle w:val="Heading3"/>
      </w:pPr>
      <w:r>
        <w:t xml:space="preserve">Situação legal</w:t>
      </w:r>
    </w:p>
    <w:p>
      <w:pPr>
        <w:numPr>
          <w:ilvl w:val="0"/>
          <w:numId w:val="1201"/>
        </w:numPr>
        <w:pStyle w:val="Compact"/>
      </w:pPr>
      <w:r>
        <w:rPr>
          <w:bCs/>
          <w:b/>
        </w:rPr>
        <w:t xml:space="preserve">UE / Áustria / Alemanha:</w:t>
      </w:r>
      <w:r>
        <w:t xml:space="preserve"> </w:t>
      </w:r>
      <w:r>
        <w:t xml:space="preserve">não aprovado; como substância com efeito farmacológico, o Selank é considerado medicamento, e a comercialização sem aprovação não é permitida.</w:t>
      </w:r>
    </w:p>
    <w:p>
      <w:pPr>
        <w:numPr>
          <w:ilvl w:val="0"/>
          <w:numId w:val="1201"/>
        </w:numPr>
        <w:pStyle w:val="Compact"/>
      </w:pPr>
      <w:r>
        <w:rPr>
          <w:bCs/>
          <w:b/>
        </w:rPr>
        <w:t xml:space="preserve">EUA:</w:t>
      </w:r>
      <w:r>
        <w:t xml:space="preserve"> </w:t>
      </w:r>
      <w:r>
        <w:t xml:space="preserve">não aprovado. O Selank foi incluído em 2023 na</w:t>
      </w:r>
      <w:r>
        <w:t xml:space="preserve"> </w:t>
      </w:r>
      <w:r>
        <w:t xml:space="preserve">“</w:t>
      </w:r>
      <w:r>
        <w:t xml:space="preserve">categoria 2</w:t>
      </w:r>
      <w:r>
        <w:t xml:space="preserve">”</w:t>
      </w:r>
      <w:r>
        <w:t xml:space="preserve"> </w:t>
      </w:r>
      <w:r>
        <w:t xml:space="preserve">da FDA para substâncias de manipulação com preocupações de segurança; mais tarde, segundo relatos, a nomeação foi retirada. O Selank não estava entre os peptídeos avaliados pelo comitê consultivo PCAC em julho de 2026. Segundo o conhecimento atual, não há permissão para preparações de farmácia (situação em outubro de 2026, verificar atualização).</w:t>
      </w:r>
    </w:p>
    <w:p>
      <w:pPr>
        <w:numPr>
          <w:ilvl w:val="0"/>
          <w:numId w:val="1201"/>
        </w:numPr>
        <w:pStyle w:val="Compact"/>
      </w:pPr>
      <w:r>
        <w:rPr>
          <w:bCs/>
          <w:b/>
        </w:rPr>
        <w:t xml:space="preserve">Rússia:</w:t>
      </w:r>
      <w:r>
        <w:t xml:space="preserve"> </w:t>
      </w:r>
      <w:r>
        <w:t xml:space="preserve">registrado como medicamento.</w:t>
      </w:r>
    </w:p>
    <w:p>
      <w:pPr>
        <w:numPr>
          <w:ilvl w:val="0"/>
          <w:numId w:val="1201"/>
        </w:numPr>
        <w:pStyle w:val="Compact"/>
      </w:pPr>
      <w:r>
        <w:rPr>
          <w:bCs/>
          <w:b/>
        </w:rPr>
        <w:t xml:space="preserve">Esporte:</w:t>
      </w:r>
      <w:r>
        <w:t xml:space="preserve"> </w:t>
      </w:r>
      <w:r>
        <w:t xml:space="preserve">não listado nominalmente na lista da WADA (situação em 2026, verificar atualização).</w:t>
      </w:r>
    </w:p>
    <w:bookmarkEnd w:id="1657"/>
    <w:bookmarkStart w:id="1658" w:name="estudos-em-andamento-e-perspectivas-35"/>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Selank (consulta de outubro de 2026).</w:t>
      </w:r>
    </w:p>
    <w:p>
      <w:pPr>
        <w:pStyle w:val="BodyText"/>
      </w:pPr>
      <w:r>
        <w:rPr>
          <w:bCs/>
          <w:b/>
        </w:rPr>
        <w:t xml:space="preserve">Avaliação:</w:t>
      </w:r>
      <w:r>
        <w:t xml:space="preserve"> </w:t>
      </w:r>
      <w:r>
        <w:t xml:space="preserve">o Selank é um exemplo de peptídeo que entrou na assistência à saúde na Rússia sem cumprir os requisitos de estudos vigentes na UE ou nos EUA. Uma aprovação fora da Rússia pressuporia, no mínimo, um estudo maior controlado por placebo em transtornos de ansiedade; não há indícios disso.</w:t>
      </w:r>
    </w:p>
    <w:bookmarkEnd w:id="1658"/>
    <w:bookmarkStart w:id="1659" w:name="conclusão-35"/>
    <w:p>
      <w:pPr>
        <w:pStyle w:val="Heading3"/>
      </w:pPr>
      <w:r>
        <w:t xml:space="preserve">Conclusão</w:t>
      </w:r>
    </w:p>
    <w:p>
      <w:pPr>
        <w:pStyle w:val="FirstParagraph"/>
      </w:pPr>
      <w:r>
        <w:t xml:space="preserve">O Selank é um peptídeo derivado da tuftsina, registrado na Rússia como ansiolítico. Três pequenos estudos russos descrevem um efeito ansiolítico semelhante ao dos benzodiazepínicos, mas nenhum deles tinha grupo placebo ou foi pré-registrado. As hipóteses de mecanismo sobre encefalinas, GABA e sistema imunológico se baseiam em dados de laboratório e de animais. Os dados não são suficientes para avaliar eficácia e segurança pelos padrões atuais.</w:t>
      </w:r>
    </w:p>
    <w:bookmarkEnd w:id="1659"/>
    <w:bookmarkEnd w:id="1660"/>
    <w:bookmarkStart w:id="1713" w:name="cerebrolisina"/>
    <w:p>
      <w:pPr>
        <w:pStyle w:val="Heading2"/>
      </w:pPr>
      <w:r>
        <w:t xml:space="preserve">Cerebrolisina</w:t>
      </w:r>
    </w:p>
    <w:bookmarkStart w:id="1661" w:name="ficha-técnica-36"/>
    <w:p>
      <w:pPr>
        <w:pStyle w:val="Heading3"/>
      </w:pPr>
      <w:r>
        <w:t xml:space="preserve">Ficha técnica</w:t>
      </w:r>
    </w:p>
    <w:p>
      <w:pPr>
        <w:numPr>
          <w:ilvl w:val="0"/>
          <w:numId w:val="1202"/>
        </w:numPr>
        <w:pStyle w:val="Compact"/>
      </w:pPr>
      <w:r>
        <w:rPr>
          <w:bCs/>
          <w:b/>
        </w:rPr>
        <w:t xml:space="preserve">Tipo e estrutura:</w:t>
      </w:r>
      <w:r>
        <w:t xml:space="preserve"> </w:t>
      </w:r>
      <w:r>
        <w:t xml:space="preserve">não é um peptídeo único, mas uma mistura de peptídeos curtos e aminoácidos livres. É obtida por clivagem enzimática de proteínas purificadas de cérebro de porco. A composição exata não está completamente descrita; o fabricante padroniza o preparado por meio do seu processo de fabricação e de testes biológicos.</w:t>
      </w:r>
    </w:p>
    <w:p>
      <w:pPr>
        <w:numPr>
          <w:ilvl w:val="0"/>
          <w:numId w:val="1202"/>
        </w:numPr>
        <w:pStyle w:val="Compact"/>
      </w:pPr>
      <w:r>
        <w:rPr>
          <w:bCs/>
          <w:b/>
        </w:rPr>
        <w:t xml:space="preserve">Origem:</w:t>
      </w:r>
      <w:r>
        <w:t xml:space="preserve"> </w:t>
      </w:r>
      <w:r>
        <w:t xml:space="preserve">produzida há décadas por uma empresa austríaca (hoje EVER Neuro Pharma, Unterach am Attersee).</w:t>
      </w:r>
    </w:p>
    <w:p>
      <w:pPr>
        <w:numPr>
          <w:ilvl w:val="0"/>
          <w:numId w:val="1202"/>
        </w:numPr>
        <w:pStyle w:val="Compact"/>
      </w:pPr>
      <w:r>
        <w:rPr>
          <w:bCs/>
          <w:b/>
        </w:rPr>
        <w:t xml:space="preserve">Princípio de ação:</w:t>
      </w:r>
      <w:r>
        <w:t xml:space="preserve"> </w:t>
      </w:r>
      <w:r>
        <w:t xml:space="preserve">imitaria efeitos de fatores de crescimento neural do próprio organismo – proteger neurônios (neuroproteção) e favorecer processos de reparo e remodelação (neurorregeneração). É administrada como infusão ou injeção na veia, geralmente em ciclos de 10 a 21 dias.</w:t>
      </w:r>
    </w:p>
    <w:p>
      <w:pPr>
        <w:numPr>
          <w:ilvl w:val="0"/>
          <w:numId w:val="1202"/>
        </w:numPr>
        <w:pStyle w:val="Compact"/>
      </w:pPr>
      <w:r>
        <w:rPr>
          <w:bCs/>
          <w:b/>
        </w:rPr>
        <w:t xml:space="preserve">Aprovação UE:</w:t>
      </w:r>
      <w:r>
        <w:t xml:space="preserve"> </w:t>
      </w:r>
      <w:r>
        <w:t xml:space="preserve">nenhuma aprovação centralizada na UE. Aprovação nacional na Áustria e em uma série de outros Estados, sobretudo da Europa Central e Oriental (conforme o país, para AVC, traumatismo cranioencefálico e demência). Na Alemanha, segundo nosso conhecimento, não é comercializada.</w:t>
      </w:r>
    </w:p>
    <w:p>
      <w:pPr>
        <w:numPr>
          <w:ilvl w:val="0"/>
          <w:numId w:val="1202"/>
        </w:numPr>
        <w:pStyle w:val="Compact"/>
      </w:pPr>
      <w:r>
        <w:rPr>
          <w:bCs/>
          <w:b/>
        </w:rPr>
        <w:t xml:space="preserve">Aprovação EUA:</w:t>
      </w:r>
      <w:r>
        <w:t xml:space="preserve"> </w:t>
      </w:r>
      <w:r>
        <w:t xml:space="preserve">não.</w:t>
      </w:r>
    </w:p>
    <w:p>
      <w:pPr>
        <w:numPr>
          <w:ilvl w:val="0"/>
          <w:numId w:val="1202"/>
        </w:numPr>
        <w:pStyle w:val="Compact"/>
      </w:pPr>
      <w:r>
        <w:rPr>
          <w:bCs/>
          <w:b/>
        </w:rPr>
        <w:t xml:space="preserve">Outros países:</w:t>
      </w:r>
      <w:r>
        <w:t xml:space="preserve"> </w:t>
      </w:r>
      <w:r>
        <w:t xml:space="preserve">amplamente usada na Rússia, em outros Estados sucessores da União Soviética, na China e em outros países asiáticos.</w:t>
      </w:r>
    </w:p>
    <w:p>
      <w:pPr>
        <w:numPr>
          <w:ilvl w:val="0"/>
          <w:numId w:val="1202"/>
        </w:numPr>
        <w:pStyle w:val="Compact"/>
      </w:pPr>
      <w:r>
        <w:rPr>
          <w:bCs/>
          <w:b/>
        </w:rPr>
        <w:t xml:space="preserve">WADA:</w:t>
      </w:r>
      <w:r>
        <w:t xml:space="preserve"> </w:t>
      </w:r>
      <w:r>
        <w:t xml:space="preserve">não listada.</w:t>
      </w:r>
    </w:p>
    <w:p>
      <w:pPr>
        <w:numPr>
          <w:ilvl w:val="0"/>
          <w:numId w:val="1202"/>
        </w:numPr>
        <w:pStyle w:val="Compact"/>
      </w:pPr>
      <w:r>
        <w:rPr>
          <w:bCs/>
          <w:b/>
        </w:rPr>
        <w:t xml:space="preserve">Nível de evidência:</w:t>
      </w:r>
      <w:r>
        <w:t xml:space="preserve"> </w:t>
      </w:r>
      <w:r>
        <w:rPr>
          <w:bCs/>
          <w:b/>
        </w:rPr>
        <w:t xml:space="preserve">B</w:t>
      </w:r>
      <w:r>
        <w:t xml:space="preserve"> </w:t>
      </w:r>
      <w:r>
        <w:t xml:space="preserve">– numerosos estudos randomizados e controlados por placebo, entre eles um grande com mais de 1.000 participantes; os resultados, porém, são inconsistentes, e as duas grandes revisões Cochrane independentes chegam a avaliações reservadas.</w:t>
      </w:r>
    </w:p>
    <w:bookmarkEnd w:id="1661"/>
    <w:bookmarkStart w:id="1662" w:name="como-deveria-agir-36"/>
    <w:p>
      <w:pPr>
        <w:pStyle w:val="Heading3"/>
      </w:pPr>
      <w:r>
        <w:t xml:space="preserve">Como deveria agir</w:t>
      </w:r>
    </w:p>
    <w:p>
      <w:pPr>
        <w:pStyle w:val="FirstParagraph"/>
      </w:pPr>
      <w:r>
        <w:t xml:space="preserve">Fatores de crescimento neural como BDNF, NGF ou CNTF são proteínas que mantêm neurônios vivos, estimulam o brotamento de novas conexões e favorecem a formação de novos neurônios em determinadas regiões cerebrais. Como medicamentos, são difíceis: são grandes, quase não atravessam a barreira hematoencefálica e agem em muitos lugares ao mesmo tempo.</w:t>
      </w:r>
    </w:p>
    <w:p>
      <w:pPr>
        <w:pStyle w:val="BodyText"/>
      </w:pPr>
      <w:r>
        <w:t xml:space="preserve">A cerebrolisina segue outra abordagem. De proteínas de cérebro de porco, por clivagem controlada, surge uma mistura de pequenos fragmentos. O fabricante e pesquisadores ligados a ele partem do princípio de que alguns desses fragmentos desencadeiam sinais semelhantes aos dos fatores de crescimento do próprio organismo. Fala-se, por isso, de uma substância</w:t>
      </w:r>
      <w:r>
        <w:t xml:space="preserve"> </w:t>
      </w:r>
      <w:r>
        <w:t xml:space="preserve">“</w:t>
      </w:r>
      <w:r>
        <w:t xml:space="preserve">multimodal</w:t>
      </w:r>
      <w:r>
        <w:t xml:space="preserve">”</w:t>
      </w:r>
      <w:r>
        <w:t xml:space="preserve"> </w:t>
      </w:r>
      <w:r>
        <w:t xml:space="preserve">– ou seja, que influenciaria muitas vias ao mesmo tempo.</w:t>
      </w:r>
    </w:p>
    <w:p>
      <w:pPr>
        <w:pStyle w:val="BodyText"/>
      </w:pPr>
      <w:r>
        <w:t xml:space="preserve">Para os leitores, isso significa duas coisas: primeiro, o mecanismo é derivado sobretudo de experimentos com animais e células. Segundo, em uma mistura é difícil dizer qual componente é responsável por quê e quanto dele realmente chega ao cérebro.</w:t>
      </w:r>
    </w:p>
    <w:bookmarkEnd w:id="1662"/>
    <w:bookmarkStart w:id="1698" w:name="estudos-em-humanos-36"/>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88 publicações classificadas como estudos em humanos, além de 15 metanálises e revisões sistemáticas (entre elas oito versões de revisões Cochrane). No ClinicalTrials.gov estavam registrados 43 estudos, a maioria sobre AVC, alguns sobre traumatismo cranioencefálico, demência, hemorragia cerebral, delirium e – durante a pandemia – perda do olfato após COVID-19. Grande parte dos estudos foi financiada ou apoiada pelo fabricante; muitos trabalhos menores vêm da Rússia, Romênia, China e Irã.</w:t>
      </w:r>
    </w:p>
    <w:p>
      <w:pPr>
        <w:pStyle w:val="BodyText"/>
      </w:pPr>
      <w:r>
        <w:t xml:space="preserve">Uma palavra sobre a estatística usada em muitos estudos com cerebrolisina: em vez de um único desfecho principal, eles frequentemente testam uma combinação de várias escalas com o chamado estimador de Mann-Whitney (MW). Ele indica a probabilidade de que uma pessoa escolhida ao acaso no grupo da cerebrolisina tenha resultado melhor do que uma do grupo placebo. Um MW de 0,50 significa nenhuma diferença; valores em torno de 0,56 são considerados uma vantagem pequena, em torno de 0,64 média e a partir de 0,71 grande. Esse método é admissível, mas torna os resultados mais difíceis de comparar com outros estudos de AVC, que em geral informam a proporção de pessoas sem incapacidade permanente.</w:t>
      </w:r>
    </w:p>
    <w:bookmarkStart w:id="1669" w:name="avc-isquêmico-agudo"/>
    <w:p>
      <w:pPr>
        <w:pStyle w:val="Heading4"/>
      </w:pPr>
      <w:r>
        <w:t xml:space="preserve">AVC isquêmico agudo</w:t>
      </w:r>
    </w:p>
    <w:p>
      <w:pPr>
        <w:pStyle w:val="FirstParagraph"/>
      </w:pPr>
      <w:r>
        <w:t xml:space="preserve">No AVC isquêmico, um coágulo obstrui um vaso cerebral. Tratamentos estabelecidos são a dissolução do coágulo com medicamentos (trombólise) e a remoção com um cateter (trombectomia). Agentes adicionais</w:t>
      </w:r>
      <w:r>
        <w:t xml:space="preserve"> </w:t>
      </w:r>
      <w:r>
        <w:t xml:space="preserve">“</w:t>
      </w:r>
      <w:r>
        <w:t xml:space="preserve">neuroprotetores</w:t>
      </w:r>
      <w:r>
        <w:t xml:space="preserve">”</w:t>
      </w:r>
      <w:r>
        <w:t xml:space="preserve"> </w:t>
      </w:r>
      <w:r>
        <w:t xml:space="preserve">deveriam proteger o tecido circundante – uma abordagem na qual dezenas de substâncias fracassaram em grandes estudos no mundo todo.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pessoas, ECR contra placebo, início em até 24 h</w:t>
            </w:r>
          </w:p>
        </w:tc>
        <w:tc>
          <w:tcPr/>
          <w:p>
            <w:pPr>
              <w:pStyle w:val="Compact"/>
              <w:jc w:val="left"/>
            </w:pPr>
            <w:r>
              <w:t xml:space="preserve">90 dias</w:t>
            </w:r>
          </w:p>
        </w:tc>
        <w:tc>
          <w:tcPr/>
          <w:p>
            <w:pPr>
              <w:pStyle w:val="Compact"/>
              <w:jc w:val="left"/>
            </w:pPr>
            <w:r>
              <w:t xml:space="preserve">nenhuma melhora na escala neurológica, no índice de Barthel e na impressão global; um teste cognitivo melhor</w:t>
            </w:r>
          </w:p>
        </w:tc>
      </w:tr>
      <w:tr>
        <w:tc>
          <w:tcPr/>
          <w:p>
            <w:pPr>
              <w:pStyle w:val="Compact"/>
              <w:jc w:val="left"/>
            </w:pPr>
            <w:r>
              <w:t xml:space="preserve">CASTA (Heiss 2012), PMID 22282884</w:t>
            </w:r>
          </w:p>
        </w:tc>
        <w:tc>
          <w:tcPr/>
          <w:p>
            <w:pPr>
              <w:pStyle w:val="Compact"/>
              <w:jc w:val="left"/>
            </w:pPr>
            <w:r>
              <w:t xml:space="preserve">1.070 pessoas na Ásia, duplo-cego contra placebo, início em até 12 h</w:t>
            </w:r>
          </w:p>
        </w:tc>
        <w:tc>
          <w:tcPr/>
          <w:p>
            <w:pPr>
              <w:pStyle w:val="Compact"/>
              <w:jc w:val="left"/>
            </w:pPr>
            <w:r>
              <w:t xml:space="preserve">90 dias</w:t>
            </w:r>
          </w:p>
        </w:tc>
        <w:tc>
          <w:tcPr/>
          <w:p>
            <w:pPr>
              <w:pStyle w:val="Compact"/>
              <w:jc w:val="left"/>
            </w:pPr>
            <w:r>
              <w:t xml:space="preserve">desfecho principal neutro; subgrupo post hoc de casos graves com tendência a favor da cerebrolisina</w:t>
            </w:r>
          </w:p>
        </w:tc>
      </w:tr>
      <w:tr>
        <w:tc>
          <w:tcPr/>
          <w:p>
            <w:pPr>
              <w:pStyle w:val="Compact"/>
              <w:jc w:val="left"/>
            </w:pPr>
            <w:r>
              <w:t xml:space="preserve">Lang 2013, PMID 23009193</w:t>
            </w:r>
          </w:p>
        </w:tc>
        <w:tc>
          <w:tcPr/>
          <w:p>
            <w:pPr>
              <w:pStyle w:val="Compact"/>
              <w:jc w:val="left"/>
            </w:pPr>
            <w:r>
              <w:t xml:space="preserve">119 pessoas, adicional à trombólise, duplo-cego</w:t>
            </w:r>
          </w:p>
        </w:tc>
        <w:tc>
          <w:tcPr/>
          <w:p>
            <w:pPr>
              <w:pStyle w:val="Compact"/>
              <w:jc w:val="left"/>
            </w:pPr>
            <w:r>
              <w:t xml:space="preserve">90 dias</w:t>
            </w:r>
          </w:p>
        </w:tc>
        <w:tc>
          <w:tcPr/>
          <w:p>
            <w:pPr>
              <w:pStyle w:val="Compact"/>
              <w:jc w:val="left"/>
            </w:pPr>
            <w:r>
              <w:t xml:space="preserve">interrompido após análise interina sem benefício no desfecho principal; melhora precoce na NIHSS mais frequente</w:t>
            </w:r>
          </w:p>
        </w:tc>
      </w:tr>
      <w:tr>
        <w:tc>
          <w:tcPr/>
          <w:p>
            <w:pPr>
              <w:pStyle w:val="Compact"/>
              <w:jc w:val="left"/>
            </w:pPr>
            <w:r>
              <w:t xml:space="preserve">CARS (Muresanu 2016), PMID 26564102</w:t>
            </w:r>
          </w:p>
        </w:tc>
        <w:tc>
          <w:tcPr/>
          <w:p>
            <w:pPr>
              <w:pStyle w:val="Compact"/>
              <w:jc w:val="left"/>
            </w:pPr>
            <w:r>
              <w:t xml:space="preserve">pessoas em reabilitação precoce, duplo-cego contra placebo</w:t>
            </w:r>
          </w:p>
        </w:tc>
        <w:tc>
          <w:tcPr/>
          <w:p>
            <w:pPr>
              <w:pStyle w:val="Compact"/>
              <w:jc w:val="left"/>
            </w:pPr>
            <w:r>
              <w:t xml:space="preserve">90 dias</w:t>
            </w:r>
          </w:p>
        </w:tc>
        <w:tc>
          <w:tcPr/>
          <w:p>
            <w:pPr>
              <w:pStyle w:val="Compact"/>
              <w:jc w:val="left"/>
            </w:pPr>
            <w:r>
              <w:t xml:space="preserve">função do braço (ARAT) claramente melhor: MW 0,71</w:t>
            </w:r>
          </w:p>
        </w:tc>
      </w:tr>
      <w:tr>
        <w:tc>
          <w:tcPr/>
          <w:p>
            <w:pPr>
              <w:pStyle w:val="Compact"/>
              <w:jc w:val="left"/>
            </w:pPr>
            <w:r>
              <w:t xml:space="preserve">Gharagozli 2017, PMID 29075343</w:t>
            </w:r>
          </w:p>
        </w:tc>
        <w:tc>
          <w:tcPr/>
          <w:p>
            <w:pPr>
              <w:pStyle w:val="Compact"/>
              <w:jc w:val="left"/>
            </w:pPr>
            <w:r>
              <w:t xml:space="preserve">100 pessoas, duplo-cego contra placebo</w:t>
            </w:r>
          </w:p>
        </w:tc>
        <w:tc>
          <w:tcPr/>
          <w:p>
            <w:pPr>
              <w:pStyle w:val="Compact"/>
              <w:jc w:val="left"/>
            </w:pPr>
            <w:r>
              <w:t xml:space="preserve">30 dias</w:t>
            </w:r>
          </w:p>
        </w:tc>
        <w:tc>
          <w:tcPr/>
          <w:p>
            <w:pPr>
              <w:pStyle w:val="Compact"/>
              <w:jc w:val="left"/>
            </w:pPr>
            <w:r>
              <w:t xml:space="preserve">NIHSS melhor: MW 0,66</w:t>
            </w:r>
          </w:p>
        </w:tc>
      </w:tr>
      <w:tr>
        <w:tc>
          <w:tcPr/>
          <w:p>
            <w:pPr>
              <w:pStyle w:val="Compact"/>
              <w:jc w:val="left"/>
            </w:pPr>
            <w:r>
              <w:t xml:space="preserve">CEREHETIS (Khasanova 2023), PMID 36973684</w:t>
            </w:r>
          </w:p>
        </w:tc>
        <w:tc>
          <w:tcPr/>
          <w:p>
            <w:pPr>
              <w:pStyle w:val="Compact"/>
              <w:jc w:val="left"/>
            </w:pPr>
            <w:r>
              <w:t xml:space="preserve">341 pessoas com trombólise, randomizado aberto</w:t>
            </w:r>
          </w:p>
        </w:tc>
        <w:tc>
          <w:tcPr/>
          <w:p>
            <w:pPr>
              <w:pStyle w:val="Compact"/>
              <w:jc w:val="left"/>
            </w:pPr>
            <w:r>
              <w:t xml:space="preserve">90 dias</w:t>
            </w:r>
          </w:p>
        </w:tc>
        <w:tc>
          <w:tcPr/>
          <w:p>
            <w:pPr>
              <w:pStyle w:val="Compact"/>
              <w:jc w:val="left"/>
            </w:pPr>
            <w:r>
              <w:t xml:space="preserve">menos hemorragias sintomáticas (OR 0,248); nenhuma diferença na mRS após 90 dias</w:t>
            </w:r>
          </w:p>
        </w:tc>
      </w:tr>
    </w:tbl>
    <w:p>
      <w:pPr>
        <w:pStyle w:val="BodyText"/>
      </w:pPr>
      <w:r>
        <w:rPr>
          <w:bCs/>
          <w:b/>
        </w:rPr>
        <w:t xml:space="preserve">CASTA – o maior estudo.</w:t>
      </w:r>
      <w:r>
        <w:t xml:space="preserve"> </w:t>
      </w:r>
      <w:r>
        <w:t xml:space="preserve">O estudo</w:t>
      </w:r>
      <w:r>
        <w:t xml:space="preserve"> </w:t>
      </w:r>
      <w:r>
        <w:rPr>
          <w:iCs/>
          <w:i/>
        </w:rPr>
        <w:t xml:space="preserve">Cerebrolysin Acute Stroke Treatment in Asia</w:t>
      </w:r>
      <w:r>
        <w:t xml:space="preserve"> </w:t>
      </w:r>
      <w:r>
        <w:t xml:space="preserve">teve o protocolo publicado previamente</w:t>
      </w:r>
      <w:r>
        <w:rPr>
          <w:rStyle w:val="FootnoteReference"/>
        </w:rPr>
        <w:footnoteReference w:id="1663"/>
      </w:r>
      <w:r>
        <w:t xml:space="preserve"> </w:t>
      </w:r>
      <w:r>
        <w:t xml:space="preserve">e está registrado no ClinicalTrials.gov</w:t>
      </w:r>
      <w:r>
        <w:rPr>
          <w:rStyle w:val="FootnoteReference"/>
        </w:rPr>
        <w:footnoteReference w:id="1664"/>
      </w:r>
      <w:r>
        <w:t xml:space="preserve">. 1.070 pessoas com AVC agudo receberam em até doze horas, por dez dias, cerebrolisina ou solução salina, em ambos os casos além de aspirina. O desfecho principal definido previamente – uma combinação da escala de Rankin modificada (mRS, grau de incapacidade), do índice de Barthel (independência na vida diária) e da NIHSS (gravidade dos déficits neurológicos) após 90 dias –</w:t>
      </w:r>
      <w:r>
        <w:t xml:space="preserve"> </w:t>
      </w:r>
      <w:r>
        <w:rPr>
          <w:bCs/>
          <w:b/>
        </w:rPr>
        <w:t xml:space="preserve">não mostrou diferença</w:t>
      </w:r>
      <w:r>
        <w:t xml:space="preserve">. Em uma análise posterior dos casos mais graves (NIHSS acima de 12), a mortalidade após 90 dias foi de 10,5% com cerebrolisina frente a 20,2% com placebo</w:t>
      </w:r>
      <w:r>
        <w:rPr>
          <w:rStyle w:val="FootnoteReference"/>
        </w:rPr>
        <w:footnoteReference w:id="1665"/>
      </w:r>
      <w:r>
        <w:t xml:space="preserve">. Os próprios autores escrevem que esse achado precisaria ser confirmado em outro estudo. Um estudo de confirmação desse tipo, grande e realizado especificamente em AVCs graves, não foi publicado até hoje.</w:t>
      </w:r>
    </w:p>
    <w:p>
      <w:pPr>
        <w:pStyle w:val="BodyText"/>
      </w:pPr>
      <w:r>
        <w:rPr>
          <w:bCs/>
          <w:b/>
        </w:rPr>
        <w:t xml:space="preserve">Junto com a trombólise.</w:t>
      </w:r>
      <w:r>
        <w:t xml:space="preserve"> </w:t>
      </w:r>
      <w:r>
        <w:t xml:space="preserve">Em um estudo com 119 pessoas, a cerebrolisina foi iniciada uma hora após a trombólise. Após a terceira análise interina, não se mostrou vantagem no desfecho principal (mRS após 90 dias), e o estudo foi encerrado. Nos primeiros 30 dias, mais pessoas melhoraram claramente na NIHSS com cerebrolisina</w:t>
      </w:r>
      <w:r>
        <w:rPr>
          <w:rStyle w:val="FootnoteReference"/>
        </w:rPr>
        <w:footnoteReference w:id="1666"/>
      </w:r>
      <w:r>
        <w:t xml:space="preserve">. Esse padrão – melhoras precoces em escalas neurológicas, mas nenhuma diferença clara na incapacidade após três meses – se repete em vários estudos. O estudo CEREHETIS encontrou em 341 pessoas menos hemorragias sintomáticas após a trombólise, mas também nenhuma diferença na mRS após 90 dias; ele era aberto, ou seja, não cego</w:t>
      </w:r>
      <w:r>
        <w:rPr>
          <w:rStyle w:val="FootnoteReference"/>
        </w:rPr>
        <w:footnoteReference w:id="1667"/>
      </w:r>
      <w:r>
        <w:t xml:space="preserve">.</w:t>
      </w:r>
    </w:p>
    <w:p>
      <w:pPr>
        <w:pStyle w:val="BodyText"/>
      </w:pPr>
      <w:r>
        <w:rPr>
          <w:bCs/>
          <w:b/>
        </w:rPr>
        <w:t xml:space="preserve">Trombectomia.</w:t>
      </w:r>
      <w:r>
        <w:t xml:space="preserve"> </w:t>
      </w:r>
      <w:r>
        <w:t xml:space="preserve">Um estudo comparou 50 pessoas que receberam cerebrolisina após tratamento por cateter com 50 pessoas tratadas anteriormente (controles históricos). Após 90 dias, 68% frente a 44% eram funcionalmente independentes (mRS 0–2), e hemorragias cerebrais secundárias ocorreram com menos frequência</w:t>
      </w:r>
      <w:r>
        <w:rPr>
          <w:rStyle w:val="FootnoteReference"/>
        </w:rPr>
        <w:footnoteReference w:id="1668"/>
      </w:r>
      <w:r>
        <w:t xml:space="preserve">. Sem randomização e com comparação contra pacientes anteriores, isso é, porém, apenas um indício; os próprios autores pedem estudos randomizados.</w:t>
      </w:r>
    </w:p>
    <w:bookmarkEnd w:id="1669"/>
    <w:bookmarkStart w:id="1676" w:name="X0f0563dfd8d6d1578d28464cf6060a26861fa8c"/>
    <w:p>
      <w:pPr>
        <w:pStyle w:val="Heading4"/>
      </w:pPr>
      <w:r>
        <w:t xml:space="preserve">Reabilitação após AVC: CARS e estudos subsequentes</w:t>
      </w:r>
    </w:p>
    <w:p>
      <w:pPr>
        <w:pStyle w:val="FirstParagraph"/>
      </w:pPr>
      <w:r>
        <w:t xml:space="preserve">Uma segunda abordagem não começa nas primeiras horas, mas na reabilitação precoce: a cerebrolisina deveria tornar o cérebro</w:t>
      </w:r>
      <w:r>
        <w:t xml:space="preserve"> </w:t>
      </w:r>
      <w:r>
        <w:t xml:space="preserve">“</w:t>
      </w:r>
      <w:r>
        <w:t xml:space="preserve">mais apto a aprender</w:t>
      </w:r>
      <w:r>
        <w:t xml:space="preserve">”</w:t>
      </w:r>
      <w:r>
        <w:t xml:space="preserve"> </w:t>
      </w:r>
      <w:r>
        <w:t xml:space="preserve">enquanto, ao mesmo tempo, ocorre fisioterapia.</w:t>
      </w:r>
    </w:p>
    <w:p>
      <w:pPr>
        <w:pStyle w:val="BodyText"/>
      </w:pPr>
      <w:r>
        <w:t xml:space="preserve">O</w:t>
      </w:r>
      <w:r>
        <w:t xml:space="preserve"> </w:t>
      </w:r>
      <w:r>
        <w:rPr>
          <w:bCs/>
          <w:b/>
        </w:rPr>
        <w:t xml:space="preserve">estudo CARS</w:t>
      </w:r>
      <w:r>
        <w:t xml:space="preserve"> </w:t>
      </w:r>
      <w:r>
        <w:t xml:space="preserve">(</w:t>
      </w:r>
      <w:r>
        <w:rPr>
          <w:iCs/>
          <w:i/>
        </w:rPr>
        <w:t xml:space="preserve">Cerebrolysin and Recovery After Stroke</w:t>
      </w:r>
      <w:r>
        <w:t xml:space="preserve">) tratou pessoas 24 a 72 horas após o AVC por 21 dias com cerebrolisina ou placebo, além de um programa padronizado de reabilitação. No desfecho principal, o Action Research Arm Test (ARAT) para a função do braço após 90 dias, mostrou-se uma grande vantagem (MW 0,71; intervalo de confiança de 95% 0,63–0,79); considerando doze escalas, uma vantagem pequena a média (MW 0,62)</w:t>
      </w:r>
      <w:r>
        <w:rPr>
          <w:rStyle w:val="FootnoteReference"/>
        </w:rPr>
        <w:footnoteReference w:id="1670"/>
      </w:r>
      <w:r>
        <w:t xml:space="preserve">. Os autores qualificam o estudo expressamente como exploratório, com número relativamente pequeno de casos. Uma análise conjunta planejada previamente com o estudo de desenho idêntico CARS-2 (442 pessoas ao todo) resultou para o ARAT em um MW de 0,62</w:t>
      </w:r>
      <w:r>
        <w:rPr>
          <w:rStyle w:val="FootnoteReference"/>
        </w:rPr>
        <w:footnoteReference w:id="1671"/>
      </w:r>
      <w:r>
        <w:t xml:space="preserve">.</w:t>
      </w:r>
    </w:p>
    <w:p>
      <w:pPr>
        <w:pStyle w:val="BodyText"/>
      </w:pPr>
      <w:r>
        <w:t xml:space="preserve">Outros estudos menores mostram um quadro misto:</w:t>
      </w:r>
    </w:p>
    <w:p>
      <w:pPr>
        <w:numPr>
          <w:ilvl w:val="0"/>
          <w:numId w:val="1203"/>
        </w:numPr>
        <w:pStyle w:val="Compact"/>
      </w:pPr>
      <w:r>
        <w:t xml:space="preserve">Um estudo com 60 pessoas encontrou grandes vantagens na NIHSS após 10 e 30 dias</w:t>
      </w:r>
      <w:r>
        <w:rPr>
          <w:rStyle w:val="FootnoteReference"/>
        </w:rPr>
        <w:footnoteReference w:id="1672"/>
      </w:r>
      <w:r>
        <w:t xml:space="preserve">.</w:t>
      </w:r>
    </w:p>
    <w:p>
      <w:pPr>
        <w:numPr>
          <w:ilvl w:val="0"/>
          <w:numId w:val="1203"/>
        </w:numPr>
        <w:pStyle w:val="Compact"/>
      </w:pPr>
      <w:r>
        <w:t xml:space="preserve">Um estudo com 70 pessoas</w:t>
      </w:r>
      <w:r>
        <w:t xml:space="preserve"> </w:t>
      </w:r>
      <w:r>
        <w:rPr>
          <w:bCs/>
          <w:b/>
        </w:rPr>
        <w:t xml:space="preserve">não</w:t>
      </w:r>
      <w:r>
        <w:t xml:space="preserve"> </w:t>
      </w:r>
      <w:r>
        <w:t xml:space="preserve">encontrou diferença na motricidade como um todo; apenas no subgrupo com paralisia grave a cerebrolisina teve resultado melhor</w:t>
      </w:r>
      <w:r>
        <w:rPr>
          <w:rStyle w:val="FootnoteReference"/>
        </w:rPr>
        <w:footnoteReference w:id="1673"/>
      </w:r>
      <w:r>
        <w:t xml:space="preserve">.</w:t>
      </w:r>
    </w:p>
    <w:p>
      <w:pPr>
        <w:numPr>
          <w:ilvl w:val="0"/>
          <w:numId w:val="1203"/>
        </w:numPr>
        <w:pStyle w:val="Compact"/>
      </w:pPr>
      <w:r>
        <w:t xml:space="preserve">O estudo piloto romeno ESCAS em distúrbios da linguagem (afasia não fluente), com 132 pessoas, combinou cerebrolisina com terapia da fala. Após 90 dias, a função da linguagem na Western Aphasia Battery melhorou cerca de 35,6 pontos frente a 20,8 pontos com placebo</w:t>
      </w:r>
      <w:r>
        <w:rPr>
          <w:rStyle w:val="FootnoteReference"/>
        </w:rPr>
        <w:footnoteReference w:id="1674"/>
      </w:r>
      <w:r>
        <w:t xml:space="preserve">.</w:t>
      </w:r>
    </w:p>
    <w:p>
      <w:pPr>
        <w:pStyle w:val="FirstParagraph"/>
      </w:pPr>
      <w:r>
        <w:t xml:space="preserve">Uma diretriz da European Academy of Neurology e da Federação Europeia das Sociedades de Neurorreabilitação recomendou em 2021, com base em uma metanálise, a cerebrolisina – ao lado do antidepressivo citalopram – para apoiar a reabilitação motora precoce após AVC isquêmico</w:t>
      </w:r>
      <w:r>
        <w:rPr>
          <w:rStyle w:val="FootnoteReference"/>
        </w:rPr>
        <w:footnoteReference w:id="1675"/>
      </w:r>
      <w:r>
        <w:t xml:space="preserve">. Outras grandes diretrizes, por exemplo nos EUA, não contêm tal recomendação.</w:t>
      </w:r>
    </w:p>
    <w:bookmarkEnd w:id="1676"/>
    <w:bookmarkStart w:id="1681" w:name="X6ed533455c3cc2e7e1507b34b6db642a68c9365"/>
    <w:p>
      <w:pPr>
        <w:pStyle w:val="Heading4"/>
      </w:pPr>
      <w:r>
        <w:t xml:space="preserve">As metanálises: duas leituras dos mesmos dados</w:t>
      </w:r>
    </w:p>
    <w:p>
      <w:pPr>
        <w:pStyle w:val="FirstParagraph"/>
      </w:pPr>
      <w:r>
        <w:t xml:space="preserve">No caso da cerebrolisina, os resumos divergem – dependendo de quem os redigiu e de quais desfechos estão em foco.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Revisão</w:t>
            </w:r>
          </w:p>
        </w:tc>
        <w:tc>
          <w:tcPr/>
          <w:p>
            <w:pPr>
              <w:pStyle w:val="Compact"/>
              <w:jc w:val="left"/>
            </w:pPr>
            <w:r>
              <w:t xml:space="preserve">Dados incluídos</w:t>
            </w:r>
          </w:p>
        </w:tc>
        <w:tc>
          <w:tcPr/>
          <w:p>
            <w:pPr>
              <w:pStyle w:val="Compact"/>
              <w:jc w:val="left"/>
            </w:pPr>
            <w:r>
              <w:t xml:space="preserve">Mensagem central</w:t>
            </w:r>
          </w:p>
        </w:tc>
      </w:tr>
      <w:tr>
        <w:tc>
          <w:tcPr/>
          <w:p>
            <w:pPr>
              <w:pStyle w:val="Compact"/>
              <w:jc w:val="left"/>
            </w:pPr>
            <w:r>
              <w:t xml:space="preserve">Cochrane (Ziganshina 2023), PMID 37818733</w:t>
            </w:r>
          </w:p>
        </w:tc>
        <w:tc>
          <w:tcPr/>
          <w:p>
            <w:pPr>
              <w:pStyle w:val="Compact"/>
              <w:jc w:val="left"/>
            </w:pPr>
            <w:r>
              <w:t xml:space="preserve">7 ECRs, 1.773 pessoas, início em até 48 h</w:t>
            </w:r>
          </w:p>
        </w:tc>
        <w:tc>
          <w:tcPr/>
          <w:p>
            <w:pPr>
              <w:pStyle w:val="Compact"/>
              <w:jc w:val="left"/>
            </w:pPr>
            <w:r>
              <w:t xml:space="preserve">nenhuma influência na mortalidade (RR 0,96); mais efeitos colaterais graves não fatais (RR 2,39)</w:t>
            </w:r>
          </w:p>
        </w:tc>
      </w:tr>
      <w:tr>
        <w:tc>
          <w:tcPr/>
          <w:p>
            <w:pPr>
              <w:pStyle w:val="Compact"/>
              <w:jc w:val="left"/>
            </w:pPr>
            <w:r>
              <w:t xml:space="preserve">Bornstein 2018, PMID 29248999</w:t>
            </w:r>
          </w:p>
        </w:tc>
        <w:tc>
          <w:tcPr/>
          <w:p>
            <w:pPr>
              <w:pStyle w:val="Compact"/>
              <w:jc w:val="left"/>
            </w:pPr>
            <w:r>
              <w:t xml:space="preserve">9 ECRs, 1.879 pessoas</w:t>
            </w:r>
          </w:p>
        </w:tc>
        <w:tc>
          <w:tcPr/>
          <w:p>
            <w:pPr>
              <w:pStyle w:val="Compact"/>
              <w:jc w:val="left"/>
            </w:pPr>
            <w:r>
              <w:t xml:space="preserve">NIHSS melhor após 30 dias (MW 0,60); NNT 7,7 para melhora clinicamente relevante</w:t>
            </w:r>
          </w:p>
        </w:tc>
      </w:tr>
      <w:tr>
        <w:tc>
          <w:tcPr/>
          <w:p>
            <w:pPr>
              <w:pStyle w:val="Compact"/>
              <w:jc w:val="left"/>
            </w:pPr>
            <w:r>
              <w:t xml:space="preserve">Zhang 2017, PMID 28656143</w:t>
            </w:r>
          </w:p>
        </w:tc>
        <w:tc>
          <w:tcPr/>
          <w:p>
            <w:pPr>
              <w:pStyle w:val="Compact"/>
              <w:jc w:val="left"/>
            </w:pPr>
            <w:r>
              <w:t xml:space="preserve">7 ECRs, 1.779 pessoas</w:t>
            </w:r>
          </w:p>
        </w:tc>
        <w:tc>
          <w:tcPr/>
          <w:p>
            <w:pPr>
              <w:pStyle w:val="Compact"/>
              <w:jc w:val="left"/>
            </w:pPr>
            <w:r>
              <w:t xml:space="preserve">nenhuma superioridade na mRS e no índice de Barthel; segurança neutra</w:t>
            </w:r>
          </w:p>
        </w:tc>
      </w:tr>
      <w:tr>
        <w:tc>
          <w:tcPr/>
          <w:p>
            <w:pPr>
              <w:pStyle w:val="Compact"/>
              <w:jc w:val="left"/>
            </w:pPr>
            <w:r>
              <w:t xml:space="preserve">Patel 2025, PMID 41018475</w:t>
            </w:r>
          </w:p>
        </w:tc>
        <w:tc>
          <w:tcPr/>
          <w:p>
            <w:pPr>
              <w:pStyle w:val="Compact"/>
              <w:jc w:val="left"/>
            </w:pPr>
            <w:r>
              <w:t xml:space="preserve">14 ECRs, 2.884 pessoas</w:t>
            </w:r>
          </w:p>
        </w:tc>
        <w:tc>
          <w:tcPr/>
          <w:p>
            <w:pPr>
              <w:pStyle w:val="Compact"/>
              <w:jc w:val="left"/>
            </w:pPr>
            <w:r>
              <w:t xml:space="preserve">melhora na NIHSS de 1,39 ponto a mais; independência funcional não significativa (RR 1,31)</w:t>
            </w:r>
          </w:p>
        </w:tc>
      </w:tr>
    </w:tbl>
    <w:p>
      <w:pPr>
        <w:pStyle w:val="BodyText"/>
      </w:pPr>
      <w:r>
        <w:t xml:space="preserve">A</w:t>
      </w:r>
      <w:r>
        <w:t xml:space="preserve"> </w:t>
      </w:r>
      <w:r>
        <w:rPr>
          <w:bCs/>
          <w:b/>
        </w:rPr>
        <w:t xml:space="preserve">revisão Cochrane</w:t>
      </w:r>
      <w:r>
        <w:t xml:space="preserve"> </w:t>
      </w:r>
      <w:r>
        <w:t xml:space="preserve">– uma forma de síntese independente e metodologicamente rigorosa – foi atualizada várias vezes desde 2010. A versão de 2020 abrangeu sete estudos randomizados com 1.601 pessoas e não encontrou efeito sobre a mortalidade (RR 0,90; IC de 95% 0,61–1,32). O total de eventos adversos graves não diferiu substancialmente, mas o número de pessoas com eventos adversos graves</w:t>
      </w:r>
      <w:r>
        <w:t xml:space="preserve"> </w:t>
      </w:r>
      <w:r>
        <w:rPr>
          <w:bCs/>
          <w:b/>
        </w:rPr>
        <w:t xml:space="preserve">não fatais</w:t>
      </w:r>
      <w:r>
        <w:t xml:space="preserve"> </w:t>
      </w:r>
      <w:r>
        <w:t xml:space="preserve">foi maior com cerebrolisina (RR 2,15; IC de 95% 1,01–4,55)</w:t>
      </w:r>
      <w:r>
        <w:rPr>
          <w:rStyle w:val="FootnoteReference"/>
        </w:rPr>
        <w:footnoteReference w:id="1677"/>
      </w:r>
      <w:r>
        <w:t xml:space="preserve">. A atualização de 2023 incluiu um estudo com o preparado russo de cérebro bovino Cortexin (1.773 pessoas ao todo) e confirmou essas afirmações: nenhum efeito sobre a mortalidade (RR 0,96), mais eventos graves não fatais (RR 2,39; IC de 95% 1,10–5,23), de forma ainda mais acentuada com um esquema de tratamento de dez dias</w:t>
      </w:r>
      <w:r>
        <w:rPr>
          <w:rStyle w:val="FootnoteReference"/>
        </w:rPr>
        <w:footnoteReference w:id="1678"/>
      </w:r>
      <w:r>
        <w:t xml:space="preserve">. Os autores da Cochrane avaliaram o risco de viés de muitos estudos como incerto ou alto e apontaram que o fabricante havia apoiado vários dos grandes estudos. Importante: nenhum dos estudos incluídos relatou o desfecho decisivo do ponto de vista dos pacientes,</w:t>
      </w:r>
      <w:r>
        <w:t xml:space="preserve"> </w:t>
      </w:r>
      <w:r>
        <w:t xml:space="preserve">“</w:t>
      </w:r>
      <w:r>
        <w:t xml:space="preserve">morte ou dependência de cuidados</w:t>
      </w:r>
      <w:r>
        <w:t xml:space="preserve">”</w:t>
      </w:r>
      <w:r>
        <w:t xml:space="preserve">, na forma prevista pela revisão.</w:t>
      </w:r>
    </w:p>
    <w:p>
      <w:pPr>
        <w:pStyle w:val="BodyText"/>
      </w:pPr>
      <w:r>
        <w:t xml:space="preserve">As</w:t>
      </w:r>
      <w:r>
        <w:t xml:space="preserve"> </w:t>
      </w:r>
      <w:r>
        <w:rPr>
          <w:bCs/>
          <w:b/>
        </w:rPr>
        <w:t xml:space="preserve">metanálises próximas ao fabricante</w:t>
      </w:r>
      <w:r>
        <w:t xml:space="preserve">, por outro lado, consideram sobretudo a melhora neurológica precoce na NIHSS e encontram ali uma vantagem moderada</w:t>
      </w:r>
      <w:r>
        <w:rPr>
          <w:rStyle w:val="FootnoteReference"/>
        </w:rPr>
        <w:footnoteReference w:id="1679"/>
      </w:r>
      <w:r>
        <w:t xml:space="preserve">. Uma metanálise de segurança com doze estudos e 2.202 pessoas não encontrou diferenças significativas em relação ao placebo nos efeitos colaterais</w:t>
      </w:r>
      <w:r>
        <w:rPr>
          <w:rStyle w:val="FootnoteReference"/>
        </w:rPr>
        <w:footnoteReference w:id="1680"/>
      </w:r>
      <w:r>
        <w:t xml:space="preserve"> </w:t>
      </w:r>
      <w:r>
        <w:t xml:space="preserve">– ao contrário do sinal da Cochrane, que, no entanto, se baseia em poucos eventos.</w:t>
      </w:r>
    </w:p>
    <w:p>
      <w:pPr>
        <w:pStyle w:val="BodyText"/>
      </w:pPr>
      <w:r>
        <w:t xml:space="preserve">Como conciliar isso? A resposta honesta é: em vários estudos, a cerebrolisina melhora os escores das escalas neurológicas nas primeiras semanas. Se daí resultam menos incapacidade permanente, menos dependência de cuidados ou vida mais longa não está comprovado. Para o sinal de efeitos colaterais graves não fatais falta uma explicação convincente; ele se baseia em poucos eventos e por isso é incerto, mas foi encontrado em duas versões da Cochrane.</w:t>
      </w:r>
    </w:p>
    <w:bookmarkEnd w:id="1681"/>
    <w:bookmarkStart w:id="1683" w:name="dados-de-registro-da-prática-clínica"/>
    <w:p>
      <w:pPr>
        <w:pStyle w:val="Heading4"/>
      </w:pPr>
      <w:r>
        <w:t xml:space="preserve">Dados de registro da prática clínica</w:t>
      </w:r>
    </w:p>
    <w:p>
      <w:pPr>
        <w:pStyle w:val="FirstParagraph"/>
      </w:pPr>
      <w:r>
        <w:t xml:space="preserve">O fabricante financiou adicionalmente grandes estudos observacionais. O estudo de registro C-REGS2 incluiu, em 16 países, 1.865 pessoas com AVC moderado; foram avaliadas 1.769 (1.021 com cerebrolisina, 748 sem). Após 90 dias, o grupo da cerebrolisina teve resultado melhor na escala de Rankin modificada (MW 0,6157)</w:t>
      </w:r>
      <w:r>
        <w:rPr>
          <w:rStyle w:val="FootnoteReference"/>
        </w:rPr>
        <w:footnoteReference w:id="1682"/>
      </w:r>
      <w:r>
        <w:t xml:space="preserve">. O estudo usa procedimentos estatísticos sofisticados para tornar os grupos comparáveis. Mas continua sendo um estudo observacional: quem recebe cerebrolisina na prática pode diferir, em tratamento, clínica ou país, de quem não recebe. Ele não pode substituir uma randomização.</w:t>
      </w:r>
    </w:p>
    <w:bookmarkEnd w:id="1683"/>
    <w:bookmarkStart w:id="1687" w:name="Xcce99705f2e40bd3ad824fc0c49e4d0618c5598"/>
    <w:p>
      <w:pPr>
        <w:pStyle w:val="Heading4"/>
      </w:pPr>
      <w:r>
        <w:t xml:space="preserve">Hemorragia intracerebral e hemorragia subaracnóidea</w:t>
      </w:r>
    </w:p>
    <w:p>
      <w:pPr>
        <w:pStyle w:val="FirstParagraph"/>
      </w:pPr>
      <w:r>
        <w:t xml:space="preserve">Nas hemorragias cerebrais, um estudo com 100 pessoas não encontrou diferenças significativas após 21 dias, mas também nenhum problema de segurança</w:t>
      </w:r>
      <w:r>
        <w:rPr>
          <w:rStyle w:val="FootnoteReference"/>
        </w:rPr>
        <w:footnoteReference w:id="1684"/>
      </w:r>
      <w:r>
        <w:t xml:space="preserve">. Nas hemorragias a partir de uma dilatação de vaso cerebral (hemorragia subaracnóidea aneurismática), um estudo piloto duplo-cego com 50 pessoas não mostrou diferença no resultado funcional após seis meses</w:t>
      </w:r>
      <w:r>
        <w:rPr>
          <w:rStyle w:val="FootnoteReference"/>
        </w:rPr>
        <w:footnoteReference w:id="1685"/>
      </w:r>
      <w:r>
        <w:t xml:space="preserve">. Um estudo piloto sobre hemorragias nos lobos cerebrais (CLINCH) está planejado ou em andamento</w:t>
      </w:r>
      <w:r>
        <w:rPr>
          <w:rStyle w:val="FootnoteReference"/>
        </w:rPr>
        <w:footnoteReference w:id="1686"/>
      </w:r>
      <w:r>
        <w:t xml:space="preserve">.</w:t>
      </w:r>
    </w:p>
    <w:bookmarkEnd w:id="1687"/>
    <w:bookmarkStart w:id="1689" w:name="traumatismo-cranioencefálico-captain"/>
    <w:p>
      <w:pPr>
        <w:pStyle w:val="Heading4"/>
      </w:pPr>
      <w:r>
        <w:t xml:space="preserve">Traumatismo cranioencefálico: CAPTAIN</w:t>
      </w:r>
    </w:p>
    <w:p>
      <w:pPr>
        <w:pStyle w:val="FirstParagraph"/>
      </w:pPr>
      <w:r>
        <w:t xml:space="preserve">No traumatismo cranioencefálico moderado a grave, dois estudos testaram a cerebrolisina adicionada ao tratamento padrão: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pessoas, duplo-cego contra placebo, vários centros</w:t>
            </w:r>
          </w:p>
        </w:tc>
        <w:tc>
          <w:tcPr/>
          <w:p>
            <w:pPr>
              <w:pStyle w:val="Compact"/>
              <w:jc w:val="left"/>
            </w:pPr>
            <w:r>
              <w:t xml:space="preserve">90 dias</w:t>
            </w:r>
          </w:p>
        </w:tc>
        <w:tc>
          <w:tcPr/>
          <w:p>
            <w:pPr>
              <w:pStyle w:val="Compact"/>
              <w:jc w:val="left"/>
            </w:pPr>
            <w:r>
              <w:t xml:space="preserve">desfecho principal não atingido por pouco (ITT: MW 0,63); significativo na análise por protocolo</w:t>
            </w:r>
          </w:p>
        </w:tc>
      </w:tr>
      <w:tr>
        <w:tc>
          <w:tcPr/>
          <w:p>
            <w:pPr>
              <w:pStyle w:val="Compact"/>
              <w:jc w:val="left"/>
            </w:pPr>
            <w:r>
              <w:t xml:space="preserve">CAPTAIN II (Muresanu 2020), PMID 31897941</w:t>
            </w:r>
          </w:p>
        </w:tc>
        <w:tc>
          <w:tcPr/>
          <w:p>
            <w:pPr>
              <w:pStyle w:val="Compact"/>
              <w:jc w:val="left"/>
            </w:pPr>
            <w:r>
              <w:t xml:space="preserve">142 pessoas (139 avaliadas), duplo-cego, um centro</w:t>
            </w:r>
          </w:p>
        </w:tc>
        <w:tc>
          <w:tcPr/>
          <w:p>
            <w:pPr>
              <w:pStyle w:val="Compact"/>
              <w:jc w:val="left"/>
            </w:pPr>
            <w:r>
              <w:t xml:space="preserve">90 dias</w:t>
            </w:r>
          </w:p>
        </w:tc>
        <w:tc>
          <w:tcPr/>
          <w:p>
            <w:pPr>
              <w:pStyle w:val="Compact"/>
              <w:jc w:val="left"/>
            </w:pPr>
            <w:r>
              <w:t xml:space="preserve">vantagem pequena a média no desfecho combinado de 13 escalas (MW 0,59)</w:t>
            </w:r>
          </w:p>
        </w:tc>
      </w:tr>
      <w:tr>
        <w:tc>
          <w:tcPr/>
          <w:p>
            <w:pPr>
              <w:pStyle w:val="Compact"/>
              <w:jc w:val="left"/>
            </w:pPr>
            <w:r>
              <w:t xml:space="preserve">Metanálise CAPTAIN (Vester 2021), PMID 33620612</w:t>
            </w:r>
          </w:p>
        </w:tc>
        <w:tc>
          <w:tcPr/>
          <w:p>
            <w:pPr>
              <w:pStyle w:val="Compact"/>
              <w:jc w:val="left"/>
            </w:pPr>
            <w:r>
              <w:t xml:space="preserve">185 pessoas dos dois estudos</w:t>
            </w:r>
          </w:p>
        </w:tc>
        <w:tc>
          <w:tcPr/>
          <w:p>
            <w:pPr>
              <w:pStyle w:val="Compact"/>
              <w:jc w:val="left"/>
            </w:pPr>
            <w:r>
              <w:t xml:space="preserve">90 dias</w:t>
            </w:r>
          </w:p>
        </w:tc>
        <w:tc>
          <w:tcPr/>
          <w:p>
            <w:pPr>
              <w:pStyle w:val="Compact"/>
              <w:jc w:val="left"/>
            </w:pPr>
            <w:r>
              <w:t xml:space="preserve">MW 0,60 após 30 e 90 dias</w:t>
            </w:r>
          </w:p>
        </w:tc>
      </w:tr>
    </w:tbl>
    <w:p>
      <w:pPr>
        <w:pStyle w:val="BodyText"/>
      </w:pPr>
      <w:r>
        <w:t xml:space="preserve">O CAPTAIN I foi encerrado antecipadamente com apenas 46 participantes (NCT01606111, status no registro</w:t>
      </w:r>
      <w:r>
        <w:t xml:space="preserve"> </w:t>
      </w:r>
      <w:r>
        <w:t xml:space="preserve">“</w:t>
      </w:r>
      <w:r>
        <w:t xml:space="preserve">interrompido</w:t>
      </w:r>
      <w:r>
        <w:t xml:space="preserve">”</w:t>
      </w:r>
      <w:r>
        <w:t xml:space="preserve">). Outras metanálises sobre traumatismo cranioencefálico se baseiam predominantemente em estudos observacionais e encontraram valores melhores na Glasgow Outcome Scale, mas nenhuma influência sobre a mortalidade</w:t>
      </w:r>
      <w:r>
        <w:rPr>
          <w:rStyle w:val="FootnoteReference"/>
        </w:rPr>
        <w:footnoteReference w:id="1688"/>
      </w:r>
      <w:r>
        <w:t xml:space="preserve">. No conjunto, os dados apontam para uma possível pequena vantagem; o número de pessoas estudadas de forma randomizada é pequeno demais para uma afirmação segura.</w:t>
      </w:r>
    </w:p>
    <w:bookmarkEnd w:id="1689"/>
    <w:bookmarkStart w:id="1695" w:name="demência"/>
    <w:p>
      <w:pPr>
        <w:pStyle w:val="Heading4"/>
      </w:pPr>
      <w:r>
        <w:t xml:space="preserve">Demência</w:t>
      </w:r>
    </w:p>
    <w:p>
      <w:pPr>
        <w:pStyle w:val="FirstParagraph"/>
      </w:pPr>
      <w:r>
        <w:rPr>
          <w:bCs/>
          <w:b/>
        </w:rPr>
        <w:t xml:space="preserve">Doença de Alzheimer.</w:t>
      </w:r>
      <w:r>
        <w:t xml:space="preserve"> </w:t>
      </w:r>
      <w:r>
        <w:t xml:space="preserve">Nos anos 1990 e 2000, foram realizados vários estudos controlados por placebo. Em um estudo com 192 pessoas, a impressão clínica global (CIBIC+) foi melhor com cerebrolisina após doze semanas (76% frente a 57% de</w:t>
      </w:r>
      <w:r>
        <w:t xml:space="preserve"> </w:t>
      </w:r>
      <w:r>
        <w:t xml:space="preserve">“</w:t>
      </w:r>
      <w:r>
        <w:t xml:space="preserve">respondedores</w:t>
      </w:r>
      <w:r>
        <w:t xml:space="preserve">”</w:t>
      </w:r>
      <w:r>
        <w:t xml:space="preserve">); os grupos, porém, já diferiam no início quanto à idade e a alucinações</w:t>
      </w:r>
      <w:r>
        <w:rPr>
          <w:rStyle w:val="FootnoteReference"/>
        </w:rPr>
        <w:footnoteReference w:id="1690"/>
      </w:r>
      <w:r>
        <w:t xml:space="preserve">. Em um estudo com 197 pessoas, a cerebrolisina foi tão eficaz na impressão global quanto o medicamento aprovado para Alzheimer donepezila; em cognição, funcionalidade diária e comportamento não houve diferenças significativas entre os grupos</w:t>
      </w:r>
      <w:r>
        <w:rPr>
          <w:rStyle w:val="FootnoteReference"/>
        </w:rPr>
        <w:footnoteReference w:id="1691"/>
      </w:r>
      <w:r>
        <w:t xml:space="preserve">. Uma metanálise de seis estudos encontrou uma vantagem na impressão clínica global após quatro semanas e seis meses, mas na cognição apenas após quatro semanas, não após seis meses</w:t>
      </w:r>
      <w:r>
        <w:rPr>
          <w:rStyle w:val="FootnoteReference"/>
        </w:rPr>
        <w:footnoteReference w:id="1692"/>
      </w:r>
      <w:r>
        <w:t xml:space="preserve">. Dessa metanálise participaram pesquisadores que colaboram com o fabricante.</w:t>
      </w:r>
    </w:p>
    <w:p>
      <w:pPr>
        <w:pStyle w:val="BodyText"/>
      </w:pPr>
      <w:r>
        <w:rPr>
          <w:bCs/>
          <w:b/>
        </w:rPr>
        <w:t xml:space="preserve">Demência vascular.</w:t>
      </w:r>
      <w:r>
        <w:t xml:space="preserve"> </w:t>
      </w:r>
      <w:r>
        <w:t xml:space="preserve">O maior estudo, com 242 pessoas, relatou após 24 semanas uma melhora no ADAS-cog+ de 10,6 pontos frente a 4,4 pontos com placebo</w:t>
      </w:r>
      <w:r>
        <w:rPr>
          <w:rStyle w:val="FootnoteReference"/>
        </w:rPr>
        <w:footnoteReference w:id="1693"/>
      </w:r>
      <w:r>
        <w:t xml:space="preserve"> </w:t>
      </w:r>
      <w:r>
        <w:t xml:space="preserve">– um efeito incomumente grande para estudos de demência. A revisão Cochrane sobre demência vascular resumiu seis estudos com 597 pessoas e encontrou vantagens em cognição e impressão global, mas avaliou a confiabilidade da evidência como</w:t>
      </w:r>
      <w:r>
        <w:t xml:space="preserve"> </w:t>
      </w:r>
      <w:r>
        <w:t xml:space="preserve">“</w:t>
      </w:r>
      <w:r>
        <w:t xml:space="preserve">muito baixa</w:t>
      </w:r>
      <w:r>
        <w:t xml:space="preserve">”</w:t>
      </w:r>
      <w:r>
        <w:t xml:space="preserve">. Os autores escrevem que possíveis efeitos poderiam ser pequenos demais para serem clinicamente relevantes e que a base de evidências é fraca, embora a cerebrolisina continue sendo promovida</w:t>
      </w:r>
      <w:r>
        <w:rPr>
          <w:rStyle w:val="FootnoteReference"/>
        </w:rPr>
        <w:footnoteReference w:id="1694"/>
      </w:r>
      <w:r>
        <w:t xml:space="preserve">.</w:t>
      </w:r>
    </w:p>
    <w:bookmarkEnd w:id="1695"/>
    <w:bookmarkStart w:id="1697" w:name="outras-aplicações-3"/>
    <w:p>
      <w:pPr>
        <w:pStyle w:val="Heading4"/>
      </w:pPr>
      <w:r>
        <w:t xml:space="preserve">Outras aplicações</w:t>
      </w:r>
    </w:p>
    <w:p>
      <w:pPr>
        <w:pStyle w:val="FirstParagraph"/>
      </w:pPr>
      <w:r>
        <w:t xml:space="preserve">Há estudos menores sobre ELA (20 pessoas, melhora na escala funcional da ELA após um mês; Firstenfeld 2023, PMID 38585517), prematuros, crianças com paralisia cerebral, perda do olfato após COVID-19 e doenças psiquiátricas. Em homens saudáveis, a cerebrolisina alterou padrões de EEG em um pequeno estudo com 48 participantes; na memória de curto prazo, com placebo mostrou-se uma tendência a pior recordação de palavras nas primeiras horas, com cerebrolisina não</w:t>
      </w:r>
      <w:r>
        <w:rPr>
          <w:rStyle w:val="FootnoteReference"/>
        </w:rPr>
        <w:footnoteReference w:id="1696"/>
      </w:r>
      <w:r>
        <w:t xml:space="preserve">. Para o uso como</w:t>
      </w:r>
      <w:r>
        <w:t xml:space="preserve"> </w:t>
      </w:r>
      <w:r>
        <w:t xml:space="preserve">“</w:t>
      </w:r>
      <w:r>
        <w:t xml:space="preserve">nootrópico</w:t>
      </w:r>
      <w:r>
        <w:t xml:space="preserve">”</w:t>
      </w:r>
      <w:r>
        <w:t xml:space="preserve"> </w:t>
      </w:r>
      <w:r>
        <w:t xml:space="preserve">em pessoas saudáveis não há evidências.</w:t>
      </w:r>
    </w:p>
    <w:bookmarkEnd w:id="1697"/>
    <w:bookmarkEnd w:id="1698"/>
    <w:bookmarkStart w:id="1702" w:name="estudos-em-animais-e-em-laboratório-36"/>
    <w:p>
      <w:pPr>
        <w:pStyle w:val="Heading3"/>
      </w:pPr>
      <w:r>
        <w:t xml:space="preserve">Estudos em animais e em laboratório</w:t>
      </w:r>
    </w:p>
    <w:p>
      <w:pPr>
        <w:numPr>
          <w:ilvl w:val="0"/>
          <w:numId w:val="1204"/>
        </w:numPr>
        <w:pStyle w:val="Compact"/>
      </w:pPr>
      <w:r>
        <w:t xml:space="preserve">Em ratos com AVC induzido artificialmente, a cerebrolisina melhorou, em um estudo animal randomizado e cego, a recuperação neurológica após 28 dias de forma dependente da dose</w:t>
      </w:r>
      <w:r>
        <w:rPr>
          <w:rStyle w:val="FootnoteReference"/>
        </w:rPr>
        <w:footnoteReference w:id="1699"/>
      </w:r>
      <w:r>
        <w:t xml:space="preserve">.</w:t>
      </w:r>
    </w:p>
    <w:p>
      <w:pPr>
        <w:numPr>
          <w:ilvl w:val="0"/>
          <w:numId w:val="1204"/>
        </w:numPr>
        <w:pStyle w:val="Compact"/>
      </w:pPr>
      <w:r>
        <w:t xml:space="preserve">Em ratos com lesão cerebral leve, a cerebrolisina reduziu danos axonais e favoreceu a formação de novos neurônios no hipocampo</w:t>
      </w:r>
      <w:r>
        <w:rPr>
          <w:rStyle w:val="FootnoteReference"/>
        </w:rPr>
        <w:footnoteReference w:id="1700"/>
      </w:r>
      <w:r>
        <w:t xml:space="preserve">.</w:t>
      </w:r>
    </w:p>
    <w:p>
      <w:pPr>
        <w:numPr>
          <w:ilvl w:val="0"/>
          <w:numId w:val="1204"/>
        </w:numPr>
        <w:pStyle w:val="Compact"/>
      </w:pPr>
      <w:r>
        <w:t xml:space="preserve">Em um modelo de camundongo da doença hereditária CADASIL, a cerebrolisina prolongou a expectativa de vida e melhorou a memória espacial, sem influenciar as alterações típicas da substância branca</w:t>
      </w:r>
      <w:r>
        <w:rPr>
          <w:rStyle w:val="FootnoteReference"/>
        </w:rPr>
        <w:footnoteReference w:id="1701"/>
      </w:r>
      <w:r>
        <w:t xml:space="preserve">.</w:t>
      </w:r>
    </w:p>
    <w:p>
      <w:pPr>
        <w:pStyle w:val="FirstParagraph"/>
      </w:pPr>
      <w:r>
        <w:t xml:space="preserve">Os estudos pré-clínicos vêm em parte considerável de cooperações com o fabricante. Bons resultados em animais raramente se traduziram até agora em benefício clínico no caso de medicamentos para AVC.</w:t>
      </w:r>
    </w:p>
    <w:bookmarkEnd w:id="1702"/>
    <w:bookmarkStart w:id="1706" w:name="riscos-e-efeitos-colaterais-36"/>
    <w:p>
      <w:pPr>
        <w:pStyle w:val="Heading3"/>
      </w:pPr>
      <w:r>
        <w:t xml:space="preserve">Riscos e efeitos colaterais</w:t>
      </w:r>
    </w:p>
    <w:p>
      <w:pPr>
        <w:pStyle w:val="FirstParagraph"/>
      </w:pPr>
      <w:r>
        <w:rPr>
          <w:bCs/>
          <w:b/>
        </w:rPr>
        <w:t xml:space="preserve">Comprovado:</w:t>
      </w:r>
    </w:p>
    <w:p>
      <w:pPr>
        <w:numPr>
          <w:ilvl w:val="0"/>
          <w:numId w:val="1205"/>
        </w:numPr>
        <w:pStyle w:val="Compact"/>
      </w:pPr>
      <w:r>
        <w:t xml:space="preserve">Nos estudos, os efeitos colaterais foram, no geral, tão frequentes quanto com placebo. São citados, entre outros, dor de cabeça, tontura e inquietação</w:t>
      </w:r>
      <w:r>
        <w:rPr>
          <w:rStyle w:val="FootnoteReference"/>
        </w:rPr>
        <w:footnoteReference w:id="1703"/>
      </w:r>
      <w:r>
        <w:t xml:space="preserve">.</w:t>
      </w:r>
    </w:p>
    <w:p>
      <w:pPr>
        <w:numPr>
          <w:ilvl w:val="0"/>
          <w:numId w:val="1205"/>
        </w:numPr>
        <w:pStyle w:val="Compact"/>
      </w:pPr>
      <w:r>
        <w:t xml:space="preserve">A revisão Cochrane sobre AVC encontrou mais</w:t>
      </w:r>
      <w:r>
        <w:t xml:space="preserve"> </w:t>
      </w:r>
      <w:r>
        <w:rPr>
          <w:bCs/>
          <w:b/>
        </w:rPr>
        <w:t xml:space="preserve">eventos adversos graves não fatais</w:t>
      </w:r>
      <w:r>
        <w:t xml:space="preserve"> </w:t>
      </w:r>
      <w:r>
        <w:t xml:space="preserve">com cerebrolisina (RR 2,39; Ziganshina 2023, PMID 37818733); a metanálise de segurança próxima ao fabricante, não</w:t>
      </w:r>
      <w:r>
        <w:rPr>
          <w:rStyle w:val="FootnoteReference"/>
        </w:rPr>
        <w:footnoteReference w:id="1704"/>
      </w:r>
      <w:r>
        <w:t xml:space="preserve">.</w:t>
      </w:r>
    </w:p>
    <w:p>
      <w:pPr>
        <w:numPr>
          <w:ilvl w:val="0"/>
          <w:numId w:val="1205"/>
        </w:numPr>
        <w:pStyle w:val="Compact"/>
      </w:pPr>
      <w:r>
        <w:rPr>
          <w:bCs/>
          <w:b/>
        </w:rPr>
        <w:t xml:space="preserve">Reações alérgicas:</w:t>
      </w:r>
      <w:r>
        <w:t xml:space="preserve"> </w:t>
      </w:r>
      <w:r>
        <w:t xml:space="preserve">um relato de caso documentado em detalhe descreve uma reação anafilática com risco de vida em um homem de 85 anos após uma infusão de cerebrolisina; os autores ressaltam que tais casos são raros, mas relevantes em pessoas criticamente doentes</w:t>
      </w:r>
      <w:r>
        <w:rPr>
          <w:rStyle w:val="FootnoteReference"/>
        </w:rPr>
        <w:footnoteReference w:id="1705"/>
      </w:r>
      <w:r>
        <w:t xml:space="preserve">.</w:t>
      </w:r>
    </w:p>
    <w:p>
      <w:pPr>
        <w:pStyle w:val="FirstParagraph"/>
      </w:pPr>
      <w:r>
        <w:rPr>
          <w:bCs/>
          <w:b/>
        </w:rPr>
        <w:t xml:space="preserve">Teórico:</w:t>
      </w:r>
      <w:r>
        <w:t xml:space="preserve"> </w:t>
      </w:r>
      <w:r>
        <w:t xml:space="preserve">como preparado de tecido cerebral animal, a cerebrolisina está em princípio ligada a questões de pureza e de transmissibilidade de patógenos; os processos de fabricação e as exigências das autoridades devem minimizar esse risco. Casos concretos de transmissão não estão descritos nas fontes avaliadas aqui.</w:t>
      </w:r>
    </w:p>
    <w:p>
      <w:pPr>
        <w:pStyle w:val="BodyText"/>
      </w:pPr>
      <w:r>
        <w:rPr>
          <w:bCs/>
          <w:b/>
        </w:rPr>
        <w:t xml:space="preserve">Mercado cinza:</w:t>
      </w:r>
      <w:r>
        <w:t xml:space="preserve"> </w:t>
      </w:r>
      <w:r>
        <w:t xml:space="preserve">em fóruns de nootrópicos, a cerebrolisina é discutida como</w:t>
      </w:r>
      <w:r>
        <w:t xml:space="preserve"> </w:t>
      </w:r>
      <w:r>
        <w:t xml:space="preserve">“</w:t>
      </w:r>
      <w:r>
        <w:t xml:space="preserve">impulsionador cerebral</w:t>
      </w:r>
      <w:r>
        <w:t xml:space="preserve">”</w:t>
      </w:r>
      <w:r>
        <w:t xml:space="preserve"> </w:t>
      </w:r>
      <w:r>
        <w:t xml:space="preserve">e obtida de países onde está disponível. A autoaplicação intravenosa sem supervisão médica traz o risco de reações alérgicas graves, para as quais não haveria atendimento de emergência disponível. Mais sobre produtos do mercado cinza na Parte I e na Parte IV.</w:t>
      </w:r>
    </w:p>
    <w:bookmarkEnd w:id="1706"/>
    <w:bookmarkStart w:id="1707" w:name="situação-legal-36"/>
    <w:p>
      <w:pPr>
        <w:pStyle w:val="Heading3"/>
      </w:pPr>
      <w:r>
        <w:t xml:space="preserve">Situação legal</w:t>
      </w:r>
    </w:p>
    <w:p>
      <w:pPr>
        <w:numPr>
          <w:ilvl w:val="0"/>
          <w:numId w:val="1206"/>
        </w:numPr>
        <w:pStyle w:val="Compact"/>
      </w:pPr>
      <w:r>
        <w:rPr>
          <w:bCs/>
          <w:b/>
        </w:rPr>
        <w:t xml:space="preserve">UE / Áustria / Alemanha:</w:t>
      </w:r>
      <w:r>
        <w:t xml:space="preserve"> </w:t>
      </w:r>
      <w:r>
        <w:t xml:space="preserve">nenhuma aprovação centralizada na UE. Na Áustria, a cerebrolisina é aprovada nacionalmente como medicamento sujeito a prescrição; indicações e reembolso seguem a bula técnica austríaca. Outros Estados da UE têm aprovações nacionais próprias. Na Alemanha, segundo nosso conhecimento, a cerebrolisina não é comercializada; a obtenção seria possível, quando muito, como importação individual mediante prescrição médica.</w:t>
      </w:r>
    </w:p>
    <w:p>
      <w:pPr>
        <w:numPr>
          <w:ilvl w:val="0"/>
          <w:numId w:val="1206"/>
        </w:numPr>
        <w:pStyle w:val="Compact"/>
      </w:pPr>
      <w:r>
        <w:rPr>
          <w:bCs/>
          <w:b/>
        </w:rPr>
        <w:t xml:space="preserve">EUA:</w:t>
      </w:r>
      <w:r>
        <w:t xml:space="preserve"> </w:t>
      </w:r>
      <w:r>
        <w:t xml:space="preserve">não aprovada.</w:t>
      </w:r>
    </w:p>
    <w:p>
      <w:pPr>
        <w:numPr>
          <w:ilvl w:val="0"/>
          <w:numId w:val="1206"/>
        </w:numPr>
        <w:pStyle w:val="Compact"/>
      </w:pPr>
      <w:r>
        <w:rPr>
          <w:bCs/>
          <w:b/>
        </w:rPr>
        <w:t xml:space="preserve">Esporte:</w:t>
      </w:r>
      <w:r>
        <w:t xml:space="preserve"> </w:t>
      </w:r>
      <w:r>
        <w:t xml:space="preserve">não consta na lista da WADA (situação em 2026, verificar atualização).</w:t>
      </w:r>
    </w:p>
    <w:p>
      <w:pPr>
        <w:numPr>
          <w:ilvl w:val="0"/>
          <w:numId w:val="1206"/>
        </w:numPr>
        <w:pStyle w:val="Compact"/>
      </w:pPr>
      <w:r>
        <w:t xml:space="preserve">No uso aprovado vale: consultar a bula técnica e ter acompanhamento médico.</w:t>
      </w:r>
    </w:p>
    <w:bookmarkEnd w:id="1707"/>
    <w:bookmarkStart w:id="1711" w:name="estudos-em-andamento-e-perspectivas-36"/>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07"/>
        </w:numPr>
        <w:pStyle w:val="Compact"/>
      </w:pPr>
      <w:r>
        <w:rPr>
          <w:bCs/>
          <w:b/>
        </w:rPr>
        <w:t xml:space="preserve">CERebrolysin In CADASIL</w:t>
      </w:r>
      <w:r>
        <w:rPr>
          <w:rStyle w:val="FootnoteReference"/>
        </w:rPr>
        <w:footnoteReference w:id="1708"/>
      </w:r>
      <w:r>
        <w:t xml:space="preserve">: estudo de fase 2 com 30 participantes na doença vascular hereditária CADASIL, ativo, recrutamento concluído.</w:t>
      </w:r>
    </w:p>
    <w:p>
      <w:pPr>
        <w:numPr>
          <w:ilvl w:val="0"/>
          <w:numId w:val="1207"/>
        </w:numPr>
        <w:pStyle w:val="Compact"/>
      </w:pPr>
      <w:r>
        <w:rPr>
          <w:bCs/>
          <w:b/>
        </w:rPr>
        <w:t xml:space="preserve">Afasia após AVC</w:t>
      </w:r>
      <w:r>
        <w:rPr>
          <w:rStyle w:val="FootnoteReference"/>
        </w:rPr>
        <w:footnoteReference w:id="1709"/>
      </w:r>
      <w:r>
        <w:t xml:space="preserve">: estudo randomizado e controlado por placebo com 40 participantes na Coreia, em recrutamento.</w:t>
      </w:r>
    </w:p>
    <w:p>
      <w:pPr>
        <w:numPr>
          <w:ilvl w:val="0"/>
          <w:numId w:val="1207"/>
        </w:numPr>
        <w:pStyle w:val="Compact"/>
      </w:pPr>
      <w:r>
        <w:rPr>
          <w:bCs/>
          <w:b/>
        </w:rPr>
        <w:t xml:space="preserve">Cerebrolisina após trombectomia ampliada</w:t>
      </w:r>
      <w:r>
        <w:rPr>
          <w:rStyle w:val="FootnoteReference"/>
        </w:rPr>
        <w:footnoteReference w:id="1710"/>
      </w:r>
      <w:r>
        <w:t xml:space="preserve">: estudo de fase 2 com 100 participantes previstos em Taiwan, início em 2026.</w:t>
      </w:r>
    </w:p>
    <w:p>
      <w:pPr>
        <w:numPr>
          <w:ilvl w:val="0"/>
          <w:numId w:val="1207"/>
        </w:numPr>
        <w:pStyle w:val="Compact"/>
      </w:pPr>
      <w:r>
        <w:t xml:space="preserve">Outros estudos menores sobre delirium após cirurgias cardíacas e na unidade de terapia intensiva, sobre hemorragia cerebral e sobre reabilitação precoce estão registrados.</w:t>
      </w:r>
    </w:p>
    <w:p>
      <w:pPr>
        <w:pStyle w:val="FirstParagraph"/>
      </w:pPr>
      <w:r>
        <w:rPr>
          <w:bCs/>
          <w:b/>
        </w:rPr>
        <w:t xml:space="preserve">Avaliação:</w:t>
      </w:r>
      <w:r>
        <w:t xml:space="preserve"> </w:t>
      </w:r>
      <w:r>
        <w:t xml:space="preserve">nenhum dos estudos registrados é grande o suficiente para responder à questão central em aberto: a cerebrolisina reduz a incapacidade permanente ou a mortalidade após AVC? Para isso, seria necessário um estudo conduzido de forma independente, suficientemente grande, com um desfecho principal claro e definido previamente, como a escala de Rankin modificada após 90 dias. Enquanto ele faltar, a avaliação continuará dividida entre</w:t>
      </w:r>
      <w:r>
        <w:t xml:space="preserve"> </w:t>
      </w:r>
      <w:r>
        <w:t xml:space="preserve">“</w:t>
      </w:r>
      <w:r>
        <w:t xml:space="preserve">estabelecida no Leste Europeu e na Ásia</w:t>
      </w:r>
      <w:r>
        <w:t xml:space="preserve">”</w:t>
      </w:r>
      <w:r>
        <w:t xml:space="preserve"> </w:t>
      </w:r>
      <w:r>
        <w:t xml:space="preserve">e</w:t>
      </w:r>
      <w:r>
        <w:t xml:space="preserve"> </w:t>
      </w:r>
      <w:r>
        <w:t xml:space="preserve">“</w:t>
      </w:r>
      <w:r>
        <w:t xml:space="preserve">insuficientemente comprovada no Ocidente</w:t>
      </w:r>
      <w:r>
        <w:t xml:space="preserve">”</w:t>
      </w:r>
      <w:r>
        <w:t xml:space="preserve">.</w:t>
      </w:r>
    </w:p>
    <w:bookmarkEnd w:id="1711"/>
    <w:bookmarkStart w:id="1712" w:name="conclusão-36"/>
    <w:p>
      <w:pPr>
        <w:pStyle w:val="Heading3"/>
      </w:pPr>
      <w:r>
        <w:t xml:space="preserve">Conclusão</w:t>
      </w:r>
    </w:p>
    <w:p>
      <w:pPr>
        <w:pStyle w:val="FirstParagraph"/>
      </w:pPr>
      <w:r>
        <w:t xml:space="preserve">A cerebrolisina é uma mistura de peptídeos obtida de cérebro de porco, usada na Áustria e em muitos países do Leste Europeu e da Ásia em AVC, traumatismo cranioencefálico e demência. Numerosos estudos randomizados mostram melhoras precoces em escalas neurológicas, mas o maior estudo (CASTA), com mais de 1.000 pessoas, não atingiu seu desfecho principal. As revisões Cochrane independentes não encontram influência sobre a mortalidade, um sinal de mais efeitos colaterais graves não fatais no AVC e apenas vantagens muito incertas na demência vascular. Análises próximas ao fabricante chegam a resultados bem mais positivos. Os dados não são suficientes para comprovar com segurança um benefício clinicamente relevante a longo prazo; como autotratamento ou</w:t>
      </w:r>
      <w:r>
        <w:t xml:space="preserve"> </w:t>
      </w:r>
      <w:r>
        <w:t xml:space="preserve">“</w:t>
      </w:r>
      <w:r>
        <w:t xml:space="preserve">nootrópico</w:t>
      </w:r>
      <w:r>
        <w:t xml:space="preserve">”</w:t>
      </w:r>
      <w:r>
        <w:t xml:space="preserve">, a cerebrolisina não é adequada.</w:t>
      </w:r>
    </w:p>
    <w:bookmarkEnd w:id="1712"/>
    <w:bookmarkEnd w:id="1713"/>
    <w:bookmarkStart w:id="1735" w:name="dihexa"/>
    <w:p>
      <w:pPr>
        <w:pStyle w:val="Heading2"/>
      </w:pPr>
      <w:r>
        <w:t xml:space="preserve">Dihexa</w:t>
      </w:r>
    </w:p>
    <w:bookmarkStart w:id="1714" w:name="ficha-técnica-37"/>
    <w:p>
      <w:pPr>
        <w:pStyle w:val="Heading3"/>
      </w:pPr>
      <w:r>
        <w:t xml:space="preserve">Ficha técnica</w:t>
      </w:r>
    </w:p>
    <w:p>
      <w:pPr>
        <w:numPr>
          <w:ilvl w:val="0"/>
          <w:numId w:val="1208"/>
        </w:numPr>
        <w:pStyle w:val="Compact"/>
      </w:pPr>
      <w:r>
        <w:rPr>
          <w:bCs/>
          <w:b/>
        </w:rPr>
        <w:t xml:space="preserve">Tipo e estrutura:</w:t>
      </w:r>
      <w:r>
        <w:t xml:space="preserve"> </w:t>
      </w:r>
      <w:r>
        <w:t xml:space="preserve">minipeptídeo quimicamente modificado, derivado da angiotensina IV, um fragmento do sistema hormonal que regula a pressão arterial. O núcleo é formado por dois aminoácidos (tirosina e isoleucina), com cadeias semelhantes a ácidos graxos nas duas extremidades; nome químico N-hexanoil-Tyr-Ile-(6)-amida do ácido amino-hexanoico, código de pesquisa PNB-0408.</w:t>
      </w:r>
    </w:p>
    <w:p>
      <w:pPr>
        <w:numPr>
          <w:ilvl w:val="0"/>
          <w:numId w:val="1208"/>
        </w:numPr>
        <w:pStyle w:val="Compact"/>
      </w:pPr>
      <w:r>
        <w:rPr>
          <w:bCs/>
          <w:b/>
        </w:rPr>
        <w:t xml:space="preserve">Origem:</w:t>
      </w:r>
      <w:r>
        <w:t xml:space="preserve"> </w:t>
      </w:r>
      <w:r>
        <w:t xml:space="preserve">desenvolvido por volta de 2012 na Washington State University (EUA).</w:t>
      </w:r>
    </w:p>
    <w:p>
      <w:pPr>
        <w:numPr>
          <w:ilvl w:val="0"/>
          <w:numId w:val="1208"/>
        </w:numPr>
        <w:pStyle w:val="Compact"/>
      </w:pPr>
      <w:r>
        <w:rPr>
          <w:bCs/>
          <w:b/>
        </w:rPr>
        <w:t xml:space="preserve">Princípio de ação:</w:t>
      </w:r>
      <w:r>
        <w:t xml:space="preserve"> </w:t>
      </w:r>
      <w:r>
        <w:t xml:space="preserve">reforçaria o sistema de fator de crescimento HGF/c-Met (HGF = fator de crescimento de hepatócitos, c-Met = seu receptor) e assim estimularia a formação de novas conexões neurais (sinapses).</w:t>
      </w:r>
    </w:p>
    <w:p>
      <w:pPr>
        <w:numPr>
          <w:ilvl w:val="0"/>
          <w:numId w:val="1208"/>
        </w:numPr>
        <w:pStyle w:val="Compact"/>
      </w:pPr>
      <w:r>
        <w:rPr>
          <w:bCs/>
          <w:b/>
        </w:rPr>
        <w:t xml:space="preserve">Aprovação UE:</w:t>
      </w:r>
      <w:r>
        <w:t xml:space="preserve"> </w:t>
      </w:r>
      <w:r>
        <w:t xml:space="preserve">não.</w:t>
      </w:r>
    </w:p>
    <w:p>
      <w:pPr>
        <w:numPr>
          <w:ilvl w:val="0"/>
          <w:numId w:val="1208"/>
        </w:numPr>
        <w:pStyle w:val="Compact"/>
      </w:pPr>
      <w:r>
        <w:rPr>
          <w:bCs/>
          <w:b/>
        </w:rPr>
        <w:t xml:space="preserve">Aprovação EUA:</w:t>
      </w:r>
      <w:r>
        <w:t xml:space="preserve"> </w:t>
      </w:r>
      <w:r>
        <w:t xml:space="preserve">não. O Dihexa constava desde 2023 na</w:t>
      </w:r>
      <w:r>
        <w:t xml:space="preserve"> </w:t>
      </w:r>
      <w:r>
        <w:t xml:space="preserve">“</w:t>
      </w:r>
      <w:r>
        <w:t xml:space="preserve">categoria 2</w:t>
      </w:r>
      <w:r>
        <w:t xml:space="preserve">”</w:t>
      </w:r>
      <w:r>
        <w:t xml:space="preserve"> </w:t>
      </w:r>
      <w:r>
        <w:t xml:space="preserve">da FDA para substâncias de manipulação com preocupações de segurança; em abril de 2026 foi retirado dela, e uma avaliação pelo comitê consultivo PCAC está anunciada para uma reunião até fevereiro de 2027 (situação em outubro de 2026, verificar atualização).</w:t>
      </w:r>
    </w:p>
    <w:p>
      <w:pPr>
        <w:numPr>
          <w:ilvl w:val="0"/>
          <w:numId w:val="1208"/>
        </w:numPr>
        <w:pStyle w:val="Compact"/>
      </w:pPr>
      <w:r>
        <w:rPr>
          <w:bCs/>
          <w:b/>
        </w:rPr>
        <w:t xml:space="preserve">WADA:</w:t>
      </w:r>
      <w:r>
        <w:t xml:space="preserve"> </w:t>
      </w:r>
      <w:r>
        <w:t xml:space="preserve">não listado nominalmente; como substância não aprovada em nenhum lugar, o Dihexa se enquadra, em nossa avaliação, na categoria geral S0</w:t>
      </w:r>
      <w:r>
        <w:t xml:space="preserve"> </w:t>
      </w:r>
      <w:r>
        <w:t xml:space="preserve">“</w:t>
      </w:r>
      <w:r>
        <w:t xml:space="preserve">substâncias não aprovadas</w:t>
      </w:r>
      <w:r>
        <w:t xml:space="preserve">”</w:t>
      </w:r>
      <w:r>
        <w:t xml:space="preserve">.</w:t>
      </w:r>
    </w:p>
    <w:p>
      <w:pPr>
        <w:numPr>
          <w:ilvl w:val="0"/>
          <w:numId w:val="1208"/>
        </w:numPr>
        <w:pStyle w:val="Compact"/>
      </w:pPr>
      <w:r>
        <w:rPr>
          <w:bCs/>
          <w:b/>
        </w:rPr>
        <w:t xml:space="preserve">Nível de evidência:</w:t>
      </w:r>
      <w:r>
        <w:t xml:space="preserve"> </w:t>
      </w:r>
      <w:r>
        <w:rPr>
          <w:bCs/>
          <w:b/>
        </w:rPr>
        <w:t xml:space="preserve">D</w:t>
      </w:r>
      <w:r>
        <w:t xml:space="preserve"> </w:t>
      </w:r>
      <w:r>
        <w:t xml:space="preserve">– nenhum estudo publicado em humanos.</w:t>
      </w:r>
    </w:p>
    <w:bookmarkEnd w:id="1714"/>
    <w:bookmarkStart w:id="1717" w:name="como-deveria-agir-37"/>
    <w:p>
      <w:pPr>
        <w:pStyle w:val="Heading3"/>
      </w:pPr>
      <w:r>
        <w:t xml:space="preserve">Como deveria agir</w:t>
      </w:r>
    </w:p>
    <w:p>
      <w:pPr>
        <w:pStyle w:val="FirstParagraph"/>
      </w:pPr>
      <w:r>
        <w:t xml:space="preserve">A angiotensina IV é um peptídeo curto que se forma no organismo a partir do hormônio da pressão arterial angiotensina II. Desde os anos 1990, pesquisadores observaram que a angiotensina IV e moléculas relacionadas melhoram o aprendizado e a memória em ratos quando injetadas diretamente no cérebro. Para um medicamento, isso era inútil: os peptídeos eram degradados rapidamente e não passavam do intestino para o sangue nem atravessavam a barreira hematoencefálica.</w:t>
      </w:r>
    </w:p>
    <w:p>
      <w:pPr>
        <w:pStyle w:val="BodyText"/>
      </w:pPr>
      <w:r>
        <w:t xml:space="preserve">O grupo de trabalho de Joseph Harding e John Wright, em Washington, encurtou por isso a molécula até seu núcleo ativo e a dotou de grupos químicos de proteção. O resultado foi o Dihexa: estável contra a degradação, ativo por via oral em ratos e capaz de chegar ao cérebro. Em ratos com distúrbio de memória induzido por medicamento e em ratos idosos, melhorou o desempenho no labirinto aquático e favoreceu a formação de sinapses no hipocampo</w:t>
      </w:r>
      <w:r>
        <w:rPr>
          <w:rStyle w:val="FootnoteReference"/>
        </w:rPr>
        <w:footnoteReference w:id="1715"/>
      </w:r>
      <w:r>
        <w:t xml:space="preserve">.</w:t>
      </w:r>
    </w:p>
    <w:p>
      <w:pPr>
        <w:pStyle w:val="BodyText"/>
      </w:pPr>
      <w:r>
        <w:t xml:space="preserve">Mais tarde, o mesmo grupo encontrou o suposto mecanismo de ação: o Dihexa se liga ao fator de crescimento HGF e reforça seu sinal no receptor c-Met. Quando o sistema HGF era bloqueado no cérebro de ratos, o efeito favorável à memória desaparecia</w:t>
      </w:r>
      <w:r>
        <w:rPr>
          <w:rStyle w:val="FootnoteReference"/>
        </w:rPr>
        <w:footnoteReference w:id="1716"/>
      </w:r>
      <w:r>
        <w:t xml:space="preserve">. Esse trabalho foi retratado pela revista em 2025 (nota de retratação: PMID 40312093), assim como outro trabalho fundamental do mesmo grupo sobre derivados da angiotensina IV como moduladores de HGF/c-Met (nota de retratação: PMID 40312092). O mecanismo de ação descrito não está, portanto, mais comprovado de forma confiável; os registros do PubMed não informam os motivos da retratação.</w:t>
      </w:r>
    </w:p>
    <w:p>
      <w:pPr>
        <w:pStyle w:val="BodyText"/>
      </w:pPr>
      <w:r>
        <w:t xml:space="preserve">Na internet, o Dihexa é frequentemente descrito como uma substância muitas vezes mais potente do que o fator de crescimento neural BDNF. Tais comparações vêm de experimentos em cultura de células e nada dizem sobre se e como o Dihexa age em humanos.</w:t>
      </w:r>
    </w:p>
    <w:bookmarkEnd w:id="1717"/>
    <w:bookmarkStart w:id="1722" w:name="estudos-em-humanos-37"/>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Dihexa; ao todo, o PubMed lista apenas 18 trabalhos com o termo de busca, entre eles vários sem relação com a substância. No ClinicalTrials.gov não há estudo registrado. Também uma busca direcionada adicional por relatos de caso, intoxicações ou análises de produtos do mercado cinza ficou sem resultado.</w:t>
      </w:r>
    </w:p>
    <w:p>
      <w:pPr>
        <w:pStyle w:val="BodyText"/>
      </w:pPr>
      <w:r>
        <w:t xml:space="preserve">Não há, portanto, dados sobre eficácia, tolerabilidade, duração do efeito ou quantidades adequadas em humanos. Tudo o que se relata sobre um efeito em humanos vem de relatos de experiência em fóruns.</w:t>
      </w:r>
    </w:p>
    <w:bookmarkStart w:id="1721" w:name="um-parente-na-clínica-fosgonimetona"/>
    <w:p>
      <w:pPr>
        <w:pStyle w:val="Heading4"/>
      </w:pPr>
      <w:r>
        <w:t xml:space="preserve">Um parente na clínica: fosgonimetona</w:t>
      </w:r>
    </w:p>
    <w:p>
      <w:pPr>
        <w:pStyle w:val="FirstParagraph"/>
      </w:pPr>
      <w:r>
        <w:t xml:space="preserve">Revelador é o destino de outra substância que surgiu da mesma abordagem de pesquisa – o reforço do sistema HGF/c-Met. A empresa Athira Pharma desenvolveu a fosgonimetona (ATH-1017), uma molécula quimicamente diferente que também influenciaria positivamente o HGF/c-Met. A fosgonimetona foi – ao contrário do Dihexa – testada em estudos clínicos regulares: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pessoas (saudáveis e 11 pessoas com Alzheimer), duplo-cego contra placebo</w:t>
            </w:r>
          </w:p>
        </w:tc>
        <w:tc>
          <w:tcPr/>
          <w:p>
            <w:pPr>
              <w:pStyle w:val="Compact"/>
              <w:jc w:val="left"/>
            </w:pPr>
            <w:r>
              <w:t xml:space="preserve">até 9 dias</w:t>
            </w:r>
          </w:p>
        </w:tc>
        <w:tc>
          <w:tcPr/>
          <w:p>
            <w:pPr>
              <w:pStyle w:val="Compact"/>
              <w:jc w:val="left"/>
            </w:pPr>
            <w:r>
              <w:t xml:space="preserve">bem tolerada; alterações no EEG como indício de penetração cerebral</w:t>
            </w:r>
          </w:p>
        </w:tc>
      </w:tr>
      <w:tr>
        <w:tc>
          <w:tcPr/>
          <w:p>
            <w:pPr>
              <w:pStyle w:val="Compact"/>
              <w:jc w:val="left"/>
            </w:pPr>
            <w:r>
              <w:t xml:space="preserve">LIFT-AD (Porsteinsson 2025), PMID 41393340</w:t>
            </w:r>
          </w:p>
        </w:tc>
        <w:tc>
          <w:tcPr/>
          <w:p>
            <w:pPr>
              <w:pStyle w:val="Compact"/>
              <w:jc w:val="left"/>
            </w:pPr>
            <w:r>
              <w:t xml:space="preserve">287 pessoas com doença de Alzheimer leve a moderada na análise principal, fase 2/3 contra placebo</w:t>
            </w:r>
          </w:p>
        </w:tc>
        <w:tc>
          <w:tcPr/>
          <w:p>
            <w:pPr>
              <w:pStyle w:val="Compact"/>
              <w:jc w:val="left"/>
            </w:pPr>
            <w:r>
              <w:t xml:space="preserve">26 semanas</w:t>
            </w:r>
          </w:p>
        </w:tc>
        <w:tc>
          <w:tcPr/>
          <w:p>
            <w:pPr>
              <w:pStyle w:val="Compact"/>
              <w:jc w:val="left"/>
            </w:pPr>
            <w:r>
              <w:t xml:space="preserve">desfechos principais e secundários não atingidos; mais interrupções do tratamento por efeitos colaterais (14,2% vs. 4,6%)</w:t>
            </w:r>
          </w:p>
        </w:tc>
      </w:tr>
    </w:tbl>
    <w:p>
      <w:pPr>
        <w:pStyle w:val="BodyText"/>
      </w:pPr>
      <w:r>
        <w:t xml:space="preserve">No LIFT-AD</w:t>
      </w:r>
      <w:r>
        <w:rPr>
          <w:rStyle w:val="FootnoteReference"/>
        </w:rPr>
        <w:footnoteReference w:id="1718"/>
      </w:r>
      <w:r>
        <w:t xml:space="preserve">, a fosgonimetona não diferiu significativamente do placebo nem no desfecho principal combinado nem em escalas de memória ou de atividades diárias. Eventos adversos graves foram equilibrados (4,2% frente a 6,9%); interrupções do tratamento por efeitos colaterais – sobretudo reações no local da injeção – foram mais frequentes com fosgonimetona</w:t>
      </w:r>
      <w:r>
        <w:rPr>
          <w:rStyle w:val="FootnoteReference"/>
        </w:rPr>
        <w:footnoteReference w:id="1719"/>
      </w:r>
      <w:r>
        <w:t xml:space="preserve">. Um estudo em demência da doença de Parkinson e demência com corpos de Lewy foi encerrado antecipadamente</w:t>
      </w:r>
      <w:r>
        <w:rPr>
          <w:rStyle w:val="FootnoteReference"/>
        </w:rPr>
        <w:footnoteReference w:id="1720"/>
      </w:r>
      <w:r>
        <w:t xml:space="preserve">.</w:t>
      </w:r>
    </w:p>
    <w:p>
      <w:pPr>
        <w:pStyle w:val="BodyText"/>
      </w:pPr>
      <w:r>
        <w:t xml:space="preserve">Isso não prova que o Dihexa seja ineficaz – trata-se de outra substância. Mas mostra o quão pouco melhoras de memória em ratos se transferem para pessoas com demência.</w:t>
      </w:r>
    </w:p>
    <w:bookmarkEnd w:id="1721"/>
    <w:bookmarkEnd w:id="1722"/>
    <w:bookmarkStart w:id="1729" w:name="estudos-em-animais-e-em-laboratório-37"/>
    <w:p>
      <w:pPr>
        <w:pStyle w:val="Heading3"/>
      </w:pPr>
      <w:r>
        <w:t xml:space="preserve">Estudos em animais e em laboratório</w:t>
      </w:r>
    </w:p>
    <w:p>
      <w:pPr>
        <w:numPr>
          <w:ilvl w:val="0"/>
          <w:numId w:val="1209"/>
        </w:numPr>
        <w:pStyle w:val="Compact"/>
      </w:pPr>
      <w:r>
        <w:t xml:space="preserve">Em ratos com distúrbio de memória por escopolamina e em ratos idosos, o Dihexa melhorou o aprendizado espacial e favoreceu a formação de sinapses</w:t>
      </w:r>
      <w:r>
        <w:rPr>
          <w:rStyle w:val="FootnoteReference"/>
        </w:rPr>
        <w:footnoteReference w:id="1723"/>
      </w:r>
      <w:r>
        <w:t xml:space="preserve">.</w:t>
      </w:r>
    </w:p>
    <w:p>
      <w:pPr>
        <w:numPr>
          <w:ilvl w:val="0"/>
          <w:numId w:val="1209"/>
        </w:numPr>
        <w:pStyle w:val="Compact"/>
      </w:pPr>
      <w:r>
        <w:t xml:space="preserve">Em camundongos modelo de Alzheimer (APP/PS1), o Dihexa melhorou o aprendizado no labirinto aquático e reduziu sinais de inflamação no cérebro</w:t>
      </w:r>
      <w:r>
        <w:rPr>
          <w:rStyle w:val="FootnoteReference"/>
        </w:rPr>
        <w:footnoteReference w:id="1724"/>
      </w:r>
      <w:r>
        <w:t xml:space="preserve">.</w:t>
      </w:r>
    </w:p>
    <w:p>
      <w:pPr>
        <w:numPr>
          <w:ilvl w:val="0"/>
          <w:numId w:val="1209"/>
        </w:numPr>
        <w:pStyle w:val="Compact"/>
      </w:pPr>
      <w:r>
        <w:t xml:space="preserve">Em um modelo de rato da doença de Huntington, o Dihexa</w:t>
      </w:r>
      <w:r>
        <w:t xml:space="preserve"> </w:t>
      </w:r>
      <w:r>
        <w:rPr>
          <w:bCs/>
          <w:b/>
        </w:rPr>
        <w:t xml:space="preserve">não</w:t>
      </w:r>
      <w:r>
        <w:t xml:space="preserve"> </w:t>
      </w:r>
      <w:r>
        <w:t xml:space="preserve">protegeu contra os déficits</w:t>
      </w:r>
      <w:r>
        <w:rPr>
          <w:rStyle w:val="FootnoteReference"/>
        </w:rPr>
        <w:footnoteReference w:id="1725"/>
      </w:r>
      <w:r>
        <w:t xml:space="preserve">.</w:t>
      </w:r>
    </w:p>
    <w:p>
      <w:pPr>
        <w:numPr>
          <w:ilvl w:val="0"/>
          <w:numId w:val="1209"/>
        </w:numPr>
        <w:pStyle w:val="Compact"/>
      </w:pPr>
      <w:r>
        <w:t xml:space="preserve">Em larvas de peixe-zebra, o Dihexa protegeu células ciliadas sensoriais contra danos causados por determinados antibióticos</w:t>
      </w:r>
      <w:r>
        <w:rPr>
          <w:rStyle w:val="FootnoteReference"/>
        </w:rPr>
        <w:footnoteReference w:id="1726"/>
      </w:r>
      <w:r>
        <w:t xml:space="preserve">.</w:t>
      </w:r>
    </w:p>
    <w:p>
      <w:pPr>
        <w:numPr>
          <w:ilvl w:val="0"/>
          <w:numId w:val="1209"/>
        </w:numPr>
        <w:pStyle w:val="Compact"/>
      </w:pPr>
      <w:r>
        <w:t xml:space="preserve">Na pesquisa com células-tronco, o Dihexa é usado como substituto barato de fatores de crescimento na produção de células semelhantes a hepatócitos</w:t>
      </w:r>
      <w:r>
        <w:rPr>
          <w:rStyle w:val="FootnoteReference"/>
        </w:rPr>
        <w:footnoteReference w:id="1727"/>
      </w:r>
      <w:r>
        <w:t xml:space="preserve"> </w:t>
      </w:r>
      <w:r>
        <w:t xml:space="preserve">– um indício de quão amplamente o sistema HGF age no organismo.</w:t>
      </w:r>
    </w:p>
    <w:p>
      <w:pPr>
        <w:pStyle w:val="FirstParagraph"/>
      </w:pPr>
      <w:r>
        <w:t xml:space="preserve">Uma revisão sistemática sobre derivados da angiotensina IV encontrou efeitos favoráveis em oito de nove estudos animais sobre distúrbios de memória, mas ressalta que as substâncias funcionaram melhor quando administradas diretamente no cérebro</w:t>
      </w:r>
      <w:r>
        <w:rPr>
          <w:rStyle w:val="FootnoteReference"/>
        </w:rPr>
        <w:footnoteReference w:id="1728"/>
      </w:r>
      <w:r>
        <w:t xml:space="preserve">.</w:t>
      </w:r>
    </w:p>
    <w:bookmarkEnd w:id="1729"/>
    <w:bookmarkStart w:id="1731" w:name="riscos-e-efeitos-colaterais-37"/>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em humanos – nem de estudos, nem de relatos de caso.</w:t>
      </w:r>
    </w:p>
    <w:p>
      <w:pPr>
        <w:pStyle w:val="BodyText"/>
      </w:pPr>
      <w:r>
        <w:rPr>
          <w:bCs/>
          <w:b/>
        </w:rPr>
        <w:t xml:space="preserve">Teórico – e a ser levado a sério:</w:t>
      </w:r>
      <w:r>
        <w:t xml:space="preserve"> </w:t>
      </w:r>
      <w:r>
        <w:t xml:space="preserve">o sistema HGF/c-Met não é importante apenas para neurônios. A ativação do c-Met estimula divisão celular, migração celular e remodelação tecidual</w:t>
      </w:r>
      <w:r>
        <w:rPr>
          <w:rStyle w:val="FootnoteReference"/>
        </w:rPr>
        <w:footnoteReference w:id="1730"/>
      </w:r>
      <w:r>
        <w:t xml:space="preserve">. Na pesquisa sobre câncer, o c-Met é conhecido como impulsionador do crescimento e da disseminação de diversos tumores; vários medicamentos oncológicos aprovados bloqueiam justamente esse receptor. Uma substância que reforça continuamente esse sinal poderia, teoricamente, favorecer o crescimento de tumores não detectados. Se isso ocorre com o Dihexa nunca foi estudado – não há estudos de toxicidade de longo prazo publicamente acessíveis. (Mais sobre sinais de crescimento e risco de câncer na Parte IV.)</w:t>
      </w:r>
    </w:p>
    <w:p>
      <w:pPr>
        <w:pStyle w:val="BodyText"/>
      </w:pPr>
      <w:r>
        <w:rPr>
          <w:bCs/>
          <w:b/>
        </w:rPr>
        <w:t xml:space="preserve">Mercado cinza:</w:t>
      </w:r>
      <w:r>
        <w:t xml:space="preserve"> </w:t>
      </w:r>
      <w:r>
        <w:t xml:space="preserve">o Dihexa é vendido online como pó, cápsulas ou solução, em parte para ingestão, em parte para aplicação na pele. Teor e pureza não são verificados.</w:t>
      </w:r>
    </w:p>
    <w:bookmarkEnd w:id="1731"/>
    <w:bookmarkStart w:id="1732" w:name="situação-legal-37"/>
    <w:p>
      <w:pPr>
        <w:pStyle w:val="Heading3"/>
      </w:pPr>
      <w:r>
        <w:t xml:space="preserve">Situação legal</w:t>
      </w:r>
    </w:p>
    <w:p>
      <w:pPr>
        <w:numPr>
          <w:ilvl w:val="0"/>
          <w:numId w:val="1210"/>
        </w:numPr>
        <w:pStyle w:val="Compact"/>
      </w:pPr>
      <w:r>
        <w:rPr>
          <w:bCs/>
          <w:b/>
        </w:rPr>
        <w:t xml:space="preserve">UE / Áustria / Alemanha:</w:t>
      </w:r>
      <w:r>
        <w:t xml:space="preserve"> </w:t>
      </w:r>
      <w:r>
        <w:t xml:space="preserve">não aprovado. Como substância com efeito farmacológico, o Dihexa é considerado medicamento; a venda para uso em humanos não é permitida. A rotulagem</w:t>
      </w:r>
      <w:r>
        <w:t xml:space="preserve"> </w:t>
      </w:r>
      <w:r>
        <w:t xml:space="preserve">“</w:t>
      </w:r>
      <w:r>
        <w:t xml:space="preserve">apenas para fins de pesquisa</w:t>
      </w:r>
      <w:r>
        <w:t xml:space="preserve">”</w:t>
      </w:r>
      <w:r>
        <w:t xml:space="preserve"> </w:t>
      </w:r>
      <w:r>
        <w:t xml:space="preserve">não muda isso.</w:t>
      </w:r>
    </w:p>
    <w:p>
      <w:pPr>
        <w:numPr>
          <w:ilvl w:val="0"/>
          <w:numId w:val="1210"/>
        </w:numPr>
        <w:pStyle w:val="Compact"/>
      </w:pPr>
      <w:r>
        <w:rPr>
          <w:bCs/>
          <w:b/>
        </w:rPr>
        <w:t xml:space="preserve">EUA:</w:t>
      </w:r>
      <w:r>
        <w:t xml:space="preserve"> </w:t>
      </w:r>
      <w:r>
        <w:t xml:space="preserve">não aprovado. Desde abril de 2026 não está mais na</w:t>
      </w:r>
      <w:r>
        <w:t xml:space="preserve"> </w:t>
      </w:r>
      <w:r>
        <w:t xml:space="preserve">“</w:t>
      </w:r>
      <w:r>
        <w:t xml:space="preserve">categoria 2</w:t>
      </w:r>
      <w:r>
        <w:t xml:space="preserve">”</w:t>
      </w:r>
      <w:r>
        <w:t xml:space="preserve"> </w:t>
      </w:r>
      <w:r>
        <w:t xml:space="preserve">da FDA; sobre uma possível inclusão na lista de substâncias permitidas para manipulação, o comitê consultivo PCAC ainda não havia deliberado até outubro de 2026 (situação em outubro de 2026, verificar atualização).</w:t>
      </w:r>
    </w:p>
    <w:p>
      <w:pPr>
        <w:numPr>
          <w:ilvl w:val="0"/>
          <w:numId w:val="1210"/>
        </w:numPr>
        <w:pStyle w:val="Compact"/>
      </w:pPr>
      <w:r>
        <w:rPr>
          <w:bCs/>
          <w:b/>
        </w:rPr>
        <w:t xml:space="preserve">Esporte:</w:t>
      </w:r>
      <w:r>
        <w:t xml:space="preserve"> </w:t>
      </w:r>
      <w:r>
        <w:t xml:space="preserve">como substância não aprovada, enquadra-se, em nossa avaliação, na categoria S0 da WADA (situação em 2026, verificar atualização).</w:t>
      </w:r>
    </w:p>
    <w:bookmarkEnd w:id="1732"/>
    <w:bookmarkStart w:id="1733" w:name="estudos-em-andamento-e-perspectivas-37"/>
    <w:p>
      <w:pPr>
        <w:pStyle w:val="Heading3"/>
      </w:pPr>
      <w:r>
        <w:t xml:space="preserve">Estudos em andamento e perspectivas</w:t>
      </w:r>
    </w:p>
    <w:p>
      <w:pPr>
        <w:pStyle w:val="FirstParagraph"/>
      </w:pPr>
      <w:r>
        <w:rPr>
          <w:bCs/>
          <w:b/>
        </w:rPr>
        <w:t xml:space="preserve">Comprovado:</w:t>
      </w:r>
      <w:r>
        <w:t xml:space="preserve"> </w:t>
      </w:r>
      <w:r>
        <w:t xml:space="preserve">para o Dihexa não há estudo clínico registrado (consulta de outubro de 2026). A abordagem relacionada, fosgonimetona, fracassou no estudo de Alzheimer LIFT-AD.</w:t>
      </w:r>
    </w:p>
    <w:p>
      <w:pPr>
        <w:pStyle w:val="BodyText"/>
      </w:pPr>
      <w:r>
        <w:rPr>
          <w:bCs/>
          <w:b/>
        </w:rPr>
        <w:t xml:space="preserve">Avaliação:</w:t>
      </w:r>
      <w:r>
        <w:t xml:space="preserve"> </w:t>
      </w:r>
      <w:r>
        <w:t xml:space="preserve">sem dados de toxicidade e sem um primeiro estudo em humanos, o Dihexa continua sendo uma substância de laboratório. Se a deliberação anunciada do PCAC nos EUA mudará algo é incerto – ela afetaria, quando muito, preparações de farmácia, não a falta de comprovação de eficácia.</w:t>
      </w:r>
    </w:p>
    <w:bookmarkEnd w:id="1733"/>
    <w:bookmarkStart w:id="1734" w:name="conclusão-37"/>
    <w:p>
      <w:pPr>
        <w:pStyle w:val="Heading3"/>
      </w:pPr>
      <w:r>
        <w:t xml:space="preserve">Conclusão</w:t>
      </w:r>
    </w:p>
    <w:p>
      <w:pPr>
        <w:pStyle w:val="FirstParagraph"/>
      </w:pPr>
      <w:r>
        <w:t xml:space="preserve">O Dihexa é um derivado quimicamente estabilizado da angiotensina IV que, em ratos e camundongos, favoreceu o aprendizado e a formação de sinapses, mediado pelo sistema de fator de crescimento HGF/c-Met. Nunca foi estudado em humanos; uma substância relacionada (fosgonimetona) não atingiu nenhum desfecho em um estudo de Alzheimer com 287 pessoas. Como o c-Met também impulsiona o crescimento de tumores, existe uma preocupação plausível, mas não verificada, quanto ao câncer. Os dados não são suficientes para avaliar qualquer benefício ou a segurança em humanos.</w:t>
      </w:r>
    </w:p>
    <w:bookmarkEnd w:id="1734"/>
    <w:bookmarkEnd w:id="1735"/>
    <w:bookmarkStart w:id="1767" w:name="dsip-peptídeo-indutor-do-sono-delta"/>
    <w:p>
      <w:pPr>
        <w:pStyle w:val="Heading2"/>
      </w:pPr>
      <w:r>
        <w:t xml:space="preserve">DSIP (peptídeo indutor do sono delta)</w:t>
      </w:r>
    </w:p>
    <w:bookmarkStart w:id="1736" w:name="ficha-técnica-38"/>
    <w:p>
      <w:pPr>
        <w:pStyle w:val="Heading3"/>
      </w:pPr>
      <w:r>
        <w:t xml:space="preserve">Ficha técnica</w:t>
      </w:r>
    </w:p>
    <w:p>
      <w:pPr>
        <w:numPr>
          <w:ilvl w:val="0"/>
          <w:numId w:val="1211"/>
        </w:numPr>
        <w:pStyle w:val="Compact"/>
      </w:pPr>
      <w:r>
        <w:rPr>
          <w:bCs/>
          <w:b/>
        </w:rPr>
        <w:t xml:space="preserve">Tipo e estrutura:</w:t>
      </w:r>
      <w:r>
        <w:t xml:space="preserve"> </w:t>
      </w:r>
      <w:r>
        <w:t xml:space="preserve">nonapeptídeo de nove aminoácidos (Trp-Ala-Gly-Gly-Asp-Ala-Ser-Gly-Glu); denominação internacional emideltida.</w:t>
      </w:r>
    </w:p>
    <w:p>
      <w:pPr>
        <w:numPr>
          <w:ilvl w:val="0"/>
          <w:numId w:val="1211"/>
        </w:numPr>
        <w:pStyle w:val="Compact"/>
      </w:pPr>
      <w:r>
        <w:rPr>
          <w:bCs/>
          <w:b/>
        </w:rPr>
        <w:t xml:space="preserve">Origem:</w:t>
      </w:r>
      <w:r>
        <w:t xml:space="preserve"> </w:t>
      </w:r>
      <w:r>
        <w:t xml:space="preserve">isolado em 1977 por um grupo de trabalho de Basileia a partir do sangue venoso cerebral de coelhos que haviam sido colocados em sono profundo por estimulação elétrica. Um gene, uma proteína precursora ou um receptor para o DSIP não foram encontrados até hoje.</w:t>
      </w:r>
    </w:p>
    <w:p>
      <w:pPr>
        <w:numPr>
          <w:ilvl w:val="0"/>
          <w:numId w:val="1211"/>
        </w:numPr>
        <w:pStyle w:val="Compact"/>
      </w:pPr>
      <w:r>
        <w:rPr>
          <w:bCs/>
          <w:b/>
        </w:rPr>
        <w:t xml:space="preserve">Princípio de ação:</w:t>
      </w:r>
      <w:r>
        <w:t xml:space="preserve"> </w:t>
      </w:r>
      <w:r>
        <w:t xml:space="preserve">deveria, como</w:t>
      </w:r>
      <w:r>
        <w:t xml:space="preserve"> </w:t>
      </w:r>
      <w:r>
        <w:t xml:space="preserve">“</w:t>
      </w:r>
      <w:r>
        <w:t xml:space="preserve">substância do sono</w:t>
      </w:r>
      <w:r>
        <w:t xml:space="preserve">”</w:t>
      </w:r>
      <w:r>
        <w:t xml:space="preserve"> </w:t>
      </w:r>
      <w:r>
        <w:t xml:space="preserve">do próprio organismo, favorecer o sono profundo (sono delta, com ondas lentas no EEG); mais tarde, supuseram-se influências sobre hormônios do estresse, dor e sintomas de abstinência.</w:t>
      </w:r>
    </w:p>
    <w:p>
      <w:pPr>
        <w:numPr>
          <w:ilvl w:val="0"/>
          <w:numId w:val="1211"/>
        </w:numPr>
        <w:pStyle w:val="Compact"/>
      </w:pPr>
      <w:r>
        <w:rPr>
          <w:bCs/>
          <w:b/>
        </w:rPr>
        <w:t xml:space="preserve">Aprovação UE:</w:t>
      </w:r>
      <w:r>
        <w:t xml:space="preserve"> </w:t>
      </w:r>
      <w:r>
        <w:t xml:space="preserve">não.</w:t>
      </w:r>
    </w:p>
    <w:p>
      <w:pPr>
        <w:numPr>
          <w:ilvl w:val="0"/>
          <w:numId w:val="1211"/>
        </w:numPr>
        <w:pStyle w:val="Compact"/>
      </w:pPr>
      <w:r>
        <w:rPr>
          <w:bCs/>
          <w:b/>
        </w:rPr>
        <w:t xml:space="preserve">Aprovação EUA:</w:t>
      </w:r>
      <w:r>
        <w:t xml:space="preserve"> </w:t>
      </w:r>
      <w:r>
        <w:t xml:space="preserve">não. A emideltida foi retirada da</w:t>
      </w:r>
      <w:r>
        <w:t xml:space="preserve"> </w:t>
      </w:r>
      <w:r>
        <w:t xml:space="preserve">“</w:t>
      </w:r>
      <w:r>
        <w:t xml:space="preserve">categoria 2</w:t>
      </w:r>
      <w:r>
        <w:t xml:space="preserve">”</w:t>
      </w:r>
      <w:r>
        <w:t xml:space="preserve"> </w:t>
      </w:r>
      <w:r>
        <w:t xml:space="preserve">da FDA em abril de 2026; o comitê consultivo PCAC votou em julho de 2026, por 6 a 7,</w:t>
      </w:r>
      <w:r>
        <w:t xml:space="preserve"> </w:t>
      </w:r>
      <w:r>
        <w:rPr>
          <w:bCs/>
          <w:b/>
        </w:rPr>
        <w:t xml:space="preserve">contra</w:t>
      </w:r>
      <w:r>
        <w:t xml:space="preserve"> </w:t>
      </w:r>
      <w:r>
        <w:t xml:space="preserve">a inclusão na lista de substâncias permitidas para manipulação (situação em outubro de 2026, verificar atualização).</w:t>
      </w:r>
    </w:p>
    <w:p>
      <w:pPr>
        <w:numPr>
          <w:ilvl w:val="0"/>
          <w:numId w:val="1211"/>
        </w:numPr>
        <w:pStyle w:val="Compact"/>
      </w:pPr>
      <w:r>
        <w:rPr>
          <w:bCs/>
          <w:b/>
        </w:rPr>
        <w:t xml:space="preserve">Rússia e países vizinhos:</w:t>
      </w:r>
      <w:r>
        <w:t xml:space="preserve"> </w:t>
      </w:r>
      <w:r>
        <w:t xml:space="preserve">preparados de DSIP (p. ex. Deltaran, Deltalicin) foram usados ali em estudos e na prática.</w:t>
      </w:r>
    </w:p>
    <w:p>
      <w:pPr>
        <w:numPr>
          <w:ilvl w:val="0"/>
          <w:numId w:val="1211"/>
        </w:numPr>
        <w:pStyle w:val="Compact"/>
      </w:pPr>
      <w:r>
        <w:rPr>
          <w:bCs/>
          <w:b/>
        </w:rPr>
        <w:t xml:space="preserve">WADA:</w:t>
      </w:r>
      <w:r>
        <w:t xml:space="preserve"> </w:t>
      </w:r>
      <w:r>
        <w:t xml:space="preserve">não listado nominalmente.</w:t>
      </w:r>
    </w:p>
    <w:p>
      <w:pPr>
        <w:numPr>
          <w:ilvl w:val="0"/>
          <w:numId w:val="1211"/>
        </w:numPr>
        <w:pStyle w:val="Compact"/>
      </w:pPr>
      <w:r>
        <w:rPr>
          <w:bCs/>
          <w:b/>
        </w:rPr>
        <w:t xml:space="preserve">Nível de evidência:</w:t>
      </w:r>
      <w:r>
        <w:t xml:space="preserve"> </w:t>
      </w:r>
      <w:r>
        <w:rPr>
          <w:bCs/>
          <w:b/>
        </w:rPr>
        <w:t xml:space="preserve">C</w:t>
      </w:r>
      <w:r>
        <w:t xml:space="preserve"> </w:t>
      </w:r>
      <w:r>
        <w:t xml:space="preserve">– apenas estudos muito pequenos, realizados predominantemente nos anos 1980; os metodologicamente melhores não encontraram benefício clinicamente relevante.</w:t>
      </w:r>
    </w:p>
    <w:bookmarkEnd w:id="1736"/>
    <w:bookmarkStart w:id="1740" w:name="como-deveria-agir-38"/>
    <w:p>
      <w:pPr>
        <w:pStyle w:val="Heading3"/>
      </w:pPr>
      <w:r>
        <w:t xml:space="preserve">Como deveria agir</w:t>
      </w:r>
    </w:p>
    <w:p>
      <w:pPr>
        <w:pStyle w:val="FirstParagraph"/>
      </w:pPr>
      <w:r>
        <w:t xml:space="preserve">A ideia era simples e atraente: se o cérebro, durante o sono, libera no sangue uma substância que induz sono em outros animais, ela poderia ser um sonífero natural – sem as desvantagens dos calmantes. Os pesquisadores de Basileia transferiram sangue de coelhos adormecidos para animais acordados e isolaram dele o peptídeo que consideravam responsável pelo efeito</w:t>
      </w:r>
      <w:r>
        <w:rPr>
          <w:rStyle w:val="FootnoteReference"/>
        </w:rPr>
        <w:footnoteReference w:id="1737"/>
      </w:r>
      <w:r>
        <w:t xml:space="preserve">.</w:t>
      </w:r>
    </w:p>
    <w:p>
      <w:pPr>
        <w:pStyle w:val="BodyText"/>
      </w:pPr>
      <w:r>
        <w:t xml:space="preserve">A esperança não se confirmou. Um artigo de revisão de 2006 chama o DSIP de</w:t>
      </w:r>
      <w:r>
        <w:t xml:space="preserve"> </w:t>
      </w:r>
      <w:r>
        <w:t xml:space="preserve">“</w:t>
      </w:r>
      <w:r>
        <w:t xml:space="preserve">enigma ainda não resolvido</w:t>
      </w:r>
      <w:r>
        <w:t xml:space="preserve">”</w:t>
      </w:r>
      <w:r>
        <w:t xml:space="preserve">: a relação com o sono seria</w:t>
      </w:r>
      <w:r>
        <w:t xml:space="preserve"> </w:t>
      </w:r>
      <w:r>
        <w:t xml:space="preserve">“</w:t>
      </w:r>
      <w:r>
        <w:t xml:space="preserve">extremamente mal documentada</w:t>
      </w:r>
      <w:r>
        <w:t xml:space="preserve">”</w:t>
      </w:r>
      <w:r>
        <w:t xml:space="preserve">, porque nem o gene correspondente nem um receptor foram encontrados. Em experimentos com animais, determinadas modificações artificiais favoreceram o sono profundo mais do que o próprio DSIP. Os autores supõem que um peptídeo semelhante ao DSIP, até agora desconhecido, poderia ser responsável pelos efeitos observados</w:t>
      </w:r>
      <w:r>
        <w:rPr>
          <w:rStyle w:val="FootnoteReference"/>
        </w:rPr>
        <w:footnoteReference w:id="1738"/>
      </w:r>
      <w:r>
        <w:t xml:space="preserve">.</w:t>
      </w:r>
    </w:p>
    <w:p>
      <w:pPr>
        <w:pStyle w:val="BodyText"/>
      </w:pPr>
      <w:r>
        <w:t xml:space="preserve">Outros efeitos supostos – sobre hormônios do estresse, percepção da dor, sistema opioide e enzimas antioxidantes – vêm predominantemente de experimentos com animais. Em ovelhas, DSIP marcado atravessou a barreira entre sangue e líquido cefalorraquidiano em grau pequeno a moderado</w:t>
      </w:r>
      <w:r>
        <w:rPr>
          <w:rStyle w:val="FootnoteReference"/>
        </w:rPr>
        <w:footnoteReference w:id="1739"/>
      </w:r>
      <w:r>
        <w:t xml:space="preserve">.</w:t>
      </w:r>
    </w:p>
    <w:bookmarkEnd w:id="1740"/>
    <w:bookmarkStart w:id="1757" w:name="estudos-em-humanos-38"/>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18 publicações classificadas como estudos em humanos; uma delas, em exame mais detalhado, trata de outro tema (cirurgia da coluna). Quase todas são de 1981 a 1998 e tinham entre 1 e 16 participantes nas partes controladas por placebo. No ClinicalTrials.gov, a busca resultou em uma ocorrência que não se refere ao DSIP; não há estudo registrado com DSIP.</w:t>
      </w:r>
    </w:p>
    <w:bookmarkStart w:id="1745" w:name="distúrbios-do-sono"/>
    <w:p>
      <w:pPr>
        <w:pStyle w:val="Heading4"/>
      </w:pPr>
      <w:r>
        <w:t xml:space="preserve">Distúrbios do sono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saudáveis, duplo-cego, cruzado contra placebo</w:t>
            </w:r>
          </w:p>
        </w:tc>
        <w:tc>
          <w:tcPr/>
          <w:p>
            <w:pPr>
              <w:pStyle w:val="Compact"/>
              <w:jc w:val="left"/>
            </w:pPr>
            <w:r>
              <w:t xml:space="preserve">infusão única</w:t>
            </w:r>
          </w:p>
        </w:tc>
        <w:tc>
          <w:tcPr/>
          <w:p>
            <w:pPr>
              <w:pStyle w:val="Compact"/>
              <w:jc w:val="left"/>
            </w:pPr>
            <w:r>
              <w:t xml:space="preserve">tempo de sono 59% maior em 130 minutos; nenhuma sedação clássica</w:t>
            </w:r>
          </w:p>
        </w:tc>
      </w:tr>
      <w:tr>
        <w:tc>
          <w:tcPr/>
          <w:p>
            <w:pPr>
              <w:pStyle w:val="Compact"/>
              <w:jc w:val="left"/>
            </w:pPr>
            <w:r>
              <w:t xml:space="preserve">Schneider-Helmert 1981, PMID 7028502</w:t>
            </w:r>
          </w:p>
        </w:tc>
        <w:tc>
          <w:tcPr/>
          <w:p>
            <w:pPr>
              <w:pStyle w:val="Compact"/>
              <w:jc w:val="left"/>
            </w:pPr>
            <w:r>
              <w:t xml:space="preserve">6 pessoas com insônia crônica</w:t>
            </w:r>
          </w:p>
        </w:tc>
        <w:tc>
          <w:tcPr/>
          <w:p>
            <w:pPr>
              <w:pStyle w:val="Compact"/>
              <w:jc w:val="left"/>
            </w:pPr>
            <w:r>
              <w:t xml:space="preserve">administração única</w:t>
            </w:r>
          </w:p>
        </w:tc>
        <w:tc>
          <w:tcPr/>
          <w:p>
            <w:pPr>
              <w:pStyle w:val="Compact"/>
              <w:jc w:val="left"/>
            </w:pPr>
            <w:r>
              <w:t xml:space="preserve">sono mais longo e menos interrompido</w:t>
            </w:r>
          </w:p>
        </w:tc>
      </w:tr>
      <w:tr>
        <w:tc>
          <w:tcPr/>
          <w:p>
            <w:pPr>
              <w:pStyle w:val="Compact"/>
              <w:jc w:val="left"/>
            </w:pPr>
            <w:r>
              <w:t xml:space="preserve">Schneider-Helmert 1987, PMID 3622582</w:t>
            </w:r>
          </w:p>
        </w:tc>
        <w:tc>
          <w:tcPr/>
          <w:p>
            <w:pPr>
              <w:pStyle w:val="Compact"/>
              <w:jc w:val="left"/>
            </w:pPr>
            <w:r>
              <w:t xml:space="preserve">14 pessoas com insônia crônica grave, duplo-cego contra placebo</w:t>
            </w:r>
          </w:p>
        </w:tc>
        <w:tc>
          <w:tcPr/>
          <w:p>
            <w:pPr>
              <w:pStyle w:val="Compact"/>
              <w:jc w:val="left"/>
            </w:pPr>
            <w:r>
              <w:t xml:space="preserve">7 noites</w:t>
            </w:r>
          </w:p>
        </w:tc>
        <w:tc>
          <w:tcPr/>
          <w:p>
            <w:pPr>
              <w:pStyle w:val="Compact"/>
              <w:jc w:val="left"/>
            </w:pPr>
            <w:r>
              <w:t xml:space="preserve">eficiência do sono e desempenho diurno, segundo os autores, no nível de pessoas saudáveis</w:t>
            </w:r>
          </w:p>
        </w:tc>
      </w:tr>
      <w:tr>
        <w:tc>
          <w:tcPr/>
          <w:p>
            <w:pPr>
              <w:pStyle w:val="Compact"/>
              <w:jc w:val="left"/>
            </w:pPr>
            <w:r>
              <w:t xml:space="preserve">Monti 1987, PMID 3583493</w:t>
            </w:r>
          </w:p>
        </w:tc>
        <w:tc>
          <w:tcPr/>
          <w:p>
            <w:pPr>
              <w:pStyle w:val="Compact"/>
              <w:jc w:val="left"/>
            </w:pPr>
            <w:r>
              <w:t xml:space="preserve">pessoas com insônia crônica, duplo-cego, cruzado</w:t>
            </w:r>
          </w:p>
        </w:tc>
        <w:tc>
          <w:tcPr/>
          <w:p>
            <w:pPr>
              <w:pStyle w:val="Compact"/>
              <w:jc w:val="left"/>
            </w:pPr>
            <w:r>
              <w:t xml:space="preserve">4 noites</w:t>
            </w:r>
          </w:p>
        </w:tc>
        <w:tc>
          <w:tcPr/>
          <w:p>
            <w:pPr>
              <w:pStyle w:val="Compact"/>
              <w:jc w:val="left"/>
            </w:pPr>
            <w:r>
              <w:t xml:space="preserve">melhoras</w:t>
            </w:r>
            <w:r>
              <w:t xml:space="preserve"> </w:t>
            </w:r>
            <w:r>
              <w:t xml:space="preserve">“</w:t>
            </w:r>
            <w:r>
              <w:t xml:space="preserve">de pouca relevância clínica</w:t>
            </w:r>
            <w:r>
              <w:t xml:space="preserve">”</w:t>
            </w:r>
            <w:r>
              <w:t xml:space="preserve">; diferenças já existiam antes do tratamento</w:t>
            </w:r>
          </w:p>
        </w:tc>
      </w:tr>
      <w:tr>
        <w:tc>
          <w:tcPr/>
          <w:p>
            <w:pPr>
              <w:pStyle w:val="Compact"/>
              <w:jc w:val="left"/>
            </w:pPr>
            <w:r>
              <w:t xml:space="preserve">Bes 1992, PMID 1299794</w:t>
            </w:r>
          </w:p>
        </w:tc>
        <w:tc>
          <w:tcPr/>
          <w:p>
            <w:pPr>
              <w:pStyle w:val="Compact"/>
              <w:jc w:val="left"/>
            </w:pPr>
            <w:r>
              <w:t xml:space="preserve">16 pessoas com insônia crônica, duplo-cego contra placebo</w:t>
            </w:r>
          </w:p>
        </w:tc>
        <w:tc>
          <w:tcPr/>
          <w:p>
            <w:pPr>
              <w:pStyle w:val="Compact"/>
              <w:jc w:val="left"/>
            </w:pPr>
            <w:r>
              <w:t xml:space="preserve">3 noites</w:t>
            </w:r>
          </w:p>
        </w:tc>
        <w:tc>
          <w:tcPr/>
          <w:p>
            <w:pPr>
              <w:pStyle w:val="Compact"/>
              <w:jc w:val="left"/>
            </w:pPr>
            <w:r>
              <w:t xml:space="preserve">efeitos fracos, em parte explicáveis por flutuação aleatória;</w:t>
            </w:r>
            <w:r>
              <w:t xml:space="preserve"> </w:t>
            </w:r>
            <w:r>
              <w:t xml:space="preserve">“</w:t>
            </w:r>
            <w:r>
              <w:t xml:space="preserve">nenhum benefício terapêutico maior</w:t>
            </w:r>
            <w:r>
              <w:t xml:space="preserve">”</w:t>
            </w:r>
          </w:p>
        </w:tc>
      </w:tr>
    </w:tbl>
    <w:p>
      <w:pPr>
        <w:pStyle w:val="BodyText"/>
      </w:pPr>
      <w:r>
        <w:t xml:space="preserve">Os primeiros estudos vieram quase todos de um único grupo de pesquisa de Basileia e foram todos positivos. Em seis voluntários saudáveis, uma infusão matinal prolongou o tempo de sono nas pouco mais de duas horas seguintes em 59%, sem que os participantes parecessem sedados no sentido clássico</w:t>
      </w:r>
      <w:r>
        <w:rPr>
          <w:rStyle w:val="FootnoteReference"/>
        </w:rPr>
        <w:footnoteReference w:id="1741"/>
      </w:r>
      <w:r>
        <w:t xml:space="preserve">. Em 14 pessoas com insônia grave, a eficiência do sono e o desempenho diurno alcançaram, após sete noites, segundo os autores, o nível de controles saudáveis</w:t>
      </w:r>
      <w:r>
        <w:rPr>
          <w:rStyle w:val="FootnoteReference"/>
        </w:rPr>
        <w:footnoteReference w:id="1742"/>
      </w:r>
      <w:r>
        <w:t xml:space="preserve">.</w:t>
      </w:r>
    </w:p>
    <w:p>
      <w:pPr>
        <w:pStyle w:val="BodyText"/>
      </w:pPr>
      <w:r>
        <w:t xml:space="preserve">Grupos independentes não conseguiram confirmar isso. Um estudo encontrou de fato mais sono total e sono NREM, mas as diferenças significativas em relação ao placebo (sono NREM e estágio 2 do sono) já existiam antes do tratamento; os autores avaliaram a melhora como de pouca relevância clínica</w:t>
      </w:r>
      <w:r>
        <w:rPr>
          <w:rStyle w:val="FootnoteReference"/>
        </w:rPr>
        <w:footnoteReference w:id="1743"/>
      </w:r>
      <w:r>
        <w:t xml:space="preserve">. Outro estudo, com 16 pessoas, encontrou efeitos estatisticamente significativos, mas fracos, na eficiência do sono e na latência do sono, em parte explicáveis por uma alteração aleatória no grupo placebo; a qualidade subjetiva do sono não se alterou. Sua conclusão: um tratamento de curta duração com DSIP provavelmente não tem benefício terapêutico maior</w:t>
      </w:r>
      <w:r>
        <w:rPr>
          <w:rStyle w:val="FootnoteReference"/>
        </w:rPr>
        <w:footnoteReference w:id="1744"/>
      </w:r>
      <w:r>
        <w:t xml:space="preserve">.</w:t>
      </w:r>
    </w:p>
    <w:p>
      <w:pPr>
        <w:pStyle w:val="BodyText"/>
      </w:pPr>
      <w:r>
        <w:t xml:space="preserve">Esse padrão – primeiros relatos entusiasmados, repetições decepcionantes – é típico de substâncias cujo efeito se baseia em estudos muito pequenos.</w:t>
      </w:r>
    </w:p>
    <w:bookmarkEnd w:id="1745"/>
    <w:bookmarkStart w:id="1751" w:name="abstinência-dor-e-outras-aplicações"/>
    <w:p>
      <w:pPr>
        <w:pStyle w:val="Heading4"/>
      </w:pPr>
      <w:r>
        <w:t xml:space="preserve">Abstinência, dor e outras aplicações</w:t>
      </w:r>
    </w:p>
    <w:p>
      <w:pPr>
        <w:pStyle w:val="FirstParagraph"/>
      </w:pPr>
      <w:r>
        <w:t xml:space="preserve">Nos anos 1980, o DSIP foi usado em 107 pessoas internadas em abstinência de álcool ou opiáceos; segundo avaliação médica, os sintomas de abstinência desapareceram ou melhoraram claramente em 97% dos dependentes de opiáceos e 87% dos dependentes de álcool. Não havia grupo controle, e parte das pessoas não pôde ser avaliada</w:t>
      </w:r>
      <w:r>
        <w:rPr>
          <w:rStyle w:val="FootnoteReference"/>
        </w:rPr>
        <w:footnoteReference w:id="1746"/>
      </w:r>
      <w:r>
        <w:t xml:space="preserve">. Um estudo aberto posterior sobre desintoxicação de opioides foi publicado apenas como comunicação breve, sem resumo</w:t>
      </w:r>
      <w:r>
        <w:rPr>
          <w:rStyle w:val="FootnoteReference"/>
        </w:rPr>
        <w:footnoteReference w:id="1747"/>
      </w:r>
      <w:r>
        <w:t xml:space="preserve">. Outros relatos isolados se referem a sete pessoas com dor crônica</w:t>
      </w:r>
      <w:r>
        <w:rPr>
          <w:rStyle w:val="FootnoteReference"/>
        </w:rPr>
        <w:footnoteReference w:id="1748"/>
      </w:r>
      <w:r>
        <w:t xml:space="preserve"> </w:t>
      </w:r>
      <w:r>
        <w:t xml:space="preserve">e a um homem com narcolepsia</w:t>
      </w:r>
      <w:r>
        <w:rPr>
          <w:rStyle w:val="FootnoteReference"/>
        </w:rPr>
        <w:footnoteReference w:id="1749"/>
      </w:r>
      <w:r>
        <w:t xml:space="preserve">. Um estudo examinou um preparado de DSIP para administração nasal (Deltalicin) na doença diabética da retina, no qual as respostas elétricas da retina a estímulos melhoraram</w:t>
      </w:r>
      <w:r>
        <w:rPr>
          <w:rStyle w:val="FootnoteReference"/>
        </w:rPr>
        <w:footnoteReference w:id="1750"/>
      </w:r>
      <w:r>
        <w:t xml:space="preserve">.</w:t>
      </w:r>
    </w:p>
    <w:bookmarkEnd w:id="1751"/>
    <w:bookmarkStart w:id="1756" w:name="hormônios-e-anestesia"/>
    <w:p>
      <w:pPr>
        <w:pStyle w:val="Heading4"/>
      </w:pPr>
      <w:r>
        <w:t xml:space="preserve">Hormônios e anestesia</w:t>
      </w:r>
    </w:p>
    <w:p>
      <w:pPr>
        <w:pStyle w:val="FirstParagraph"/>
      </w:pPr>
      <w:r>
        <w:t xml:space="preserve">Vários pequenos estudos em pessoas saudáveis examinaram se o DSIP influencia os hormônios do estresse. Um estudo com onze homens encontrou, após uma injeção, menos ACTH no sangue, mas valores de cortisol inalterados</w:t>
      </w:r>
      <w:r>
        <w:rPr>
          <w:rStyle w:val="FootnoteReference"/>
        </w:rPr>
        <w:footnoteReference w:id="1752"/>
      </w:r>
      <w:r>
        <w:t xml:space="preserve">; outro, com 20 homens ao todo, não encontrou influência sobre ACTH e cortisol</w:t>
      </w:r>
      <w:r>
        <w:rPr>
          <w:rStyle w:val="FootnoteReference"/>
        </w:rPr>
        <w:footnoteReference w:id="1753"/>
      </w:r>
      <w:r>
        <w:t xml:space="preserve">. Sobre o hormônio do crescimento e a prolactina, o DSIP não teve influência em mulheres</w:t>
      </w:r>
      <w:r>
        <w:rPr>
          <w:rStyle w:val="FootnoteReference"/>
        </w:rPr>
        <w:footnoteReference w:id="1754"/>
      </w:r>
      <w:r>
        <w:t xml:space="preserve">.</w:t>
      </w:r>
    </w:p>
    <w:p>
      <w:pPr>
        <w:pStyle w:val="BodyText"/>
      </w:pPr>
      <w:r>
        <w:t xml:space="preserve">Notável é um estudo com 24 mulheres durante uma anestesia: em vez de aprofundar a anestesia, como seria de esperar de uma</w:t>
      </w:r>
      <w:r>
        <w:t xml:space="preserve"> </w:t>
      </w:r>
      <w:r>
        <w:t xml:space="preserve">“</w:t>
      </w:r>
      <w:r>
        <w:t xml:space="preserve">substância natural do sono</w:t>
      </w:r>
      <w:r>
        <w:t xml:space="preserve">”</w:t>
      </w:r>
      <w:r>
        <w:t xml:space="preserve">, o DSIP aumentou a frequência cardíaca e, paradoxalmente, reduziu o ritmo delta no EEG</w:t>
      </w:r>
      <w:r>
        <w:rPr>
          <w:rStyle w:val="FootnoteReference"/>
        </w:rPr>
        <w:footnoteReference w:id="1755"/>
      </w:r>
      <w:r>
        <w:t xml:space="preserve">.</w:t>
      </w:r>
    </w:p>
    <w:bookmarkEnd w:id="1756"/>
    <w:bookmarkEnd w:id="1757"/>
    <w:bookmarkStart w:id="1760" w:name="estudos-em-animais-e-em-laboratório-38"/>
    <w:p>
      <w:pPr>
        <w:pStyle w:val="Heading3"/>
      </w:pPr>
      <w:r>
        <w:t xml:space="preserve">Estudos em animais e em laboratório</w:t>
      </w:r>
    </w:p>
    <w:p>
      <w:pPr>
        <w:numPr>
          <w:ilvl w:val="0"/>
          <w:numId w:val="1212"/>
        </w:numPr>
        <w:pStyle w:val="Compact"/>
      </w:pPr>
      <w:r>
        <w:t xml:space="preserve">Em coelhos e ratos, estudos iniciais descreveram efeitos favoráveis ao sono, que, no entanto, não puderam ser reproduzidos de forma consistente</w:t>
      </w:r>
      <w:r>
        <w:rPr>
          <w:rStyle w:val="FootnoteReference"/>
        </w:rPr>
        <w:footnoteReference w:id="1758"/>
      </w:r>
      <w:r>
        <w:t xml:space="preserve">.</w:t>
      </w:r>
    </w:p>
    <w:p>
      <w:pPr>
        <w:numPr>
          <w:ilvl w:val="0"/>
          <w:numId w:val="1212"/>
        </w:numPr>
        <w:pStyle w:val="Compact"/>
      </w:pPr>
      <w:r>
        <w:t xml:space="preserve">Em camundongos, os 10% mais velhos dos animais que receberam por toda a vida um preparado russo de DSIP viveram 16% mais do que os animais controle; tumores espontâneos surgiram mais tarde</w:t>
      </w:r>
      <w:r>
        <w:rPr>
          <w:rStyle w:val="FootnoteReference"/>
        </w:rPr>
        <w:footnoteReference w:id="1759"/>
      </w:r>
      <w:r>
        <w:t xml:space="preserve">. Esse trabalho vem do círculo da gerontologia russa, que também estuda o Epitalon (veja o capítulo Epitalon).</w:t>
      </w:r>
    </w:p>
    <w:p>
      <w:pPr>
        <w:numPr>
          <w:ilvl w:val="0"/>
          <w:numId w:val="1212"/>
        </w:numPr>
        <w:pStyle w:val="Compact"/>
      </w:pPr>
      <w:r>
        <w:t xml:space="preserve">Outros estudos em animais descrevem efeitos sobre resistência ao estresse, percepção da dor e enzimas antioxidantes.</w:t>
      </w:r>
    </w:p>
    <w:bookmarkEnd w:id="1760"/>
    <w:bookmarkStart w:id="1763" w:name="riscos-e-efeitos-colaterais-38"/>
    <w:p>
      <w:pPr>
        <w:pStyle w:val="Heading3"/>
      </w:pPr>
      <w:r>
        <w:t xml:space="preserve">Riscos e efeitos colaterais</w:t>
      </w:r>
    </w:p>
    <w:p>
      <w:pPr>
        <w:pStyle w:val="FirstParagraph"/>
      </w:pPr>
      <w:r>
        <w:rPr>
          <w:bCs/>
          <w:b/>
        </w:rPr>
        <w:t xml:space="preserve">Comprovado:</w:t>
      </w:r>
      <w:r>
        <w:t xml:space="preserve"> </w:t>
      </w:r>
      <w:r>
        <w:t xml:space="preserve">nos pequenos estudos, o DSIP foi descrito como bem tolerado; ocasionalmente ocorreram dores de cabeça</w:t>
      </w:r>
      <w:r>
        <w:rPr>
          <w:rStyle w:val="FootnoteReference"/>
        </w:rPr>
        <w:footnoteReference w:id="1761"/>
      </w:r>
      <w:r>
        <w:t xml:space="preserve">. Sob anestesia, aumentou a frequência cardíaca e reduziu a variabilidade da frequência cardíaca</w:t>
      </w:r>
      <w:r>
        <w:rPr>
          <w:rStyle w:val="FootnoteReference"/>
        </w:rPr>
        <w:footnoteReference w:id="1762"/>
      </w:r>
      <w:r>
        <w:t xml:space="preserve">. Não há dados sistemáticos de segurança para mais do que poucos dias.</w:t>
      </w:r>
    </w:p>
    <w:p>
      <w:pPr>
        <w:pStyle w:val="BodyText"/>
      </w:pPr>
      <w:r>
        <w:rPr>
          <w:bCs/>
          <w:b/>
        </w:rPr>
        <w:t xml:space="preserve">Teórico:</w:t>
      </w:r>
      <w:r>
        <w:t xml:space="preserve"> </w:t>
      </w:r>
      <w:r>
        <w:t xml:space="preserve">como nem o receptor nem a função natural foram esclarecidos, efeitos e interações – por exemplo com soníferos, álcool ou opioides – dificilmente podem ser previstos.</w:t>
      </w:r>
    </w:p>
    <w:p>
      <w:pPr>
        <w:pStyle w:val="BodyText"/>
      </w:pPr>
      <w:r>
        <w:rPr>
          <w:bCs/>
          <w:b/>
        </w:rPr>
        <w:t xml:space="preserve">Mercado cinza:</w:t>
      </w:r>
      <w:r>
        <w:t xml:space="preserve"> </w:t>
      </w:r>
      <w:r>
        <w:t xml:space="preserve">o DSIP é vendido online como pó para injeção e anunciado como sonífero. Os preparados usados nos estudos eram infundidos na veia; faltam dados sobre a injeção subcutânea. Pureza e teor dos produtos do mercado cinza não são verificados.</w:t>
      </w:r>
    </w:p>
    <w:p>
      <w:pPr>
        <w:pStyle w:val="BodyText"/>
      </w:pPr>
      <w:r>
        <w:rPr>
          <w:bCs/>
          <w:b/>
        </w:rPr>
        <w:t xml:space="preserve">Importante:</w:t>
      </w:r>
      <w:r>
        <w:t xml:space="preserve"> </w:t>
      </w:r>
      <w:r>
        <w:t xml:space="preserve">para a insônia crônica existem tratamentos eficazes e bem estudados, sobretudo a terapia cognitivo-comportamental para insônia.</w:t>
      </w:r>
    </w:p>
    <w:bookmarkEnd w:id="1763"/>
    <w:bookmarkStart w:id="1764" w:name="situação-legal-38"/>
    <w:p>
      <w:pPr>
        <w:pStyle w:val="Heading3"/>
      </w:pPr>
      <w:r>
        <w:t xml:space="preserve">Situação legal</w:t>
      </w:r>
    </w:p>
    <w:p>
      <w:pPr>
        <w:numPr>
          <w:ilvl w:val="0"/>
          <w:numId w:val="1213"/>
        </w:numPr>
        <w:pStyle w:val="Compact"/>
      </w:pPr>
      <w:r>
        <w:rPr>
          <w:bCs/>
          <w:b/>
        </w:rPr>
        <w:t xml:space="preserve">UE / Áustria / Alemanha:</w:t>
      </w:r>
      <w:r>
        <w:t xml:space="preserve"> </w:t>
      </w:r>
      <w:r>
        <w:t xml:space="preserve">não aprovado; como substância com efeito farmacológico, o DSIP é considerado medicamento, e a venda para uso em humanos não é permitida.</w:t>
      </w:r>
    </w:p>
    <w:p>
      <w:pPr>
        <w:numPr>
          <w:ilvl w:val="0"/>
          <w:numId w:val="1213"/>
        </w:numPr>
        <w:pStyle w:val="Compact"/>
      </w:pPr>
      <w:r>
        <w:rPr>
          <w:bCs/>
          <w:b/>
        </w:rPr>
        <w:t xml:space="preserve">EUA:</w:t>
      </w:r>
      <w:r>
        <w:t xml:space="preserve"> </w:t>
      </w:r>
      <w:r>
        <w:t xml:space="preserve">não aprovado; o comitê consultivo PCAC manifestou-se em julho de 2026, por pequena margem, contra a permissão para preparações de farmácia. A decisão final da FDA estava pendente no fechamento desta edição (situação em outubro de 2026, verificar atualização).</w:t>
      </w:r>
    </w:p>
    <w:p>
      <w:pPr>
        <w:numPr>
          <w:ilvl w:val="0"/>
          <w:numId w:val="1213"/>
        </w:numPr>
        <w:pStyle w:val="Compact"/>
      </w:pPr>
      <w:r>
        <w:rPr>
          <w:bCs/>
          <w:b/>
        </w:rPr>
        <w:t xml:space="preserve">Esporte:</w:t>
      </w:r>
      <w:r>
        <w:t xml:space="preserve"> </w:t>
      </w:r>
      <w:r>
        <w:t xml:space="preserve">não listado nominalmente na lista da WADA (situação em 2026, verificar atualização).</w:t>
      </w:r>
    </w:p>
    <w:bookmarkEnd w:id="1764"/>
    <w:bookmarkStart w:id="1765" w:name="estudos-em-andamento-e-perspectivas-38"/>
    <w:p>
      <w:pPr>
        <w:pStyle w:val="Heading3"/>
      </w:pPr>
      <w:r>
        <w:t xml:space="preserve">Estudos em andamento e perspectivas</w:t>
      </w:r>
    </w:p>
    <w:p>
      <w:pPr>
        <w:pStyle w:val="FirstParagraph"/>
      </w:pPr>
      <w:r>
        <w:rPr>
          <w:bCs/>
          <w:b/>
        </w:rPr>
        <w:t xml:space="preserve">Comprovado:</w:t>
      </w:r>
      <w:r>
        <w:t xml:space="preserve"> </w:t>
      </w:r>
      <w:r>
        <w:t xml:space="preserve">no ClinicalTrials.gov não há estudo registrado com DSIP (consulta de outubro de 2026). Desde os anos 1990, praticamente não surgiram novos dados clínicos.</w:t>
      </w:r>
    </w:p>
    <w:p>
      <w:pPr>
        <w:pStyle w:val="BodyText"/>
      </w:pPr>
      <w:r>
        <w:rPr>
          <w:bCs/>
          <w:b/>
        </w:rPr>
        <w:t xml:space="preserve">Avaliação:</w:t>
      </w:r>
      <w:r>
        <w:t xml:space="preserve"> </w:t>
      </w:r>
      <w:r>
        <w:t xml:space="preserve">sem clareza sobre o receptor e a função natural e sem um estudo de sono moderno e suficientemente grande, não é de esperar que o DSIP retorne como medicamento.</w:t>
      </w:r>
    </w:p>
    <w:bookmarkEnd w:id="1765"/>
    <w:bookmarkStart w:id="1766" w:name="conclusão-38"/>
    <w:p>
      <w:pPr>
        <w:pStyle w:val="Heading3"/>
      </w:pPr>
      <w:r>
        <w:t xml:space="preserve">Conclusão</w:t>
      </w:r>
    </w:p>
    <w:p>
      <w:pPr>
        <w:pStyle w:val="FirstParagraph"/>
      </w:pPr>
      <w:r>
        <w:t xml:space="preserve">O DSIP foi descoberto em 1977 como possível</w:t>
      </w:r>
      <w:r>
        <w:t xml:space="preserve"> </w:t>
      </w:r>
      <w:r>
        <w:t xml:space="preserve">“</w:t>
      </w:r>
      <w:r>
        <w:t xml:space="preserve">substância do sono</w:t>
      </w:r>
      <w:r>
        <w:t xml:space="preserve">”</w:t>
      </w:r>
      <w:r>
        <w:t xml:space="preserve"> </w:t>
      </w:r>
      <w:r>
        <w:t xml:space="preserve">do próprio organismo, mas gene, receptor e função natural continuam desconhecidos até hoje. Estudos iniciais de um grupo de Basileia, com seis a 14 pessoas cada, relataram sono melhor; estudos independentes controlados por placebo encontraram apenas efeitos fracos e de pouca relevância clínica. Dados mais recentes em humanos quase não existem. Os dados não são suficientes para considerar o DSIP um sonífero eficaz ou seguro.</w:t>
      </w:r>
    </w:p>
    <w:bookmarkEnd w:id="1766"/>
    <w:bookmarkEnd w:id="1767"/>
    <w:bookmarkStart w:id="1797" w:name="epitalon-epithalon"/>
    <w:p>
      <w:pPr>
        <w:pStyle w:val="Heading2"/>
      </w:pPr>
      <w:r>
        <w:t xml:space="preserve">Epitalon (Epithalon)</w:t>
      </w:r>
    </w:p>
    <w:bookmarkStart w:id="1768" w:name="ficha-técnica-39"/>
    <w:p>
      <w:pPr>
        <w:pStyle w:val="Heading3"/>
      </w:pPr>
      <w:r>
        <w:t xml:space="preserve">Ficha técnica</w:t>
      </w:r>
    </w:p>
    <w:p>
      <w:pPr>
        <w:numPr>
          <w:ilvl w:val="0"/>
          <w:numId w:val="1214"/>
        </w:numPr>
        <w:pStyle w:val="Compact"/>
      </w:pPr>
      <w:r>
        <w:rPr>
          <w:bCs/>
          <w:b/>
        </w:rPr>
        <w:t xml:space="preserve">Tipo e estrutura:</w:t>
      </w:r>
      <w:r>
        <w:t xml:space="preserve"> </w:t>
      </w:r>
      <w:r>
        <w:t xml:space="preserve">tetrapeptídeo sintético de quatro aminoácidos: Ala-Glu-Asp-Gly (abreviado AEDG). Grafias: Epitalon, Epithalon, Epithalone.</w:t>
      </w:r>
    </w:p>
    <w:p>
      <w:pPr>
        <w:numPr>
          <w:ilvl w:val="0"/>
          <w:numId w:val="1214"/>
        </w:numPr>
        <w:pStyle w:val="Compact"/>
      </w:pPr>
      <w:r>
        <w:rPr>
          <w:bCs/>
          <w:b/>
        </w:rPr>
        <w:t xml:space="preserve">Origem:</w:t>
      </w:r>
      <w:r>
        <w:t xml:space="preserve"> </w:t>
      </w:r>
      <w:r>
        <w:t xml:space="preserve">desenvolvido nos anos 1980 e 1990 no Instituto de Biorregulação e Gerontologia de São Petersburgo, sob a direção de Vladimir Khavinson (em artigos especializados: Khavinson). A sequência de aminoácidos foi derivada da composição da</w:t>
      </w:r>
      <w:r>
        <w:t xml:space="preserve"> </w:t>
      </w:r>
      <w:r>
        <w:rPr>
          <w:bCs/>
          <w:b/>
        </w:rPr>
        <w:t xml:space="preserve">epitalamina</w:t>
      </w:r>
      <w:r>
        <w:t xml:space="preserve">, um extrato da glândula pineal (epífise) de bovinos. Epitalon e epitalamina são substâncias quimicamente diferentes.</w:t>
      </w:r>
    </w:p>
    <w:p>
      <w:pPr>
        <w:numPr>
          <w:ilvl w:val="0"/>
          <w:numId w:val="1214"/>
        </w:numPr>
        <w:pStyle w:val="Compact"/>
      </w:pPr>
      <w:r>
        <w:rPr>
          <w:bCs/>
          <w:b/>
        </w:rPr>
        <w:t xml:space="preserve">Princípio de ação:</w:t>
      </w:r>
      <w:r>
        <w:t xml:space="preserve"> </w:t>
      </w:r>
      <w:r>
        <w:t xml:space="preserve">como</w:t>
      </w:r>
      <w:r>
        <w:t xml:space="preserve"> </w:t>
      </w:r>
      <w:r>
        <w:t xml:space="preserve">“</w:t>
      </w:r>
      <w:r>
        <w:t xml:space="preserve">biorregulador peptídico</w:t>
      </w:r>
      <w:r>
        <w:t xml:space="preserve">”</w:t>
      </w:r>
      <w:r>
        <w:t xml:space="preserve">, normalizaria a função da glândula pineal, favoreceria a produção de melatonina na velhice e ativaria a enzima telomerase, que alonga as extremidades dos cromossomos (telômeros).</w:t>
      </w:r>
    </w:p>
    <w:p>
      <w:pPr>
        <w:numPr>
          <w:ilvl w:val="0"/>
          <w:numId w:val="1214"/>
        </w:numPr>
        <w:pStyle w:val="Compact"/>
      </w:pPr>
      <w:r>
        <w:rPr>
          <w:bCs/>
          <w:b/>
        </w:rPr>
        <w:t xml:space="preserve">Aprovação UE:</w:t>
      </w:r>
      <w:r>
        <w:t xml:space="preserve"> </w:t>
      </w:r>
      <w:r>
        <w:t xml:space="preserve">não.</w:t>
      </w:r>
    </w:p>
    <w:p>
      <w:pPr>
        <w:numPr>
          <w:ilvl w:val="0"/>
          <w:numId w:val="1214"/>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4, a favor da inclusão na lista de substâncias permitidas para manipulação, contra a recomendação dos especialistas da FDA. Isso não é uma aprovação como medicamento (situação em outubro de 2026, verificar atualização).</w:t>
      </w:r>
    </w:p>
    <w:p>
      <w:pPr>
        <w:numPr>
          <w:ilvl w:val="0"/>
          <w:numId w:val="1214"/>
        </w:numPr>
        <w:pStyle w:val="Compact"/>
      </w:pPr>
      <w:r>
        <w:rPr>
          <w:bCs/>
          <w:b/>
        </w:rPr>
        <w:t xml:space="preserve">WADA:</w:t>
      </w:r>
      <w:r>
        <w:t xml:space="preserve"> </w:t>
      </w:r>
      <w:r>
        <w:t xml:space="preserve">não listado nominalmente; como substância não aprovada como medicamento em nenhum lugar, o Epitalon se enquadra, em nossa avaliação, na categoria geral S0.</w:t>
      </w:r>
    </w:p>
    <w:p>
      <w:pPr>
        <w:numPr>
          <w:ilvl w:val="0"/>
          <w:numId w:val="1214"/>
        </w:numPr>
        <w:pStyle w:val="Compact"/>
      </w:pPr>
      <w:r>
        <w:rPr>
          <w:bCs/>
          <w:b/>
        </w:rPr>
        <w:t xml:space="preserve">Nível de evidência:</w:t>
      </w:r>
      <w:r>
        <w:t xml:space="preserve"> </w:t>
      </w:r>
      <w:r>
        <w:rPr>
          <w:bCs/>
          <w:b/>
        </w:rPr>
        <w:t xml:space="preserve">C</w:t>
      </w:r>
      <w:r>
        <w:t xml:space="preserve"> </w:t>
      </w:r>
      <w:r>
        <w:t xml:space="preserve">– apenas um pequeno estudo controlado com o peptídeo sintético em humanos; os demais dados em humanos se referem ao extrato epitalamina ou a células em tubo de ensaio.</w:t>
      </w:r>
    </w:p>
    <w:bookmarkEnd w:id="1768"/>
    <w:bookmarkStart w:id="1772" w:name="como-deveria-agir-39"/>
    <w:p>
      <w:pPr>
        <w:pStyle w:val="Heading3"/>
      </w:pPr>
      <w:r>
        <w:t xml:space="preserve">Como deveria agir</w:t>
      </w:r>
    </w:p>
    <w:p>
      <w:pPr>
        <w:pStyle w:val="FirstParagraph"/>
      </w:pPr>
      <w:r>
        <w:t xml:space="preserve">A glândula pineal é um pequeno órgão no cérebro que produz à noite o hormônio melatonina e assim ajuda a controlar o ritmo dia-noite. Com a idade, a produção de melatonina diminui. O grupo de São Petersburgo partia do princípio de que peptídeos curtos de órgãos poderiam, como</w:t>
      </w:r>
      <w:r>
        <w:t xml:space="preserve"> </w:t>
      </w:r>
      <w:r>
        <w:t xml:space="preserve">“</w:t>
      </w:r>
      <w:r>
        <w:t xml:space="preserve">biorreguladores</w:t>
      </w:r>
      <w:r>
        <w:t xml:space="preserve">”</w:t>
      </w:r>
      <w:r>
        <w:t xml:space="preserve">, restaurar a função justamente desses órgãos – da glândula pineal para a glândula pineal, do timo para o sistema imunológico (veja também o capítulo Timalina e timogênio na Parte II · B).</w:t>
      </w:r>
    </w:p>
    <w:p>
      <w:pPr>
        <w:pStyle w:val="BodyText"/>
      </w:pPr>
      <w:r>
        <w:t xml:space="preserve">Para o Epitalon descrevem-se vários mecanismos, quase todos de experimentos de laboratório e com animais do grupo desenvolvedor:</w:t>
      </w:r>
    </w:p>
    <w:p>
      <w:pPr>
        <w:numPr>
          <w:ilvl w:val="0"/>
          <w:numId w:val="1215"/>
        </w:numPr>
        <w:pStyle w:val="Compact"/>
      </w:pPr>
      <w:r>
        <w:rPr>
          <w:bCs/>
          <w:b/>
        </w:rPr>
        <w:t xml:space="preserve">Telomerase e telômeros:</w:t>
      </w:r>
      <w:r>
        <w:t xml:space="preserve"> </w:t>
      </w:r>
      <w:r>
        <w:t xml:space="preserve">os telômeros são extremidades protetoras dos cromossomos que ficam um pouco mais curtas a cada divisão celular. A enzima telomerase pode alongá-los novamente; na maioria das células do corpo, ela está desligada. Em culturas de fibroblastos humanos (células do tecido conjuntivo) de fetos, o Epitalon teria ligado a telomerase e alongado os telômeros</w:t>
      </w:r>
      <w:r>
        <w:rPr>
          <w:rStyle w:val="FootnoteReference"/>
        </w:rPr>
        <w:footnoteReference w:id="1769"/>
      </w:r>
      <w:r>
        <w:t xml:space="preserve">.</w:t>
      </w:r>
    </w:p>
    <w:p>
      <w:pPr>
        <w:numPr>
          <w:ilvl w:val="0"/>
          <w:numId w:val="1215"/>
        </w:numPr>
        <w:pStyle w:val="Compact"/>
      </w:pPr>
      <w:r>
        <w:rPr>
          <w:bCs/>
          <w:b/>
        </w:rPr>
        <w:t xml:space="preserve">Cromatina e genes:</w:t>
      </w:r>
      <w:r>
        <w:t xml:space="preserve"> </w:t>
      </w:r>
      <w:r>
        <w:t xml:space="preserve">em linfócitos de pessoas de 76 a 80 anos, o Epitalon teria, em tubo de ensaio, descompactado material genético</w:t>
      </w:r>
      <w:r>
        <w:t xml:space="preserve"> </w:t>
      </w:r>
      <w:r>
        <w:t xml:space="preserve">“</w:t>
      </w:r>
      <w:r>
        <w:t xml:space="preserve">condensado</w:t>
      </w:r>
      <w:r>
        <w:t xml:space="preserve">”</w:t>
      </w:r>
      <w:r>
        <w:t xml:space="preserve"> </w:t>
      </w:r>
      <w:r>
        <w:t xml:space="preserve">e ativado genes silenciados</w:t>
      </w:r>
      <w:r>
        <w:rPr>
          <w:rStyle w:val="FootnoteReference"/>
        </w:rPr>
        <w:footnoteReference w:id="1770"/>
      </w:r>
      <w:r>
        <w:t xml:space="preserve">. O grupo postula que peptídeos curtos se ligam diretamente ao DNA.</w:t>
      </w:r>
    </w:p>
    <w:p>
      <w:pPr>
        <w:numPr>
          <w:ilvl w:val="0"/>
          <w:numId w:val="1215"/>
        </w:numPr>
        <w:pStyle w:val="Compact"/>
      </w:pPr>
      <w:r>
        <w:rPr>
          <w:bCs/>
          <w:b/>
        </w:rPr>
        <w:t xml:space="preserve">Melatonina:</w:t>
      </w:r>
      <w:r>
        <w:t xml:space="preserve"> </w:t>
      </w:r>
      <w:r>
        <w:t xml:space="preserve">em culturas de células e em animais, o Epitalon influenciou a produção de melatonina.</w:t>
      </w:r>
    </w:p>
    <w:p>
      <w:pPr>
        <w:pStyle w:val="FirstParagraph"/>
      </w:pPr>
      <w:r>
        <w:t xml:space="preserve">Um artigo de revisão de 2025 resume que, apesar de 25 anos de pesquisa, continua incerto se esses mecanismos são os únicos, e que há poucos estudos fundamentais físico-químicos e estruturais do peptídeo</w:t>
      </w:r>
      <w:r>
        <w:rPr>
          <w:rStyle w:val="FootnoteReference"/>
        </w:rPr>
        <w:footnoteReference w:id="1771"/>
      </w:r>
      <w:r>
        <w:t xml:space="preserve">.</w:t>
      </w:r>
    </w:p>
    <w:bookmarkEnd w:id="1772"/>
    <w:bookmarkStart w:id="1783" w:name="estudos-em-humanos-39"/>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apenas</w:t>
      </w:r>
      <w:r>
        <w:t xml:space="preserve"> </w:t>
      </w:r>
      <w:r>
        <w:rPr>
          <w:bCs/>
          <w:b/>
        </w:rPr>
        <w:t xml:space="preserve">uma</w:t>
      </w:r>
      <w:r>
        <w:t xml:space="preserve"> </w:t>
      </w:r>
      <w:r>
        <w:t xml:space="preserve">publicação classificada como estudo em humanos sobre o Epitalon; ao todo, o PubMed lista cerca de 120 trabalhos com os termos de busca, em sua grande maioria estudos em animais e células de São Petersburgo. No ClinicalTrials.gov há um estudo registrado (veja as perspectivas). Uma revisão independente atual chega ao mesmo resultado: os dados em humanos sobre o Epitalon sintético se limitam a pequenos estudos fisiológicos ou de biomarcadores e a um estudo controlado mais antigo em retinite pigmentosa; nenhum estudo randomizado suficientemente grande comprovou eficácia terapêutica</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Substância estudada e desenho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estudo controlado em degeneração hereditária da retina (retinite pigmentosa)</w:t>
            </w:r>
          </w:p>
        </w:tc>
        <w:tc>
          <w:tcPr/>
          <w:p>
            <w:pPr>
              <w:pStyle w:val="Compact"/>
              <w:jc w:val="left"/>
            </w:pPr>
            <w:r>
              <w:t xml:space="preserve">não informado no resumo</w:t>
            </w:r>
          </w:p>
        </w:tc>
        <w:tc>
          <w:tcPr/>
          <w:p>
            <w:pPr>
              <w:pStyle w:val="Compact"/>
              <w:jc w:val="left"/>
            </w:pPr>
            <w:r>
              <w:t xml:space="preserve">“</w:t>
            </w:r>
            <w:r>
              <w:t xml:space="preserve">efeito clínico positivo em 90% dos casos</w:t>
            </w:r>
            <w:r>
              <w:t xml:space="preserve">”</w:t>
            </w:r>
          </w:p>
        </w:tc>
      </w:tr>
      <w:tr>
        <w:tc>
          <w:tcPr/>
          <w:p>
            <w:pPr>
              <w:pStyle w:val="Compact"/>
              <w:jc w:val="left"/>
            </w:pPr>
            <w:r>
              <w:t xml:space="preserve">Khavinson 2003, PMID 14523363</w:t>
            </w:r>
          </w:p>
        </w:tc>
        <w:tc>
          <w:tcPr/>
          <w:p>
            <w:pPr>
              <w:pStyle w:val="Compact"/>
              <w:jc w:val="left"/>
            </w:pPr>
            <w:r>
              <w:t xml:space="preserve">epitalamina (extrato) e timalina em idosos, grupo controle</w:t>
            </w:r>
          </w:p>
        </w:tc>
        <w:tc>
          <w:tcPr/>
          <w:p>
            <w:pPr>
              <w:pStyle w:val="Compact"/>
              <w:jc w:val="left"/>
            </w:pPr>
            <w:r>
              <w:t xml:space="preserve">266 pessoas, 6–8 anos</w:t>
            </w:r>
          </w:p>
        </w:tc>
        <w:tc>
          <w:tcPr/>
          <w:p>
            <w:pPr>
              <w:pStyle w:val="Compact"/>
              <w:jc w:val="left"/>
            </w:pPr>
            <w:r>
              <w:t xml:space="preserve">segundo os autores, mortalidade 1,6 a 1,8 vez menor com epitalamina</w:t>
            </w:r>
          </w:p>
        </w:tc>
      </w:tr>
      <w:tr>
        <w:tc>
          <w:tcPr/>
          <w:p>
            <w:pPr>
              <w:pStyle w:val="Compact"/>
              <w:jc w:val="left"/>
            </w:pPr>
            <w:r>
              <w:t xml:space="preserve">Labunets 2004, PMID 15455130</w:t>
            </w:r>
          </w:p>
        </w:tc>
        <w:tc>
          <w:tcPr/>
          <w:p>
            <w:pPr>
              <w:pStyle w:val="Compact"/>
              <w:jc w:val="left"/>
            </w:pPr>
            <w:r>
              <w:t xml:space="preserve">epitalamina, ciclo em idosos</w:t>
            </w:r>
          </w:p>
        </w:tc>
        <w:tc>
          <w:tcPr/>
          <w:p>
            <w:pPr>
              <w:pStyle w:val="Compact"/>
              <w:jc w:val="left"/>
            </w:pPr>
            <w:r>
              <w:t xml:space="preserve">não informado no resumo</w:t>
            </w:r>
          </w:p>
        </w:tc>
        <w:tc>
          <w:tcPr/>
          <w:p>
            <w:pPr>
              <w:pStyle w:val="Compact"/>
              <w:jc w:val="left"/>
            </w:pPr>
            <w:r>
              <w:t xml:space="preserve">ritmo da melatonina e fator tímico</w:t>
            </w:r>
            <w:r>
              <w:t xml:space="preserve"> </w:t>
            </w:r>
            <w:r>
              <w:t xml:space="preserve">“</w:t>
            </w:r>
            <w:r>
              <w:t xml:space="preserve">mais jovens</w:t>
            </w:r>
            <w:r>
              <w:t xml:space="preserve">”</w:t>
            </w:r>
          </w:p>
        </w:tc>
      </w:tr>
      <w:tr>
        <w:tc>
          <w:tcPr/>
          <w:p>
            <w:pPr>
              <w:pStyle w:val="Compact"/>
              <w:jc w:val="left"/>
            </w:pPr>
            <w:r>
              <w:t xml:space="preserve">Khavinson 2019, PMID 31761987</w:t>
            </w:r>
          </w:p>
        </w:tc>
        <w:tc>
          <w:tcPr/>
          <w:p>
            <w:pPr>
              <w:pStyle w:val="Compact"/>
              <w:jc w:val="left"/>
            </w:pPr>
            <w:r>
              <w:t xml:space="preserve">AEDG em tubo de ensaio em células sanguíneas</w:t>
            </w:r>
          </w:p>
        </w:tc>
        <w:tc>
          <w:tcPr/>
          <w:p>
            <w:pPr>
              <w:pStyle w:val="Compact"/>
              <w:jc w:val="left"/>
            </w:pPr>
            <w:r>
              <w:t xml:space="preserve">11 homens (amostras de células)</w:t>
            </w:r>
          </w:p>
        </w:tc>
        <w:tc>
          <w:tcPr/>
          <w:p>
            <w:pPr>
              <w:pStyle w:val="Compact"/>
              <w:jc w:val="left"/>
            </w:pPr>
            <w:r>
              <w:t xml:space="preserve">comprimento dos telômeros maior em 5 casos, menor em 2 casos</w:t>
            </w:r>
          </w:p>
        </w:tc>
      </w:tr>
    </w:tbl>
    <w:bookmarkStart w:id="1775" w:name="o-único-estudo-com-epitalon"/>
    <w:p>
      <w:pPr>
        <w:pStyle w:val="Heading4"/>
      </w:pPr>
      <w:r>
        <w:t xml:space="preserve">O único estudo com Epitalon</w:t>
      </w:r>
    </w:p>
    <w:p>
      <w:pPr>
        <w:pStyle w:val="FirstParagraph"/>
      </w:pPr>
      <w:r>
        <w:t xml:space="preserve">No único estudo clínico com Epitalon sintético, foram tratadas pessoas com retinite pigmentosa, uma doença hereditária em que a retina morre progressivamente. O resumo relata um</w:t>
      </w:r>
      <w:r>
        <w:t xml:space="preserve"> </w:t>
      </w:r>
      <w:r>
        <w:t xml:space="preserve">“</w:t>
      </w:r>
      <w:r>
        <w:t xml:space="preserve">efeito clínico positivo em 90% dos casos</w:t>
      </w:r>
      <w:r>
        <w:t xml:space="preserve">”</w:t>
      </w:r>
      <w:r>
        <w:t xml:space="preserve">, mas não informa o número de participantes, nem o critério para</w:t>
      </w:r>
      <w:r>
        <w:t xml:space="preserve"> </w:t>
      </w:r>
      <w:r>
        <w:t xml:space="preserve">“</w:t>
      </w:r>
      <w:r>
        <w:t xml:space="preserve">positivo</w:t>
      </w:r>
      <w:r>
        <w:t xml:space="preserve">”</w:t>
      </w:r>
      <w:r>
        <w:t xml:space="preserve">, nem os resultados do grupo controle</w:t>
      </w:r>
      <w:r>
        <w:rPr>
          <w:rStyle w:val="FootnoteReference"/>
        </w:rPr>
        <w:footnoteReference w:id="1774"/>
      </w:r>
      <w:r>
        <w:t xml:space="preserve">. O achado não foi confirmado de forma independente; no tratamento da retinite pigmentosa, o Epitalon não tem papel algum.</w:t>
      </w:r>
    </w:p>
    <w:bookmarkEnd w:id="1775"/>
    <w:bookmarkStart w:id="1777" w:name="o-estudo-de-longevidade-com-epitalamina"/>
    <w:p>
      <w:pPr>
        <w:pStyle w:val="Heading4"/>
      </w:pPr>
      <w:r>
        <w:t xml:space="preserve">O estudo de longevidade com epitalamina</w:t>
      </w:r>
    </w:p>
    <w:p>
      <w:pPr>
        <w:pStyle w:val="FirstParagraph"/>
      </w:pPr>
      <w:r>
        <w:t xml:space="preserve">O estudo em humanos mais citado na internet –</w:t>
      </w:r>
      <w:r>
        <w:t xml:space="preserve"> </w:t>
      </w:r>
      <w:r>
        <w:t xml:space="preserve">“</w:t>
      </w:r>
      <w:r>
        <w:t xml:space="preserve">peptídeos da glândula pineal prolongam a vida humana</w:t>
      </w:r>
      <w:r>
        <w:t xml:space="preserve">”</w:t>
      </w:r>
      <w:r>
        <w:t xml:space="preserve"> </w:t>
      </w:r>
      <w:r>
        <w:t xml:space="preserve">– não se refere ao Epitalon, mas ao extrato animal epitalamina. Pesquisadores de São Petersburgo e Kiev acompanharam 266 idosos por seis a oito anos; nos primeiros dois a três anos, partes do grupo receberam timalina, epitalamina ou ambas. Segundo o resumo, a mortalidade caiu 1,6 a 1,8 vez com epitalamina, 2,5 vezes com a combinação e, com tratamento combinado anual ao longo de seis anos, até 4,1 vezes</w:t>
      </w:r>
      <w:r>
        <w:rPr>
          <w:rStyle w:val="FootnoteReference"/>
        </w:rPr>
        <w:footnoteReference w:id="1776"/>
      </w:r>
      <w:r>
        <w:t xml:space="preserve">.</w:t>
      </w:r>
    </w:p>
    <w:p>
      <w:pPr>
        <w:pStyle w:val="BodyText"/>
      </w:pPr>
      <w:r>
        <w:t xml:space="preserve">Tais efeitos seriam extraordinários – maiores do que os de quase qualquer medida da medicina moderna. Por isso, os limites são ainda mais importantes:</w:t>
      </w:r>
    </w:p>
    <w:p>
      <w:pPr>
        <w:numPr>
          <w:ilvl w:val="0"/>
          <w:numId w:val="1216"/>
        </w:numPr>
        <w:pStyle w:val="Compact"/>
      </w:pPr>
      <w:r>
        <w:t xml:space="preserve">O resumo não descreve randomização nem cegamento. Não se reconhece como o grupo controle foi selecionado.</w:t>
      </w:r>
    </w:p>
    <w:p>
      <w:pPr>
        <w:numPr>
          <w:ilvl w:val="0"/>
          <w:numId w:val="1216"/>
        </w:numPr>
        <w:pStyle w:val="Compact"/>
      </w:pPr>
      <w:r>
        <w:t xml:space="preserve">O tamanho dos grupos de cada braço e os números absolutos de mortes não são informados.</w:t>
      </w:r>
    </w:p>
    <w:p>
      <w:pPr>
        <w:numPr>
          <w:ilvl w:val="0"/>
          <w:numId w:val="1216"/>
        </w:numPr>
        <w:pStyle w:val="Compact"/>
      </w:pPr>
      <w:r>
        <w:t xml:space="preserve">O estudo nunca foi registrado, e não há repetição independente.</w:t>
      </w:r>
    </w:p>
    <w:p>
      <w:pPr>
        <w:numPr>
          <w:ilvl w:val="0"/>
          <w:numId w:val="1216"/>
        </w:numPr>
        <w:pStyle w:val="Compact"/>
      </w:pPr>
      <w:r>
        <w:t xml:space="preserve">Os resultados vêm dos desenvolvedores dos preparados.</w:t>
      </w:r>
    </w:p>
    <w:p>
      <w:pPr>
        <w:pStyle w:val="FirstParagraph"/>
      </w:pPr>
      <w:r>
        <w:t xml:space="preserve">Em observações não randomizadas, até pequenas diferenças entre os grupos – por exemplo, quem era mais saudável ou tinha melhor acompanhamento – podem gerar grandes efeitos aparentes sobre a mortalidade. Para o próprio Epitalon, de qualquer forma, nada se pode deduzir desse estudo, porque foi estudada outra substância.</w:t>
      </w:r>
    </w:p>
    <w:bookmarkEnd w:id="1777"/>
    <w:bookmarkStart w:id="1782" w:name="a-alegação-dos-telômeros-sob-verificação"/>
    <w:p>
      <w:pPr>
        <w:pStyle w:val="Heading4"/>
      </w:pPr>
      <w:r>
        <w:t xml:space="preserve">A alegação dos telômeros sob verificação</w:t>
      </w:r>
    </w:p>
    <w:p>
      <w:pPr>
        <w:pStyle w:val="FirstParagraph"/>
      </w:pPr>
      <w:r>
        <w:t xml:space="preserve">Na internet, o Epitalon é frequentemente anunciado como substância que</w:t>
      </w:r>
      <w:r>
        <w:t xml:space="preserve"> </w:t>
      </w:r>
      <w:r>
        <w:t xml:space="preserve">“</w:t>
      </w:r>
      <w:r>
        <w:t xml:space="preserve">alonga os telômeros</w:t>
      </w:r>
      <w:r>
        <w:t xml:space="preserve">”</w:t>
      </w:r>
      <w:r>
        <w:t xml:space="preserve"> </w:t>
      </w:r>
      <w:r>
        <w:t xml:space="preserve">e assim</w:t>
      </w:r>
      <w:r>
        <w:t xml:space="preserve"> </w:t>
      </w:r>
      <w:r>
        <w:t xml:space="preserve">“</w:t>
      </w:r>
      <w:r>
        <w:t xml:space="preserve">faz o relógio biológico andar para trás</w:t>
      </w:r>
      <w:r>
        <w:t xml:space="preserve">”</w:t>
      </w:r>
      <w:r>
        <w:t xml:space="preserve">. O que disso está comprovado?</w:t>
      </w:r>
    </w:p>
    <w:p>
      <w:pPr>
        <w:numPr>
          <w:ilvl w:val="0"/>
          <w:numId w:val="1217"/>
        </w:numPr>
        <w:pStyle w:val="Compact"/>
      </w:pPr>
      <w:r>
        <w:rPr>
          <w:bCs/>
          <w:b/>
        </w:rPr>
        <w:t xml:space="preserve">Cultura de células de São Petersburgo:</w:t>
      </w:r>
      <w:r>
        <w:t xml:space="preserve"> </w:t>
      </w:r>
      <w:r>
        <w:t xml:space="preserve">em fibroblastos fetais humanos, o Epitalon desencadeou atividade de telomerase e alongamento dos telômeros</w:t>
      </w:r>
      <w:r>
        <w:rPr>
          <w:rStyle w:val="FootnoteReference"/>
        </w:rPr>
        <w:footnoteReference w:id="1778"/>
      </w:r>
      <w:r>
        <w:t xml:space="preserve">; em um trabalho subsequente, as células tratadas fizeram dez divisões adicionais além do seu limite habitual</w:t>
      </w:r>
      <w:r>
        <w:rPr>
          <w:rStyle w:val="FootnoteReference"/>
        </w:rPr>
        <w:footnoteReference w:id="1779"/>
      </w:r>
      <w:r>
        <w:t xml:space="preserve">. Ambos os trabalhos foram publicados de forma muito sucinta, sem métodos detalhados no resumo.</w:t>
      </w:r>
    </w:p>
    <w:p>
      <w:pPr>
        <w:numPr>
          <w:ilvl w:val="0"/>
          <w:numId w:val="1217"/>
        </w:numPr>
        <w:pStyle w:val="Compact"/>
      </w:pPr>
      <w:r>
        <w:rPr>
          <w:bCs/>
          <w:b/>
        </w:rPr>
        <w:t xml:space="preserve">Estudo celular independente:</w:t>
      </w:r>
      <w:r>
        <w:t xml:space="preserve"> </w:t>
      </w:r>
      <w:r>
        <w:t xml:space="preserve">um grupo de trabalho fora da Rússia encontrou em 2025, também de forma dependente da dose, telômeros mais longos em células epiteliais e do tecido conjuntivo humanas normais. Em linhagens celulares de câncer de mama, os telômeros também se alongaram – ali por um mecanismo alternativo (ALT), típico de células cancerosas</w:t>
      </w:r>
      <w:r>
        <w:rPr>
          <w:rStyle w:val="FootnoteReference"/>
        </w:rPr>
        <w:footnoteReference w:id="1780"/>
      </w:r>
      <w:r>
        <w:t xml:space="preserve">.</w:t>
      </w:r>
    </w:p>
    <w:p>
      <w:pPr>
        <w:numPr>
          <w:ilvl w:val="0"/>
          <w:numId w:val="1217"/>
        </w:numPr>
        <w:pStyle w:val="Compact"/>
      </w:pPr>
      <w:r>
        <w:rPr>
          <w:bCs/>
          <w:b/>
        </w:rPr>
        <w:t xml:space="preserve">Células sanguíneas humanas em tubo de ensaio:</w:t>
      </w:r>
      <w:r>
        <w:t xml:space="preserve"> </w:t>
      </w:r>
      <w:r>
        <w:t xml:space="preserve">em células sanguíneas de onze homens, os telômeros se alongaram após contato com o peptídeo em cinco casos e ficaram mais curtos em dois casos; os autores interpretam isso como</w:t>
      </w:r>
      <w:r>
        <w:t xml:space="preserve"> </w:t>
      </w:r>
      <w:r>
        <w:t xml:space="preserve">“</w:t>
      </w:r>
      <w:r>
        <w:t xml:space="preserve">normalização</w:t>
      </w:r>
      <w:r>
        <w:t xml:space="preserve">”</w:t>
      </w:r>
      <w:r>
        <w:rPr>
          <w:rStyle w:val="FootnoteReference"/>
        </w:rPr>
        <w:footnoteReference w:id="1781"/>
      </w:r>
      <w:r>
        <w:t xml:space="preserve">.</w:t>
      </w:r>
    </w:p>
    <w:p>
      <w:pPr>
        <w:numPr>
          <w:ilvl w:val="0"/>
          <w:numId w:val="1217"/>
        </w:numPr>
        <w:pStyle w:val="Compact"/>
      </w:pPr>
      <w:r>
        <w:rPr>
          <w:bCs/>
          <w:b/>
        </w:rPr>
        <w:t xml:space="preserve">No ser humano vivo:</w:t>
      </w:r>
      <w:r>
        <w:t xml:space="preserve"> </w:t>
      </w:r>
      <w:r>
        <w:t xml:space="preserve">não há estudo controlado publicado que tenha mostrado que o Epitalon altera o comprimento dos telômeros no sangue ou nos tecidos de pessoas – e muito menos um que comprove um benefício para a saúde de tal alteração.</w:t>
      </w:r>
    </w:p>
    <w:p>
      <w:pPr>
        <w:pStyle w:val="FirstParagraph"/>
      </w:pPr>
      <w:r>
        <w:t xml:space="preserve">Além disso: o comprimento dos telômeros está de fato ligado à idade, mas não é uma medida confiável do</w:t>
      </w:r>
      <w:r>
        <w:t xml:space="preserve"> </w:t>
      </w:r>
      <w:r>
        <w:t xml:space="preserve">“</w:t>
      </w:r>
      <w:r>
        <w:t xml:space="preserve">relógio biológico</w:t>
      </w:r>
      <w:r>
        <w:t xml:space="preserve">”</w:t>
      </w:r>
      <w:r>
        <w:t xml:space="preserve"> </w:t>
      </w:r>
      <w:r>
        <w:t xml:space="preserve">de uma pessoa individual. E uma telomerase permanentemente ativada é uma característica da grande maioria dos tipos de câncer. A capacidade de alongar telômeros, portanto, não é automaticamente uma vantagem (veja os riscos).</w:t>
      </w:r>
    </w:p>
    <w:bookmarkEnd w:id="1782"/>
    <w:bookmarkEnd w:id="1783"/>
    <w:bookmarkStart w:id="1788" w:name="estudos-em-animais-e-em-laboratório-39"/>
    <w:p>
      <w:pPr>
        <w:pStyle w:val="Heading3"/>
      </w:pPr>
      <w:r>
        <w:t xml:space="preserve">Estudos em animais e em laboratório</w:t>
      </w:r>
    </w:p>
    <w:p>
      <w:pPr>
        <w:numPr>
          <w:ilvl w:val="0"/>
          <w:numId w:val="1218"/>
        </w:numPr>
        <w:pStyle w:val="Compact"/>
      </w:pPr>
      <w:r>
        <w:rPr>
          <w:bCs/>
          <w:b/>
        </w:rPr>
        <w:t xml:space="preserve">Expectativa de vida em camundongos:</w:t>
      </w:r>
      <w:r>
        <w:t xml:space="preserve"> </w:t>
      </w:r>
      <w:r>
        <w:t xml:space="preserve">no estudo animal mais importante, 54 camundongos fêmeas em cada grupo receberam por toda a vida, mensalmente, Epitalon ou solução salina. A</w:t>
      </w:r>
      <w:r>
        <w:t xml:space="preserve"> </w:t>
      </w:r>
      <w:r>
        <w:rPr>
          <w:bCs/>
          <w:b/>
        </w:rPr>
        <w:t xml:space="preserve">expectativa de vida média não</w:t>
      </w:r>
      <w:r>
        <w:t xml:space="preserve"> </w:t>
      </w:r>
      <w:r>
        <w:t xml:space="preserve">diferiu; apenas os últimos 10% dos sobreviventes viveram 13,3% mais, e a expectativa de vida máxima foi 12,3% maior. O número total de tumores espontâneos foi igual; leucemias ocorreram com menos frequência</w:t>
      </w:r>
      <w:r>
        <w:rPr>
          <w:rStyle w:val="FootnoteReference"/>
        </w:rPr>
        <w:footnoteReference w:id="1784"/>
      </w:r>
      <w:r>
        <w:t xml:space="preserve">.</w:t>
      </w:r>
    </w:p>
    <w:p>
      <w:pPr>
        <w:numPr>
          <w:ilvl w:val="0"/>
          <w:numId w:val="1218"/>
        </w:numPr>
        <w:pStyle w:val="Compact"/>
      </w:pPr>
      <w:r>
        <w:rPr>
          <w:bCs/>
          <w:b/>
        </w:rPr>
        <w:t xml:space="preserve">Moscas-das-frutas:</w:t>
      </w:r>
      <w:r>
        <w:t xml:space="preserve"> </w:t>
      </w:r>
      <w:r>
        <w:t xml:space="preserve">também em drosófilas foi relatada uma expectativa de vida maior</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em ratos com degeneração hereditária da retina, a estrutura da retina foi mais bem preservada com Epitalon</w:t>
      </w:r>
      <w:r>
        <w:rPr>
          <w:rStyle w:val="FootnoteReference"/>
        </w:rPr>
        <w:footnoteReference w:id="1786"/>
      </w:r>
      <w:r>
        <w:t xml:space="preserve">.</w:t>
      </w:r>
    </w:p>
    <w:p>
      <w:pPr>
        <w:numPr>
          <w:ilvl w:val="0"/>
          <w:numId w:val="1218"/>
        </w:numPr>
        <w:pStyle w:val="Compact"/>
      </w:pPr>
      <w:r>
        <w:rPr>
          <w:bCs/>
          <w:b/>
        </w:rPr>
        <w:t xml:space="preserve">Óvulos:</w:t>
      </w:r>
      <w:r>
        <w:t xml:space="preserve"> </w:t>
      </w:r>
      <w:r>
        <w:t xml:space="preserve">em culturas de óvulos envelhecidos de camundongos, o Epitalon reduziu danos por estresse oxidativo</w:t>
      </w:r>
      <w:r>
        <w:rPr>
          <w:rStyle w:val="FootnoteReference"/>
        </w:rPr>
        <w:footnoteReference w:id="1787"/>
      </w:r>
      <w:r>
        <w:t xml:space="preserve">.</w:t>
      </w:r>
    </w:p>
    <w:p>
      <w:pPr>
        <w:pStyle w:val="FirstParagraph"/>
      </w:pPr>
      <w:r>
        <w:t xml:space="preserve">A grande maioria desses estudos vem do grupo de Khavinson e Anisimov, geralmente em revistas russas ou em revistas nas quais o próprio grupo publicava com frequência. Repetições independentes são raras.</w:t>
      </w:r>
    </w:p>
    <w:bookmarkEnd w:id="1788"/>
    <w:bookmarkStart w:id="1792" w:name="riscos-e-efeitos-colaterais-39"/>
    <w:p>
      <w:pPr>
        <w:pStyle w:val="Heading3"/>
      </w:pPr>
      <w:r>
        <w:t xml:space="preserve">Riscos e efeitos colaterais</w:t>
      </w:r>
    </w:p>
    <w:p>
      <w:pPr>
        <w:pStyle w:val="FirstParagraph"/>
      </w:pPr>
      <w:r>
        <w:rPr>
          <w:bCs/>
          <w:b/>
        </w:rPr>
        <w:t xml:space="preserve">Comprovado:</w:t>
      </w:r>
      <w:r>
        <w:t xml:space="preserve"> </w:t>
      </w:r>
      <w:r>
        <w:t xml:space="preserve">não há dados de segurança sistematicamente coletados sobre o Epitalon em humanos.</w:t>
      </w:r>
    </w:p>
    <w:p>
      <w:pPr>
        <w:pStyle w:val="BodyText"/>
      </w:pPr>
      <w:r>
        <w:rPr>
          <w:bCs/>
          <w:b/>
        </w:rPr>
        <w:t xml:space="preserve">Teórico:</w:t>
      </w:r>
    </w:p>
    <w:p>
      <w:pPr>
        <w:numPr>
          <w:ilvl w:val="0"/>
          <w:numId w:val="1219"/>
        </w:numPr>
        <w:pStyle w:val="Compact"/>
      </w:pPr>
      <w:r>
        <w:rPr>
          <w:bCs/>
          <w:b/>
        </w:rPr>
        <w:t xml:space="preserve">Câncer:</w:t>
      </w:r>
      <w:r>
        <w:t xml:space="preserve"> </w:t>
      </w:r>
      <w:r>
        <w:t xml:space="preserve">a ativação da telomerase é uma característica central das células cancerosas. Uma substância que deveria ligar a telomerase poderia, teoricamente, favorecer o crescimento de células cancerosas já existentes e não detectadas. No estudo celular independente, também os telômeros de células de câncer de mama se alongaram</w:t>
      </w:r>
      <w:r>
        <w:rPr>
          <w:rStyle w:val="FootnoteReference"/>
        </w:rPr>
        <w:footnoteReference w:id="1789"/>
      </w:r>
      <w:r>
        <w:t xml:space="preserve">. O estudo em camundongos não encontrou aumento de tumores espontâneos</w:t>
      </w:r>
      <w:r>
        <w:rPr>
          <w:rStyle w:val="FootnoteReference"/>
        </w:rPr>
        <w:footnoteReference w:id="1790"/>
      </w:r>
      <w:r>
        <w:t xml:space="preserve">, mas dados animais não se transferem para décadas de uso humano.</w:t>
      </w:r>
    </w:p>
    <w:p>
      <w:pPr>
        <w:numPr>
          <w:ilvl w:val="0"/>
          <w:numId w:val="1219"/>
        </w:numPr>
        <w:pStyle w:val="Compact"/>
      </w:pPr>
      <w:r>
        <w:rPr>
          <w:bCs/>
          <w:b/>
        </w:rPr>
        <w:t xml:space="preserve">Sistema hormonal:</w:t>
      </w:r>
      <w:r>
        <w:t xml:space="preserve"> </w:t>
      </w:r>
      <w:r>
        <w:t xml:space="preserve">uma influência sobre a melatonina e a glândula pineal pode alterar o sono e os ritmos hormonais; isso não foi estudado em humanos.</w:t>
      </w:r>
    </w:p>
    <w:p>
      <w:pPr>
        <w:pStyle w:val="FirstParagraph"/>
      </w:pPr>
      <w:r>
        <w:rPr>
          <w:bCs/>
          <w:b/>
        </w:rPr>
        <w:t xml:space="preserve">Mercado cinza:</w:t>
      </w:r>
      <w:r>
        <w:t xml:space="preserve"> </w:t>
      </w:r>
      <w:r>
        <w:t xml:space="preserve">o Epitalon está entre os</w:t>
      </w:r>
      <w:r>
        <w:t xml:space="preserve"> </w:t>
      </w:r>
      <w:r>
        <w:t xml:space="preserve">“</w:t>
      </w:r>
      <w:r>
        <w:t xml:space="preserve">peptídeos de longevidade</w:t>
      </w:r>
      <w:r>
        <w:t xml:space="preserve">”</w:t>
      </w:r>
      <w:r>
        <w:t xml:space="preserve"> </w:t>
      </w:r>
      <w:r>
        <w:t xml:space="preserve">mais vendidos e é oferecido como pó para injeção ou como spray nasal. Pureza, teor e esterilidade não são verificados. Uma revisão independente cita questões não resolvidas sobre qualidade do produto, reações imunológicas e risco de câncer</w:t>
      </w:r>
      <w:r>
        <w:rPr>
          <w:rStyle w:val="FootnoteReference"/>
        </w:rPr>
        <w:footnoteReference w:id="1791"/>
      </w:r>
      <w:r>
        <w:t xml:space="preserve">.</w:t>
      </w:r>
    </w:p>
    <w:bookmarkEnd w:id="1792"/>
    <w:bookmarkStart w:id="1793" w:name="situação-legal-39"/>
    <w:p>
      <w:pPr>
        <w:pStyle w:val="Heading3"/>
      </w:pPr>
      <w:r>
        <w:t xml:space="preserve">Situação legal</w:t>
      </w:r>
    </w:p>
    <w:p>
      <w:pPr>
        <w:numPr>
          <w:ilvl w:val="0"/>
          <w:numId w:val="1220"/>
        </w:numPr>
        <w:pStyle w:val="Compact"/>
      </w:pPr>
      <w:r>
        <w:rPr>
          <w:bCs/>
          <w:b/>
        </w:rPr>
        <w:t xml:space="preserve">UE / Áustria / Alemanha:</w:t>
      </w:r>
      <w:r>
        <w:t xml:space="preserve"> </w:t>
      </w:r>
      <w:r>
        <w:t xml:space="preserve">não aprovado; como substância com efeito farmacológico, o Epitalon é considerado medicamento, e a venda para uso em humanos não é permitida.</w:t>
      </w:r>
    </w:p>
    <w:p>
      <w:pPr>
        <w:numPr>
          <w:ilvl w:val="0"/>
          <w:numId w:val="1220"/>
        </w:numPr>
        <w:pStyle w:val="Compact"/>
      </w:pPr>
      <w:r>
        <w:rPr>
          <w:bCs/>
          <w:b/>
        </w:rPr>
        <w:t xml:space="preserve">EUA:</w:t>
      </w:r>
      <w:r>
        <w:t xml:space="preserve"> </w:t>
      </w:r>
      <w:r>
        <w:t xml:space="preserve">não aprovado. Após o voto do comitê consultivo PCAC em julho de 2026, o Epitalon poderá no futuro ser usado em preparações de farmácia, se a FDA seguir a recomendação; o procedimento não estava concluído no fechamento desta edição (situação em outubro de 2026, verificar atualização).</w:t>
      </w:r>
    </w:p>
    <w:p>
      <w:pPr>
        <w:numPr>
          <w:ilvl w:val="0"/>
          <w:numId w:val="1220"/>
        </w:numPr>
        <w:pStyle w:val="Compact"/>
      </w:pPr>
      <w:r>
        <w:rPr>
          <w:bCs/>
          <w:b/>
        </w:rPr>
        <w:t xml:space="preserve">Rússia:</w:t>
      </w:r>
      <w:r>
        <w:t xml:space="preserve"> </w:t>
      </w:r>
      <w:r>
        <w:t xml:space="preserve">na Rússia, biorreguladores peptídicos são em parte comercializados como suplementos alimentares; o próprio Epitalon, segundo nosso conhecimento, não está registrado ali como medicamento (verificar atualização).</w:t>
      </w:r>
    </w:p>
    <w:p>
      <w:pPr>
        <w:numPr>
          <w:ilvl w:val="0"/>
          <w:numId w:val="1220"/>
        </w:numPr>
        <w:pStyle w:val="Compact"/>
      </w:pPr>
      <w:r>
        <w:rPr>
          <w:bCs/>
          <w:b/>
        </w:rPr>
        <w:t xml:space="preserve">Esporte:</w:t>
      </w:r>
      <w:r>
        <w:t xml:space="preserve"> </w:t>
      </w:r>
      <w:r>
        <w:t xml:space="preserve">em nossa avaliação, categoria S0 da WADA (situação em 2026, verificar atualização).</w:t>
      </w:r>
    </w:p>
    <w:bookmarkEnd w:id="1793"/>
    <w:bookmarkStart w:id="1795" w:name="estudos-em-andamento-e-perspectivas-39"/>
    <w:p>
      <w:pPr>
        <w:pStyle w:val="Heading3"/>
      </w:pPr>
      <w:r>
        <w:t xml:space="preserve">Estudos em andamento e perspectivas</w:t>
      </w:r>
    </w:p>
    <w:p>
      <w:pPr>
        <w:pStyle w:val="FirstParagraph"/>
      </w:pPr>
      <w:r>
        <w:rPr>
          <w:bCs/>
          <w:b/>
        </w:rPr>
        <w:t xml:space="preserve">Comprovado:</w:t>
      </w:r>
      <w:r>
        <w:t xml:space="preserve"> </w:t>
      </w:r>
      <w:r>
        <w:t xml:space="preserve">no ClinicalTrials.gov está registrado um estudo inicial no qual medidas de rejuvenescimento</w:t>
      </w:r>
      <w:r>
        <w:t xml:space="preserve"> </w:t>
      </w:r>
      <w:r>
        <w:t xml:space="preserve">“</w:t>
      </w:r>
      <w:r>
        <w:t xml:space="preserve">sistêmicas e locais</w:t>
      </w:r>
      <w:r>
        <w:t xml:space="preserve">”</w:t>
      </w:r>
      <w:r>
        <w:t xml:space="preserve"> </w:t>
      </w:r>
      <w:r>
        <w:t xml:space="preserve">devem ser avaliadas com os chamados relógios de envelhecimento (métodos de medição epigenéticos); estão previstos 48 participantes, início em outubro de 2026</w:t>
      </w:r>
      <w:r>
        <w:rPr>
          <w:rStyle w:val="FootnoteReference"/>
        </w:rPr>
        <w:footnoteReference w:id="1794"/>
      </w:r>
      <w:r>
        <w:t xml:space="preserve">. Segundo o registro, o Epitalon é ali apenas um de cinco componentes de um sérum peptídico aplicado na pele; além disso, são tomados medicamentos e suplementos alimentares. O estudo tem apenas um grupo, sem cegamento e sem controle por placebo. Ele não pode, portanto, fornecer nenhuma conclusão sobre o efeito do próprio Epitalon.</w:t>
      </w:r>
    </w:p>
    <w:p>
      <w:pPr>
        <w:pStyle w:val="BodyText"/>
      </w:pPr>
      <w:r>
        <w:rPr>
          <w:bCs/>
          <w:b/>
        </w:rPr>
        <w:t xml:space="preserve">Avaliação:</w:t>
      </w:r>
      <w:r>
        <w:t xml:space="preserve"> </w:t>
      </w:r>
      <w:r>
        <w:t xml:space="preserve">a inclusão na lista americana de manipulação aumentaria a difusão sem melhorar a situação dos dados. Decisivo seria um estudo independente e randomizado que medisse em humanos, por um período mais longo, ao menos o comprimento dos telômeros, a melatonina e parâmetros de segurança.</w:t>
      </w:r>
    </w:p>
    <w:bookmarkEnd w:id="1795"/>
    <w:bookmarkStart w:id="1796" w:name="conclusão-39"/>
    <w:p>
      <w:pPr>
        <w:pStyle w:val="Heading3"/>
      </w:pPr>
      <w:r>
        <w:t xml:space="preserve">Conclusão</w:t>
      </w:r>
    </w:p>
    <w:p>
      <w:pPr>
        <w:pStyle w:val="FirstParagraph"/>
      </w:pPr>
      <w:r>
        <w:t xml:space="preserve">O Epitalon é um tetrapeptídeo sintético de São Petersburgo que ativou a telomerase em culturas de células e, em camundongos, prolongou a expectativa de vida máxima, mas não a média. O estudo frequentemente citado sobre vida mais longa se referia ao extrato bovino epitalamina, não era randomizado e nunca foi repetido de forma independente. Que o Epitalon alongue telômeros ou retarde o envelhecimento em humanos não está comprovado; a ativação da telomerase levanta, além disso, uma questão de câncer não esclarecida. Os dados não são suficientes para avaliar benefício ou segurança em humanos.</w:t>
      </w:r>
    </w:p>
    <w:bookmarkEnd w:id="1796"/>
    <w:bookmarkEnd w:id="1797"/>
    <w:bookmarkStart w:id="1814" w:name="pinealon"/>
    <w:p>
      <w:pPr>
        <w:pStyle w:val="Heading2"/>
      </w:pPr>
      <w:r>
        <w:t xml:space="preserve">Pinealon</w:t>
      </w:r>
    </w:p>
    <w:bookmarkStart w:id="1798" w:name="ficha-técnica-40"/>
    <w:p>
      <w:pPr>
        <w:pStyle w:val="Heading3"/>
      </w:pPr>
      <w:r>
        <w:t xml:space="preserve">Ficha técnica</w:t>
      </w:r>
    </w:p>
    <w:p>
      <w:pPr>
        <w:numPr>
          <w:ilvl w:val="0"/>
          <w:numId w:val="1221"/>
        </w:numPr>
        <w:pStyle w:val="Compact"/>
      </w:pPr>
      <w:r>
        <w:rPr>
          <w:bCs/>
          <w:b/>
        </w:rPr>
        <w:t xml:space="preserve">Tipo e estrutura:</w:t>
      </w:r>
      <w:r>
        <w:t xml:space="preserve"> </w:t>
      </w:r>
      <w:r>
        <w:t xml:space="preserve">tripeptídeo sintético de três aminoácidos: Glu-Asp-Arg (abreviado EDR).</w:t>
      </w:r>
    </w:p>
    <w:p>
      <w:pPr>
        <w:numPr>
          <w:ilvl w:val="0"/>
          <w:numId w:val="1221"/>
        </w:numPr>
        <w:pStyle w:val="Compact"/>
      </w:pPr>
      <w:r>
        <w:rPr>
          <w:bCs/>
          <w:b/>
        </w:rPr>
        <w:t xml:space="preserve">Origem:</w:t>
      </w:r>
      <w:r>
        <w:t xml:space="preserve"> </w:t>
      </w:r>
      <w:r>
        <w:t xml:space="preserve">desenvolvido no Instituto de Biorregulação e Gerontologia de São Petersburgo (grupo de Vladimir Khavinson, que também desenvolveu o Epitalon). O nome remete à glândula pineal (glandula pinealis), embora o peptídeo seja descrito sobretudo como substância protetora de neurônios.</w:t>
      </w:r>
    </w:p>
    <w:p>
      <w:pPr>
        <w:numPr>
          <w:ilvl w:val="0"/>
          <w:numId w:val="1221"/>
        </w:numPr>
        <w:pStyle w:val="Compact"/>
      </w:pPr>
      <w:r>
        <w:rPr>
          <w:bCs/>
          <w:b/>
        </w:rPr>
        <w:t xml:space="preserve">Princípio de ação:</w:t>
      </w:r>
      <w:r>
        <w:t xml:space="preserve"> </w:t>
      </w:r>
      <w:r>
        <w:t xml:space="preserve">como</w:t>
      </w:r>
      <w:r>
        <w:t xml:space="preserve"> </w:t>
      </w:r>
      <w:r>
        <w:t xml:space="preserve">“</w:t>
      </w:r>
      <w:r>
        <w:t xml:space="preserve">biorregulador peptídico curto</w:t>
      </w:r>
      <w:r>
        <w:t xml:space="preserve">”</w:t>
      </w:r>
      <w:r>
        <w:t xml:space="preserve">, penetraria em células e núcleos celulares, se ligaria ao DNA ou a histonas e assim influenciaria a atividade de genes que protegem neurônios contra estresse oxidativo e morte celular.</w:t>
      </w:r>
    </w:p>
    <w:p>
      <w:pPr>
        <w:numPr>
          <w:ilvl w:val="0"/>
          <w:numId w:val="1221"/>
        </w:numPr>
        <w:pStyle w:val="Compact"/>
      </w:pPr>
      <w:r>
        <w:rPr>
          <w:bCs/>
          <w:b/>
        </w:rPr>
        <w:t xml:space="preserve">Aprovação UE:</w:t>
      </w:r>
      <w:r>
        <w:t xml:space="preserve"> </w:t>
      </w:r>
      <w:r>
        <w:t xml:space="preserve">não.</w:t>
      </w:r>
    </w:p>
    <w:p>
      <w:pPr>
        <w:numPr>
          <w:ilvl w:val="0"/>
          <w:numId w:val="1221"/>
        </w:numPr>
        <w:pStyle w:val="Compact"/>
      </w:pPr>
      <w:r>
        <w:rPr>
          <w:bCs/>
          <w:b/>
        </w:rPr>
        <w:t xml:space="preserve">Aprovação EUA:</w:t>
      </w:r>
      <w:r>
        <w:t xml:space="preserve"> </w:t>
      </w:r>
      <w:r>
        <w:t xml:space="preserve">não.</w:t>
      </w:r>
    </w:p>
    <w:p>
      <w:pPr>
        <w:numPr>
          <w:ilvl w:val="0"/>
          <w:numId w:val="1221"/>
        </w:numPr>
        <w:pStyle w:val="Compact"/>
      </w:pPr>
      <w:r>
        <w:rPr>
          <w:bCs/>
          <w:b/>
        </w:rPr>
        <w:t xml:space="preserve">Rússia:</w:t>
      </w:r>
      <w:r>
        <w:t xml:space="preserve"> </w:t>
      </w:r>
      <w:r>
        <w:t xml:space="preserve">comercializado como componente dos chamados</w:t>
      </w:r>
      <w:r>
        <w:t xml:space="preserve"> </w:t>
      </w:r>
      <w:r>
        <w:t xml:space="preserve">“</w:t>
      </w:r>
      <w:r>
        <w:t xml:space="preserve">citogênios</w:t>
      </w:r>
      <w:r>
        <w:t xml:space="preserve">”</w:t>
      </w:r>
      <w:r>
        <w:t xml:space="preserve"> </w:t>
      </w:r>
      <w:r>
        <w:t xml:space="preserve">em forma de cápsula, ou seja, mais como suplemento alimentar do que como medicamento testado.</w:t>
      </w:r>
    </w:p>
    <w:p>
      <w:pPr>
        <w:numPr>
          <w:ilvl w:val="0"/>
          <w:numId w:val="1221"/>
        </w:numPr>
        <w:pStyle w:val="Compact"/>
      </w:pPr>
      <w:r>
        <w:rPr>
          <w:bCs/>
          <w:b/>
        </w:rPr>
        <w:t xml:space="preserve">WADA:</w:t>
      </w:r>
      <w:r>
        <w:t xml:space="preserve"> </w:t>
      </w:r>
      <w:r>
        <w:t xml:space="preserve">não listado nominalmente; uma substância não aprovada como medicamento pode se enquadrar na categoria geral S0.</w:t>
      </w:r>
    </w:p>
    <w:p>
      <w:pPr>
        <w:numPr>
          <w:ilvl w:val="0"/>
          <w:numId w:val="1221"/>
        </w:numPr>
        <w:pStyle w:val="Compact"/>
      </w:pPr>
      <w:r>
        <w:rPr>
          <w:bCs/>
          <w:b/>
        </w:rPr>
        <w:t xml:space="preserve">Nível de evidência:</w:t>
      </w:r>
      <w:r>
        <w:t xml:space="preserve"> </w:t>
      </w:r>
      <w:r>
        <w:rPr>
          <w:bCs/>
          <w:b/>
        </w:rPr>
        <w:t xml:space="preserve">C</w:t>
      </w:r>
      <w:r>
        <w:t xml:space="preserve"> </w:t>
      </w:r>
      <w:r>
        <w:t xml:space="preserve">– alguns pequenos estudos observacionais russos, não randomizados, com medidas substitutas como a</w:t>
      </w:r>
      <w:r>
        <w:t xml:space="preserve"> </w:t>
      </w:r>
      <w:r>
        <w:t xml:space="preserve">“</w:t>
      </w:r>
      <w:r>
        <w:t xml:space="preserve">idade biológica</w:t>
      </w:r>
      <w:r>
        <w:t xml:space="preserve">”</w:t>
      </w:r>
      <w:r>
        <w:t xml:space="preserve">.</w:t>
      </w:r>
    </w:p>
    <w:bookmarkEnd w:id="1798"/>
    <w:bookmarkStart w:id="1802" w:name="como-deveria-agir-40"/>
    <w:p>
      <w:pPr>
        <w:pStyle w:val="Heading3"/>
      </w:pPr>
      <w:r>
        <w:t xml:space="preserve">Como deveria agir</w:t>
      </w:r>
    </w:p>
    <w:p>
      <w:pPr>
        <w:pStyle w:val="FirstParagraph"/>
      </w:pPr>
      <w:r>
        <w:t xml:space="preserve">O Pinealon pertence a uma família de peptídeos muito curtos (dois a quatro aminoácidos) que o grupo de São Petersburgo chama de</w:t>
      </w:r>
      <w:r>
        <w:t xml:space="preserve"> </w:t>
      </w:r>
      <w:r>
        <w:t xml:space="preserve">“</w:t>
      </w:r>
      <w:r>
        <w:t xml:space="preserve">biorreguladores peptídicos</w:t>
      </w:r>
      <w:r>
        <w:t xml:space="preserve">”</w:t>
      </w:r>
      <w:r>
        <w:t xml:space="preserve">. A hipótese central é: esses minipeptídeos chegam até o núcleo celular, ligam-se ali a determinados segmentos de DNA e assim regulam genes – de modo semelhante a fatores de transcrição, ou seja, proteínas que ligam e desligam genes.</w:t>
      </w:r>
    </w:p>
    <w:p>
      <w:pPr>
        <w:pStyle w:val="BodyText"/>
      </w:pPr>
      <w:r>
        <w:t xml:space="preserve">As evidências para isso vêm do laboratório:</w:t>
      </w:r>
    </w:p>
    <w:p>
      <w:pPr>
        <w:numPr>
          <w:ilvl w:val="0"/>
          <w:numId w:val="1222"/>
        </w:numPr>
        <w:pStyle w:val="Compact"/>
      </w:pPr>
      <w:r>
        <w:t xml:space="preserve">Em células cancerosas (HeLa), peptídeos Pinealon, Epitalon e relacionados marcados com fluorescência penetraram no citoplasma, no núcleo celular e nos nucléolos; em tubo de ensaio, alteraram a fluorescência de fragmentos de DNA marcados conforme a sequência deles</w:t>
      </w:r>
      <w:r>
        <w:rPr>
          <w:rStyle w:val="FootnoteReference"/>
        </w:rPr>
        <w:footnoteReference w:id="1799"/>
      </w:r>
      <w:r>
        <w:t xml:space="preserve">.</w:t>
      </w:r>
    </w:p>
    <w:p>
      <w:pPr>
        <w:numPr>
          <w:ilvl w:val="0"/>
          <w:numId w:val="1222"/>
        </w:numPr>
        <w:pStyle w:val="Compact"/>
      </w:pPr>
      <w:r>
        <w:t xml:space="preserve">Em neurônios do cerebelo de ratos e em outras culturas de células, o Pinealon limitou o acúmulo de espécies reativas de oxigênio e reduziu a morte de células</w:t>
      </w:r>
      <w:r>
        <w:rPr>
          <w:rStyle w:val="FootnoteReference"/>
        </w:rPr>
        <w:footnoteReference w:id="1800"/>
      </w:r>
      <w:r>
        <w:t xml:space="preserve">.</w:t>
      </w:r>
    </w:p>
    <w:p>
      <w:pPr>
        <w:pStyle w:val="FirstParagraph"/>
      </w:pPr>
      <w:r>
        <w:t xml:space="preserve">Uma revisão dos desenvolvedores resume que o peptídeo EDR, em experimentos com células e animais, influenciaria genes e proteínas que têm papel na doença de Alzheimer, como enzimas da defesa antioxidante e sinais de morte celular</w:t>
      </w:r>
      <w:r>
        <w:rPr>
          <w:rStyle w:val="FootnoteReference"/>
        </w:rPr>
        <w:footnoteReference w:id="1801"/>
      </w:r>
      <w:r>
        <w:t xml:space="preserve">. Trata-se de uma hipótese que até agora mal foi verificada por outros grupos de pesquisa. Da farmacologia clássica sabe-se, além disso, que peptídeos tão curtos são rapidamente decompostos no trato digestivo e no sangue; quanto Pinealon inalterado chega aos neurônios após a ingestão de uma cápsula não foi estudado.</w:t>
      </w:r>
    </w:p>
    <w:bookmarkEnd w:id="1802"/>
    <w:bookmarkStart w:id="1804" w:name="estudos-em-humanos-40"/>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w:t>
      </w:r>
      <w:r>
        <w:t xml:space="preserve"> </w:t>
      </w:r>
      <w:r>
        <w:rPr>
          <w:bCs/>
          <w:b/>
        </w:rPr>
        <w:t xml:space="preserve">uma</w:t>
      </w:r>
      <w:r>
        <w:t xml:space="preserve"> </w:t>
      </w:r>
      <w:r>
        <w:t xml:space="preserve">publicação classificada como estudo em humanos; ao todo, o PubMed lista apenas 15 trabalhos com</w:t>
      </w:r>
      <w:r>
        <w:t xml:space="preserve"> </w:t>
      </w:r>
      <w:r>
        <w:t xml:space="preserve">“</w:t>
      </w:r>
      <w:r>
        <w:t xml:space="preserve">Pinealon</w:t>
      </w:r>
      <w:r>
        <w:t xml:space="preserve">”</w:t>
      </w:r>
      <w:r>
        <w:t xml:space="preserve"> </w:t>
      </w:r>
      <w:r>
        <w:t xml:space="preserve">no título ou resumo. No ClinicalTrials.gov não há estudo registrado. Em uma busca adicional, foram encontrados outros três pequenos trabalhos russos com pessoas, todos na revista</w:t>
      </w:r>
      <w:r>
        <w:t xml:space="preserve"> </w:t>
      </w:r>
      <w:r>
        <w:t xml:space="preserve">“</w:t>
      </w:r>
      <w:r>
        <w:t xml:space="preserve">Uspekhi Gerontologii</w:t>
      </w:r>
      <w:r>
        <w:t xml:space="preserve">”</w:t>
      </w:r>
      <w:r>
        <w:t xml:space="preserve"> </w:t>
      </w:r>
      <w:r>
        <w:t xml:space="preserve">(Avanços da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caminhoneiros, 150 metalúrgicos como comparação; peptídeos em subgrupos</w:t>
            </w:r>
          </w:p>
        </w:tc>
        <w:tc>
          <w:tcPr/>
          <w:p>
            <w:pPr>
              <w:pStyle w:val="Compact"/>
              <w:jc w:val="left"/>
            </w:pPr>
            <w:r>
              <w:t xml:space="preserve">não informada</w:t>
            </w:r>
          </w:p>
        </w:tc>
        <w:tc>
          <w:tcPr/>
          <w:p>
            <w:pPr>
              <w:pStyle w:val="Compact"/>
              <w:jc w:val="left"/>
            </w:pPr>
            <w:r>
              <w:t xml:space="preserve">segundo os autores, melhores valores psicoemocionais, melhor efeito com a combinação de dois peptídeos</w:t>
            </w:r>
          </w:p>
        </w:tc>
      </w:tr>
      <w:tr>
        <w:tc>
          <w:tcPr/>
          <w:p>
            <w:pPr>
              <w:pStyle w:val="Compact"/>
              <w:jc w:val="left"/>
            </w:pPr>
            <w:r>
              <w:t xml:space="preserve">Nazimko 2012, PMID 22708445</w:t>
            </w:r>
          </w:p>
        </w:tc>
        <w:tc>
          <w:tcPr/>
          <w:p>
            <w:pPr>
              <w:pStyle w:val="Compact"/>
              <w:jc w:val="left"/>
            </w:pPr>
            <w:r>
              <w:t xml:space="preserve">equipes de maquinistas de trem, cápsulas de Pinealon</w:t>
            </w:r>
          </w:p>
        </w:tc>
        <w:tc>
          <w:tcPr/>
          <w:p>
            <w:pPr>
              <w:pStyle w:val="Compact"/>
              <w:jc w:val="left"/>
            </w:pPr>
            <w:r>
              <w:t xml:space="preserve">2 semanas</w:t>
            </w:r>
          </w:p>
        </w:tc>
        <w:tc>
          <w:tcPr/>
          <w:p>
            <w:pPr>
              <w:pStyle w:val="Compact"/>
              <w:jc w:val="left"/>
            </w:pPr>
            <w:r>
              <w:t xml:space="preserve">segundo os autores, melhor</w:t>
            </w:r>
            <w:r>
              <w:t xml:space="preserve"> </w:t>
            </w:r>
            <w:r>
              <w:t xml:space="preserve">“</w:t>
            </w:r>
            <w:r>
              <w:t xml:space="preserve">idade biológica</w:t>
            </w:r>
            <w:r>
              <w:t xml:space="preserve">”</w:t>
            </w:r>
            <w:r>
              <w:t xml:space="preserve"> </w:t>
            </w:r>
            <w:r>
              <w:t xml:space="preserve">e melhores reações de adaptação</w:t>
            </w:r>
          </w:p>
        </w:tc>
      </w:tr>
      <w:tr>
        <w:tc>
          <w:tcPr/>
          <w:p>
            <w:pPr>
              <w:pStyle w:val="Compact"/>
              <w:jc w:val="left"/>
            </w:pPr>
            <w:r>
              <w:t xml:space="preserve">Meshchaninov 2015, PMID 26390612</w:t>
            </w:r>
          </w:p>
        </w:tc>
        <w:tc>
          <w:tcPr/>
          <w:p>
            <w:pPr>
              <w:pStyle w:val="Compact"/>
              <w:jc w:val="left"/>
            </w:pPr>
            <w:r>
              <w:t xml:space="preserve">32 pessoas (41–83 anos) com multimorbidade e síndrome psico-orgânica</w:t>
            </w:r>
          </w:p>
        </w:tc>
        <w:tc>
          <w:tcPr/>
          <w:p>
            <w:pPr>
              <w:pStyle w:val="Compact"/>
              <w:jc w:val="left"/>
            </w:pPr>
            <w:r>
              <w:t xml:space="preserve">não informada</w:t>
            </w:r>
          </w:p>
        </w:tc>
        <w:tc>
          <w:tcPr/>
          <w:p>
            <w:pPr>
              <w:pStyle w:val="Compact"/>
              <w:jc w:val="left"/>
            </w:pPr>
            <w:r>
              <w:t xml:space="preserve">efeito</w:t>
            </w:r>
            <w:r>
              <w:t xml:space="preserve"> </w:t>
            </w:r>
            <w:r>
              <w:t xml:space="preserve">“</w:t>
            </w:r>
            <w:r>
              <w:t xml:space="preserve">anabólico</w:t>
            </w:r>
            <w:r>
              <w:t xml:space="preserve">”</w:t>
            </w:r>
            <w:r>
              <w:t xml:space="preserve">; indícios de efeito oxidante e inibição da hematopoese</w:t>
            </w:r>
          </w:p>
        </w:tc>
      </w:tr>
      <w:tr>
        <w:tc>
          <w:tcPr/>
          <w:p>
            <w:pPr>
              <w:pStyle w:val="Compact"/>
              <w:jc w:val="left"/>
            </w:pPr>
            <w:r>
              <w:t xml:space="preserve">Myakotnykh 2016, PMID 28539017</w:t>
            </w:r>
          </w:p>
        </w:tc>
        <w:tc>
          <w:tcPr/>
          <w:p>
            <w:pPr>
              <w:pStyle w:val="Compact"/>
              <w:jc w:val="left"/>
            </w:pPr>
            <w:r>
              <w:t xml:space="preserve">110 pessoas, comparação de diferentes métodos</w:t>
            </w:r>
            <w:r>
              <w:t xml:space="preserve"> </w:t>
            </w:r>
            <w:r>
              <w:t xml:space="preserve">“</w:t>
            </w:r>
            <w:r>
              <w:t xml:space="preserve">anti-aging</w:t>
            </w:r>
            <w:r>
              <w:t xml:space="preserve">”</w:t>
            </w:r>
          </w:p>
        </w:tc>
        <w:tc>
          <w:tcPr/>
          <w:p>
            <w:pPr>
              <w:pStyle w:val="Compact"/>
              <w:jc w:val="left"/>
            </w:pPr>
            <w:r>
              <w:t xml:space="preserve">não informada</w:t>
            </w:r>
          </w:p>
        </w:tc>
        <w:tc>
          <w:tcPr/>
          <w:p>
            <w:pPr>
              <w:pStyle w:val="Compact"/>
              <w:jc w:val="left"/>
            </w:pPr>
            <w:r>
              <w:t xml:space="preserve">efeito mais forte sobre a</w:t>
            </w:r>
            <w:r>
              <w:t xml:space="preserve"> </w:t>
            </w:r>
            <w:r>
              <w:t xml:space="preserve">“</w:t>
            </w:r>
            <w:r>
              <w:t xml:space="preserve">idade biológica</w:t>
            </w:r>
            <w:r>
              <w:t xml:space="preserve">”</w:t>
            </w:r>
            <w:r>
              <w:t xml:space="preserve"> </w:t>
            </w:r>
            <w:r>
              <w:t xml:space="preserve">com a combinação de dois peptídeos</w:t>
            </w:r>
          </w:p>
        </w:tc>
      </w:tr>
    </w:tbl>
    <w:p>
      <w:pPr>
        <w:pStyle w:val="BodyText"/>
      </w:pPr>
      <w:r>
        <w:t xml:space="preserve">Os quatro trabalhos têm fraquezas em comum:</w:t>
      </w:r>
    </w:p>
    <w:p>
      <w:pPr>
        <w:numPr>
          <w:ilvl w:val="0"/>
          <w:numId w:val="1223"/>
        </w:numPr>
        <w:pStyle w:val="Compact"/>
      </w:pPr>
      <w:r>
        <w:rPr>
          <w:bCs/>
          <w:b/>
        </w:rPr>
        <w:t xml:space="preserve">Sem placebo, sem cegamento, sem randomização</w:t>
      </w:r>
      <w:r>
        <w:t xml:space="preserve"> </w:t>
      </w:r>
      <w:r>
        <w:t xml:space="preserve">reconhecíveis. Em questionários sobre humor e carga de estresse, o efeito de expectativa é considerável.</w:t>
      </w:r>
    </w:p>
    <w:p>
      <w:pPr>
        <w:numPr>
          <w:ilvl w:val="0"/>
          <w:numId w:val="1223"/>
        </w:numPr>
        <w:pStyle w:val="Compact"/>
      </w:pPr>
      <w:r>
        <w:rPr>
          <w:bCs/>
          <w:b/>
        </w:rPr>
        <w:t xml:space="preserve">Medidas substitutas em vez de desfechos clínicos:</w:t>
      </w:r>
      <w:r>
        <w:t xml:space="preserve"> </w:t>
      </w:r>
      <w:r>
        <w:t xml:space="preserve">a</w:t>
      </w:r>
      <w:r>
        <w:t xml:space="preserve"> </w:t>
      </w:r>
      <w:r>
        <w:t xml:space="preserve">“</w:t>
      </w:r>
      <w:r>
        <w:t xml:space="preserve">idade biológica</w:t>
      </w:r>
      <w:r>
        <w:t xml:space="preserve">”</w:t>
      </w:r>
      <w:r>
        <w:t xml:space="preserve"> </w:t>
      </w:r>
      <w:r>
        <w:t xml:space="preserve">é calculada na gerontologia russa a partir de uma combinação de medições como pressão arterial, função pulmonar, tempo de reação e autoavaliação. Não é uma medida padronizada internacionalmente, e uma melhora não significa automaticamente mais saúde ou vida mais longa.</w:t>
      </w:r>
    </w:p>
    <w:p>
      <w:pPr>
        <w:numPr>
          <w:ilvl w:val="0"/>
          <w:numId w:val="1223"/>
        </w:numPr>
        <w:pStyle w:val="Compact"/>
      </w:pPr>
      <w:r>
        <w:rPr>
          <w:bCs/>
          <w:b/>
        </w:rPr>
        <w:t xml:space="preserve">Combinações:</w:t>
      </w:r>
      <w:r>
        <w:t xml:space="preserve"> </w:t>
      </w:r>
      <w:r>
        <w:t xml:space="preserve">em vários estudos, o Pinealon foi administrado junto com o peptídeo Vesugen (Lys-Glu-Asp), de modo que o efeito não pode ser atribuído a uma substância.</w:t>
      </w:r>
    </w:p>
    <w:p>
      <w:pPr>
        <w:numPr>
          <w:ilvl w:val="0"/>
          <w:numId w:val="1223"/>
        </w:numPr>
        <w:pStyle w:val="Compact"/>
      </w:pPr>
      <w:r>
        <w:rPr>
          <w:bCs/>
          <w:b/>
        </w:rPr>
        <w:t xml:space="preserve">Números pouco claros:</w:t>
      </w:r>
      <w:r>
        <w:t xml:space="preserve"> </w:t>
      </w:r>
      <w:r>
        <w:t xml:space="preserve">os resumos quase não informam tamanhos de efeito.</w:t>
      </w:r>
    </w:p>
    <w:p>
      <w:pPr>
        <w:pStyle w:val="FirstParagraph"/>
      </w:pPr>
      <w:r>
        <w:t xml:space="preserve">Notável é um achado que não aparece na publicidade: no estudo com 32 idosos, os autores observaram, com Pinealon e Vesugen, uma atividade</w:t>
      </w:r>
      <w:r>
        <w:t xml:space="preserve"> </w:t>
      </w:r>
      <w:r>
        <w:rPr>
          <w:bCs/>
          <w:b/>
        </w:rPr>
        <w:t xml:space="preserve">pró-oxidante</w:t>
      </w:r>
      <w:r>
        <w:t xml:space="preserve"> </w:t>
      </w:r>
      <w:r>
        <w:t xml:space="preserve">– ou seja, o contrário do alegado efeito antioxidante – e uma redução das células-tronco hematopoéticas (CD34+) no sangue, que descrevem como uma clara inibição da hematopoese. Mesmo assim, recomendam os peptídeos para a prática geriátrica</w:t>
      </w:r>
      <w:r>
        <w:rPr>
          <w:rStyle w:val="FootnoteReference"/>
        </w:rPr>
        <w:footnoteReference w:id="1803"/>
      </w:r>
      <w:r>
        <w:t xml:space="preserve">.</w:t>
      </w:r>
    </w:p>
    <w:bookmarkEnd w:id="1804"/>
    <w:bookmarkStart w:id="1808" w:name="estudos-em-animais-e-em-laboratório-40"/>
    <w:p>
      <w:pPr>
        <w:pStyle w:val="Heading3"/>
      </w:pPr>
      <w:r>
        <w:t xml:space="preserve">Estudos em animais e em laboratório</w:t>
      </w:r>
    </w:p>
    <w:p>
      <w:pPr>
        <w:numPr>
          <w:ilvl w:val="0"/>
          <w:numId w:val="1224"/>
        </w:numPr>
        <w:pStyle w:val="Compact"/>
      </w:pPr>
      <w:r>
        <w:t xml:space="preserve">Em ratos cujas mães tinham, na gestação, valores elevados de homocisteína devido a ração rica em metionina, o Pinealon (administrado às mães) melhorou a orientação e a capacidade de aprendizado dos filhotes; seus neurônios do cerebelo foram mais resistentes ao estresse oxidativo</w:t>
      </w:r>
      <w:r>
        <w:rPr>
          <w:rStyle w:val="FootnoteReference"/>
        </w:rPr>
        <w:footnoteReference w:id="1805"/>
      </w:r>
      <w:r>
        <w:t xml:space="preserve">.</w:t>
      </w:r>
    </w:p>
    <w:p>
      <w:pPr>
        <w:numPr>
          <w:ilvl w:val="0"/>
          <w:numId w:val="1224"/>
        </w:numPr>
        <w:pStyle w:val="Compact"/>
      </w:pPr>
      <w:r>
        <w:t xml:space="preserve">Em ratos de 18 meses, o Pinealon e o Cortexin (um preparado russo de extrato cerebral) influenciaram, sob falta de oxigênio e hipotermia, o comportamento e os mensageiros no cérebro; o Cortexin agiu com mais força sobre processos de radicais e enzimas de morte celular</w:t>
      </w:r>
      <w:r>
        <w:rPr>
          <w:rStyle w:val="FootnoteReference"/>
        </w:rPr>
        <w:footnoteReference w:id="1806"/>
      </w:r>
      <w:r>
        <w:t xml:space="preserve">.</w:t>
      </w:r>
    </w:p>
    <w:p>
      <w:pPr>
        <w:numPr>
          <w:ilvl w:val="0"/>
          <w:numId w:val="1224"/>
        </w:numPr>
        <w:pStyle w:val="Compact"/>
      </w:pPr>
      <w:r>
        <w:t xml:space="preserve">Em culturas de células, o Pinealon protegeu diversos tipos celulares contra estresse oxidativo</w:t>
      </w:r>
      <w:r>
        <w:rPr>
          <w:rStyle w:val="FootnoteReference"/>
        </w:rPr>
        <w:footnoteReference w:id="1807"/>
      </w:r>
      <w:r>
        <w:t xml:space="preserve">.</w:t>
      </w:r>
    </w:p>
    <w:p>
      <w:pPr>
        <w:pStyle w:val="FirstParagraph"/>
      </w:pPr>
      <w:r>
        <w:t xml:space="preserve">Quase todos os trabalhos vêm do grupo desenvolvedor ou de institutos russos cooperantes.</w:t>
      </w:r>
    </w:p>
    <w:bookmarkEnd w:id="1808"/>
    <w:bookmarkStart w:id="1810" w:name="riscos-e-efeitos-colaterais-40"/>
    <w:p>
      <w:pPr>
        <w:pStyle w:val="Heading3"/>
      </w:pPr>
      <w:r>
        <w:t xml:space="preserve">Riscos e efeitos colaterais</w:t>
      </w:r>
    </w:p>
    <w:p>
      <w:pPr>
        <w:pStyle w:val="FirstParagraph"/>
      </w:pPr>
      <w:r>
        <w:rPr>
          <w:bCs/>
          <w:b/>
        </w:rPr>
        <w:t xml:space="preserve">Comprovado:</w:t>
      </w:r>
      <w:r>
        <w:t xml:space="preserve"> </w:t>
      </w:r>
      <w:r>
        <w:t xml:space="preserve">não há dados sistemáticos de segurança. O único estudo que relata valores laboratoriais de forma mais detalhada descreve uma atividade pró-oxidante e uma redução das células-tronco hematopoéticas no sangue</w:t>
      </w:r>
      <w:r>
        <w:rPr>
          <w:rStyle w:val="FootnoteReference"/>
        </w:rPr>
        <w:footnoteReference w:id="1809"/>
      </w:r>
      <w:r>
        <w:t xml:space="preserve">. O que isso significa não está claro – mas é um sinal de alerta que não foi estudado mais a fundo.</w:t>
      </w:r>
    </w:p>
    <w:p>
      <w:pPr>
        <w:pStyle w:val="BodyText"/>
      </w:pPr>
      <w:r>
        <w:rPr>
          <w:bCs/>
          <w:b/>
        </w:rPr>
        <w:t xml:space="preserve">Teórico:</w:t>
      </w:r>
      <w:r>
        <w:t xml:space="preserve"> </w:t>
      </w:r>
      <w:r>
        <w:t xml:space="preserve">se a hipótese dos desenvolvedores estiver correta e o Pinealon de fato se ligar ao DNA e regular genes, também seriam concebíveis efeitos genéticos indesejados. Não há estudos sobre danos ao material genético, risco de câncer ou efeitos a longo prazo.</w:t>
      </w:r>
    </w:p>
    <w:p>
      <w:pPr>
        <w:pStyle w:val="BodyText"/>
      </w:pPr>
      <w:r>
        <w:rPr>
          <w:bCs/>
          <w:b/>
        </w:rPr>
        <w:t xml:space="preserve">Mercado cinza:</w:t>
      </w:r>
      <w:r>
        <w:t xml:space="preserve"> </w:t>
      </w:r>
      <w:r>
        <w:t xml:space="preserve">o Pinealon é oferecido online como cápsula, spray nasal ou pó para injeção, geralmente com promessas sobre memória, sono e</w:t>
      </w:r>
      <w:r>
        <w:t xml:space="preserve"> </w:t>
      </w:r>
      <w:r>
        <w:t xml:space="preserve">“</w:t>
      </w:r>
      <w:r>
        <w:t xml:space="preserve">rejuvenescimento cerebral</w:t>
      </w:r>
      <w:r>
        <w:t xml:space="preserve">”</w:t>
      </w:r>
      <w:r>
        <w:t xml:space="preserve">. Teor e pureza não são verificados.</w:t>
      </w:r>
    </w:p>
    <w:bookmarkEnd w:id="1810"/>
    <w:bookmarkStart w:id="1811" w:name="situação-legal-40"/>
    <w:p>
      <w:pPr>
        <w:pStyle w:val="Heading3"/>
      </w:pPr>
      <w:r>
        <w:t xml:space="preserve">Situação legal</w:t>
      </w:r>
    </w:p>
    <w:p>
      <w:pPr>
        <w:numPr>
          <w:ilvl w:val="0"/>
          <w:numId w:val="1225"/>
        </w:numPr>
        <w:pStyle w:val="Compact"/>
      </w:pPr>
      <w:r>
        <w:rPr>
          <w:bCs/>
          <w:b/>
        </w:rPr>
        <w:t xml:space="preserve">UE / Áustria / Alemanha:</w:t>
      </w:r>
      <w:r>
        <w:t xml:space="preserve"> </w:t>
      </w:r>
      <w:r>
        <w:t xml:space="preserve">não aprovado como medicamento. A venda como suplemento alimentar só seria admissível se a substância fosse permitida pela legislação de alimentos; como substância nova, sintética, com efeito farmacológico pretendido, em nossa avaliação esse não é o caso.</w:t>
      </w:r>
    </w:p>
    <w:p>
      <w:pPr>
        <w:numPr>
          <w:ilvl w:val="0"/>
          <w:numId w:val="1225"/>
        </w:numPr>
        <w:pStyle w:val="Compact"/>
      </w:pPr>
      <w:r>
        <w:rPr>
          <w:bCs/>
          <w:b/>
        </w:rPr>
        <w:t xml:space="preserve">EUA:</w:t>
      </w:r>
      <w:r>
        <w:t xml:space="preserve"> </w:t>
      </w:r>
      <w:r>
        <w:t xml:space="preserve">não aprovado.</w:t>
      </w:r>
    </w:p>
    <w:p>
      <w:pPr>
        <w:numPr>
          <w:ilvl w:val="0"/>
          <w:numId w:val="1225"/>
        </w:numPr>
        <w:pStyle w:val="Compact"/>
      </w:pPr>
      <w:r>
        <w:rPr>
          <w:bCs/>
          <w:b/>
        </w:rPr>
        <w:t xml:space="preserve">Rússia:</w:t>
      </w:r>
      <w:r>
        <w:t xml:space="preserve"> </w:t>
      </w:r>
      <w:r>
        <w:t xml:space="preserve">à venda como componente de preparados peptídicos que não passaram pelo procedimento de aprovação de medicamentos.</w:t>
      </w:r>
    </w:p>
    <w:p>
      <w:pPr>
        <w:numPr>
          <w:ilvl w:val="0"/>
          <w:numId w:val="1225"/>
        </w:numPr>
        <w:pStyle w:val="Compact"/>
      </w:pPr>
      <w:r>
        <w:rPr>
          <w:bCs/>
          <w:b/>
        </w:rPr>
        <w:t xml:space="preserve">Esporte:</w:t>
      </w:r>
      <w:r>
        <w:t xml:space="preserve"> </w:t>
      </w:r>
      <w:r>
        <w:t xml:space="preserve">não listado nominalmente; possível enquadramento na categoria S0 da WADA (situação em 2026, verificar atualização).</w:t>
      </w:r>
    </w:p>
    <w:bookmarkEnd w:id="1811"/>
    <w:bookmarkStart w:id="1812" w:name="estudos-em-andamento-e-perspectivas-40"/>
    <w:p>
      <w:pPr>
        <w:pStyle w:val="Heading3"/>
      </w:pPr>
      <w:r>
        <w:t xml:space="preserve">Estudos em andamento e perspectivas</w:t>
      </w:r>
    </w:p>
    <w:p>
      <w:pPr>
        <w:pStyle w:val="FirstParagraph"/>
      </w:pPr>
      <w:r>
        <w:rPr>
          <w:bCs/>
          <w:b/>
        </w:rPr>
        <w:t xml:space="preserve">Comprovado:</w:t>
      </w:r>
      <w:r>
        <w:t xml:space="preserve"> </w:t>
      </w:r>
      <w:r>
        <w:t xml:space="preserve">nenhum estudo registrado (consulta de outubro de 2026).</w:t>
      </w:r>
    </w:p>
    <w:p>
      <w:pPr>
        <w:pStyle w:val="BodyText"/>
      </w:pPr>
      <w:r>
        <w:rPr>
          <w:bCs/>
          <w:b/>
        </w:rPr>
        <w:t xml:space="preserve">Avaliação:</w:t>
      </w:r>
      <w:r>
        <w:t xml:space="preserve"> </w:t>
      </w:r>
      <w:r>
        <w:t xml:space="preserve">enquanto a pesquisa ficar restrita a um pequeno círculo de institutos russos e não forem realizados estudos randomizados e controlados por placebo com desfechos clínicos, o Pinealon continuará sendo um conceito de laboratório com uma superestrutura de marketing.</w:t>
      </w:r>
    </w:p>
    <w:bookmarkEnd w:id="1812"/>
    <w:bookmarkStart w:id="1813" w:name="conclusão-40"/>
    <w:p>
      <w:pPr>
        <w:pStyle w:val="Heading3"/>
      </w:pPr>
      <w:r>
        <w:t xml:space="preserve">Conclusão</w:t>
      </w:r>
    </w:p>
    <w:p>
      <w:pPr>
        <w:pStyle w:val="FirstParagraph"/>
      </w:pPr>
      <w:r>
        <w:t xml:space="preserve">O Pinealon é um tripeptídeo sintético de São Petersburgo que, em culturas de células e em ratos, protegeu neurônios contra estresse oxidativo; os desenvolvedores supõem um efeito direto sobre genes. Os poucos estudos em humanos são pequenos, não controlados e medem sobretudo uma</w:t>
      </w:r>
      <w:r>
        <w:t xml:space="preserve"> </w:t>
      </w:r>
      <w:r>
        <w:t xml:space="preserve">“</w:t>
      </w:r>
      <w:r>
        <w:t xml:space="preserve">idade biológica</w:t>
      </w:r>
      <w:r>
        <w:t xml:space="preserve">”</w:t>
      </w:r>
      <w:r>
        <w:t xml:space="preserve"> </w:t>
      </w:r>
      <w:r>
        <w:t xml:space="preserve">não padronizada. Um deles encontrou até indícios de efeito pró-oxidante e de inibição da hematopoese. Os dados não são suficientes para avaliar um benefício ou a segurança em humanos.</w:t>
      </w:r>
    </w:p>
    <w:bookmarkEnd w:id="1813"/>
    <w:bookmarkEnd w:id="1814"/>
    <w:bookmarkStart w:id="1843" w:name="mots-c"/>
    <w:p>
      <w:pPr>
        <w:pStyle w:val="Heading2"/>
      </w:pPr>
      <w:r>
        <w:t xml:space="preserve">MOTS-c</w:t>
      </w:r>
    </w:p>
    <w:bookmarkStart w:id="1815" w:name="ficha-técnica-41"/>
    <w:p>
      <w:pPr>
        <w:pStyle w:val="Heading3"/>
      </w:pPr>
      <w:r>
        <w:t xml:space="preserve">Ficha técnica</w:t>
      </w:r>
    </w:p>
    <w:p>
      <w:pPr>
        <w:numPr>
          <w:ilvl w:val="0"/>
          <w:numId w:val="1226"/>
        </w:numPr>
        <w:pStyle w:val="Compact"/>
      </w:pPr>
      <w:r>
        <w:rPr>
          <w:bCs/>
          <w:b/>
        </w:rPr>
        <w:t xml:space="preserve">Tipo e estrutura:</w:t>
      </w:r>
      <w:r>
        <w:t xml:space="preserve"> </w:t>
      </w:r>
      <w:r>
        <w:t xml:space="preserve">peptídeo de 16 aminoácidos. O nome significa</w:t>
      </w:r>
      <w:r>
        <w:t xml:space="preserve"> </w:t>
      </w:r>
      <w:r>
        <w:rPr>
          <w:iCs/>
          <w:i/>
        </w:rPr>
        <w:t xml:space="preserve">mitochondrial open reading frame of the 12S rRNA-c</w:t>
      </w:r>
      <w:r>
        <w:t xml:space="preserve"> </w:t>
      </w:r>
      <w:r>
        <w:t xml:space="preserve">– ele não está codificado no núcleo celular, mas no material genético das mitocôndrias, as</w:t>
      </w:r>
      <w:r>
        <w:t xml:space="preserve"> </w:t>
      </w:r>
      <w:r>
        <w:t xml:space="preserve">“</w:t>
      </w:r>
      <w:r>
        <w:t xml:space="preserve">usinas de energia</w:t>
      </w:r>
      <w:r>
        <w:t xml:space="preserve">”</w:t>
      </w:r>
      <w:r>
        <w:t xml:space="preserve"> </w:t>
      </w:r>
      <w:r>
        <w:t xml:space="preserve">da célula.</w:t>
      </w:r>
    </w:p>
    <w:p>
      <w:pPr>
        <w:numPr>
          <w:ilvl w:val="0"/>
          <w:numId w:val="1226"/>
        </w:numPr>
        <w:pStyle w:val="Compact"/>
      </w:pPr>
      <w:r>
        <w:rPr>
          <w:bCs/>
          <w:b/>
        </w:rPr>
        <w:t xml:space="preserve">Origem:</w:t>
      </w:r>
      <w:r>
        <w:t xml:space="preserve"> </w:t>
      </w:r>
      <w:r>
        <w:t xml:space="preserve">descrito em 2015 por um grupo de trabalho liderado por Pinchas Cohen na University of Southern California. O organismo o produz por conta própria, sobretudo no músculo esquelético.</w:t>
      </w:r>
    </w:p>
    <w:p>
      <w:pPr>
        <w:numPr>
          <w:ilvl w:val="0"/>
          <w:numId w:val="1226"/>
        </w:numPr>
        <w:pStyle w:val="Compact"/>
      </w:pPr>
      <w:r>
        <w:rPr>
          <w:bCs/>
          <w:b/>
        </w:rPr>
        <w:t xml:space="preserve">Princípio de ação:</w:t>
      </w:r>
      <w:r>
        <w:t xml:space="preserve"> </w:t>
      </w:r>
      <w:r>
        <w:t xml:space="preserve">é considerado uma</w:t>
      </w:r>
      <w:r>
        <w:t xml:space="preserve"> </w:t>
      </w:r>
      <w:r>
        <w:t xml:space="preserve">“</w:t>
      </w:r>
      <w:r>
        <w:t xml:space="preserve">mitocina</w:t>
      </w:r>
      <w:r>
        <w:t xml:space="preserve">”</w:t>
      </w:r>
      <w:r>
        <w:t xml:space="preserve"> </w:t>
      </w:r>
      <w:r>
        <w:t xml:space="preserve">– um sinalizador das mitocôndrias. Em camundongos, ativou o sensor de energia AMPK, melhorou a sensibilidade à insulina e a capacidade física; por isso é discutido como</w:t>
      </w:r>
      <w:r>
        <w:t xml:space="preserve"> </w:t>
      </w:r>
      <w:r>
        <w:t xml:space="preserve">“</w:t>
      </w:r>
      <w:r>
        <w:t xml:space="preserve">imitador do exercício</w:t>
      </w:r>
      <w:r>
        <w:t xml:space="preserve">”</w:t>
      </w:r>
      <w:r>
        <w:t xml:space="preserve"> </w:t>
      </w:r>
      <w:r>
        <w:t xml:space="preserve">(exercise mimetic).</w:t>
      </w:r>
    </w:p>
    <w:p>
      <w:pPr>
        <w:numPr>
          <w:ilvl w:val="0"/>
          <w:numId w:val="1226"/>
        </w:numPr>
        <w:pStyle w:val="Compact"/>
      </w:pPr>
      <w:r>
        <w:rPr>
          <w:bCs/>
          <w:b/>
        </w:rPr>
        <w:t xml:space="preserve">Aprovação UE:</w:t>
      </w:r>
      <w:r>
        <w:t xml:space="preserve"> </w:t>
      </w:r>
      <w:r>
        <w:t xml:space="preserve">não.</w:t>
      </w:r>
    </w:p>
    <w:p>
      <w:pPr>
        <w:numPr>
          <w:ilvl w:val="0"/>
          <w:numId w:val="1226"/>
        </w:numPr>
        <w:pStyle w:val="Compact"/>
      </w:pPr>
      <w:r>
        <w:rPr>
          <w:bCs/>
          <w:b/>
        </w:rPr>
        <w:t xml:space="preserve">Aprovação EUA:</w:t>
      </w:r>
      <w:r>
        <w:t xml:space="preserve"> </w:t>
      </w:r>
      <w:r>
        <w:t xml:space="preserve">não. Retirado da</w:t>
      </w:r>
      <w:r>
        <w:t xml:space="preserve"> </w:t>
      </w:r>
      <w:r>
        <w:t xml:space="preserve">“</w:t>
      </w:r>
      <w:r>
        <w:t xml:space="preserve">categoria 2</w:t>
      </w:r>
      <w:r>
        <w:t xml:space="preserve">”</w:t>
      </w:r>
      <w:r>
        <w:t xml:space="preserve"> </w:t>
      </w:r>
      <w:r>
        <w:t xml:space="preserve">da FDA em abril de 2026; o comitê consultivo PCAC votou em julho de 2026, por 7 a 5, a favor da inclusão na lista de substâncias permitidas para manipulação (situação em outubro de 2026, verificar atualização).</w:t>
      </w:r>
    </w:p>
    <w:p>
      <w:pPr>
        <w:numPr>
          <w:ilvl w:val="0"/>
          <w:numId w:val="1226"/>
        </w:numPr>
        <w:pStyle w:val="Compact"/>
      </w:pPr>
      <w:r>
        <w:rPr>
          <w:bCs/>
          <w:b/>
        </w:rPr>
        <w:t xml:space="preserve">WADA:</w:t>
      </w:r>
      <w:r>
        <w:t xml:space="preserve"> </w:t>
      </w:r>
      <w:r>
        <w:rPr>
          <w:bCs/>
          <w:b/>
        </w:rPr>
        <w:t xml:space="preserve">proibido</w:t>
      </w:r>
      <w:r>
        <w:t xml:space="preserve"> </w:t>
      </w:r>
      <w:r>
        <w:t xml:space="preserve">– citado expressamente na categoria S4 (moduladores hormonais e metabólicos) como exemplo de ativador da AMPK, em competição e fora dela.</w:t>
      </w:r>
    </w:p>
    <w:p>
      <w:pPr>
        <w:numPr>
          <w:ilvl w:val="0"/>
          <w:numId w:val="1226"/>
        </w:numPr>
        <w:pStyle w:val="Compact"/>
      </w:pPr>
      <w:r>
        <w:rPr>
          <w:bCs/>
          <w:b/>
        </w:rPr>
        <w:t xml:space="preserve">Nível de evidência:</w:t>
      </w:r>
      <w:r>
        <w:t xml:space="preserve"> </w:t>
      </w:r>
      <w:r>
        <w:rPr>
          <w:bCs/>
          <w:b/>
        </w:rPr>
        <w:t xml:space="preserve">D</w:t>
      </w:r>
      <w:r>
        <w:t xml:space="preserve"> </w:t>
      </w:r>
      <w:r>
        <w:t xml:space="preserve">para a administração como substância ativa – não há resultados publicados de estudos controlados em humanos; em humanos existem apenas estudos observacionais sobre os níveis do próprio organismo.</w:t>
      </w:r>
    </w:p>
    <w:bookmarkEnd w:id="1815"/>
    <w:bookmarkStart w:id="1819" w:name="como-deveria-agir-41"/>
    <w:p>
      <w:pPr>
        <w:pStyle w:val="Heading3"/>
      </w:pPr>
      <w:r>
        <w:t xml:space="preserve">Como deveria agir</w:t>
      </w:r>
    </w:p>
    <w:p>
      <w:pPr>
        <w:pStyle w:val="FirstParagraph"/>
      </w:pPr>
      <w:r>
        <w:t xml:space="preserve">As mitocôndrias possuem um pequeno material genético próprio. Por muito tempo, ele foi considerado a</w:t>
      </w:r>
      <w:r>
        <w:t xml:space="preserve"> </w:t>
      </w:r>
      <w:r>
        <w:t xml:space="preserve">“</w:t>
      </w:r>
      <w:r>
        <w:t xml:space="preserve">planta</w:t>
      </w:r>
      <w:r>
        <w:t xml:space="preserve">”</w:t>
      </w:r>
      <w:r>
        <w:t xml:space="preserve"> </w:t>
      </w:r>
      <w:r>
        <w:t xml:space="preserve">de apenas 13 proteínas da produção de energia. Desde o início dos anos 2000, foram descobertos nele adicionalmente segmentos de leitura curtos que codificam pequenos peptídeos sinalizadores – primeiro a humanina (veja o próximo capítulo), depois o MOTS-c.</w:t>
      </w:r>
    </w:p>
    <w:p>
      <w:pPr>
        <w:pStyle w:val="BodyText"/>
      </w:pPr>
      <w:r>
        <w:t xml:space="preserve">A primeira descrição mostrou em camundongos que o MOTS-c age sobretudo no músculo esquelético: ele inibe uma via metabólica (ciclo do folato e síntese de novo de purinas), com o que se acumula o mensageiro AICAR e a enzima AMPK é ativada – o mesmo sensor de energia sobre o qual agem o exercício e o medicamento para diabetes metformina. Camundongos que receberam injeções de MOTS-c desenvolveram, com dieta rica em gordura, menos excesso de peso e menos resistência à insulina</w:t>
      </w:r>
      <w:r>
        <w:rPr>
          <w:rStyle w:val="FootnoteReference"/>
        </w:rPr>
        <w:footnoteReference w:id="1816"/>
      </w:r>
      <w:r>
        <w:t xml:space="preserve">. Sob estresse metabólico, o MOTS-c migrou, em culturas de células, para o núcleo celular e influenciou ali genes</w:t>
      </w:r>
      <w:r>
        <w:rPr>
          <w:rStyle w:val="FootnoteReference"/>
        </w:rPr>
        <w:footnoteReference w:id="1817"/>
      </w:r>
      <w:r>
        <w:t xml:space="preserve">.</w:t>
      </w:r>
    </w:p>
    <w:p>
      <w:pPr>
        <w:pStyle w:val="BodyText"/>
      </w:pPr>
      <w:r>
        <w:t xml:space="preserve">Em um segundo grande trabalho, o MOTS-c aumentou a capacidade física de camundongos jovens, de meia-idade e idosos; um tratamento iniciado só na idade avançada melhorou a capacidade física e a</w:t>
      </w:r>
      <w:r>
        <w:t xml:space="preserve"> </w:t>
      </w:r>
      <w:r>
        <w:t xml:space="preserve">“</w:t>
      </w:r>
      <w:r>
        <w:t xml:space="preserve">expectativa de vida saudável</w:t>
      </w:r>
      <w:r>
        <w:t xml:space="preserve">”</w:t>
      </w:r>
      <w:r>
        <w:t xml:space="preserve">. Em humanos, os níveis de MOTS-c no músculo e no sangue subiram após esforço físico</w:t>
      </w:r>
      <w:r>
        <w:rPr>
          <w:rStyle w:val="FootnoteReference"/>
        </w:rPr>
        <w:footnoteReference w:id="1818"/>
      </w:r>
      <w:r>
        <w:t xml:space="preserve">.</w:t>
      </w:r>
    </w:p>
    <w:p>
      <w:pPr>
        <w:pStyle w:val="BodyText"/>
      </w:pPr>
      <w:r>
        <w:t xml:space="preserve">Daí surgiu a imagem do MOTS-c como</w:t>
      </w:r>
      <w:r>
        <w:t xml:space="preserve"> </w:t>
      </w:r>
      <w:r>
        <w:t xml:space="preserve">“</w:t>
      </w:r>
      <w:r>
        <w:t xml:space="preserve">exercício na seringa</w:t>
      </w:r>
      <w:r>
        <w:t xml:space="preserve">”</w:t>
      </w:r>
      <w:r>
        <w:t xml:space="preserve">. Importante, porém, é a ordem: o fato de o exercício aumentar o MOTS-c não significa que injeções de MOTS-c reproduzam os efeitos do exercício em humanos.</w:t>
      </w:r>
    </w:p>
    <w:bookmarkEnd w:id="1819"/>
    <w:bookmarkStart w:id="1829" w:name="estudos-em-humanos-41"/>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5 publicações classificadas como estudos em humanos; nenhuma delas administrou MOTS-c. Ao todo, o PubMed lista cerca de 260 trabalhos com</w:t>
      </w:r>
      <w:r>
        <w:t xml:space="preserve"> </w:t>
      </w:r>
      <w:r>
        <w:t xml:space="preserve">“</w:t>
      </w:r>
      <w:r>
        <w:t xml:space="preserve">MOTS-c</w:t>
      </w:r>
      <w:r>
        <w:t xml:space="preserve">”</w:t>
      </w:r>
      <w:r>
        <w:t xml:space="preserve">, predominantemente experimentos com animais e células, bem como estudos observacionais sobre os níveis sanguíneos do próprio organismo. No ClinicalTrials.gov, a busca resultou em 5 registros. Quatro deles apenas medem níveis ou tratam de outras questões. O quinto, um suposto estudo de fase 2 com MOTS-c em pré-diabetes, vem de um patrocinador em cujo nome constam no registro aparentemente registros fictícios de exemplo. Por isso não o consideramos um estudo real e não o contamos; um estudo registrado com o próprio MOTS-c como substância ativa não está, assim, comprovado. Soma-se a isso um estudo concluído com o derivado de MOTS-c CB4211</w:t>
      </w:r>
      <w:r>
        <w:rPr>
          <w:rStyle w:val="FootnoteReference"/>
        </w:rPr>
        <w:footnoteReference w:id="1820"/>
      </w:r>
      <w:r>
        <w:t xml:space="preserve">.</w:t>
      </w:r>
    </w:p>
    <w:p>
      <w:pPr>
        <w:pStyle w:val="BodyText"/>
      </w:pPr>
      <w:r>
        <w:t xml:space="preserve">Para a compreensão deste capítulo, uma distinção é central:</w:t>
      </w:r>
    </w:p>
    <w:p>
      <w:pPr>
        <w:numPr>
          <w:ilvl w:val="0"/>
          <w:numId w:val="1227"/>
        </w:numPr>
        <w:pStyle w:val="Compact"/>
      </w:pPr>
      <w:r>
        <w:rPr>
          <w:bCs/>
          <w:b/>
        </w:rPr>
        <w:t xml:space="preserve">Estudos observacionais sobre níveis do próprio organismo:</w:t>
      </w:r>
      <w:r>
        <w:t xml:space="preserve"> </w:t>
      </w:r>
      <w:r>
        <w:t xml:space="preserve">aqui se mede quanto MOTS-c as pessoas têm no sangue e relaciona-se isso com doenças ou comportamento.</w:t>
      </w:r>
    </w:p>
    <w:p>
      <w:pPr>
        <w:numPr>
          <w:ilvl w:val="0"/>
          <w:numId w:val="1227"/>
        </w:numPr>
        <w:pStyle w:val="Compact"/>
      </w:pPr>
      <w:r>
        <w:rPr>
          <w:bCs/>
          <w:b/>
        </w:rPr>
        <w:t xml:space="preserve">Estudos em que MOTS-c (ou um derivado) é administrado como substância ativa:</w:t>
      </w:r>
      <w:r>
        <w:t xml:space="preserve"> </w:t>
      </w:r>
      <w:r>
        <w:t xml:space="preserve">só eles podem mostrar se uma suplementação produz algum efeito.</w:t>
      </w:r>
    </w:p>
    <w:p>
      <w:pPr>
        <w:pStyle w:val="FirstParagraph"/>
      </w:pPr>
      <w:r>
        <w:t xml:space="preserve">Resultados do primeiro tipo são frequentemente apresentados na internet como se comprovassem o efeito do segundo tipo. Isso é um curto-circuito.</w:t>
      </w:r>
    </w:p>
    <w:bookmarkStart w:id="1826" w:name="níveis-do-próprio-organismo-observações"/>
    <w:p>
      <w:pPr>
        <w:pStyle w:val="Heading4"/>
      </w:pPr>
      <w:r>
        <w:t xml:space="preserve">1. Níveis do próprio organismo: observações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crianças e adolescentes com excesso de peso, 57 controles, estudo caso-controle</w:t>
            </w:r>
          </w:p>
        </w:tc>
        <w:tc>
          <w:tcPr/>
          <w:p>
            <w:pPr>
              <w:pStyle w:val="Compact"/>
              <w:jc w:val="left"/>
            </w:pPr>
            <w:r>
              <w:t xml:space="preserve">transversal</w:t>
            </w:r>
          </w:p>
        </w:tc>
        <w:tc>
          <w:tcPr/>
          <w:p>
            <w:pPr>
              <w:pStyle w:val="Compact"/>
              <w:jc w:val="left"/>
            </w:pPr>
            <w:r>
              <w:t xml:space="preserve">níveis mais baixos em meninos com excesso de peso, não em meninas</w:t>
            </w:r>
          </w:p>
        </w:tc>
      </w:tr>
      <w:tr>
        <w:tc>
          <w:tcPr/>
          <w:p>
            <w:pPr>
              <w:pStyle w:val="Compact"/>
              <w:jc w:val="left"/>
            </w:pPr>
            <w:r>
              <w:t xml:space="preserve">Kirik 2023, PMID 37750635</w:t>
            </w:r>
          </w:p>
        </w:tc>
        <w:tc>
          <w:tcPr/>
          <w:p>
            <w:pPr>
              <w:pStyle w:val="Compact"/>
              <w:jc w:val="left"/>
            </w:pPr>
            <w:r>
              <w:t xml:space="preserve">150 pessoas com fígado gorduroso, 84 saudáveis</w:t>
            </w:r>
          </w:p>
        </w:tc>
        <w:tc>
          <w:tcPr/>
          <w:p>
            <w:pPr>
              <w:pStyle w:val="Compact"/>
              <w:jc w:val="left"/>
            </w:pPr>
            <w:r>
              <w:t xml:space="preserve">transversal</w:t>
            </w:r>
          </w:p>
        </w:tc>
        <w:tc>
          <w:tcPr/>
          <w:p>
            <w:pPr>
              <w:pStyle w:val="Compact"/>
              <w:jc w:val="left"/>
            </w:pPr>
            <w:r>
              <w:t xml:space="preserve">níveis mais baixos em fígado gorduroso e síndrome metabólica</w:t>
            </w:r>
          </w:p>
        </w:tc>
      </w:tr>
      <w:tr>
        <w:tc>
          <w:tcPr/>
          <w:p>
            <w:pPr>
              <w:pStyle w:val="Compact"/>
              <w:jc w:val="left"/>
            </w:pPr>
            <w:r>
              <w:t xml:space="preserve">Ikonomidis 2020, PMID 32052315</w:t>
            </w:r>
          </w:p>
        </w:tc>
        <w:tc>
          <w:tcPr/>
          <w:p>
            <w:pPr>
              <w:pStyle w:val="Compact"/>
              <w:jc w:val="left"/>
            </w:pPr>
            <w:r>
              <w:t xml:space="preserve">121 pessoas com diabetes tipo 2 após intervenção vascular</w:t>
            </w:r>
          </w:p>
        </w:tc>
        <w:tc>
          <w:tcPr/>
          <w:p>
            <w:pPr>
              <w:pStyle w:val="Compact"/>
              <w:jc w:val="left"/>
            </w:pPr>
            <w:r>
              <w:t xml:space="preserve">2 anos</w:t>
            </w:r>
          </w:p>
        </w:tc>
        <w:tc>
          <w:tcPr/>
          <w:p>
            <w:pPr>
              <w:pStyle w:val="Compact"/>
              <w:jc w:val="left"/>
            </w:pPr>
            <w:r>
              <w:t xml:space="preserve">MOTS-c baixo (abaixo de 167 ng/ml) previu eventos cardiovasculares (risco relativo 3,8)</w:t>
            </w:r>
          </w:p>
        </w:tc>
      </w:tr>
      <w:tr>
        <w:tc>
          <w:tcPr/>
          <w:p>
            <w:pPr>
              <w:pStyle w:val="Compact"/>
              <w:jc w:val="left"/>
            </w:pPr>
            <w:r>
              <w:t xml:space="preserve">von Walden 2021, PMID 34351816</w:t>
            </w:r>
          </w:p>
        </w:tc>
        <w:tc>
          <w:tcPr/>
          <w:p>
            <w:pPr>
              <w:pStyle w:val="Compact"/>
              <w:jc w:val="left"/>
            </w:pPr>
            <w:r>
              <w:t xml:space="preserve">30 pessoas, treino de resistência aeróbica ou de força ou controle, randomizado</w:t>
            </w:r>
          </w:p>
        </w:tc>
        <w:tc>
          <w:tcPr/>
          <w:p>
            <w:pPr>
              <w:pStyle w:val="Compact"/>
              <w:jc w:val="left"/>
            </w:pPr>
            <w:r>
              <w:t xml:space="preserve">esforço único</w:t>
            </w:r>
          </w:p>
        </w:tc>
        <w:tc>
          <w:tcPr/>
          <w:p>
            <w:pPr>
              <w:pStyle w:val="Compact"/>
              <w:jc w:val="left"/>
            </w:pPr>
            <w:r>
              <w:t xml:space="preserve">a humanina subiu após esforço aeróbico, o MOTS-c mostrou apenas uma tendência</w:t>
            </w:r>
          </w:p>
        </w:tc>
      </w:tr>
      <w:tr>
        <w:tc>
          <w:tcPr/>
          <w:p>
            <w:pPr>
              <w:pStyle w:val="Compact"/>
              <w:jc w:val="left"/>
            </w:pPr>
            <w:r>
              <w:t xml:space="preserve">Dieli-Conwright 2021, PMID 34413391</w:t>
            </w:r>
          </w:p>
        </w:tc>
        <w:tc>
          <w:tcPr/>
          <w:p>
            <w:pPr>
              <w:pStyle w:val="Compact"/>
              <w:jc w:val="left"/>
            </w:pPr>
            <w:r>
              <w:t xml:space="preserve">49 mulheres após câncer de mama, treino ou cuidado padrão, randomizado</w:t>
            </w:r>
          </w:p>
        </w:tc>
        <w:tc>
          <w:tcPr/>
          <w:p>
            <w:pPr>
              <w:pStyle w:val="Compact"/>
              <w:jc w:val="left"/>
            </w:pPr>
            <w:r>
              <w:t xml:space="preserve">16 semanas</w:t>
            </w:r>
          </w:p>
        </w:tc>
        <w:tc>
          <w:tcPr/>
          <w:p>
            <w:pPr>
              <w:pStyle w:val="Compact"/>
              <w:jc w:val="left"/>
            </w:pPr>
            <w:r>
              <w:t xml:space="preserve">aumento do MOTS-c em mulheres brancas não hispânicas, não em mulheres hispânicas</w:t>
            </w:r>
          </w:p>
        </w:tc>
      </w:tr>
      <w:tr>
        <w:tc>
          <w:tcPr/>
          <w:p>
            <w:pPr>
              <w:pStyle w:val="Compact"/>
              <w:jc w:val="left"/>
            </w:pPr>
            <w:r>
              <w:t xml:space="preserve">Elhusseiny 2025, PMID 40674654</w:t>
            </w:r>
          </w:p>
        </w:tc>
        <w:tc>
          <w:tcPr/>
          <w:p>
            <w:pPr>
              <w:pStyle w:val="Compact"/>
              <w:jc w:val="left"/>
            </w:pPr>
            <w:r>
              <w:t xml:space="preserve">19 homens ativos com perna imobilizada, tratamento com calor ou simulado</w:t>
            </w:r>
          </w:p>
        </w:tc>
        <w:tc>
          <w:tcPr/>
          <w:p>
            <w:pPr>
              <w:pStyle w:val="Compact"/>
              <w:jc w:val="left"/>
            </w:pPr>
            <w:r>
              <w:t xml:space="preserve">2 semanas</w:t>
            </w:r>
          </w:p>
        </w:tc>
        <w:tc>
          <w:tcPr/>
          <w:p>
            <w:pPr>
              <w:pStyle w:val="Compact"/>
              <w:jc w:val="left"/>
            </w:pPr>
            <w:r>
              <w:t xml:space="preserve">o calor aumentou o MOTS-c no sangue</w:t>
            </w:r>
          </w:p>
        </w:tc>
      </w:tr>
    </w:tbl>
    <w:p>
      <w:pPr>
        <w:pStyle w:val="BodyText"/>
      </w:pPr>
      <w:r>
        <w:t xml:space="preserve">Esses estudos mostram que níveis baixos de MOTS-c frequentemente acompanham excesso de peso, resistência à insulina, fígado gorduroso ou problemas vasculares</w:t>
      </w:r>
      <w:r>
        <w:rPr>
          <w:rStyle w:val="FootnoteReference"/>
        </w:rPr>
        <w:footnoteReference w:id="1821"/>
      </w:r>
      <w:r>
        <w:t xml:space="preserve"> </w:t>
      </w:r>
      <w:r>
        <w:t xml:space="preserve">e que exercício ou calor podem aumentar os níveis. O que eles</w:t>
      </w:r>
      <w:r>
        <w:t xml:space="preserve"> </w:t>
      </w:r>
      <w:r>
        <w:rPr>
          <w:bCs/>
          <w:b/>
        </w:rPr>
        <w:t xml:space="preserve">não</w:t>
      </w:r>
      <w:r>
        <w:t xml:space="preserve"> </w:t>
      </w:r>
      <w:r>
        <w:t xml:space="preserve">mostram: que níveis baixos causam as doenças, ou que MOTS-c administrado as previne. Pode muito bem ser o contrário – a doença reduz o nível.</w:t>
      </w:r>
    </w:p>
    <w:p>
      <w:pPr>
        <w:pStyle w:val="BodyText"/>
      </w:pPr>
      <w:r>
        <w:t xml:space="preserve">Outra dificuldade é a própria medição. Os estudos usam diferentes métodos de teste (ELISA), cujos resultados diferem muito: em crianças, as médias ficaram em torno de 470 a 560 ng/ml</w:t>
      </w:r>
      <w:r>
        <w:rPr>
          <w:rStyle w:val="FootnoteReference"/>
        </w:rPr>
        <w:footnoteReference w:id="1822"/>
      </w:r>
      <w:r>
        <w:t xml:space="preserve">; no estudo de diabetes, um valor abaixo de 167 ng/ml foi considerado baixo</w:t>
      </w:r>
      <w:r>
        <w:rPr>
          <w:rStyle w:val="FootnoteReference"/>
        </w:rPr>
        <w:footnoteReference w:id="1823"/>
      </w:r>
      <w:r>
        <w:t xml:space="preserve">. Em um estudo com pacientes com câncer de mama, nem mesmo a metformina – que age sobre o mesmo sensor de energia – alterou os níveis medidos com um teste comercial</w:t>
      </w:r>
      <w:r>
        <w:rPr>
          <w:rStyle w:val="FootnoteReference"/>
        </w:rPr>
        <w:footnoteReference w:id="1824"/>
      </w:r>
      <w:r>
        <w:t xml:space="preserve">.</w:t>
      </w:r>
    </w:p>
    <w:p>
      <w:pPr>
        <w:pStyle w:val="BodyText"/>
      </w:pPr>
      <w:r>
        <w:rPr>
          <w:bCs/>
          <w:b/>
        </w:rPr>
        <w:t xml:space="preserve">Indícios genéticos:</w:t>
      </w:r>
      <w:r>
        <w:t xml:space="preserve"> </w:t>
      </w:r>
      <w:r>
        <w:t xml:space="preserve">uma variante do material genético mitocondrial que ocorre apenas na Ásia altera um componente do MOTS-c (K14Q). Em três coortes com um total de 27.527 pessoas, homens com essa variante tinham diabetes tipo 2 com mais frequência, sobretudo quando eram pouco ativos fisicamente. Em camundongos, a forma alterada de MOTS-c agiu mais fracamente</w:t>
      </w:r>
      <w:r>
        <w:rPr>
          <w:rStyle w:val="FootnoteReference"/>
        </w:rPr>
        <w:footnoteReference w:id="1825"/>
      </w:r>
      <w:r>
        <w:t xml:space="preserve">. É um indício interessante de que o MOTS-c poderia ter papel no metabolismo humano – mas não uma prova do benefício de uma suplementação.</w:t>
      </w:r>
    </w:p>
    <w:bookmarkEnd w:id="1826"/>
    <w:bookmarkStart w:id="1828" w:name="X0f913854f2ba85a4f2bf7573288d2be939a996d"/>
    <w:p>
      <w:pPr>
        <w:pStyle w:val="Heading4"/>
      </w:pPr>
      <w:r>
        <w:t xml:space="preserve">2. Administração como substância ativa: CB4211</w:t>
      </w:r>
    </w:p>
    <w:p>
      <w:pPr>
        <w:pStyle w:val="FirstParagraph"/>
      </w:pPr>
      <w:r>
        <w:t xml:space="preserve">O</w:t>
      </w:r>
      <w:r>
        <w:t xml:space="preserve"> </w:t>
      </w:r>
      <w:r>
        <w:rPr>
          <w:bCs/>
          <w:b/>
        </w:rPr>
        <w:t xml:space="preserve">CB4211</w:t>
      </w:r>
      <w:r>
        <w:t xml:space="preserve"> </w:t>
      </w:r>
      <w:r>
        <w:t xml:space="preserve">é um derivado de MOTS-c desenvolvido pela empresa CohBar. O estudo de fase 1a/1b</w:t>
      </w:r>
      <w:r>
        <w:rPr>
          <w:rStyle w:val="FootnoteReference"/>
        </w:rPr>
        <w:footnoteReference w:id="1827"/>
      </w:r>
      <w:r>
        <w:t xml:space="preserve"> </w:t>
      </w:r>
      <w:r>
        <w:t xml:space="preserve">foi randomizado, duplo-cego e controlado por placebo e incluiu 88 participantes: pessoas saudáveis receberam injeções subcutâneas únicas ou diárias por sete dias, e pessoas com obesidade e fígado gorduroso, por 28 dias. Os desfechos principais foram segurança e tolerabilidade; objetivos secundários foram, entre outros, gordura hepática e peso corporal. O estudo foi concluído em abril de 2021. No registro não há resultados depositados, e uma publicação em revista especializada não pôde ser encontrada em nossa pesquisa. A empresa comunicou em 2021, por comunicado à imprensa, alterações favoráveis de alguns valores hepáticos e glicêmicos com boa tolerabilidade; tais comunicados não são revisados de forma independente. Não se conhece continuidade do desenvolvimento em estudos maiores.</w:t>
      </w:r>
    </w:p>
    <w:p>
      <w:pPr>
        <w:pStyle w:val="BodyText"/>
      </w:pPr>
      <w:r>
        <w:t xml:space="preserve">O</w:t>
      </w:r>
      <w:r>
        <w:t xml:space="preserve"> </w:t>
      </w:r>
      <w:r>
        <w:rPr>
          <w:bCs/>
          <w:b/>
        </w:rPr>
        <w:t xml:space="preserve">próprio MOTS-c</w:t>
      </w:r>
      <w:r>
        <w:t xml:space="preserve">, segundo nossa pesquisa, ainda não foi administrado como substância ativa em nenhum estudo publicado ou registrado de forma confiável em humanos. Um registro que descreve um estudo de fase 2 desse tipo revelou-se duvidoso (veja acima).</w:t>
      </w:r>
    </w:p>
    <w:p>
      <w:pPr>
        <w:pStyle w:val="BodyText"/>
      </w:pPr>
      <w:r>
        <w:t xml:space="preserve">Até lá vale:</w:t>
      </w:r>
      <w:r>
        <w:t xml:space="preserve"> </w:t>
      </w:r>
      <w:r>
        <w:rPr>
          <w:bCs/>
          <w:b/>
        </w:rPr>
        <w:t xml:space="preserve">não há dados publicados</w:t>
      </w:r>
      <w:r>
        <w:t xml:space="preserve"> </w:t>
      </w:r>
      <w:r>
        <w:t xml:space="preserve">sobre se injeções de MOTS-c influenciam o metabolismo, o desempenho ou o envelhecimento em humanos.</w:t>
      </w:r>
    </w:p>
    <w:bookmarkEnd w:id="1828"/>
    <w:bookmarkEnd w:id="1829"/>
    <w:bookmarkStart w:id="1834" w:name="estudos-em-animais-e-em-laboratório-41"/>
    <w:p>
      <w:pPr>
        <w:pStyle w:val="Heading3"/>
      </w:pPr>
      <w:r>
        <w:t xml:space="preserve">Estudos em animais e em laboratório</w:t>
      </w:r>
    </w:p>
    <w:p>
      <w:pPr>
        <w:pStyle w:val="FirstParagraph"/>
      </w:pPr>
      <w:r>
        <w:t xml:space="preserve">A pesquisa pré-clínica é extensa e cresce rapidamente:</w:t>
      </w:r>
    </w:p>
    <w:p>
      <w:pPr>
        <w:numPr>
          <w:ilvl w:val="0"/>
          <w:numId w:val="1228"/>
        </w:numPr>
        <w:pStyle w:val="Compact"/>
      </w:pPr>
      <w:r>
        <w:rPr>
          <w:bCs/>
          <w:b/>
        </w:rPr>
        <w:t xml:space="preserve">Metabolismo:</w:t>
      </w:r>
      <w:r>
        <w:t xml:space="preserve"> </w:t>
      </w:r>
      <w:r>
        <w:t xml:space="preserve">em camundongos, o MOTS-c impediu o excesso de peso e a resistência à insulina induzidos pela dieta</w:t>
      </w:r>
      <w:r>
        <w:rPr>
          <w:rStyle w:val="FootnoteReference"/>
        </w:rPr>
        <w:footnoteReference w:id="1830"/>
      </w:r>
      <w:r>
        <w:t xml:space="preserve">.</w:t>
      </w:r>
    </w:p>
    <w:p>
      <w:pPr>
        <w:numPr>
          <w:ilvl w:val="0"/>
          <w:numId w:val="1228"/>
        </w:numPr>
        <w:pStyle w:val="Compact"/>
      </w:pPr>
      <w:r>
        <w:rPr>
          <w:bCs/>
          <w:b/>
        </w:rPr>
        <w:t xml:space="preserve">Músculo:</w:t>
      </w:r>
      <w:r>
        <w:t xml:space="preserve"> </w:t>
      </w:r>
      <w:r>
        <w:t xml:space="preserve">o MOTS-c reduziu, em camundongos com excesso de peso, o mensageiro de degradação muscular miostatina; em humanos, os níveis sanguíneos de MOTS-c e miostatina foram inversos</w:t>
      </w:r>
      <w:r>
        <w:rPr>
          <w:rStyle w:val="FootnoteReference"/>
        </w:rPr>
        <w:footnoteReference w:id="1831"/>
      </w:r>
      <w:r>
        <w:t xml:space="preserve">.</w:t>
      </w:r>
    </w:p>
    <w:p>
      <w:pPr>
        <w:numPr>
          <w:ilvl w:val="0"/>
          <w:numId w:val="1228"/>
        </w:numPr>
        <w:pStyle w:val="Compact"/>
      </w:pPr>
      <w:r>
        <w:rPr>
          <w:bCs/>
          <w:b/>
        </w:rPr>
        <w:t xml:space="preserve">Desempenho e idade:</w:t>
      </w:r>
      <w:r>
        <w:t xml:space="preserve"> </w:t>
      </w:r>
      <w:r>
        <w:t xml:space="preserve">o MOTS-c aumentou o desempenho físico de camundongos de diferentes idades</w:t>
      </w:r>
      <w:r>
        <w:rPr>
          <w:rStyle w:val="FootnoteReference"/>
        </w:rPr>
        <w:footnoteReference w:id="1832"/>
      </w:r>
      <w:r>
        <w:t xml:space="preserve">.</w:t>
      </w:r>
    </w:p>
    <w:p>
      <w:pPr>
        <w:numPr>
          <w:ilvl w:val="0"/>
          <w:numId w:val="1228"/>
        </w:numPr>
        <w:pStyle w:val="Compact"/>
      </w:pPr>
      <w:r>
        <w:rPr>
          <w:bCs/>
          <w:b/>
        </w:rPr>
        <w:t xml:space="preserve">Pâncreas:</w:t>
      </w:r>
      <w:r>
        <w:t xml:space="preserve"> </w:t>
      </w:r>
      <w:r>
        <w:t xml:space="preserve">em camundongos, o MOTS-c retardou o envelhecimento das células produtoras de insulina e o início de um diabetes</w:t>
      </w:r>
      <w:r>
        <w:rPr>
          <w:rStyle w:val="FootnoteReference"/>
        </w:rPr>
        <w:footnoteReference w:id="1833"/>
      </w:r>
      <w:r>
        <w:t xml:space="preserve">.</w:t>
      </w:r>
    </w:p>
    <w:p>
      <w:pPr>
        <w:numPr>
          <w:ilvl w:val="0"/>
          <w:numId w:val="1228"/>
        </w:numPr>
        <w:pStyle w:val="Compact"/>
      </w:pPr>
      <w:r>
        <w:t xml:space="preserve">Numerosos outros trabalhos, predominantemente da China, descrevem efeitos protetores em modelos de lesões pulmonares, cardíacas, hepáticas, ósseas e renais.</w:t>
      </w:r>
    </w:p>
    <w:p>
      <w:pPr>
        <w:pStyle w:val="FirstParagraph"/>
      </w:pPr>
      <w:r>
        <w:t xml:space="preserve">A abundância de estudos animais positivos chama a atenção. Ela mostra que o MOTS-c é biologicamente ativo; sobre efeito e segurança em humanos, diz pouco.</w:t>
      </w:r>
    </w:p>
    <w:bookmarkEnd w:id="1834"/>
    <w:bookmarkStart w:id="1837" w:name="riscos-e-efeitos-colaterais-41"/>
    <w:p>
      <w:pPr>
        <w:pStyle w:val="Heading3"/>
      </w:pPr>
      <w:r>
        <w:t xml:space="preserve">Riscos e efeitos colaterais</w:t>
      </w:r>
    </w:p>
    <w:p>
      <w:pPr>
        <w:pStyle w:val="FirstParagraph"/>
      </w:pPr>
      <w:r>
        <w:rPr>
          <w:bCs/>
          <w:b/>
        </w:rPr>
        <w:t xml:space="preserve">Comprovado:</w:t>
      </w:r>
      <w:r>
        <w:t xml:space="preserve"> </w:t>
      </w:r>
      <w:r>
        <w:t xml:space="preserve">não há dados de segurança publicados sobre a administração de MOTS-c em humanos.</w:t>
      </w:r>
    </w:p>
    <w:p>
      <w:pPr>
        <w:pStyle w:val="BodyText"/>
      </w:pPr>
      <w:r>
        <w:rPr>
          <w:bCs/>
          <w:b/>
        </w:rPr>
        <w:t xml:space="preserve">Teórico:</w:t>
      </w:r>
    </w:p>
    <w:p>
      <w:pPr>
        <w:numPr>
          <w:ilvl w:val="0"/>
          <w:numId w:val="1229"/>
        </w:numPr>
        <w:pStyle w:val="Compact"/>
      </w:pPr>
      <w:r>
        <w:rPr>
          <w:bCs/>
          <w:b/>
        </w:rPr>
        <w:t xml:space="preserve">Glicemia:</w:t>
      </w:r>
      <w:r>
        <w:t xml:space="preserve"> </w:t>
      </w:r>
      <w:r>
        <w:t xml:space="preserve">uma substância que aumenta a sensibilidade à insulina poderia, junto com medicamentos para diabetes, favorecer hipoglicemias.</w:t>
      </w:r>
    </w:p>
    <w:p>
      <w:pPr>
        <w:numPr>
          <w:ilvl w:val="0"/>
          <w:numId w:val="1229"/>
        </w:numPr>
        <w:pStyle w:val="Compact"/>
      </w:pPr>
      <w:r>
        <w:rPr>
          <w:bCs/>
          <w:b/>
        </w:rPr>
        <w:t xml:space="preserve">Câncer:</w:t>
      </w:r>
      <w:r>
        <w:t xml:space="preserve"> </w:t>
      </w:r>
      <w:r>
        <w:t xml:space="preserve">em estudos de laboratório, o MOTS-c tendeu a frear células cancerosas: inibiu o crescimento de células de câncer de ovário</w:t>
      </w:r>
      <w:r>
        <w:rPr>
          <w:rStyle w:val="FootnoteReference"/>
        </w:rPr>
        <w:footnoteReference w:id="1835"/>
      </w:r>
      <w:r>
        <w:t xml:space="preserve"> </w:t>
      </w:r>
      <w:r>
        <w:t xml:space="preserve">e tornou células de câncer de fígado, sob falta de oxigênio, mais sensíveis à morte celular programada</w:t>
      </w:r>
      <w:r>
        <w:rPr>
          <w:rStyle w:val="FootnoteReference"/>
        </w:rPr>
        <w:footnoteReference w:id="1836"/>
      </w:r>
      <w:r>
        <w:t xml:space="preserve">. Se isso vale para humanos e como a suplementação por anos de um sinalizador metabolicamente ativo se manifesta não foi estudado.</w:t>
      </w:r>
    </w:p>
    <w:p>
      <w:pPr>
        <w:numPr>
          <w:ilvl w:val="0"/>
          <w:numId w:val="1229"/>
        </w:numPr>
        <w:pStyle w:val="Compact"/>
      </w:pPr>
      <w:r>
        <w:rPr>
          <w:bCs/>
          <w:b/>
        </w:rPr>
        <w:t xml:space="preserve">Reações imunológicas:</w:t>
      </w:r>
      <w:r>
        <w:t xml:space="preserve"> </w:t>
      </w:r>
      <w:r>
        <w:t xml:space="preserve">com injeções repetidas de um peptídeo, podem surgir anticorpos; isso não foi estudado para o MOTS-c.</w:t>
      </w:r>
    </w:p>
    <w:p>
      <w:pPr>
        <w:pStyle w:val="FirstParagraph"/>
      </w:pPr>
      <w:r>
        <w:rPr>
          <w:bCs/>
          <w:b/>
        </w:rPr>
        <w:t xml:space="preserve">Mercado cinza e esporte:</w:t>
      </w:r>
      <w:r>
        <w:t xml:space="preserve"> </w:t>
      </w:r>
      <w:r>
        <w:t xml:space="preserve">o MOTS-c está entre os peptídeos de</w:t>
      </w:r>
      <w:r>
        <w:t xml:space="preserve"> </w:t>
      </w:r>
      <w:r>
        <w:t xml:space="preserve">“</w:t>
      </w:r>
      <w:r>
        <w:t xml:space="preserve">longevidade</w:t>
      </w:r>
      <w:r>
        <w:t xml:space="preserve">”</w:t>
      </w:r>
      <w:r>
        <w:t xml:space="preserve"> </w:t>
      </w:r>
      <w:r>
        <w:t xml:space="preserve">e fitness mais populares na internet e é vendido como pó para injeção. Pureza e teor não são verificados. Para atletas, o uso é expressamente proibido (WADA S4).</w:t>
      </w:r>
    </w:p>
    <w:bookmarkEnd w:id="1837"/>
    <w:bookmarkStart w:id="1838" w:name="situação-legal-41"/>
    <w:p>
      <w:pPr>
        <w:pStyle w:val="Heading3"/>
      </w:pPr>
      <w:r>
        <w:t xml:space="preserve">Situação legal</w:t>
      </w:r>
    </w:p>
    <w:p>
      <w:pPr>
        <w:numPr>
          <w:ilvl w:val="0"/>
          <w:numId w:val="1230"/>
        </w:numPr>
        <w:pStyle w:val="Compact"/>
      </w:pPr>
      <w:r>
        <w:rPr>
          <w:bCs/>
          <w:b/>
        </w:rPr>
        <w:t xml:space="preserve">UE / Áustria / Alemanha:</w:t>
      </w:r>
      <w:r>
        <w:t xml:space="preserve"> </w:t>
      </w:r>
      <w:r>
        <w:t xml:space="preserve">não aprovado; como substância com efeito farmacológico, o MOTS-c é considerado medicamento, e a venda para uso em humanos não é permitida.</w:t>
      </w:r>
    </w:p>
    <w:p>
      <w:pPr>
        <w:numPr>
          <w:ilvl w:val="0"/>
          <w:numId w:val="1230"/>
        </w:numPr>
        <w:pStyle w:val="Compact"/>
      </w:pPr>
      <w:r>
        <w:rPr>
          <w:bCs/>
          <w:b/>
        </w:rPr>
        <w:t xml:space="preserve">EUA:</w:t>
      </w:r>
      <w:r>
        <w:t xml:space="preserve"> </w:t>
      </w:r>
      <w:r>
        <w:t xml:space="preserve">não aprovado. Após o voto positivo do PCAC em julho de 2026, o MOTS-c poderá no futuro ser usado em preparações de farmácia, se a FDA seguir a recomendação; a decisão estava pendente no fechamento desta edição (situação em outubro de 2026, verificar atualização).</w:t>
      </w:r>
    </w:p>
    <w:p>
      <w:pPr>
        <w:numPr>
          <w:ilvl w:val="0"/>
          <w:numId w:val="1230"/>
        </w:numPr>
        <w:pStyle w:val="Compact"/>
      </w:pPr>
      <w:r>
        <w:rPr>
          <w:bCs/>
          <w:b/>
        </w:rPr>
        <w:t xml:space="preserve">Esporte:</w:t>
      </w:r>
      <w:r>
        <w:t xml:space="preserve"> </w:t>
      </w:r>
      <w:r>
        <w:t xml:space="preserve">proibido pela lista da WADA, categoria S4 (situação em 2026, verificar atualização).</w:t>
      </w:r>
    </w:p>
    <w:bookmarkEnd w:id="1838"/>
    <w:bookmarkStart w:id="1841" w:name="estudos-em-andamento-e-perspectivas-41"/>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1"/>
        </w:numPr>
        <w:pStyle w:val="Compact"/>
      </w:pPr>
      <w:r>
        <w:t xml:space="preserve">Não há estudo registrado de forma confiável em que o MOTS-c seja administrado como substância ativa.</w:t>
      </w:r>
    </w:p>
    <w:p>
      <w:pPr>
        <w:numPr>
          <w:ilvl w:val="0"/>
          <w:numId w:val="1231"/>
        </w:numPr>
        <w:pStyle w:val="Compact"/>
      </w:pPr>
      <w:r>
        <w:t xml:space="preserve">Vários estudos observacionais medem níveis de MOTS-c, por exemplo no transplante renal</w:t>
      </w:r>
      <w:r>
        <w:rPr>
          <w:rStyle w:val="FootnoteReference"/>
        </w:rPr>
        <w:footnoteReference w:id="1839"/>
      </w:r>
      <w:r>
        <w:t xml:space="preserve"> </w:t>
      </w:r>
      <w:r>
        <w:t xml:space="preserve">ou no diabetes sob diferentes medicamentos</w:t>
      </w:r>
      <w:r>
        <w:rPr>
          <w:rStyle w:val="FootnoteReference"/>
        </w:rPr>
        <w:footnoteReference w:id="1840"/>
      </w:r>
      <w:r>
        <w:t xml:space="preserve">.</w:t>
      </w:r>
    </w:p>
    <w:p>
      <w:pPr>
        <w:pStyle w:val="FirstParagraph"/>
      </w:pPr>
      <w:r>
        <w:rPr>
          <w:bCs/>
          <w:b/>
        </w:rPr>
        <w:t xml:space="preserve">Avaliação:</w:t>
      </w:r>
      <w:r>
        <w:t xml:space="preserve"> </w:t>
      </w:r>
      <w:r>
        <w:t xml:space="preserve">a questão central – o MOTS-c administrado melhora a sensibilidade à insulina em humanos? – não foi verificada por ninguém em um estudo publicado até agora. Para isso, seria necessário primeiro um estudo controlado de fase 1/2 com resultados publicados. Até lá, toda afirmação sobre um efeito em humanos se baseia em experimentos com animais e medições de níveis.</w:t>
      </w:r>
    </w:p>
    <w:bookmarkEnd w:id="1841"/>
    <w:bookmarkStart w:id="1842" w:name="conclusão-41"/>
    <w:p>
      <w:pPr>
        <w:pStyle w:val="Heading3"/>
      </w:pPr>
      <w:r>
        <w:t xml:space="preserve">Conclusão</w:t>
      </w:r>
    </w:p>
    <w:p>
      <w:pPr>
        <w:pStyle w:val="FirstParagraph"/>
      </w:pPr>
      <w:r>
        <w:t xml:space="preserve">O MOTS-c é um peptídeo do próprio organismo, codificado no material genético mitocondrial, que em camundongos melhorou o metabolismo e a capacidade física e que em humanos aumenta após o exercício. Estudos observacionais mostram níveis mais baixos em excesso de peso, fígado gorduroso e doenças vasculares, mas não comprovam causa nem benefício de uma suplementação. O único estudo concluído com um derivado de MOTS-c (CB4211) não foi publicado em revista especializada, e com o próprio MOTS-c não há estudo publicado em humanos. Os dados não são suficientes para avaliar benefício ou segurança em humanos; no esporte, o MOTS-c é proibido.</w:t>
      </w:r>
    </w:p>
    <w:bookmarkEnd w:id="1842"/>
    <w:bookmarkEnd w:id="1843"/>
    <w:bookmarkStart w:id="1866" w:name="humanina"/>
    <w:p>
      <w:pPr>
        <w:pStyle w:val="Heading2"/>
      </w:pPr>
      <w:r>
        <w:t xml:space="preserve">Humanina</w:t>
      </w:r>
    </w:p>
    <w:bookmarkStart w:id="1844" w:name="ficha-técnica-42"/>
    <w:p>
      <w:pPr>
        <w:pStyle w:val="Heading3"/>
      </w:pPr>
      <w:r>
        <w:t xml:space="preserve">Ficha técnica</w:t>
      </w:r>
    </w:p>
    <w:p>
      <w:pPr>
        <w:numPr>
          <w:ilvl w:val="0"/>
          <w:numId w:val="1232"/>
        </w:numPr>
        <w:pStyle w:val="Compact"/>
      </w:pPr>
      <w:r>
        <w:rPr>
          <w:bCs/>
          <w:b/>
        </w:rPr>
        <w:t xml:space="preserve">Tipo e estrutura:</w:t>
      </w:r>
      <w:r>
        <w:t xml:space="preserve"> </w:t>
      </w:r>
      <w:r>
        <w:t xml:space="preserve">peptídeo do próprio organismo com 24 aminoácidos. No mercado cinza e na pesquisa, usa-se em geral a forma modificada</w:t>
      </w:r>
      <w:r>
        <w:t xml:space="preserve"> </w:t>
      </w:r>
      <w:r>
        <w:rPr>
          <w:bCs/>
          <w:b/>
        </w:rPr>
        <w:t xml:space="preserve">HNG</w:t>
      </w:r>
      <w:r>
        <w:t xml:space="preserve"> </w:t>
      </w:r>
      <w:r>
        <w:t xml:space="preserve">(humanina-G, também S14G-humanina), na qual, na posição 14, a serina é substituída por glicina; em experimentos de laboratório, ela age com bem mais força.</w:t>
      </w:r>
    </w:p>
    <w:p>
      <w:pPr>
        <w:numPr>
          <w:ilvl w:val="0"/>
          <w:numId w:val="1232"/>
        </w:numPr>
        <w:pStyle w:val="Compact"/>
      </w:pPr>
      <w:r>
        <w:rPr>
          <w:bCs/>
          <w:b/>
        </w:rPr>
        <w:t xml:space="preserve">Origem:</w:t>
      </w:r>
      <w:r>
        <w:t xml:space="preserve"> </w:t>
      </w:r>
      <w:r>
        <w:t xml:space="preserve">descoberta em 2001 por pesquisadores japoneses quando buscavam, em tecido cerebral de uma pessoa com doença de Alzheimer, fatores que protegem neurônios da morte – daí o nome. Está codificada no material genético das mitocôndrias; segmentos semelhantes existem também no material genético do núcleo celular.</w:t>
      </w:r>
    </w:p>
    <w:p>
      <w:pPr>
        <w:numPr>
          <w:ilvl w:val="0"/>
          <w:numId w:val="1232"/>
        </w:numPr>
        <w:pStyle w:val="Compact"/>
      </w:pPr>
      <w:r>
        <w:rPr>
          <w:bCs/>
          <w:b/>
        </w:rPr>
        <w:t xml:space="preserve">Princípio de ação:</w:t>
      </w:r>
      <w:r>
        <w:t xml:space="preserve"> </w:t>
      </w:r>
      <w:r>
        <w:t xml:space="preserve">“</w:t>
      </w:r>
      <w:r>
        <w:t xml:space="preserve">mitocina</w:t>
      </w:r>
      <w:r>
        <w:t xml:space="preserve">”</w:t>
      </w:r>
      <w:r>
        <w:t xml:space="preserve"> </w:t>
      </w:r>
      <w:r>
        <w:t xml:space="preserve">(sinalizador das mitocôndrias) que protegeria as células da morte celular programada. Liga-se, entre outros, a um complexo receptor formado pelo receptor de CNTF, WSX-1 e gp130 na superfície celular.</w:t>
      </w:r>
    </w:p>
    <w:p>
      <w:pPr>
        <w:numPr>
          <w:ilvl w:val="0"/>
          <w:numId w:val="1232"/>
        </w:numPr>
        <w:pStyle w:val="Compact"/>
      </w:pPr>
      <w:r>
        <w:rPr>
          <w:bCs/>
          <w:b/>
        </w:rPr>
        <w:t xml:space="preserve">Aprovação UE:</w:t>
      </w:r>
      <w:r>
        <w:t xml:space="preserve"> </w:t>
      </w:r>
      <w:r>
        <w:t xml:space="preserve">não.</w:t>
      </w:r>
    </w:p>
    <w:p>
      <w:pPr>
        <w:numPr>
          <w:ilvl w:val="0"/>
          <w:numId w:val="1232"/>
        </w:numPr>
        <w:pStyle w:val="Compact"/>
      </w:pPr>
      <w:r>
        <w:rPr>
          <w:bCs/>
          <w:b/>
        </w:rPr>
        <w:t xml:space="preserve">Aprovação EUA:</w:t>
      </w:r>
      <w:r>
        <w:t xml:space="preserve"> </w:t>
      </w:r>
      <w:r>
        <w:t xml:space="preserve">não.</w:t>
      </w:r>
    </w:p>
    <w:p>
      <w:pPr>
        <w:numPr>
          <w:ilvl w:val="0"/>
          <w:numId w:val="1232"/>
        </w:numPr>
        <w:pStyle w:val="Compact"/>
      </w:pPr>
      <w:r>
        <w:rPr>
          <w:bCs/>
          <w:b/>
        </w:rPr>
        <w:t xml:space="preserve">WADA:</w:t>
      </w:r>
      <w:r>
        <w:t xml:space="preserve"> </w:t>
      </w:r>
      <w:r>
        <w:t xml:space="preserve">não listada nominalmente; como substância não aprovada em nenhum lugar, a humanina ou a HNG se enquadra, em nossa avaliação, na categoria geral S0.</w:t>
      </w:r>
    </w:p>
    <w:p>
      <w:pPr>
        <w:numPr>
          <w:ilvl w:val="0"/>
          <w:numId w:val="1232"/>
        </w:numPr>
        <w:pStyle w:val="Compact"/>
      </w:pPr>
      <w:r>
        <w:rPr>
          <w:bCs/>
          <w:b/>
        </w:rPr>
        <w:t xml:space="preserve">Nível de evidência:</w:t>
      </w:r>
      <w:r>
        <w:t xml:space="preserve"> </w:t>
      </w:r>
      <w:r>
        <w:rPr>
          <w:bCs/>
          <w:b/>
        </w:rPr>
        <w:t xml:space="preserve">D</w:t>
      </w:r>
      <w:r>
        <w:t xml:space="preserve"> </w:t>
      </w:r>
      <w:r>
        <w:t xml:space="preserve">para a administração como substância ativa – nenhum estudo em que pessoas tenham recebido humanina ou HNG; em humanos há apenas medições dos níveis do próprio organismo.</w:t>
      </w:r>
    </w:p>
    <w:bookmarkEnd w:id="1844"/>
    <w:bookmarkStart w:id="1848" w:name="como-deveria-agir-42"/>
    <w:p>
      <w:pPr>
        <w:pStyle w:val="Heading3"/>
      </w:pPr>
      <w:r>
        <w:t xml:space="preserve">Como deveria agir</w:t>
      </w:r>
    </w:p>
    <w:p>
      <w:pPr>
        <w:pStyle w:val="FirstParagraph"/>
      </w:pPr>
      <w:r>
        <w:t xml:space="preserve">Em 2001, os descobridores procuraram em uma biblioteca genética de tecido cerebral segmentos que protegessem neurônios dos efeitos tóxicos de genes do Alzheimer. Encontraram um peptídeo curto que, em culturas de células, preservou neurônios de numerosos danos típicos do Alzheimer – contra a beta-amiloide e contra o efeito de várias mutações hereditárias do Alzheimer, mas não contra outras substâncias tóxicas como glutamato ou fragmentos de príon</w:t>
      </w:r>
      <w:r>
        <w:rPr>
          <w:rStyle w:val="FootnoteReference"/>
        </w:rPr>
        <w:footnoteReference w:id="1845"/>
      </w:r>
      <w:r>
        <w:t xml:space="preserve">. A variante HNG foi, nisso, mais eficaz do que outros fatores de proteção testados.</w:t>
      </w:r>
    </w:p>
    <w:p>
      <w:pPr>
        <w:pStyle w:val="BodyText"/>
      </w:pPr>
      <w:r>
        <w:t xml:space="preserve">Mais tarde, o mesmo grupo mostrou que a humanina se liga a um complexo receptor pertencente à família dos receptores de citocinas (receptor de CNTF, WSX-1 e gp130) e age por meio da molécula sinalizadora STAT3</w:t>
      </w:r>
      <w:r>
        <w:rPr>
          <w:rStyle w:val="FootnoteReference"/>
        </w:rPr>
        <w:footnoteReference w:id="1846"/>
      </w:r>
      <w:r>
        <w:t xml:space="preserve">. Além disso, estudos de laboratório descrevem ligações a proteínas que controlam a morte celular e ao parceiro de ligação de fatores de crescimento IGFBP-3.</w:t>
      </w:r>
    </w:p>
    <w:p>
      <w:pPr>
        <w:pStyle w:val="BodyText"/>
      </w:pPr>
      <w:r>
        <w:t xml:space="preserve">Uma particularidade: a humanina, como o MOTS-c (veja o capítulo anterior), é codificada no material genético das mitocôndrias. Esses</w:t>
      </w:r>
      <w:r>
        <w:t xml:space="preserve"> </w:t>
      </w:r>
      <w:r>
        <w:t xml:space="preserve">“</w:t>
      </w:r>
      <w:r>
        <w:t xml:space="preserve">peptídeos mitocondriais</w:t>
      </w:r>
      <w:r>
        <w:t xml:space="preserve">”</w:t>
      </w:r>
      <w:r>
        <w:t xml:space="preserve"> </w:t>
      </w:r>
      <w:r>
        <w:t xml:space="preserve">são considerados um novo nível de sinalização pelo qual as mitocôndrias se comunicam com o restante do corpo</w:t>
      </w:r>
      <w:r>
        <w:rPr>
          <w:rStyle w:val="FootnoteReference"/>
        </w:rPr>
        <w:footnoteReference w:id="1847"/>
      </w:r>
      <w:r>
        <w:t xml:space="preserve">.</w:t>
      </w:r>
    </w:p>
    <w:bookmarkEnd w:id="1848"/>
    <w:bookmarkStart w:id="1852" w:name="estudos-em-humanos-42"/>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8 publicações classificadas como estudos em humanos; em nenhuma delas a humanina foi administrada. Elas examinam como os níveis do próprio organismo se alteram com treino, oxigenoterapia ou suplementação, ou se referem a células de pacientes no laboratório. Ao todo, o PubMed lista cerca de 550 trabalhos sobre humanina. No ClinicalTrials.gov estão registrados 3 estudos, todos estudos observacionais sobre níveis de humanina (em cirurgias cardíacas, insuficiência renal aguda e transplante renal).</w:t>
      </w:r>
    </w:p>
    <w:bookmarkStart w:id="1850" w:name="níveis-e-idade"/>
    <w:p>
      <w:pPr>
        <w:pStyle w:val="Heading4"/>
      </w:pPr>
      <w:r>
        <w:t xml:space="preserve">Níveis e 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camundongos e humanos, observação e administração hormonal</w:t>
            </w:r>
          </w:p>
        </w:tc>
        <w:tc>
          <w:tcPr/>
          <w:p>
            <w:pPr>
              <w:pStyle w:val="Compact"/>
              <w:jc w:val="left"/>
            </w:pPr>
            <w:r>
              <w:t xml:space="preserve">–</w:t>
            </w:r>
          </w:p>
        </w:tc>
        <w:tc>
          <w:tcPr/>
          <w:p>
            <w:pPr>
              <w:pStyle w:val="Compact"/>
              <w:jc w:val="left"/>
            </w:pPr>
            <w:r>
              <w:t xml:space="preserve">níveis de humanina caem com a idade; hormônio do crescimento e IGF-1 os reduziram em camundongos e humanos</w:t>
            </w:r>
          </w:p>
        </w:tc>
      </w:tr>
      <w:tr>
        <w:tc>
          <w:tcPr/>
          <w:p>
            <w:pPr>
              <w:pStyle w:val="Compact"/>
              <w:jc w:val="left"/>
            </w:pPr>
            <w:r>
              <w:t xml:space="preserve">Yen 2020, PMID 32575074</w:t>
            </w:r>
          </w:p>
        </w:tc>
        <w:tc>
          <w:tcPr/>
          <w:p>
            <w:pPr>
              <w:pStyle w:val="Compact"/>
              <w:jc w:val="left"/>
            </w:pPr>
            <w:r>
              <w:t xml:space="preserve">filhos de centenários e pessoas de comparação; modelos animais</w:t>
            </w:r>
          </w:p>
        </w:tc>
        <w:tc>
          <w:tcPr/>
          <w:p>
            <w:pPr>
              <w:pStyle w:val="Compact"/>
              <w:jc w:val="left"/>
            </w:pPr>
            <w:r>
              <w:t xml:space="preserve">transversal</w:t>
            </w:r>
          </w:p>
        </w:tc>
        <w:tc>
          <w:tcPr/>
          <w:p>
            <w:pPr>
              <w:pStyle w:val="Compact"/>
              <w:jc w:val="left"/>
            </w:pPr>
            <w:r>
              <w:t xml:space="preserve">níveis claramente mais altos em filhos de centenários; mais baixos em Alzheimer e MELAS</w:t>
            </w:r>
          </w:p>
        </w:tc>
      </w:tr>
      <w:tr>
        <w:tc>
          <w:tcPr/>
          <w:p>
            <w:pPr>
              <w:pStyle w:val="Compact"/>
              <w:jc w:val="left"/>
            </w:pPr>
            <w:r>
              <w:t xml:space="preserve">Miller 2024, PMID 38520065</w:t>
            </w:r>
          </w:p>
        </w:tc>
        <w:tc>
          <w:tcPr/>
          <w:p>
            <w:pPr>
              <w:pStyle w:val="Compact"/>
              <w:jc w:val="left"/>
            </w:pPr>
            <w:r>
              <w:t xml:space="preserve">centenários com o gene de risco para Alzheimer APOE4; modelo em camundongos</w:t>
            </w:r>
          </w:p>
        </w:tc>
        <w:tc>
          <w:tcPr/>
          <w:p>
            <w:pPr>
              <w:pStyle w:val="Compact"/>
              <w:jc w:val="left"/>
            </w:pPr>
            <w:r>
              <w:t xml:space="preserve">análise genética</w:t>
            </w:r>
          </w:p>
        </w:tc>
        <w:tc>
          <w:tcPr/>
          <w:p>
            <w:pPr>
              <w:pStyle w:val="Compact"/>
              <w:jc w:val="left"/>
            </w:pPr>
            <w:r>
              <w:t xml:space="preserve">variante rara de humanina P3S mais frequente em portadores longevos de APOE4</w:t>
            </w:r>
          </w:p>
        </w:tc>
      </w:tr>
      <w:tr>
        <w:tc>
          <w:tcPr/>
          <w:p>
            <w:pPr>
              <w:pStyle w:val="Compact"/>
              <w:jc w:val="left"/>
            </w:pPr>
            <w:r>
              <w:t xml:space="preserve">Gidlund 2016, PMID 27923980</w:t>
            </w:r>
          </w:p>
        </w:tc>
        <w:tc>
          <w:tcPr/>
          <w:p>
            <w:pPr>
              <w:pStyle w:val="Compact"/>
              <w:jc w:val="left"/>
            </w:pPr>
            <w:r>
              <w:t xml:space="preserve">55 homens com metabolismo da glicose alterado, treino de força, caminhada nórdica ou controle, randomizado</w:t>
            </w:r>
          </w:p>
        </w:tc>
        <w:tc>
          <w:tcPr/>
          <w:p>
            <w:pPr>
              <w:pStyle w:val="Compact"/>
              <w:jc w:val="left"/>
            </w:pPr>
            <w:r>
              <w:t xml:space="preserve">12 semanas</w:t>
            </w:r>
          </w:p>
        </w:tc>
        <w:tc>
          <w:tcPr/>
          <w:p>
            <w:pPr>
              <w:pStyle w:val="Compact"/>
              <w:jc w:val="left"/>
            </w:pPr>
            <w:r>
              <w:t xml:space="preserve">humanina no músculo 35% maior após treino de força, inalterada no sangue</w:t>
            </w:r>
          </w:p>
        </w:tc>
      </w:tr>
      <w:tr>
        <w:tc>
          <w:tcPr/>
          <w:p>
            <w:pPr>
              <w:pStyle w:val="Compact"/>
              <w:jc w:val="left"/>
            </w:pPr>
            <w:r>
              <w:t xml:space="preserve">von Walden 2021, PMID 34351816</w:t>
            </w:r>
          </w:p>
        </w:tc>
        <w:tc>
          <w:tcPr/>
          <w:p>
            <w:pPr>
              <w:pStyle w:val="Compact"/>
              <w:jc w:val="left"/>
            </w:pPr>
            <w:r>
              <w:t xml:space="preserve">30 pessoas, uma sessão aeróbica ou de força ou controle, randomizado</w:t>
            </w:r>
          </w:p>
        </w:tc>
        <w:tc>
          <w:tcPr/>
          <w:p>
            <w:pPr>
              <w:pStyle w:val="Compact"/>
              <w:jc w:val="left"/>
            </w:pPr>
            <w:r>
              <w:t xml:space="preserve">única</w:t>
            </w:r>
          </w:p>
        </w:tc>
        <w:tc>
          <w:tcPr/>
          <w:p>
            <w:pPr>
              <w:pStyle w:val="Compact"/>
              <w:jc w:val="left"/>
            </w:pPr>
            <w:r>
              <w:t xml:space="preserve">humanina no sangue elevada após esforço aeróbico</w:t>
            </w:r>
          </w:p>
        </w:tc>
      </w:tr>
      <w:tr>
        <w:tc>
          <w:tcPr/>
          <w:p>
            <w:pPr>
              <w:pStyle w:val="Compact"/>
              <w:jc w:val="left"/>
            </w:pPr>
            <w:r>
              <w:t xml:space="preserve">Xu 2019, PMID 31134827</w:t>
            </w:r>
          </w:p>
        </w:tc>
        <w:tc>
          <w:tcPr/>
          <w:p>
            <w:pPr>
              <w:pStyle w:val="Compact"/>
              <w:jc w:val="left"/>
            </w:pPr>
            <w:r>
              <w:t xml:space="preserve">158 pessoas com demência vascular, oxigenoterapia hiperbárica ou padrão</w:t>
            </w:r>
          </w:p>
        </w:tc>
        <w:tc>
          <w:tcPr/>
          <w:p>
            <w:pPr>
              <w:pStyle w:val="Compact"/>
              <w:jc w:val="left"/>
            </w:pPr>
            <w:r>
              <w:t xml:space="preserve">12 semanas</w:t>
            </w:r>
          </w:p>
        </w:tc>
        <w:tc>
          <w:tcPr/>
          <w:p>
            <w:pPr>
              <w:pStyle w:val="Compact"/>
              <w:jc w:val="left"/>
            </w:pPr>
            <w:r>
              <w:t xml:space="preserve">níveis mais altos de humanina e escores MEEM sob terapia hiperbárica</w:t>
            </w:r>
          </w:p>
        </w:tc>
      </w:tr>
    </w:tbl>
    <w:p>
      <w:pPr>
        <w:pStyle w:val="BodyText"/>
      </w:pPr>
      <w:r>
        <w:t xml:space="preserve">As observações formam um quadro coerente: os níveis de humanina caem com a idade, são mais altos em filhos de pessoas muito idosas, mais baixos em algumas doenças e sobem com o exercício. Interessante é a relação com o sistema do hormônio do crescimento: hormônio do crescimento e IGF-1 reduziram os níveis de humanina em camundongos e humanos, e camundongos longevos com deficiência de hormônio do crescimento tinham níveis elevados</w:t>
      </w:r>
      <w:r>
        <w:rPr>
          <w:rStyle w:val="FootnoteReference"/>
        </w:rPr>
        <w:footnoteReference w:id="1849"/>
      </w:r>
      <w:r>
        <w:t xml:space="preserve">. Isso é notável porque, no mesmo mercado cinza, frequentemente se oferecem liberadores de hormônio do crescimento (veja a Parte II · C).</w:t>
      </w:r>
    </w:p>
    <w:p>
      <w:pPr>
        <w:pStyle w:val="BodyText"/>
      </w:pPr>
      <w:r>
        <w:t xml:space="preserve">Mas também aqui vale: um nível que acompanha a saúde não é prova de que uma suplementação torne mais saudável. A humanina pode muito bem ser um sinal acompanhante de mitocôndrias saudáveis, sem ser ela própria a causa.</w:t>
      </w:r>
    </w:p>
    <w:bookmarkEnd w:id="1850"/>
    <w:bookmarkStart w:id="1851" w:name="administração-como-substância-ativa"/>
    <w:p>
      <w:pPr>
        <w:pStyle w:val="Heading4"/>
      </w:pPr>
      <w:r>
        <w:t xml:space="preserve">Administração como substância ativa</w:t>
      </w:r>
    </w:p>
    <w:p>
      <w:pPr>
        <w:pStyle w:val="FirstParagraph"/>
      </w:pPr>
      <w:r>
        <w:t xml:space="preserve">Não há estudo publicado nem registro em que pessoas tenham recebido humanina ou HNG (consulta de outubro de 2026). Também não foram encontrados relatos de caso sobre efeitos colaterais após autoaplicação.</w:t>
      </w:r>
    </w:p>
    <w:bookmarkEnd w:id="1851"/>
    <w:bookmarkEnd w:id="1852"/>
    <w:bookmarkStart w:id="1858" w:name="estudos-em-animais-e-em-laboratório-42"/>
    <w:p>
      <w:pPr>
        <w:pStyle w:val="Heading3"/>
      </w:pPr>
      <w:r>
        <w:t xml:space="preserve">Estudos em animais e em laboratório</w:t>
      </w:r>
    </w:p>
    <w:p>
      <w:pPr>
        <w:pStyle w:val="FirstParagraph"/>
      </w:pPr>
      <w:r>
        <w:t xml:space="preserve">A literatura pré-clínica é extensa:</w:t>
      </w:r>
    </w:p>
    <w:p>
      <w:pPr>
        <w:numPr>
          <w:ilvl w:val="0"/>
          <w:numId w:val="1233"/>
        </w:numPr>
        <w:pStyle w:val="Compact"/>
      </w:pPr>
      <w:r>
        <w:rPr>
          <w:bCs/>
          <w:b/>
        </w:rPr>
        <w:t xml:space="preserve">Expectativa de vida:</w:t>
      </w:r>
      <w:r>
        <w:t xml:space="preserve"> </w:t>
      </w:r>
      <w:r>
        <w:t xml:space="preserve">em nematódeos, uma produção aumentada de humanina prolongou a expectativa de vida; em camundongos de meia-idade, a HNG melhorou valores metabólicos e reduziu marcadores inflamatórios</w:t>
      </w:r>
      <w:r>
        <w:rPr>
          <w:rStyle w:val="FootnoteReference"/>
        </w:rPr>
        <w:footnoteReference w:id="1853"/>
      </w:r>
      <w:r>
        <w:t xml:space="preserve">.</w:t>
      </w:r>
    </w:p>
    <w:p>
      <w:pPr>
        <w:numPr>
          <w:ilvl w:val="0"/>
          <w:numId w:val="1233"/>
        </w:numPr>
        <w:pStyle w:val="Compact"/>
      </w:pPr>
      <w:r>
        <w:rPr>
          <w:bCs/>
          <w:b/>
        </w:rPr>
        <w:t xml:space="preserve">Coração:</w:t>
      </w:r>
      <w:r>
        <w:t xml:space="preserve"> </w:t>
      </w:r>
      <w:r>
        <w:t xml:space="preserve">em camundongos, a HNG reduziu o tamanho do infarto após um infarto do miocárdio induzido artificialmente</w:t>
      </w:r>
      <w:r>
        <w:rPr>
          <w:rStyle w:val="FootnoteReference"/>
        </w:rPr>
        <w:footnoteReference w:id="1854"/>
      </w:r>
      <w:r>
        <w:t xml:space="preserve">; um tratamento de 14 meses em camundongos idosos reduziu a cicatrização do músculo cardíaco relacionada à idade</w:t>
      </w:r>
      <w:r>
        <w:rPr>
          <w:rStyle w:val="FootnoteReference"/>
        </w:rPr>
        <w:footnoteReference w:id="1855"/>
      </w:r>
      <w:r>
        <w:t xml:space="preserve">.</w:t>
      </w:r>
    </w:p>
    <w:p>
      <w:pPr>
        <w:numPr>
          <w:ilvl w:val="0"/>
          <w:numId w:val="1233"/>
        </w:numPr>
        <w:pStyle w:val="Compact"/>
      </w:pPr>
      <w:r>
        <w:rPr>
          <w:bCs/>
          <w:b/>
        </w:rPr>
        <w:t xml:space="preserve">Modelos de Alzheimer:</w:t>
      </w:r>
      <w:r>
        <w:t xml:space="preserve"> </w:t>
      </w:r>
      <w:r>
        <w:t xml:space="preserve">a variante rara P3S reduziu, em camundongos com APOE4, os depósitos de amiloide mais do que a humanina normal</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em modelos celulares com mitocôndrias de pessoas com degeneração macular relacionada à idade, a HNG protegeu contra danos celulares</w:t>
      </w:r>
      <w:r>
        <w:rPr>
          <w:rStyle w:val="FootnoteReference"/>
        </w:rPr>
        <w:footnoteReference w:id="1857"/>
      </w:r>
      <w:r>
        <w:t xml:space="preserve">.</w:t>
      </w:r>
    </w:p>
    <w:bookmarkEnd w:id="1858"/>
    <w:bookmarkStart w:id="1861" w:name="riscos-e-efeitos-colaterais-42"/>
    <w:p>
      <w:pPr>
        <w:pStyle w:val="Heading3"/>
      </w:pPr>
      <w:r>
        <w:t xml:space="preserve">Riscos e efeitos colaterais</w:t>
      </w:r>
    </w:p>
    <w:p>
      <w:pPr>
        <w:pStyle w:val="FirstParagraph"/>
      </w:pPr>
      <w:r>
        <w:rPr>
          <w:bCs/>
          <w:b/>
        </w:rPr>
        <w:t xml:space="preserve">Comprovado:</w:t>
      </w:r>
      <w:r>
        <w:t xml:space="preserve"> </w:t>
      </w:r>
      <w:r>
        <w:t xml:space="preserve">não há dados de segurança sobre a administração em humanos.</w:t>
      </w:r>
    </w:p>
    <w:p>
      <w:pPr>
        <w:pStyle w:val="BodyText"/>
      </w:pPr>
      <w:r>
        <w:rPr>
          <w:bCs/>
          <w:b/>
        </w:rPr>
        <w:t xml:space="preserve">Teórico – com sinais de alerta concretos do laboratório:</w:t>
      </w:r>
    </w:p>
    <w:p>
      <w:pPr>
        <w:numPr>
          <w:ilvl w:val="0"/>
          <w:numId w:val="1234"/>
        </w:numPr>
        <w:pStyle w:val="Compact"/>
      </w:pPr>
      <w:r>
        <w:rPr>
          <w:bCs/>
          <w:b/>
        </w:rPr>
        <w:t xml:space="preserve">Câncer:</w:t>
      </w:r>
      <w:r>
        <w:t xml:space="preserve"> </w:t>
      </w:r>
      <w:r>
        <w:t xml:space="preserve">a humanina protege as células da morte celular programada – e isso vale também para células cancerosas. Em camundongos com câncer de mama triplo-negativo, a humanina administrada reduziu a morte celular no tumor, enfraqueceu o efeito da quimioterapia e acelerou o crescimento tumoral e as metástases pulmonares. Em biópsias desse tipo de câncer de mama, a humanina foi detectada em maior quantidade. Os autores recomendam expressamente cautela no uso da humanina contra doenças degenerativas</w:t>
      </w:r>
      <w:r>
        <w:rPr>
          <w:rStyle w:val="FootnoteReference"/>
        </w:rPr>
        <w:footnoteReference w:id="1859"/>
      </w:r>
      <w:r>
        <w:t xml:space="preserve">.</w:t>
      </w:r>
    </w:p>
    <w:p>
      <w:pPr>
        <w:numPr>
          <w:ilvl w:val="0"/>
          <w:numId w:val="1234"/>
        </w:numPr>
        <w:pStyle w:val="Compact"/>
      </w:pPr>
      <w:r>
        <w:rPr>
          <w:bCs/>
          <w:b/>
        </w:rPr>
        <w:t xml:space="preserve">Inflamação em células envelhecidas:</w:t>
      </w:r>
      <w:r>
        <w:t xml:space="preserve"> </w:t>
      </w:r>
      <w:r>
        <w:t xml:space="preserve">em experimentos com células, a humanina e o MOTS-c intensificaram a liberação de mensageiros inflamatórios por células envelhecidas (</w:t>
      </w:r>
      <w:r>
        <w:t xml:space="preserve">“</w:t>
      </w:r>
      <w:r>
        <w:t xml:space="preserve">senescentes</w:t>
      </w:r>
      <w:r>
        <w:t xml:space="preserve">”</w:t>
      </w:r>
      <w:r>
        <w:t xml:space="preserve">)</w:t>
      </w:r>
      <w:r>
        <w:rPr>
          <w:rStyle w:val="FootnoteReference"/>
        </w:rPr>
        <w:footnoteReference w:id="1860"/>
      </w:r>
      <w:r>
        <w:t xml:space="preserve">.</w:t>
      </w:r>
    </w:p>
    <w:p>
      <w:pPr>
        <w:numPr>
          <w:ilvl w:val="0"/>
          <w:numId w:val="1234"/>
        </w:numPr>
        <w:pStyle w:val="Compact"/>
      </w:pPr>
      <w:r>
        <w:rPr>
          <w:bCs/>
          <w:b/>
        </w:rPr>
        <w:t xml:space="preserve">Reações imunológicas:</w:t>
      </w:r>
      <w:r>
        <w:t xml:space="preserve"> </w:t>
      </w:r>
      <w:r>
        <w:t xml:space="preserve">com injeção repetida de um peptídeo, podem surgir anticorpos; não estudado.</w:t>
      </w:r>
    </w:p>
    <w:p>
      <w:pPr>
        <w:pStyle w:val="FirstParagraph"/>
      </w:pPr>
      <w:r>
        <w:rPr>
          <w:bCs/>
          <w:b/>
        </w:rPr>
        <w:t xml:space="preserve">Mercado cinza:</w:t>
      </w:r>
      <w:r>
        <w:t xml:space="preserve"> </w:t>
      </w:r>
      <w:r>
        <w:t xml:space="preserve">humanina e HNG são oferecidas como</w:t>
      </w:r>
      <w:r>
        <w:t xml:space="preserve"> </w:t>
      </w:r>
      <w:r>
        <w:t xml:space="preserve">“</w:t>
      </w:r>
      <w:r>
        <w:t xml:space="preserve">peptídeos de longevidade</w:t>
      </w:r>
      <w:r>
        <w:t xml:space="preserve">”</w:t>
      </w:r>
      <w:r>
        <w:t xml:space="preserve"> </w:t>
      </w:r>
      <w:r>
        <w:t xml:space="preserve">para injeção. Teor, pureza e esterilidade não são verificados.</w:t>
      </w:r>
    </w:p>
    <w:bookmarkEnd w:id="1861"/>
    <w:bookmarkStart w:id="1862" w:name="situação-legal-42"/>
    <w:p>
      <w:pPr>
        <w:pStyle w:val="Heading3"/>
      </w:pPr>
      <w:r>
        <w:t xml:space="preserve">Situação legal</w:t>
      </w:r>
    </w:p>
    <w:p>
      <w:pPr>
        <w:numPr>
          <w:ilvl w:val="0"/>
          <w:numId w:val="1235"/>
        </w:numPr>
        <w:pStyle w:val="Compact"/>
      </w:pPr>
      <w:r>
        <w:rPr>
          <w:bCs/>
          <w:b/>
        </w:rPr>
        <w:t xml:space="preserve">UE / Áustria / Alemanha:</w:t>
      </w:r>
      <w:r>
        <w:t xml:space="preserve"> </w:t>
      </w:r>
      <w:r>
        <w:t xml:space="preserve">não aprovada; como substância com efeito farmacológico, a humanina é considerada medicamento, e a venda para uso em humanos não é permitida.</w:t>
      </w:r>
    </w:p>
    <w:p>
      <w:pPr>
        <w:numPr>
          <w:ilvl w:val="0"/>
          <w:numId w:val="1235"/>
        </w:numPr>
        <w:pStyle w:val="Compact"/>
      </w:pPr>
      <w:r>
        <w:rPr>
          <w:bCs/>
          <w:b/>
        </w:rPr>
        <w:t xml:space="preserve">EUA:</w:t>
      </w:r>
      <w:r>
        <w:t xml:space="preserve"> </w:t>
      </w:r>
      <w:r>
        <w:t xml:space="preserve">não aprovada.</w:t>
      </w:r>
    </w:p>
    <w:p>
      <w:pPr>
        <w:numPr>
          <w:ilvl w:val="0"/>
          <w:numId w:val="1235"/>
        </w:numPr>
        <w:pStyle w:val="Compact"/>
      </w:pPr>
      <w:r>
        <w:rPr>
          <w:bCs/>
          <w:b/>
        </w:rPr>
        <w:t xml:space="preserve">Esporte:</w:t>
      </w:r>
      <w:r>
        <w:t xml:space="preserve"> </w:t>
      </w:r>
      <w:r>
        <w:t xml:space="preserve">em nossa avaliação, categoria S0 da WADA (situação em 2026, verificar atualização).</w:t>
      </w:r>
    </w:p>
    <w:bookmarkEnd w:id="1862"/>
    <w:bookmarkStart w:id="1864" w:name="estudos-em-andamento-e-perspectivas-42"/>
    <w:p>
      <w:pPr>
        <w:pStyle w:val="Heading3"/>
      </w:pPr>
      <w:r>
        <w:t xml:space="preserve">Estudos em andamento e perspectivas</w:t>
      </w:r>
    </w:p>
    <w:p>
      <w:pPr>
        <w:pStyle w:val="FirstParagraph"/>
      </w:pPr>
      <w:r>
        <w:rPr>
          <w:bCs/>
          <w:b/>
        </w:rPr>
        <w:t xml:space="preserve">Comprovado:</w:t>
      </w:r>
      <w:r>
        <w:t xml:space="preserve"> </w:t>
      </w:r>
      <w:r>
        <w:t xml:space="preserve">estão registrados apenas estudos observacionais sobre níveis de humanina, por exemplo após cirurgias cardíacas (NCT03431844, 106 participantes, concluído) e no transplante renal</w:t>
      </w:r>
      <w:r>
        <w:rPr>
          <w:rStyle w:val="FootnoteReference"/>
        </w:rPr>
        <w:footnoteReference w:id="1863"/>
      </w:r>
      <w:r>
        <w:t xml:space="preserve">. Não há estudo sobre a administração de humanina.</w:t>
      </w:r>
    </w:p>
    <w:p>
      <w:pPr>
        <w:pStyle w:val="BodyText"/>
      </w:pPr>
      <w:r>
        <w:rPr>
          <w:bCs/>
          <w:b/>
        </w:rPr>
        <w:t xml:space="preserve">Avaliação:</w:t>
      </w:r>
      <w:r>
        <w:t xml:space="preserve"> </w:t>
      </w:r>
      <w:r>
        <w:t xml:space="preserve">a humanina é um peptídeo sinalizador cientificamente instigante e um possível biomarcador do envelhecimento. Se algum dia será testada como medicamento é incerto; os achados de câncer do modelo animal precisariam ser cuidadosamente esclarecidos antes de qualquer uso em humanos.</w:t>
      </w:r>
    </w:p>
    <w:bookmarkEnd w:id="1864"/>
    <w:bookmarkStart w:id="1865" w:name="conclusão-42"/>
    <w:p>
      <w:pPr>
        <w:pStyle w:val="Heading3"/>
      </w:pPr>
      <w:r>
        <w:t xml:space="preserve">Conclusão</w:t>
      </w:r>
    </w:p>
    <w:p>
      <w:pPr>
        <w:pStyle w:val="FirstParagraph"/>
      </w:pPr>
      <w:r>
        <w:t xml:space="preserve">A humanina é um peptídeo mitocondrial do próprio organismo, descoberto em 2001 como fator de proteção de neurônios. Seus níveis caem com a idade, são mais altos em filhos de centenários e sobem com o exercício; em experimentos com animais, a variante HNG protegeu coração, cérebro e metabolismo. Em humanos, a humanina nunca foi administrada como substância ativa, e em camundongos ela favoreceu o crescimento do câncer de mama. Os dados não são suficientes para avaliar benefício ou segurança de uma suplementação.</w:t>
      </w:r>
    </w:p>
    <w:bookmarkEnd w:id="1865"/>
    <w:bookmarkEnd w:id="1866"/>
    <w:bookmarkStart w:id="1906" w:name="ss-31-elamipretida"/>
    <w:p>
      <w:pPr>
        <w:pStyle w:val="Heading2"/>
      </w:pPr>
      <w:r>
        <w:t xml:space="preserve">SS-31 (elamipretida)</w:t>
      </w:r>
    </w:p>
    <w:bookmarkStart w:id="1867" w:name="ficha-técnica-43"/>
    <w:p>
      <w:pPr>
        <w:pStyle w:val="Heading3"/>
      </w:pPr>
      <w:r>
        <w:t xml:space="preserve">Ficha técnica</w:t>
      </w:r>
    </w:p>
    <w:p>
      <w:pPr>
        <w:numPr>
          <w:ilvl w:val="0"/>
          <w:numId w:val="1236"/>
        </w:numPr>
        <w:pStyle w:val="Compact"/>
      </w:pPr>
      <w:r>
        <w:rPr>
          <w:bCs/>
          <w:b/>
        </w:rPr>
        <w:t xml:space="preserve">Tipo e estrutura:</w:t>
      </w:r>
      <w:r>
        <w:t xml:space="preserve"> </w:t>
      </w:r>
      <w:r>
        <w:t xml:space="preserve">tetrapeptídeo sintético de quatro componentes (D-arginina, dimetiltirosina, lisina, fenilalanina) que, graças a uma sequência incomum de aminoácidos carregados positivamente e aromáticos, atravessa membranas celulares. Designações de pesquisa SS-31, MTP-131 e Bendavia; nome da substância elamipretida; nome comercial Forzinity.</w:t>
      </w:r>
    </w:p>
    <w:p>
      <w:pPr>
        <w:numPr>
          <w:ilvl w:val="0"/>
          <w:numId w:val="1236"/>
        </w:numPr>
        <w:pStyle w:val="Compact"/>
      </w:pPr>
      <w:r>
        <w:rPr>
          <w:bCs/>
          <w:b/>
        </w:rPr>
        <w:t xml:space="preserve">Origem:</w:t>
      </w:r>
      <w:r>
        <w:t xml:space="preserve"> </w:t>
      </w:r>
      <w:r>
        <w:t xml:space="preserve">desenvolvido por Hazel Szeto e Peter Schiller (daí os peptídeos</w:t>
      </w:r>
      <w:r>
        <w:t xml:space="preserve"> </w:t>
      </w:r>
      <w:r>
        <w:t xml:space="preserve">“</w:t>
      </w:r>
      <w:r>
        <w:t xml:space="preserve">SS</w:t>
      </w:r>
      <w:r>
        <w:t xml:space="preserve">”</w:t>
      </w:r>
      <w:r>
        <w:t xml:space="preserve">), com desenvolvimento clínico pela empresa americana Stealth BioTherapeutics.</w:t>
      </w:r>
    </w:p>
    <w:p>
      <w:pPr>
        <w:numPr>
          <w:ilvl w:val="0"/>
          <w:numId w:val="1236"/>
        </w:numPr>
        <w:pStyle w:val="Compact"/>
      </w:pPr>
      <w:r>
        <w:rPr>
          <w:bCs/>
          <w:b/>
        </w:rPr>
        <w:t xml:space="preserve">Princípio de ação:</w:t>
      </w:r>
      <w:r>
        <w:t xml:space="preserve"> </w:t>
      </w:r>
      <w:r>
        <w:t xml:space="preserve">acumula-se na membrana interna das mitocôndrias e liga-se ali à cardiolipina, uma gordura indispensável para a produção de energia. Estabilizaria a cadeia respiratória e limitaria a oxidação nociva.</w:t>
      </w:r>
    </w:p>
    <w:p>
      <w:pPr>
        <w:numPr>
          <w:ilvl w:val="0"/>
          <w:numId w:val="1236"/>
        </w:numPr>
        <w:pStyle w:val="Compact"/>
      </w:pPr>
      <w:r>
        <w:rPr>
          <w:bCs/>
          <w:b/>
        </w:rPr>
        <w:t xml:space="preserve">Aprovação UE:</w:t>
      </w:r>
      <w:r>
        <w:t xml:space="preserve"> </w:t>
      </w:r>
      <w:r>
        <w:t xml:space="preserve">não.</w:t>
      </w:r>
    </w:p>
    <w:p>
      <w:pPr>
        <w:numPr>
          <w:ilvl w:val="0"/>
          <w:numId w:val="1236"/>
        </w:numPr>
        <w:pStyle w:val="Compact"/>
      </w:pPr>
      <w:r>
        <w:rPr>
          <w:bCs/>
          <w:b/>
        </w:rPr>
        <w:t xml:space="preserve">Aprovação EUA:</w:t>
      </w:r>
      <w:r>
        <w:t xml:space="preserve"> </w:t>
      </w:r>
      <w:r>
        <w:t xml:space="preserve">sim – em setembro de 2025,</w:t>
      </w:r>
      <w:r>
        <w:t xml:space="preserve"> </w:t>
      </w:r>
      <w:r>
        <w:rPr>
          <w:bCs/>
          <w:b/>
        </w:rPr>
        <w:t xml:space="preserve">aprovação acelerada</w:t>
      </w:r>
      <w:r>
        <w:t xml:space="preserve"> </w:t>
      </w:r>
      <w:r>
        <w:t xml:space="preserve">(accelerated approval) como Forzinity para melhorar a força muscular na síndrome de Barth em adultos e crianças a partir de 30 kg de peso corporal. A aprovação está vinculada a um estudo de confirmação.</w:t>
      </w:r>
    </w:p>
    <w:p>
      <w:pPr>
        <w:numPr>
          <w:ilvl w:val="0"/>
          <w:numId w:val="1236"/>
        </w:numPr>
        <w:pStyle w:val="Compact"/>
      </w:pPr>
      <w:r>
        <w:rPr>
          <w:bCs/>
          <w:b/>
        </w:rPr>
        <w:t xml:space="preserve">WADA:</w:t>
      </w:r>
      <w:r>
        <w:t xml:space="preserve"> </w:t>
      </w:r>
      <w:r>
        <w:t xml:space="preserve">não listada nominalmente.</w:t>
      </w:r>
    </w:p>
    <w:p>
      <w:pPr>
        <w:numPr>
          <w:ilvl w:val="0"/>
          <w:numId w:val="1236"/>
        </w:numPr>
        <w:pStyle w:val="Compact"/>
      </w:pPr>
      <w:r>
        <w:rPr>
          <w:bCs/>
          <w:b/>
        </w:rPr>
        <w:t xml:space="preserve">Nível de evidência:</w:t>
      </w:r>
      <w:r>
        <w:t xml:space="preserve"> </w:t>
      </w:r>
      <w:r>
        <w:rPr>
          <w:bCs/>
          <w:b/>
        </w:rPr>
        <w:t xml:space="preserve">B</w:t>
      </w:r>
      <w:r>
        <w:t xml:space="preserve"> </w:t>
      </w:r>
      <w:r>
        <w:t xml:space="preserve">– numerosos estudos randomizados, entre eles um estudo de fase 3 com 218 participantes; a maioria dos grandes estudos, porém, não atingiu seu desfecho principal, e a aprovação se baseia em um estudo muito pequeno em uma doença extremamente rara.</w:t>
      </w:r>
    </w:p>
    <w:bookmarkEnd w:id="1867"/>
    <w:bookmarkStart w:id="1869" w:name="como-deveria-agir-43"/>
    <w:p>
      <w:pPr>
        <w:pStyle w:val="Heading3"/>
      </w:pPr>
      <w:r>
        <w:t xml:space="preserve">Como deveria agir</w:t>
      </w:r>
    </w:p>
    <w:p>
      <w:pPr>
        <w:pStyle w:val="FirstParagraph"/>
      </w:pPr>
      <w:r>
        <w:t xml:space="preserve">As mitocôndrias produzem energia por meio de uma cadeia de complexos proteicos em sua membrana interna. Para que esses complexos funcionem bem em conjunto, é necessária a cardiolipina – uma gordura especial que ocorre apenas nessa membrana. Quando a cardiolipina é danificada ou falta, a cadeia respiratória funciona pior, e a proteína citocromo c pode passar de transportador de elétrons a enzima nociva (uma peroxidase).</w:t>
      </w:r>
    </w:p>
    <w:p>
      <w:pPr>
        <w:pStyle w:val="BodyText"/>
      </w:pPr>
      <w:r>
        <w:t xml:space="preserve">O SS-31, segundo sua desenvolvedora, liga-se seletivamente à cardiolipina por forças elétricas e hidrofóbicas, impede essa transformação do citocromo c e assim protege a estrutura das mitocôndrias</w:t>
      </w:r>
      <w:r>
        <w:rPr>
          <w:rStyle w:val="FootnoteReference"/>
        </w:rPr>
        <w:footnoteReference w:id="1868"/>
      </w:r>
      <w:r>
        <w:t xml:space="preserve">. O princípio foi estudado em muitos modelos animais de doenças cardíacas, renais, musculares e oculares.</w:t>
      </w:r>
    </w:p>
    <w:p>
      <w:pPr>
        <w:pStyle w:val="BodyText"/>
      </w:pPr>
      <w:r>
        <w:t xml:space="preserve">A relação é mais clara na</w:t>
      </w:r>
      <w:r>
        <w:t xml:space="preserve"> </w:t>
      </w:r>
      <w:r>
        <w:rPr>
          <w:bCs/>
          <w:b/>
        </w:rPr>
        <w:t xml:space="preserve">síndrome de Barth</w:t>
      </w:r>
      <w:r>
        <w:t xml:space="preserve">: nessa doença muito rara, de herança ligada ao cromossomo X, que afeta quase só meninos e homens, o gene</w:t>
      </w:r>
      <w:r>
        <w:t xml:space="preserve"> </w:t>
      </w:r>
      <w:r>
        <w:rPr>
          <w:iCs/>
          <w:i/>
        </w:rPr>
        <w:t xml:space="preserve">TAZ</w:t>
      </w:r>
      <w:r>
        <w:t xml:space="preserve">, necessário para a remodelação da cardiolipina, é defeituoso. Os afetados têm fraqueza do músculo cardíaco, fraqueza muscular, forte fatigabilidade e número reduzido de determinados glóbulos brancos. Uma substância que atua especificamente na cardiolipina é, aqui, biologicamente muito plausível.</w:t>
      </w:r>
    </w:p>
    <w:bookmarkEnd w:id="1869"/>
    <w:bookmarkStart w:id="1888" w:name="estudos-em-humanos-43"/>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19 publicações classificadas como estudos em humanos; quatro delas, em exame mais detalhado, se referem a outras substâncias (a sigla</w:t>
      </w:r>
      <w:r>
        <w:t xml:space="preserve"> </w:t>
      </w:r>
      <w:r>
        <w:t xml:space="preserve">“</w:t>
      </w:r>
      <w:r>
        <w:t xml:space="preserve">SS-31</w:t>
      </w:r>
      <w:r>
        <w:t xml:space="preserve">”</w:t>
      </w:r>
      <w:r>
        <w:t xml:space="preserve"> </w:t>
      </w:r>
      <w:r>
        <w:t xml:space="preserve">também aparece em outros contextos). No ClinicalTrials.gov estavam registrados 21 estudos, quase todos do fabricante, sobre síndrome de Barth, miopatias mitocondriais, insuficiência cardíaca, infarto do miocárdio, estenose da artéria renal, degeneração macular seca e doenças oculares. A elamipretida é, assim, o peptídeo mais bem estudado desta parte.</w:t>
      </w:r>
    </w:p>
    <w:bookmarkStart w:id="1877" w:name="síndrome-de-barth-tazpower-e-a-aprovação"/>
    <w:p>
      <w:pPr>
        <w:pStyle w:val="Heading4"/>
      </w:pPr>
      <w:r>
        <w:t xml:space="preserve">Síndrome de Barth: TAZPOWER e a aprovação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pessoas, duplo-cego, cruzado contra placebo</w:t>
            </w:r>
          </w:p>
        </w:tc>
        <w:tc>
          <w:tcPr/>
          <w:p>
            <w:pPr>
              <w:pStyle w:val="Compact"/>
              <w:jc w:val="left"/>
            </w:pPr>
            <w:r>
              <w:t xml:space="preserve">12 semanas cada</w:t>
            </w:r>
          </w:p>
        </w:tc>
        <w:tc>
          <w:tcPr/>
          <w:p>
            <w:pPr>
              <w:pStyle w:val="Compact"/>
              <w:jc w:val="left"/>
            </w:pPr>
            <w:r>
              <w:t xml:space="preserve">os dois desfechos principais (teste de caminhada de 6 minutos, escala de sintomas) não atingidos</w:t>
            </w:r>
          </w:p>
        </w:tc>
      </w:tr>
      <w:tr>
        <w:tc>
          <w:tcPr/>
          <w:p>
            <w:pPr>
              <w:pStyle w:val="Compact"/>
              <w:jc w:val="left"/>
            </w:pPr>
            <w:r>
              <w:t xml:space="preserve">Extensão aberta do TAZPOWER, PMID 33077895</w:t>
            </w:r>
          </w:p>
        </w:tc>
        <w:tc>
          <w:tcPr/>
          <w:p>
            <w:pPr>
              <w:pStyle w:val="Compact"/>
              <w:jc w:val="left"/>
            </w:pPr>
            <w:r>
              <w:t xml:space="preserve">10 pessoas, todas com elamipretida</w:t>
            </w:r>
          </w:p>
        </w:tc>
        <w:tc>
          <w:tcPr/>
          <w:p>
            <w:pPr>
              <w:pStyle w:val="Compact"/>
              <w:jc w:val="left"/>
            </w:pPr>
            <w:r>
              <w:t xml:space="preserve">36 semanas</w:t>
            </w:r>
          </w:p>
        </w:tc>
        <w:tc>
          <w:tcPr/>
          <w:p>
            <w:pPr>
              <w:pStyle w:val="Compact"/>
              <w:jc w:val="left"/>
            </w:pPr>
            <w:r>
              <w:t xml:space="preserve">distância de caminhada +95,9 m, escala de sintomas −2,1 pontos</w:t>
            </w:r>
          </w:p>
        </w:tc>
      </w:tr>
      <w:tr>
        <w:tc>
          <w:tcPr/>
          <w:p>
            <w:pPr>
              <w:pStyle w:val="Compact"/>
              <w:jc w:val="left"/>
            </w:pPr>
            <w:r>
              <w:t xml:space="preserve">Extensão até 168 semanas (Thompson 2024), PMID 38602181</w:t>
            </w:r>
          </w:p>
        </w:tc>
        <w:tc>
          <w:tcPr/>
          <w:p>
            <w:pPr>
              <w:pStyle w:val="Compact"/>
              <w:jc w:val="left"/>
            </w:pPr>
            <w:r>
              <w:t xml:space="preserve">10 incluídos, 8 até a semana 168</w:t>
            </w:r>
          </w:p>
        </w:tc>
        <w:tc>
          <w:tcPr/>
          <w:p>
            <w:pPr>
              <w:pStyle w:val="Compact"/>
              <w:jc w:val="left"/>
            </w:pPr>
            <w:r>
              <w:t xml:space="preserve">168 semanas</w:t>
            </w:r>
          </w:p>
        </w:tc>
        <w:tc>
          <w:tcPr/>
          <w:p>
            <w:pPr>
              <w:pStyle w:val="Compact"/>
              <w:jc w:val="left"/>
            </w:pPr>
            <w:r>
              <w:t xml:space="preserve">distância de caminhada acumulada +96,1 m; volumes cardíacos melhorados</w:t>
            </w:r>
          </w:p>
        </w:tc>
      </w:tr>
      <w:tr>
        <w:tc>
          <w:tcPr/>
          <w:p>
            <w:pPr>
              <w:pStyle w:val="Compact"/>
              <w:jc w:val="left"/>
            </w:pPr>
            <w:r>
              <w:t xml:space="preserve">Comparação com evolução natural (Hornby 2022), PMID 36056411</w:t>
            </w:r>
          </w:p>
        </w:tc>
        <w:tc>
          <w:tcPr/>
          <w:p>
            <w:pPr>
              <w:pStyle w:val="Compact"/>
              <w:jc w:val="left"/>
            </w:pPr>
            <w:r>
              <w:t xml:space="preserve">8 tratados vs. 19 não tratados de registro da doença</w:t>
            </w:r>
          </w:p>
        </w:tc>
        <w:tc>
          <w:tcPr/>
          <w:p>
            <w:pPr>
              <w:pStyle w:val="Compact"/>
              <w:jc w:val="left"/>
            </w:pPr>
            <w:r>
              <w:t xml:space="preserve">64–76 semanas</w:t>
            </w:r>
          </w:p>
        </w:tc>
        <w:tc>
          <w:tcPr/>
          <w:p>
            <w:pPr>
              <w:pStyle w:val="Compact"/>
              <w:jc w:val="left"/>
            </w:pPr>
            <w:r>
              <w:t xml:space="preserve">diferença no teste de caminhada de 79,7 e 91,0 m a favor da elamipretida</w:t>
            </w:r>
          </w:p>
        </w:tc>
      </w:tr>
    </w:tbl>
    <w:p>
      <w:pPr>
        <w:pStyle w:val="BodyText"/>
      </w:pPr>
      <w:r>
        <w:t xml:space="preserve">A história da aprovação mostra de forma exemplar como se decide em doenças extremamente raras:</w:t>
      </w:r>
    </w:p>
    <w:p>
      <w:pPr>
        <w:pStyle w:val="BodyText"/>
      </w:pPr>
      <w:r>
        <w:rPr>
          <w:bCs/>
          <w:b/>
        </w:rPr>
        <w:t xml:space="preserve">A parte controlada fracassou.</w:t>
      </w:r>
      <w:r>
        <w:t xml:space="preserve"> </w:t>
      </w:r>
      <w:r>
        <w:t xml:space="preserve">No TAZPOWER</w:t>
      </w:r>
      <w:r>
        <w:rPr>
          <w:rStyle w:val="FootnoteReference"/>
        </w:rPr>
        <w:footnoteReference w:id="1870"/>
      </w:r>
      <w:r>
        <w:t xml:space="preserve">, doze pessoas com síndrome de Barth receberam por doze semanas elamipretida subcutânea diária ou placebo e depois, cada uma, o outro. Nessa parte cega, não se atingiu diferença significativa nem no teste de caminhada de 6 minutos nem na escala de sintomas</w:t>
      </w:r>
      <w:r>
        <w:rPr>
          <w:rStyle w:val="FootnoteReference"/>
        </w:rPr>
        <w:footnoteReference w:id="1871"/>
      </w:r>
      <w:r>
        <w:t xml:space="preserve">.</w:t>
      </w:r>
    </w:p>
    <w:p>
      <w:pPr>
        <w:pStyle w:val="BodyText"/>
      </w:pPr>
      <w:r>
        <w:rPr>
          <w:bCs/>
          <w:b/>
        </w:rPr>
        <w:t xml:space="preserve">A extensão aberta foi positiva.</w:t>
      </w:r>
      <w:r>
        <w:t xml:space="preserve"> </w:t>
      </w:r>
      <w:r>
        <w:t xml:space="preserve">Dez pessoas continuaram o tratamento de forma aberta. Após 36 semanas, caminharam em média 95,9 m a mais do que no início; também a força de extensão do joelho e alguns parâmetros cardíacos melhoraram</w:t>
      </w:r>
      <w:r>
        <w:rPr>
          <w:rStyle w:val="FootnoteReference"/>
        </w:rPr>
        <w:footnoteReference w:id="1872"/>
      </w:r>
      <w:r>
        <w:t xml:space="preserve">. A melhora persistiu até a semana 168; oito pessoas chegaram a esse momento</w:t>
      </w:r>
      <w:r>
        <w:rPr>
          <w:rStyle w:val="FootnoteReference"/>
        </w:rPr>
        <w:footnoteReference w:id="1873"/>
      </w:r>
      <w:r>
        <w:t xml:space="preserve">. Sem grupo controle, porém, não é possível separar que parcela se deve ao medicamento e que parcela à familiarização com o teste, à motivação ou ao acaso.</w:t>
      </w:r>
    </w:p>
    <w:p>
      <w:pPr>
        <w:pStyle w:val="BodyText"/>
      </w:pPr>
      <w:r>
        <w:rPr>
          <w:bCs/>
          <w:b/>
        </w:rPr>
        <w:t xml:space="preserve">Comparação com um controle de registro.</w:t>
      </w:r>
      <w:r>
        <w:t xml:space="preserve"> </w:t>
      </w:r>
      <w:r>
        <w:t xml:space="preserve">Para esclarecer isso, outro estudo comparou oito pessoas tratadas com 19 não tratadas de um acompanhamento da evolução. A vantagem no teste de caminhada foi de 79,7 m após 64 semanas</w:t>
      </w:r>
      <w:r>
        <w:rPr>
          <w:rStyle w:val="FootnoteReference"/>
        </w:rPr>
        <w:footnoteReference w:id="1874"/>
      </w:r>
      <w:r>
        <w:t xml:space="preserve">. Tais</w:t>
      </w:r>
      <w:r>
        <w:t xml:space="preserve"> </w:t>
      </w:r>
      <w:r>
        <w:t xml:space="preserve">“</w:t>
      </w:r>
      <w:r>
        <w:t xml:space="preserve">controles históricos</w:t>
      </w:r>
      <w:r>
        <w:t xml:space="preserve">”</w:t>
      </w:r>
      <w:r>
        <w:t xml:space="preserve"> </w:t>
      </w:r>
      <w:r>
        <w:t xml:space="preserve">são em doenças raras muitas vezes a única possibilidade, mas são considerados bem mais fracos do que uma randomização.</w:t>
      </w:r>
    </w:p>
    <w:p>
      <w:pPr>
        <w:pStyle w:val="BodyText"/>
      </w:pPr>
      <w:r>
        <w:rPr>
          <w:bCs/>
          <w:b/>
        </w:rPr>
        <w:t xml:space="preserve">A decisão da FDA em 2025.</w:t>
      </w:r>
      <w:r>
        <w:t xml:space="preserve"> </w:t>
      </w:r>
      <w:r>
        <w:t xml:space="preserve">A agência americana de medicamentos inicialmente recusou o pedido em maio de 2025 (Complete Response Letter). Em setembro de 2025, concedeu então uma</w:t>
      </w:r>
      <w:r>
        <w:t xml:space="preserve"> </w:t>
      </w:r>
      <w:r>
        <w:rPr>
          <w:bCs/>
          <w:b/>
        </w:rPr>
        <w:t xml:space="preserve">aprovação acelerada</w:t>
      </w:r>
      <w:r>
        <w:t xml:space="preserve"> </w:t>
      </w:r>
      <w:r>
        <w:t xml:space="preserve">para a elamipretida (Forzinity) para melhorar a força muscular na síndrome de Barth em pacientes a partir de 30 kg – como primeiro tratamento específico dessa doença</w:t>
      </w:r>
      <w:r>
        <w:rPr>
          <w:rStyle w:val="FootnoteReference"/>
        </w:rPr>
        <w:footnoteReference w:id="1875"/>
      </w:r>
      <w:r>
        <w:t xml:space="preserve">. A base foi a melhora da força de extensão do joelho, que a agência considera uma medida substituta que torna um benefício clínico</w:t>
      </w:r>
      <w:r>
        <w:t xml:space="preserve"> </w:t>
      </w:r>
      <w:r>
        <w:t xml:space="preserve">“</w:t>
      </w:r>
      <w:r>
        <w:t xml:space="preserve">razoavelmente provável</w:t>
      </w:r>
      <w:r>
        <w:t xml:space="preserve">”</w:t>
      </w:r>
      <w:r>
        <w:t xml:space="preserve">. Uma aprovação acelerada obriga o fabricante a um estudo de confirmação; se o benefício não se confirmar ali, a aprovação pode ser retirada. Um estudo correspondente com 48 participantes previstos está recrutando desde julho de 2026</w:t>
      </w:r>
      <w:r>
        <w:rPr>
          <w:rStyle w:val="FootnoteReference"/>
        </w:rPr>
        <w:footnoteReference w:id="1876"/>
      </w:r>
      <w:r>
        <w:t xml:space="preserve">.</w:t>
      </w:r>
    </w:p>
    <w:bookmarkEnd w:id="1877"/>
    <w:bookmarkStart w:id="1882" w:name="miopatia-mitocondrial-primária-mmpower-3"/>
    <w:p>
      <w:pPr>
        <w:pStyle w:val="Heading4"/>
      </w:pPr>
      <w:r>
        <w:t xml:space="preserve">Miopatia mitocondrial primária: MMPOWER-3</w:t>
      </w:r>
    </w:p>
    <w:p>
      <w:pPr>
        <w:pStyle w:val="FirstParagraph"/>
      </w:pPr>
      <w:r>
        <w:t xml:space="preserve">Miopatias mitocondriais são doenças hereditárias em que a produção de energia nos músculos está comprometida; os afetados sofrem de fraqueza muscular e forte fatigabilidade.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pessoas, infusão em dose crescente contra placebo</w:t>
            </w:r>
          </w:p>
        </w:tc>
        <w:tc>
          <w:tcPr/>
          <w:p>
            <w:pPr>
              <w:pStyle w:val="Compact"/>
              <w:jc w:val="left"/>
            </w:pPr>
            <w:r>
              <w:t xml:space="preserve">5 dias</w:t>
            </w:r>
          </w:p>
        </w:tc>
        <w:tc>
          <w:tcPr/>
          <w:p>
            <w:pPr>
              <w:pStyle w:val="Compact"/>
              <w:jc w:val="left"/>
            </w:pPr>
            <w:r>
              <w:t xml:space="preserve">dose mais alta +64,5 m no teste de caminhada vs. +20,4 m (p = 0,053)</w:t>
            </w:r>
          </w:p>
        </w:tc>
      </w:tr>
      <w:tr>
        <w:tc>
          <w:tcPr/>
          <w:p>
            <w:pPr>
              <w:pStyle w:val="Compact"/>
              <w:jc w:val="left"/>
            </w:pPr>
            <w:r>
              <w:t xml:space="preserve">MMPOWER-2 (Karaa 2020), PMID 32096613</w:t>
            </w:r>
          </w:p>
        </w:tc>
        <w:tc>
          <w:tcPr/>
          <w:p>
            <w:pPr>
              <w:pStyle w:val="Compact"/>
              <w:jc w:val="left"/>
            </w:pPr>
            <w:r>
              <w:t xml:space="preserve">30 pessoas, cruzado contra placebo</w:t>
            </w:r>
          </w:p>
        </w:tc>
        <w:tc>
          <w:tcPr/>
          <w:p>
            <w:pPr>
              <w:pStyle w:val="Compact"/>
              <w:jc w:val="left"/>
            </w:pPr>
            <w:r>
              <w:t xml:space="preserve">4 semanas cada</w:t>
            </w:r>
          </w:p>
        </w:tc>
        <w:tc>
          <w:tcPr/>
          <w:p>
            <w:pPr>
              <w:pStyle w:val="Compact"/>
              <w:jc w:val="left"/>
            </w:pPr>
            <w:r>
              <w:t xml:space="preserve">teste de caminhada +19,8 m (não significativo); menos fadiga</w:t>
            </w:r>
          </w:p>
        </w:tc>
      </w:tr>
      <w:tr>
        <w:tc>
          <w:tcPr/>
          <w:p>
            <w:pPr>
              <w:pStyle w:val="Compact"/>
              <w:jc w:val="left"/>
            </w:pPr>
            <w:r>
              <w:t xml:space="preserve">MMPOWER-3 (Karaa 2023), PMID 37268435</w:t>
            </w:r>
          </w:p>
        </w:tc>
        <w:tc>
          <w:tcPr/>
          <w:p>
            <w:pPr>
              <w:pStyle w:val="Compact"/>
              <w:jc w:val="left"/>
            </w:pPr>
            <w:r>
              <w:t xml:space="preserve">218 pessoas, fase 3 contra placebo</w:t>
            </w:r>
          </w:p>
        </w:tc>
        <w:tc>
          <w:tcPr/>
          <w:p>
            <w:pPr>
              <w:pStyle w:val="Compact"/>
              <w:jc w:val="left"/>
            </w:pPr>
            <w:r>
              <w:t xml:space="preserve">24 semanas</w:t>
            </w:r>
          </w:p>
        </w:tc>
        <w:tc>
          <w:tcPr/>
          <w:p>
            <w:pPr>
              <w:pStyle w:val="Compact"/>
              <w:jc w:val="left"/>
            </w:pPr>
            <w:r>
              <w:t xml:space="preserve">os dois desfechos principais não atingidos; diferença no teste de caminhada de −3,2 m</w:t>
            </w:r>
          </w:p>
        </w:tc>
      </w:tr>
    </w:tbl>
    <w:p>
      <w:pPr>
        <w:pStyle w:val="BodyText"/>
      </w:pPr>
      <w:r>
        <w:t xml:space="preserve">Após pequenos estudos encorajadores, o</w:t>
      </w:r>
      <w:r>
        <w:t xml:space="preserve"> </w:t>
      </w:r>
      <w:r>
        <w:rPr>
          <w:bCs/>
          <w:b/>
        </w:rPr>
        <w:t xml:space="preserve">MMPOWER-3</w:t>
      </w:r>
      <w:r>
        <w:rPr>
          <w:rStyle w:val="FootnoteReference"/>
        </w:rPr>
        <w:footnoteReference w:id="1878"/>
      </w:r>
      <w:r>
        <w:t xml:space="preserve"> </w:t>
      </w:r>
      <w:r>
        <w:t xml:space="preserve">deveria comprovar a eficácia. 218 adultos com miopatia mitocondrial geneticamente confirmada receberam por 24 semanas elamipretida ou placebo. O estudo não atingiu nenhum dos dois desfechos principais: no teste de caminhada de 6 minutos, a diferença foi de −3,2 m (IC de 95% −18,7 a 12,3); na escala de fadiga também não houve diferença. A tolerabilidade foi boa</w:t>
      </w:r>
      <w:r>
        <w:rPr>
          <w:rStyle w:val="FootnoteReference"/>
        </w:rPr>
        <w:footnoteReference w:id="1879"/>
      </w:r>
      <w:r>
        <w:t xml:space="preserve">. Os autores classificam isso como evidência da mais alta classe de que a elamipretida não melhora a distância de caminhada nem a fadiga nesse grupo.</w:t>
      </w:r>
    </w:p>
    <w:p>
      <w:pPr>
        <w:pStyle w:val="BodyText"/>
      </w:pPr>
      <w:r>
        <w:t xml:space="preserve">Uma análise posterior encontrou indícios de benefício em um subgrupo: pessoas com defeitos em genes do núcleo celular necessários para a replicação do DNA mitocondrial (como</w:t>
      </w:r>
      <w:r>
        <w:t xml:space="preserve"> </w:t>
      </w:r>
      <w:r>
        <w:rPr>
          <w:iCs/>
          <w:i/>
        </w:rPr>
        <w:t xml:space="preserve">POLG</w:t>
      </w:r>
      <w:r>
        <w:t xml:space="preserve"> </w:t>
      </w:r>
      <w:r>
        <w:t xml:space="preserve">e</w:t>
      </w:r>
      <w:r>
        <w:t xml:space="preserve"> </w:t>
      </w:r>
      <w:r>
        <w:rPr>
          <w:iCs/>
          <w:i/>
        </w:rPr>
        <w:t xml:space="preserve">TWNK</w:t>
      </w:r>
      <w:r>
        <w:t xml:space="preserve">) caminharam com elamipretida 25,2 m a mais, frente a 2,0 m com placebo (p = 0,06)</w:t>
      </w:r>
      <w:r>
        <w:rPr>
          <w:rStyle w:val="FootnoteReference"/>
        </w:rPr>
        <w:footnoteReference w:id="1880"/>
      </w:r>
      <w:r>
        <w:t xml:space="preserve">. Análises de subgrupo posteriores geram hipóteses, não provas. Com essa base, foi realizado o estudo de fase 3 NuPOWER</w:t>
      </w:r>
      <w:r>
        <w:rPr>
          <w:rStyle w:val="FootnoteReference"/>
        </w:rPr>
        <w:footnoteReference w:id="1881"/>
      </w:r>
      <w:r>
        <w:t xml:space="preserve">, com 102 participantes; segundo o registro, está concluído desde dezembro de 2024, e os resultados não haviam sido publicados no momento da nossa pesquisa.</w:t>
      </w:r>
    </w:p>
    <w:bookmarkEnd w:id="1882"/>
    <w:bookmarkStart w:id="1887" w:name="coração-rim-olho-e-envelhecimento"/>
    <w:p>
      <w:pPr>
        <w:pStyle w:val="Heading4"/>
      </w:pPr>
      <w:r>
        <w:t xml:space="preserve">Coração, rim, olho e envelhecimento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pessoas com primeiro infarto de parede anterior, infusão durante tratamento por cateter, duplo-cego</w:t>
            </w:r>
          </w:p>
        </w:tc>
        <w:tc>
          <w:tcPr/>
          <w:p>
            <w:pPr>
              <w:pStyle w:val="Compact"/>
              <w:jc w:val="left"/>
            </w:pPr>
            <w:r>
              <w:t xml:space="preserve">72 horas</w:t>
            </w:r>
          </w:p>
        </w:tc>
        <w:tc>
          <w:tcPr/>
          <w:p>
            <w:pPr>
              <w:pStyle w:val="Compact"/>
              <w:jc w:val="left"/>
            </w:pPr>
            <w:r>
              <w:t xml:space="preserve">tamanho do infarto não reduzido</w:t>
            </w:r>
          </w:p>
        </w:tc>
      </w:tr>
      <w:tr>
        <w:tc>
          <w:tcPr/>
          <w:p>
            <w:pPr>
              <w:pStyle w:val="Compact"/>
              <w:jc w:val="left"/>
            </w:pPr>
            <w:r>
              <w:t xml:space="preserve">PROGRESS-HF (Butler 2020), PMID 32068002</w:t>
            </w:r>
          </w:p>
        </w:tc>
        <w:tc>
          <w:tcPr/>
          <w:p>
            <w:pPr>
              <w:pStyle w:val="Compact"/>
              <w:jc w:val="left"/>
            </w:pPr>
            <w:r>
              <w:t xml:space="preserve">71 pessoas com insuficiência cardíaca (ICFEr), contra placebo</w:t>
            </w:r>
          </w:p>
        </w:tc>
        <w:tc>
          <w:tcPr/>
          <w:p>
            <w:pPr>
              <w:pStyle w:val="Compact"/>
              <w:jc w:val="left"/>
            </w:pPr>
            <w:r>
              <w:t xml:space="preserve">4 semanas</w:t>
            </w:r>
          </w:p>
        </w:tc>
        <w:tc>
          <w:tcPr/>
          <w:p>
            <w:pPr>
              <w:pStyle w:val="Compact"/>
              <w:jc w:val="left"/>
            </w:pPr>
            <w:r>
              <w:t xml:space="preserve">nenhuma melhora dos volumes cardíacos</w:t>
            </w:r>
          </w:p>
        </w:tc>
      </w:tr>
      <w:tr>
        <w:tc>
          <w:tcPr/>
          <w:p>
            <w:pPr>
              <w:pStyle w:val="Compact"/>
              <w:jc w:val="left"/>
            </w:pPr>
            <w:r>
              <w:t xml:space="preserve">Daubert 2017, PMID 29217757</w:t>
            </w:r>
          </w:p>
        </w:tc>
        <w:tc>
          <w:tcPr/>
          <w:p>
            <w:pPr>
              <w:pStyle w:val="Compact"/>
              <w:jc w:val="left"/>
            </w:pPr>
            <w:r>
              <w:t xml:space="preserve">36 pessoas com insuficiência cardíaca, infusão única</w:t>
            </w:r>
          </w:p>
        </w:tc>
        <w:tc>
          <w:tcPr/>
          <w:p>
            <w:pPr>
              <w:pStyle w:val="Compact"/>
              <w:jc w:val="left"/>
            </w:pPr>
            <w:r>
              <w:t xml:space="preserve">24 horas</w:t>
            </w:r>
          </w:p>
        </w:tc>
        <w:tc>
          <w:tcPr/>
          <w:p>
            <w:pPr>
              <w:pStyle w:val="Compact"/>
              <w:jc w:val="left"/>
            </w:pPr>
            <w:r>
              <w:t xml:space="preserve">volumes cardíacos menores a curto prazo com a dose mais alta</w:t>
            </w:r>
          </w:p>
        </w:tc>
      </w:tr>
      <w:tr>
        <w:tc>
          <w:tcPr/>
          <w:p>
            <w:pPr>
              <w:pStyle w:val="Compact"/>
              <w:jc w:val="left"/>
            </w:pPr>
            <w:r>
              <w:t xml:space="preserve">Saad 2017, PMID 28916603</w:t>
            </w:r>
          </w:p>
        </w:tc>
        <w:tc>
          <w:tcPr/>
          <w:p>
            <w:pPr>
              <w:pStyle w:val="Compact"/>
              <w:jc w:val="left"/>
            </w:pPr>
            <w:r>
              <w:t xml:space="preserve">14 pessoas com estenose da artéria renal em tratamento com stent</w:t>
            </w:r>
          </w:p>
        </w:tc>
        <w:tc>
          <w:tcPr/>
          <w:p>
            <w:pPr>
              <w:pStyle w:val="Compact"/>
              <w:jc w:val="left"/>
            </w:pPr>
            <w:r>
              <w:t xml:space="preserve">3 meses</w:t>
            </w:r>
          </w:p>
        </w:tc>
        <w:tc>
          <w:tcPr/>
          <w:p>
            <w:pPr>
              <w:pStyle w:val="Compact"/>
              <w:jc w:val="left"/>
            </w:pPr>
            <w:r>
              <w:t xml:space="preserve">menos falta de oxigênio, melhor perfusão renal (estudo piloto)</w:t>
            </w:r>
          </w:p>
        </w:tc>
      </w:tr>
      <w:tr>
        <w:tc>
          <w:tcPr/>
          <w:p>
            <w:pPr>
              <w:pStyle w:val="Compact"/>
              <w:jc w:val="left"/>
            </w:pPr>
            <w:r>
              <w:t xml:space="preserve">ReCLAIM-2 (Ehlers 2025), PMID 39605874</w:t>
            </w:r>
          </w:p>
        </w:tc>
        <w:tc>
          <w:tcPr/>
          <w:p>
            <w:pPr>
              <w:pStyle w:val="Compact"/>
              <w:jc w:val="left"/>
            </w:pPr>
            <w:r>
              <w:t xml:space="preserve">176 pessoas com degeneração macular seca, contra placebo</w:t>
            </w:r>
          </w:p>
        </w:tc>
        <w:tc>
          <w:tcPr/>
          <w:p>
            <w:pPr>
              <w:pStyle w:val="Compact"/>
              <w:jc w:val="left"/>
            </w:pPr>
            <w:r>
              <w:t xml:space="preserve">48 semanas</w:t>
            </w:r>
          </w:p>
        </w:tc>
        <w:tc>
          <w:tcPr/>
          <w:p>
            <w:pPr>
              <w:pStyle w:val="Compact"/>
              <w:jc w:val="left"/>
            </w:pPr>
            <w:r>
              <w:t xml:space="preserve">desfechos principais não atingidos; perda mais lenta de estruturas fotorreceptoras (desfecho secundário)</w:t>
            </w:r>
          </w:p>
        </w:tc>
      </w:tr>
      <w:tr>
        <w:tc>
          <w:tcPr/>
          <w:p>
            <w:pPr>
              <w:pStyle w:val="Compact"/>
              <w:jc w:val="left"/>
            </w:pPr>
            <w:r>
              <w:t xml:space="preserve">Roshanravan 2021, PMID 34264994</w:t>
            </w:r>
          </w:p>
        </w:tc>
        <w:tc>
          <w:tcPr/>
          <w:p>
            <w:pPr>
              <w:pStyle w:val="Compact"/>
              <w:jc w:val="left"/>
            </w:pPr>
            <w:r>
              <w:t xml:space="preserve">39 idosos saudáveis, infusão única contra placebo</w:t>
            </w:r>
          </w:p>
        </w:tc>
        <w:tc>
          <w:tcPr/>
          <w:p>
            <w:pPr>
              <w:pStyle w:val="Compact"/>
              <w:jc w:val="left"/>
            </w:pPr>
            <w:r>
              <w:t xml:space="preserve">7 dias</w:t>
            </w:r>
          </w:p>
        </w:tc>
        <w:tc>
          <w:tcPr/>
          <w:p>
            <w:pPr>
              <w:pStyle w:val="Compact"/>
              <w:jc w:val="left"/>
            </w:pPr>
            <w:r>
              <w:t xml:space="preserve">capacidade energética maior a curto prazo no músculo da mão, mas sem melhor resistência à fadiga</w:t>
            </w:r>
          </w:p>
        </w:tc>
      </w:tr>
    </w:tbl>
    <w:p>
      <w:pPr>
        <w:pStyle w:val="BodyText"/>
      </w:pPr>
      <w:r>
        <w:t xml:space="preserve">O padrão chama a atenção: no</w:t>
      </w:r>
      <w:r>
        <w:t xml:space="preserve"> </w:t>
      </w:r>
      <w:r>
        <w:rPr>
          <w:bCs/>
          <w:b/>
        </w:rPr>
        <w:t xml:space="preserve">infarto do miocárdio</w:t>
      </w:r>
      <w:r>
        <w:t xml:space="preserve"> </w:t>
      </w:r>
      <w:r>
        <w:t xml:space="preserve">e na</w:t>
      </w:r>
      <w:r>
        <w:t xml:space="preserve"> </w:t>
      </w:r>
      <w:r>
        <w:rPr>
          <w:bCs/>
          <w:b/>
        </w:rPr>
        <w:t xml:space="preserve">insuficiência cardíaca</w:t>
      </w:r>
      <w:r>
        <w:t xml:space="preserve">, os estudos controlados maiores não mostraram benefício</w:t>
      </w:r>
      <w:r>
        <w:rPr>
          <w:rStyle w:val="FootnoteReference"/>
        </w:rPr>
        <w:footnoteReference w:id="1883"/>
      </w:r>
      <w:r>
        <w:t xml:space="preserve">. Na</w:t>
      </w:r>
      <w:r>
        <w:t xml:space="preserve"> </w:t>
      </w:r>
      <w:r>
        <w:rPr>
          <w:bCs/>
          <w:b/>
        </w:rPr>
        <w:t xml:space="preserve">degeneração macular seca</w:t>
      </w:r>
      <w:r>
        <w:t xml:space="preserve">, uma causa frequente de perda de visão na velhice, o ReCLAIM-2 não atingiu nenhum dos dois desfechos principais (acuidade visual com pouca luz e crescimento da área lesada da retina); um desfecho secundário definido previamente – a perda da camada de fotorreceptores – progrediu mais lentamente com elamipretida</w:t>
      </w:r>
      <w:r>
        <w:rPr>
          <w:rStyle w:val="FootnoteReference"/>
        </w:rPr>
        <w:footnoteReference w:id="1884"/>
      </w:r>
      <w:r>
        <w:t xml:space="preserve">. Essa medida serve agora como desfecho principal do estudo de fase 3 em andamento ReNEW</w:t>
      </w:r>
      <w:r>
        <w:rPr>
          <w:rStyle w:val="FootnoteReference"/>
        </w:rPr>
        <w:footnoteReference w:id="1885"/>
      </w:r>
      <w:r>
        <w:t xml:space="preserve">.</w:t>
      </w:r>
    </w:p>
    <w:p>
      <w:pPr>
        <w:pStyle w:val="BodyText"/>
      </w:pPr>
      <w:r>
        <w:t xml:space="preserve">Para a cena da longevidade, é interessante o estudo com idosos: uma única infusão aumentou a capacidade energética de um músculo da mão logo em seguida; após sete dias, o efeito havia desaparecido, e a resistência muscular não melhorou</w:t>
      </w:r>
      <w:r>
        <w:rPr>
          <w:rStyle w:val="FootnoteReference"/>
        </w:rPr>
        <w:footnoteReference w:id="1886"/>
      </w:r>
      <w:r>
        <w:t xml:space="preserve">. Daí não se pode deduzir nenhum benefício</w:t>
      </w:r>
      <w:r>
        <w:t xml:space="preserve"> </w:t>
      </w:r>
      <w:r>
        <w:t xml:space="preserve">“</w:t>
      </w:r>
      <w:r>
        <w:t xml:space="preserve">anti-aging</w:t>
      </w:r>
      <w:r>
        <w:t xml:space="preserve">”</w:t>
      </w:r>
      <w:r>
        <w:t xml:space="preserve">.</w:t>
      </w:r>
    </w:p>
    <w:bookmarkEnd w:id="1887"/>
    <w:bookmarkEnd w:id="1888"/>
    <w:bookmarkStart w:id="1892" w:name="estudos-em-animais-e-em-laboratório-43"/>
    <w:p>
      <w:pPr>
        <w:pStyle w:val="Heading3"/>
      </w:pPr>
      <w:r>
        <w:t xml:space="preserve">Estudos em animais e em laboratório</w:t>
      </w:r>
    </w:p>
    <w:p>
      <w:pPr>
        <w:pStyle w:val="FirstParagraph"/>
      </w:pPr>
      <w:r>
        <w:t xml:space="preserve">Em modelos animais, foram descritos efeitos favoráveis em insuficiência cardíaca, lesões renais, fraqueza muscular, doenças oculares e neurológicas</w:t>
      </w:r>
      <w:r>
        <w:rPr>
          <w:rStyle w:val="FootnoteReference"/>
        </w:rPr>
        <w:footnoteReference w:id="1889"/>
      </w:r>
      <w:r>
        <w:t xml:space="preserve">. Em cães com insuficiência cardíaca avançada, um tratamento contínuo melhorou a função de bombeamento e a função mitocondrial</w:t>
      </w:r>
      <w:r>
        <w:rPr>
          <w:rStyle w:val="FootnoteReference"/>
        </w:rPr>
        <w:footnoteReference w:id="1890"/>
      </w:r>
      <w:r>
        <w:t xml:space="preserve">. Em um modelo de rato de insuficiência cardíaca com fração de ejeção preservada, a elamipretida melhorou o metabolismo energético do músculo cardíaco, mas não a função cardíaca</w:t>
      </w:r>
      <w:r>
        <w:rPr>
          <w:rStyle w:val="FootnoteReference"/>
        </w:rPr>
        <w:footnoteReference w:id="1891"/>
      </w:r>
      <w:r>
        <w:t xml:space="preserve">. Essa discrepância entre melhor metabolismo energético e ausência de benefício clínico se reflete nos estudos em humanos.</w:t>
      </w:r>
    </w:p>
    <w:bookmarkEnd w:id="1892"/>
    <w:bookmarkStart w:id="1897" w:name="riscos-e-efeitos-colaterais-43"/>
    <w:p>
      <w:pPr>
        <w:pStyle w:val="Heading3"/>
      </w:pPr>
      <w:r>
        <w:t xml:space="preserve">Riscos e efeitos colaterais</w:t>
      </w:r>
    </w:p>
    <w:p>
      <w:pPr>
        <w:pStyle w:val="FirstParagraph"/>
      </w:pPr>
      <w:r>
        <w:rPr>
          <w:bCs/>
          <w:b/>
        </w:rPr>
        <w:t xml:space="preserve">Comprovado:</w:t>
      </w:r>
    </w:p>
    <w:p>
      <w:pPr>
        <w:numPr>
          <w:ilvl w:val="0"/>
          <w:numId w:val="1237"/>
        </w:numPr>
        <w:pStyle w:val="Compact"/>
      </w:pPr>
      <w:r>
        <w:t xml:space="preserve">Os efeitos colaterais mais frequentes são</w:t>
      </w:r>
      <w:r>
        <w:t xml:space="preserve"> </w:t>
      </w:r>
      <w:r>
        <w:rPr>
          <w:bCs/>
          <w:b/>
        </w:rPr>
        <w:t xml:space="preserve">reações no local da injeção</w:t>
      </w:r>
      <w:r>
        <w:t xml:space="preserve"> </w:t>
      </w:r>
      <w:r>
        <w:t xml:space="preserve">(coceira, dor, hematomas, vermelhidão). No MMPOWER-2, ocorreram em 80% dos tratados, em geral leves</w:t>
      </w:r>
      <w:r>
        <w:rPr>
          <w:rStyle w:val="FootnoteReference"/>
        </w:rPr>
        <w:footnoteReference w:id="1893"/>
      </w:r>
      <w:r>
        <w:t xml:space="preserve">. No ReCLAIM-2, 86% com elamipretida e 71% com placebo relataram algum evento adverso</w:t>
      </w:r>
      <w:r>
        <w:rPr>
          <w:rStyle w:val="FootnoteReference"/>
        </w:rPr>
        <w:footnoteReference w:id="1894"/>
      </w:r>
      <w:r>
        <w:t xml:space="preserve">.</w:t>
      </w:r>
    </w:p>
    <w:p>
      <w:pPr>
        <w:numPr>
          <w:ilvl w:val="0"/>
          <w:numId w:val="1237"/>
        </w:numPr>
        <w:pStyle w:val="Compact"/>
      </w:pPr>
      <w:r>
        <w:t xml:space="preserve">Efeitos colaterais graves não foram mais frequentes nos estudos; no MMPOWER-3, os eventos foram predominantemente leves a moderados</w:t>
      </w:r>
      <w:r>
        <w:rPr>
          <w:rStyle w:val="FootnoteReference"/>
        </w:rPr>
        <w:footnoteReference w:id="1895"/>
      </w:r>
      <w:r>
        <w:t xml:space="preserve">.</w:t>
      </w:r>
    </w:p>
    <w:p>
      <w:pPr>
        <w:numPr>
          <w:ilvl w:val="0"/>
          <w:numId w:val="1237"/>
        </w:numPr>
        <w:pStyle w:val="Compact"/>
      </w:pPr>
      <w:r>
        <w:t xml:space="preserve">Dados de longo prazo existem apenas para poucas pessoas com síndrome de Barth ao longo de pouco mais de três anos</w:t>
      </w:r>
      <w:r>
        <w:rPr>
          <w:rStyle w:val="FootnoteReference"/>
        </w:rPr>
        <w:footnoteReference w:id="1896"/>
      </w:r>
      <w:r>
        <w:t xml:space="preserve">.</w:t>
      </w:r>
    </w:p>
    <w:p>
      <w:pPr>
        <w:pStyle w:val="FirstParagraph"/>
      </w:pPr>
      <w:r>
        <w:rPr>
          <w:bCs/>
          <w:b/>
        </w:rPr>
        <w:t xml:space="preserve">Teórico:</w:t>
      </w:r>
      <w:r>
        <w:t xml:space="preserve"> </w:t>
      </w:r>
      <w:r>
        <w:t xml:space="preserve">uma substância que intervém continuamente nas mitocôndrias de todas as células do corpo poderia ter efeitos desconhecidos com o uso por anos em pessoas saudáveis; não há dados sobre isso.</w:t>
      </w:r>
    </w:p>
    <w:p>
      <w:pPr>
        <w:pStyle w:val="BodyText"/>
      </w:pPr>
      <w:r>
        <w:rPr>
          <w:bCs/>
          <w:b/>
        </w:rPr>
        <w:t xml:space="preserve">Mercado cinza:</w:t>
      </w:r>
      <w:r>
        <w:t xml:space="preserve"> </w:t>
      </w:r>
      <w:r>
        <w:t xml:space="preserve">o</w:t>
      </w:r>
      <w:r>
        <w:t xml:space="preserve"> </w:t>
      </w:r>
      <w:r>
        <w:t xml:space="preserve">“</w:t>
      </w:r>
      <w:r>
        <w:t xml:space="preserve">SS-31</w:t>
      </w:r>
      <w:r>
        <w:t xml:space="preserve">”</w:t>
      </w:r>
      <w:r>
        <w:t xml:space="preserve"> </w:t>
      </w:r>
      <w:r>
        <w:t xml:space="preserve">é vendido online como pó para injeção para</w:t>
      </w:r>
      <w:r>
        <w:t xml:space="preserve"> </w:t>
      </w:r>
      <w:r>
        <w:t xml:space="preserve">“</w:t>
      </w:r>
      <w:r>
        <w:t xml:space="preserve">rejuvenescimento mitocondrial</w:t>
      </w:r>
      <w:r>
        <w:t xml:space="preserve">”</w:t>
      </w:r>
      <w:r>
        <w:t xml:space="preserve">. Esses produtos não são o medicamento aprovado; teor e pureza não são verificados. Para pessoas saudáveis, nenhum benefício está comprovado.</w:t>
      </w:r>
    </w:p>
    <w:bookmarkEnd w:id="1897"/>
    <w:bookmarkStart w:id="1899" w:name="situação-legal-43"/>
    <w:p>
      <w:pPr>
        <w:pStyle w:val="Heading3"/>
      </w:pPr>
      <w:r>
        <w:t xml:space="preserve">Situação legal</w:t>
      </w:r>
    </w:p>
    <w:p>
      <w:pPr>
        <w:numPr>
          <w:ilvl w:val="0"/>
          <w:numId w:val="1238"/>
        </w:numPr>
        <w:pStyle w:val="Compact"/>
      </w:pPr>
      <w:r>
        <w:rPr>
          <w:bCs/>
          <w:b/>
        </w:rPr>
        <w:t xml:space="preserve">UE / Áustria / Alemanha:</w:t>
      </w:r>
      <w:r>
        <w:t xml:space="preserve"> </w:t>
      </w:r>
      <w:r>
        <w:t xml:space="preserve">não aprovada. A elamipretida é um medicamento; o uso só é possível no âmbito de estudos ou de programas de uso compassivo.</w:t>
      </w:r>
    </w:p>
    <w:p>
      <w:pPr>
        <w:numPr>
          <w:ilvl w:val="0"/>
          <w:numId w:val="1238"/>
        </w:numPr>
        <w:pStyle w:val="Compact"/>
      </w:pPr>
      <w:r>
        <w:rPr>
          <w:bCs/>
          <w:b/>
        </w:rPr>
        <w:t xml:space="preserve">EUA:</w:t>
      </w:r>
      <w:r>
        <w:t xml:space="preserve"> </w:t>
      </w:r>
      <w:r>
        <w:t xml:space="preserve">aprovação acelerada (Forzinity, setembro de 2025) apenas para síndrome de Barth a partir de 30 kg de peso corporal; consultar a bula técnica e ter acompanhamento médico. Para outras doenças há um programa de uso compassivo</w:t>
      </w:r>
      <w:r>
        <w:rPr>
          <w:rStyle w:val="FootnoteReference"/>
        </w:rPr>
        <w:footnoteReference w:id="1898"/>
      </w:r>
      <w:r>
        <w:t xml:space="preserve">.</w:t>
      </w:r>
    </w:p>
    <w:p>
      <w:pPr>
        <w:numPr>
          <w:ilvl w:val="0"/>
          <w:numId w:val="1238"/>
        </w:numPr>
        <w:pStyle w:val="Compact"/>
      </w:pPr>
      <w:r>
        <w:rPr>
          <w:bCs/>
          <w:b/>
        </w:rPr>
        <w:t xml:space="preserve">Esporte:</w:t>
      </w:r>
      <w:r>
        <w:t xml:space="preserve"> </w:t>
      </w:r>
      <w:r>
        <w:t xml:space="preserve">não listada nominalmente na lista da WADA (situação em 2026, verificar atualização).</w:t>
      </w:r>
    </w:p>
    <w:bookmarkEnd w:id="1899"/>
    <w:bookmarkStart w:id="1904" w:name="estudos-em-andamento-e-perspectivas-43"/>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39"/>
        </w:numPr>
        <w:pStyle w:val="Compact"/>
      </w:pPr>
      <w:r>
        <w:rPr>
          <w:bCs/>
          <w:b/>
        </w:rPr>
        <w:t xml:space="preserve">ReNEW</w:t>
      </w:r>
      <w:r>
        <w:rPr>
          <w:rStyle w:val="FootnoteReference"/>
        </w:rPr>
        <w:footnoteReference w:id="1900"/>
      </w:r>
      <w:r>
        <w:t xml:space="preserve">: fase 3 em degeneração macular seca, 313 participantes, recrutamento concluído, término previsto para 2027.</w:t>
      </w:r>
    </w:p>
    <w:p>
      <w:pPr>
        <w:numPr>
          <w:ilvl w:val="0"/>
          <w:numId w:val="1239"/>
        </w:numPr>
        <w:pStyle w:val="Compact"/>
      </w:pPr>
      <w:r>
        <w:rPr>
          <w:bCs/>
          <w:b/>
        </w:rPr>
        <w:t xml:space="preserve">4TAZPower</w:t>
      </w:r>
      <w:r>
        <w:rPr>
          <w:rStyle w:val="FootnoteReference"/>
        </w:rPr>
        <w:footnoteReference w:id="1901"/>
      </w:r>
      <w:r>
        <w:t xml:space="preserve">: estudo de confirmação na síndrome de Barth com 48 participantes previstos, em recrutamento.</w:t>
      </w:r>
    </w:p>
    <w:p>
      <w:pPr>
        <w:numPr>
          <w:ilvl w:val="0"/>
          <w:numId w:val="1239"/>
        </w:numPr>
        <w:pStyle w:val="Compact"/>
      </w:pPr>
      <w:r>
        <w:rPr>
          <w:bCs/>
          <w:b/>
        </w:rPr>
        <w:t xml:space="preserve">NuPOWER</w:t>
      </w:r>
      <w:r>
        <w:rPr>
          <w:rStyle w:val="FootnoteReference"/>
        </w:rPr>
        <w:footnoteReference w:id="1902"/>
      </w:r>
      <w:r>
        <w:t xml:space="preserve">: fase 3 em doença mitocondrial por mutações do DNA nuclear, 102 participantes, concluído; resultados pendentes.</w:t>
      </w:r>
    </w:p>
    <w:p>
      <w:pPr>
        <w:numPr>
          <w:ilvl w:val="0"/>
          <w:numId w:val="1239"/>
        </w:numPr>
        <w:pStyle w:val="Compact"/>
      </w:pPr>
      <w:r>
        <w:t xml:space="preserve">Um pequeno estudo de fase 2 em idosos saudáveis examina a função física</w:t>
      </w:r>
      <w:r>
        <w:rPr>
          <w:rStyle w:val="FootnoteReference"/>
        </w:rPr>
        <w:footnoteReference w:id="1903"/>
      </w:r>
      <w:r>
        <w:t xml:space="preserve">.</w:t>
      </w:r>
    </w:p>
    <w:p>
      <w:pPr>
        <w:pStyle w:val="FirstParagraph"/>
      </w:pPr>
      <w:r>
        <w:rPr>
          <w:bCs/>
          <w:b/>
        </w:rPr>
        <w:t xml:space="preserve">Avaliação:</w:t>
      </w:r>
      <w:r>
        <w:t xml:space="preserve"> </w:t>
      </w:r>
      <w:r>
        <w:t xml:space="preserve">se a elamipretida encontrará um lugar além da síndrome de Barth será decidido pelo ReNEW e pelo NuPOWER. A experiência do MMPOWER-3, EMBRACE e PROGRESS-HF recomenda cautela: um mecanismo convincente não garante benefício clínico.</w:t>
      </w:r>
    </w:p>
    <w:bookmarkEnd w:id="1904"/>
    <w:bookmarkStart w:id="1905" w:name="conclusão-43"/>
    <w:p>
      <w:pPr>
        <w:pStyle w:val="Heading3"/>
      </w:pPr>
      <w:r>
        <w:t xml:space="preserve">Conclusão</w:t>
      </w:r>
    </w:p>
    <w:p>
      <w:pPr>
        <w:pStyle w:val="FirstParagraph"/>
      </w:pPr>
      <w:r>
        <w:t xml:space="preserve">A elamipretida (SS-31) é um tetrapeptídeo que se liga à cardiolipina nas mitocôndrias e que, como primeiro medicamento mitocondrial, recebeu em 2025 nos EUA uma aprovação acelerada para a muito rara síndrome de Barth – com base em um estudo com doze pessoas, cuja parte controlada não atingiu seus desfechos principais, e em dados abertos de longo prazo. Em estudos randomizados maiores em miopatia mitocondrial, infarto do miocárdio, insuficiência cardíaca e degeneração macular, os desfechos principais não foram alcançados. O medicamento é bem tolerado; sobretudo reações no local da injeção são frequentes. Para pessoas saudáveis ou como recurso</w:t>
      </w:r>
      <w:r>
        <w:t xml:space="preserve"> </w:t>
      </w:r>
      <w:r>
        <w:t xml:space="preserve">“</w:t>
      </w:r>
      <w:r>
        <w:t xml:space="preserve">anti-aging</w:t>
      </w:r>
      <w:r>
        <w:t xml:space="preserve">”</w:t>
      </w:r>
      <w:r>
        <w:t xml:space="preserve">, não há benefício comprovado.</w:t>
      </w:r>
    </w:p>
    <w:bookmarkEnd w:id="1905"/>
    <w:bookmarkEnd w:id="1906"/>
    <w:bookmarkStart w:id="1925" w:name="foxo4-dri"/>
    <w:p>
      <w:pPr>
        <w:pStyle w:val="Heading2"/>
      </w:pPr>
      <w:r>
        <w:t xml:space="preserve">FOXO4-DRI</w:t>
      </w:r>
    </w:p>
    <w:bookmarkStart w:id="1907" w:name="ficha-técnica-44"/>
    <w:p>
      <w:pPr>
        <w:pStyle w:val="Heading3"/>
      </w:pPr>
      <w:r>
        <w:t xml:space="preserve">Ficha técnica</w:t>
      </w:r>
    </w:p>
    <w:p>
      <w:pPr>
        <w:numPr>
          <w:ilvl w:val="0"/>
          <w:numId w:val="1240"/>
        </w:numPr>
        <w:pStyle w:val="Compact"/>
      </w:pPr>
      <w:r>
        <w:rPr>
          <w:bCs/>
          <w:b/>
        </w:rPr>
        <w:t xml:space="preserve">Tipo e estrutura:</w:t>
      </w:r>
      <w:r>
        <w:t xml:space="preserve"> </w:t>
      </w:r>
      <w:r>
        <w:t xml:space="preserve">peptídeo sintético comparativamente longo, derivado de um segmento da proteína FOXO4.</w:t>
      </w:r>
      <w:r>
        <w:t xml:space="preserve"> </w:t>
      </w:r>
      <w:r>
        <w:t xml:space="preserve">“</w:t>
      </w:r>
      <w:r>
        <w:t xml:space="preserve">DRI</w:t>
      </w:r>
      <w:r>
        <w:t xml:space="preserve">”</w:t>
      </w:r>
      <w:r>
        <w:t xml:space="preserve"> </w:t>
      </w:r>
      <w:r>
        <w:t xml:space="preserve">significa</w:t>
      </w:r>
      <w:r>
        <w:t xml:space="preserve"> </w:t>
      </w:r>
      <w:r>
        <w:rPr>
          <w:iCs/>
          <w:i/>
        </w:rPr>
        <w:t xml:space="preserve">D-retro-inverso</w:t>
      </w:r>
      <w:r>
        <w:t xml:space="preserve">: o peptídeo é formado por D-aminoácidos especulares em ordem invertida. Com isso, ele quase não é degradado pelas enzimas do organismo. Um segmento acrescentado, carregado positivamente (derivado de uma proteína viral), deveria introduzi-lo nas células.</w:t>
      </w:r>
    </w:p>
    <w:p>
      <w:pPr>
        <w:numPr>
          <w:ilvl w:val="0"/>
          <w:numId w:val="1240"/>
        </w:numPr>
        <w:pStyle w:val="Compact"/>
      </w:pPr>
      <w:r>
        <w:rPr>
          <w:bCs/>
          <w:b/>
        </w:rPr>
        <w:t xml:space="preserve">Origem:</w:t>
      </w:r>
      <w:r>
        <w:t xml:space="preserve"> </w:t>
      </w:r>
      <w:r>
        <w:t xml:space="preserve">apresentado em 2017 por um grupo de trabalho holandês liderado por Peter de Keizer (Erasmus MC Rotterdam).</w:t>
      </w:r>
    </w:p>
    <w:p>
      <w:pPr>
        <w:numPr>
          <w:ilvl w:val="0"/>
          <w:numId w:val="1240"/>
        </w:numPr>
        <w:pStyle w:val="Compact"/>
      </w:pPr>
      <w:r>
        <w:rPr>
          <w:bCs/>
          <w:b/>
        </w:rPr>
        <w:t xml:space="preserve">Princípio de ação:</w:t>
      </w:r>
      <w:r>
        <w:t xml:space="preserve"> </w:t>
      </w:r>
      <w:r>
        <w:rPr>
          <w:bCs/>
          <w:b/>
        </w:rPr>
        <w:t xml:space="preserve">senolítico</w:t>
      </w:r>
      <w:r>
        <w:t xml:space="preserve"> </w:t>
      </w:r>
      <w:r>
        <w:t xml:space="preserve">– uma substância que deveria levar especificamente células envelhecidas, as chamadas células senescentes, à morte celular programada, perturbando a ligação entre o FOXO4 e a proteína protetora p53.</w:t>
      </w:r>
    </w:p>
    <w:p>
      <w:pPr>
        <w:numPr>
          <w:ilvl w:val="0"/>
          <w:numId w:val="1240"/>
        </w:numPr>
        <w:pStyle w:val="Compact"/>
      </w:pPr>
      <w:r>
        <w:rPr>
          <w:bCs/>
          <w:b/>
        </w:rPr>
        <w:t xml:space="preserve">Aprovação UE:</w:t>
      </w:r>
      <w:r>
        <w:t xml:space="preserve"> </w:t>
      </w:r>
      <w:r>
        <w:t xml:space="preserve">não.</w:t>
      </w:r>
    </w:p>
    <w:p>
      <w:pPr>
        <w:numPr>
          <w:ilvl w:val="0"/>
          <w:numId w:val="1240"/>
        </w:numPr>
        <w:pStyle w:val="Compact"/>
      </w:pPr>
      <w:r>
        <w:rPr>
          <w:bCs/>
          <w:b/>
        </w:rPr>
        <w:t xml:space="preserve">Aprovação EUA:</w:t>
      </w:r>
      <w:r>
        <w:t xml:space="preserve"> </w:t>
      </w:r>
      <w:r>
        <w:t xml:space="preserve">não.</w:t>
      </w:r>
    </w:p>
    <w:p>
      <w:pPr>
        <w:numPr>
          <w:ilvl w:val="0"/>
          <w:numId w:val="1240"/>
        </w:numPr>
        <w:pStyle w:val="Compact"/>
      </w:pPr>
      <w:r>
        <w:rPr>
          <w:bCs/>
          <w:b/>
        </w:rPr>
        <w:t xml:space="preserve">WADA:</w:t>
      </w:r>
      <w:r>
        <w:t xml:space="preserve"> </w:t>
      </w:r>
      <w:r>
        <w:t xml:space="preserve">não listado nominalmente; como substância não aprovada em nenhum lugar, o FOXO4-DRI se enquadra, em nossa avaliação, na categoria geral S0.</w:t>
      </w:r>
    </w:p>
    <w:p>
      <w:pPr>
        <w:numPr>
          <w:ilvl w:val="0"/>
          <w:numId w:val="1240"/>
        </w:numPr>
        <w:pStyle w:val="Compact"/>
      </w:pPr>
      <w:r>
        <w:rPr>
          <w:bCs/>
          <w:b/>
        </w:rPr>
        <w:t xml:space="preserve">Nível de evidência:</w:t>
      </w:r>
      <w:r>
        <w:t xml:space="preserve"> </w:t>
      </w:r>
      <w:r>
        <w:rPr>
          <w:bCs/>
          <w:b/>
        </w:rPr>
        <w:t xml:space="preserve">D</w:t>
      </w:r>
      <w:r>
        <w:t xml:space="preserve"> </w:t>
      </w:r>
      <w:r>
        <w:t xml:space="preserve">– exclusivamente estudos em animais e em laboratório.</w:t>
      </w:r>
    </w:p>
    <w:bookmarkEnd w:id="1907"/>
    <w:bookmarkStart w:id="1913" w:name="como-deveria-agir-44"/>
    <w:p>
      <w:pPr>
        <w:pStyle w:val="Heading3"/>
      </w:pPr>
      <w:r>
        <w:t xml:space="preserve">Como deveria agir</w:t>
      </w:r>
    </w:p>
    <w:p>
      <w:pPr>
        <w:pStyle w:val="FirstParagraph"/>
      </w:pPr>
      <w:r>
        <w:rPr>
          <w:bCs/>
          <w:b/>
        </w:rPr>
        <w:t xml:space="preserve">Células senescentes</w:t>
      </w:r>
      <w:r>
        <w:t xml:space="preserve"> </w:t>
      </w:r>
      <w:r>
        <w:t xml:space="preserve">são células que, após danos – por exemplo por radiação, quimioterapia, estresse oxidativo ou simplesmente por muitas divisões –, não se dividem mais, mas também não morrem. Permanecem no tecido e liberam uma mistura de mensageiros inflamatórios e enzimas que degradam tecidos, chamada SASP (</w:t>
      </w:r>
      <w:r>
        <w:rPr>
          <w:iCs/>
          <w:i/>
        </w:rPr>
        <w:t xml:space="preserve">senescence-associated secretory phenotype</w:t>
      </w:r>
      <w:r>
        <w:t xml:space="preserve">). Com a idade, elas aumentam em muitos órgãos. Em camundongos nos quais essas células foram removidas geneticamente de forma direcionada, diversas manifestações do envelhecimento foram retardadas. Daí surgiu a ideia dos</w:t>
      </w:r>
      <w:r>
        <w:t xml:space="preserve"> </w:t>
      </w:r>
      <w:r>
        <w:rPr>
          <w:bCs/>
          <w:b/>
        </w:rPr>
        <w:t xml:space="preserve">senolíticos</w:t>
      </w:r>
      <w:r>
        <w:t xml:space="preserve">: medicamentos que eliminam células senescentes.</w:t>
      </w:r>
    </w:p>
    <w:p>
      <w:pPr>
        <w:pStyle w:val="BodyText"/>
      </w:pPr>
      <w:r>
        <w:t xml:space="preserve">As células senescentes sobrevivem, entre outros motivos, porque suprimem programas de suicídio celular. O grupo de Roterdã constatou que a proteína FOXO4 tem papel-chave nisso: ela retém no núcleo celular a proteína p53, que de outra forma desencadearia a morte celular. O peptídeo FOXO4-DRI perturba essa ligação; a p53 é deslocada do núcleo, e a célula senescente morre. Células saudáveis, que se dividem normalmente, seriam em grande parte poupadas</w:t>
      </w:r>
      <w:r>
        <w:rPr>
          <w:rStyle w:val="FootnoteReference"/>
        </w:rPr>
        <w:footnoteReference w:id="1908"/>
      </w:r>
      <w:r>
        <w:t xml:space="preserve">. Estudos estruturais de 2025 confirmaram que o FOXO4-DRI se liga a um segmento desordenado da p53 – sendo que também o segmento de introdução celular do peptídeo participa da ligação</w:t>
      </w:r>
      <w:r>
        <w:rPr>
          <w:rStyle w:val="FootnoteReference"/>
        </w:rPr>
        <w:footnoteReference w:id="1909"/>
      </w:r>
      <w:r>
        <w:t xml:space="preserve">.</w:t>
      </w:r>
    </w:p>
    <w:bookmarkStart w:id="1912" w:name="senolíticos-em-humanos-o-contexto"/>
    <w:p>
      <w:pPr>
        <w:pStyle w:val="Heading4"/>
      </w:pPr>
      <w:r>
        <w:t xml:space="preserve">Senolíticos em humanos: o contexto</w:t>
      </w:r>
    </w:p>
    <w:p>
      <w:pPr>
        <w:pStyle w:val="FirstParagraph"/>
      </w:pPr>
      <w:r>
        <w:t xml:space="preserve">O próprio FOXO4-DRI nunca foi testado em humanos. Para situá-lo, ajuda olhar para outros senolíticos que já foram estudados clinicamente – sobretudo a combinação do medicamento oncológico dasatinibe com a substância vegetal quercetina (abreviada D+Q):</w:t>
      </w:r>
    </w:p>
    <w:p>
      <w:pPr>
        <w:numPr>
          <w:ilvl w:val="0"/>
          <w:numId w:val="1241"/>
        </w:numPr>
        <w:pStyle w:val="Compact"/>
      </w:pPr>
      <w:r>
        <w:t xml:space="preserve">Em um primeiro estudo piloto aberto com 14 pessoas com fibrose pulmonar idiopática, distância e velocidade de caminhada melhoraram, mas a função pulmonar não; ocorreu um evento adverso grave</w:t>
      </w:r>
      <w:r>
        <w:rPr>
          <w:rStyle w:val="FootnoteReference"/>
        </w:rPr>
        <w:footnoteReference w:id="1910"/>
      </w:r>
      <w:r>
        <w:t xml:space="preserve">.</w:t>
      </w:r>
    </w:p>
    <w:p>
      <w:pPr>
        <w:numPr>
          <w:ilvl w:val="0"/>
          <w:numId w:val="1241"/>
        </w:numPr>
        <w:pStyle w:val="Compact"/>
      </w:pPr>
      <w:r>
        <w:t xml:space="preserve">Em um estudo randomizado de fase 2 com 60 mulheres após a menopausa, o D+Q não reduziu o marcador de reabsorção óssea (desfecho principal não atingido); apenas em um subgrupo considerado posteriormente, com muitas células senescentes, mostraram-se efeitos favoráveis</w:t>
      </w:r>
      <w:r>
        <w:rPr>
          <w:rStyle w:val="FootnoteReference"/>
        </w:rPr>
        <w:footnoteReference w:id="1911"/>
      </w:r>
      <w:r>
        <w:t xml:space="preserve">.</w:t>
      </w:r>
    </w:p>
    <w:p>
      <w:pPr>
        <w:pStyle w:val="FirstParagraph"/>
      </w:pPr>
      <w:r>
        <w:t xml:space="preserve">A pesquisa clínica com senolíticos está, portanto, ainda no início, e os primeiros resultados controlados são reservados. Esse é o pano de fundo diante do qual o FOXO4-DRI é vendido na internet como</w:t>
      </w:r>
      <w:r>
        <w:t xml:space="preserve"> </w:t>
      </w:r>
      <w:r>
        <w:t xml:space="preserve">“</w:t>
      </w:r>
      <w:r>
        <w:t xml:space="preserve">peptídeo de rejuvenescimento</w:t>
      </w:r>
      <w:r>
        <w:t xml:space="preserve">”</w:t>
      </w:r>
      <w:r>
        <w:t xml:space="preserve">.</w:t>
      </w:r>
    </w:p>
    <w:bookmarkEnd w:id="1912"/>
    <w:bookmarkEnd w:id="1913"/>
    <w:bookmarkStart w:id="1915" w:name="estudos-em-humanos-44"/>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w:t>
      </w:r>
      <w:r>
        <w:t xml:space="preserve"> </w:t>
      </w:r>
      <w:r>
        <w:rPr>
          <w:bCs/>
          <w:b/>
        </w:rPr>
        <w:t xml:space="preserve">não</w:t>
      </w:r>
      <w:r>
        <w:t xml:space="preserve"> </w:t>
      </w:r>
      <w:r>
        <w:t xml:space="preserve">resultou em nenhum estudo em humanos com FOXO4-DRI; ao todo, o PubMed lista cerca de 20 trabalhos com o termo. No ClinicalTrials.gov não há estudo registrado. Também não foram encontrados relatos de caso sobre o uso em humanos nem análises de produtos do mercado cinza.</w:t>
      </w:r>
    </w:p>
    <w:p>
      <w:pPr>
        <w:pStyle w:val="BodyText"/>
      </w:pPr>
      <w:r>
        <w:t xml:space="preserve">O mais próximo do ser humano é um estudo de laboratório com células de cartilagem humanas: em células multiplicadas em laboratório para um transplante de cartilagem, o FOXO4-DRI eliminou mais da metade das células muito multiplicadas (e, portanto, mais frequentemente senescentes), mas não melhorou a capacidade de formar nova cartilagem</w:t>
      </w:r>
      <w:r>
        <w:rPr>
          <w:rStyle w:val="FootnoteReference"/>
        </w:rPr>
        <w:footnoteReference w:id="1914"/>
      </w:r>
      <w:r>
        <w:t xml:space="preserve">.</w:t>
      </w:r>
    </w:p>
    <w:bookmarkEnd w:id="1915"/>
    <w:bookmarkStart w:id="1918" w:name="estudos-em-animais-e-em-laboratório-44"/>
    <w:p>
      <w:pPr>
        <w:pStyle w:val="Heading3"/>
      </w:pPr>
      <w:r>
        <w:t xml:space="preserve">Estudos em animais e em laboratório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camundongos de envelhecimento acelerado e naturalmente envelhecidos; danos de quimioterapia</w:t>
            </w:r>
          </w:p>
        </w:tc>
        <w:tc>
          <w:tcPr/>
          <w:p>
            <w:pPr>
              <w:pStyle w:val="Compact"/>
              <w:jc w:val="left"/>
            </w:pPr>
            <w:r>
              <w:t xml:space="preserve">melhor condição física, pelagem mais densa, melhor função renal; proteção contra danos de doxorrubicina</w:t>
            </w:r>
          </w:p>
        </w:tc>
      </w:tr>
      <w:tr>
        <w:tc>
          <w:tcPr/>
          <w:p>
            <w:pPr>
              <w:pStyle w:val="Compact"/>
              <w:jc w:val="left"/>
            </w:pPr>
            <w:r>
              <w:t xml:space="preserve">Zhang 2020, PMID 31959736</w:t>
            </w:r>
          </w:p>
        </w:tc>
        <w:tc>
          <w:tcPr/>
          <w:p>
            <w:pPr>
              <w:pStyle w:val="Compact"/>
              <w:jc w:val="left"/>
            </w:pPr>
            <w:r>
              <w:t xml:space="preserve">camundongos naturalmente envelhecidos</w:t>
            </w:r>
          </w:p>
        </w:tc>
        <w:tc>
          <w:tcPr/>
          <w:p>
            <w:pPr>
              <w:pStyle w:val="Compact"/>
              <w:jc w:val="left"/>
            </w:pPr>
            <w:r>
              <w:t xml:space="preserve">produção de testosterona nos testículos melhorada</w:t>
            </w:r>
          </w:p>
        </w:tc>
      </w:tr>
      <w:tr>
        <w:tc>
          <w:tcPr/>
          <w:p>
            <w:pPr>
              <w:pStyle w:val="Compact"/>
              <w:jc w:val="left"/>
            </w:pPr>
            <w:r>
              <w:t xml:space="preserve">Han 2022, PMID 35510614</w:t>
            </w:r>
          </w:p>
        </w:tc>
        <w:tc>
          <w:tcPr/>
          <w:p>
            <w:pPr>
              <w:pStyle w:val="Compact"/>
              <w:jc w:val="left"/>
            </w:pPr>
            <w:r>
              <w:t xml:space="preserve">fibrose pulmonar em camundongos</w:t>
            </w:r>
          </w:p>
        </w:tc>
        <w:tc>
          <w:tcPr/>
          <w:p>
            <w:pPr>
              <w:pStyle w:val="Compact"/>
              <w:jc w:val="left"/>
            </w:pPr>
            <w:r>
              <w:t xml:space="preserve">menos cicatrização</w:t>
            </w:r>
          </w:p>
        </w:tc>
      </w:tr>
      <w:tr>
        <w:tc>
          <w:tcPr/>
          <w:p>
            <w:pPr>
              <w:pStyle w:val="Compact"/>
              <w:jc w:val="left"/>
            </w:pPr>
            <w:r>
              <w:t xml:space="preserve">Kong 2025, PMID 39994346</w:t>
            </w:r>
          </w:p>
        </w:tc>
        <w:tc>
          <w:tcPr/>
          <w:p>
            <w:pPr>
              <w:pStyle w:val="Compact"/>
              <w:jc w:val="left"/>
            </w:pPr>
            <w:r>
              <w:t xml:space="preserve">tecido de queloide (cicatrizes exuberantes) em laboratório</w:t>
            </w:r>
          </w:p>
        </w:tc>
        <w:tc>
          <w:tcPr/>
          <w:p>
            <w:pPr>
              <w:pStyle w:val="Compact"/>
              <w:jc w:val="left"/>
            </w:pPr>
            <w:r>
              <w:t xml:space="preserve">mais morte celular de células senescentes do tecido conjuntivo</w:t>
            </w:r>
          </w:p>
        </w:tc>
      </w:tr>
      <w:tr>
        <w:tc>
          <w:tcPr/>
          <w:p>
            <w:pPr>
              <w:pStyle w:val="Compact"/>
              <w:jc w:val="left"/>
            </w:pPr>
            <w:r>
              <w:t xml:space="preserve">Born 2023, PMID 36515093</w:t>
            </w:r>
          </w:p>
        </w:tc>
        <w:tc>
          <w:tcPr/>
          <w:p>
            <w:pPr>
              <w:pStyle w:val="Compact"/>
              <w:jc w:val="left"/>
            </w:pPr>
            <w:r>
              <w:t xml:space="preserve">modelos de hipertensão pulmonar em camundongos e ratos</w:t>
            </w:r>
          </w:p>
        </w:tc>
        <w:tc>
          <w:tcPr/>
          <w:p>
            <w:pPr>
              <w:pStyle w:val="Compact"/>
              <w:jc w:val="left"/>
            </w:pPr>
            <w:r>
              <w:t xml:space="preserve">remoção de células senescentes, também com FOXO4-DRI,</w:t>
            </w:r>
            <w:r>
              <w:t xml:space="preserve"> </w:t>
            </w:r>
            <w:r>
              <w:rPr>
                <w:bCs/>
                <w:b/>
              </w:rPr>
              <w:t xml:space="preserve">piorou</w:t>
            </w:r>
            <w:r>
              <w:t xml:space="preserve"> </w:t>
            </w:r>
            <w:r>
              <w:t xml:space="preserve">a circulação pulmonar</w:t>
            </w:r>
          </w:p>
        </w:tc>
      </w:tr>
    </w:tbl>
    <w:p>
      <w:pPr>
        <w:pStyle w:val="BodyText"/>
      </w:pPr>
      <w:r>
        <w:t xml:space="preserve">A primeira descrição despertou grande atenção: em camundongos de envelhecimento acelerado e em animais naturalmente envelhecidos, a condição física, o aspecto da pelagem e a função renal melhoraram</w:t>
      </w:r>
      <w:r>
        <w:rPr>
          <w:rStyle w:val="FootnoteReference"/>
        </w:rPr>
        <w:footnoteReference w:id="1916"/>
      </w:r>
      <w:r>
        <w:t xml:space="preserve">. Trabalhos posteriores de outros grupos, predominantemente da China, descreveram efeitos sobre testículos, pulmões e pele.</w:t>
      </w:r>
    </w:p>
    <w:p>
      <w:pPr>
        <w:pStyle w:val="BodyText"/>
      </w:pPr>
      <w:r>
        <w:t xml:space="preserve">Um importante achado contrário vem da pesquisa cardiovascular: em modelos de hipertensão pulmonar, a eliminação de células senescentes – tanto genética quanto com os senolíticos ABT263 ou FOXO4-DRI – piorou a pressão na circulação pulmonar e levou à perda de células do revestimento interno dos vasos pulmonares. Os autores concluem que senolíticos poderiam prejudicar os vasos pulmonares</w:t>
      </w:r>
      <w:r>
        <w:rPr>
          <w:rStyle w:val="FootnoteReference"/>
        </w:rPr>
        <w:footnoteReference w:id="1917"/>
      </w:r>
      <w:r>
        <w:t xml:space="preserve">. Isso mostra: células senescentes não são apenas</w:t>
      </w:r>
      <w:r>
        <w:t xml:space="preserve"> </w:t>
      </w:r>
      <w:r>
        <w:t xml:space="preserve">“</w:t>
      </w:r>
      <w:r>
        <w:t xml:space="preserve">entulho</w:t>
      </w:r>
      <w:r>
        <w:t xml:space="preserve">”</w:t>
      </w:r>
      <w:r>
        <w:t xml:space="preserve">, mas podem ter também funções estabilizadoras em alguns tecidos.</w:t>
      </w:r>
    </w:p>
    <w:bookmarkEnd w:id="1918"/>
    <w:bookmarkStart w:id="1921" w:name="riscos-e-efeitos-colaterais-44"/>
    <w:p>
      <w:pPr>
        <w:pStyle w:val="Heading3"/>
      </w:pPr>
      <w:r>
        <w:t xml:space="preserve">Riscos e efeitos colaterais</w:t>
      </w:r>
    </w:p>
    <w:p>
      <w:pPr>
        <w:pStyle w:val="FirstParagraph"/>
      </w:pPr>
      <w:r>
        <w:rPr>
          <w:bCs/>
          <w:b/>
        </w:rPr>
        <w:t xml:space="preserve">Comprovado:</w:t>
      </w:r>
      <w:r>
        <w:t xml:space="preserve"> </w:t>
      </w:r>
      <w:r>
        <w:t xml:space="preserve">nenhum dado em humanos.</w:t>
      </w:r>
    </w:p>
    <w:p>
      <w:pPr>
        <w:pStyle w:val="BodyText"/>
      </w:pPr>
      <w:r>
        <w:rPr>
          <w:bCs/>
          <w:b/>
        </w:rPr>
        <w:t xml:space="preserve">Teórico – e em parte apoiado por dados animais:</w:t>
      </w:r>
    </w:p>
    <w:p>
      <w:pPr>
        <w:numPr>
          <w:ilvl w:val="0"/>
          <w:numId w:val="1242"/>
        </w:numPr>
        <w:pStyle w:val="Compact"/>
      </w:pPr>
      <w:r>
        <w:rPr>
          <w:bCs/>
          <w:b/>
        </w:rPr>
        <w:t xml:space="preserve">Vasos e pulmões:</w:t>
      </w:r>
      <w:r>
        <w:t xml:space="preserve"> </w:t>
      </w:r>
      <w:r>
        <w:t xml:space="preserve">no modelo animal, o FOXO4-DRI piorou uma hipertensão pulmonar existente</w:t>
      </w:r>
      <w:r>
        <w:rPr>
          <w:rStyle w:val="FootnoteReference"/>
        </w:rPr>
        <w:footnoteReference w:id="1919"/>
      </w:r>
      <w:r>
        <w:t xml:space="preserve">.</w:t>
      </w:r>
    </w:p>
    <w:p>
      <w:pPr>
        <w:numPr>
          <w:ilvl w:val="0"/>
          <w:numId w:val="1242"/>
        </w:numPr>
        <w:pStyle w:val="Compact"/>
      </w:pPr>
      <w:r>
        <w:rPr>
          <w:bCs/>
          <w:b/>
        </w:rPr>
        <w:t xml:space="preserve">p53 e câncer:</w:t>
      </w:r>
      <w:r>
        <w:t xml:space="preserve"> </w:t>
      </w:r>
      <w:r>
        <w:t xml:space="preserve">a p53 é um dos mais importantes supressores tumorais do organismo. O FOXO4-DRI altera especificamente onde a p53 se encontra na célula. Que consequências isso tem a longo prazo para a defesa contra o câncer não foi estudado. Os desenvolvedores veem o princípio, ao contrário, também como abordagem para terapia do câncer</w:t>
      </w:r>
      <w:r>
        <w:rPr>
          <w:rStyle w:val="FootnoteReference"/>
        </w:rPr>
        <w:footnoteReference w:id="1920"/>
      </w:r>
      <w:r>
        <w:t xml:space="preserve">.</w:t>
      </w:r>
    </w:p>
    <w:p>
      <w:pPr>
        <w:numPr>
          <w:ilvl w:val="0"/>
          <w:numId w:val="1242"/>
        </w:numPr>
        <w:pStyle w:val="Compact"/>
      </w:pPr>
      <w:r>
        <w:rPr>
          <w:bCs/>
          <w:b/>
        </w:rPr>
        <w:t xml:space="preserve">Cicatrização e reparo tecidual:</w:t>
      </w:r>
      <w:r>
        <w:t xml:space="preserve"> </w:t>
      </w:r>
      <w:r>
        <w:t xml:space="preserve">células senescentes também participam da cicatrização de feridas e da remodelação tecidual; sua eliminação pode perturbar esses processos.</w:t>
      </w:r>
    </w:p>
    <w:p>
      <w:pPr>
        <w:numPr>
          <w:ilvl w:val="0"/>
          <w:numId w:val="1242"/>
        </w:numPr>
        <w:pStyle w:val="Compact"/>
      </w:pPr>
      <w:r>
        <w:rPr>
          <w:bCs/>
          <w:b/>
        </w:rPr>
        <w:t xml:space="preserve">Reações imunológicas:</w:t>
      </w:r>
      <w:r>
        <w:t xml:space="preserve"> </w:t>
      </w:r>
      <w:r>
        <w:t xml:space="preserve">o peptídeo contém um segmento de uma proteína viral e é relativamente grande; reações imunológicas com administração repetida são concebíveis, mas não foram estudadas.</w:t>
      </w:r>
    </w:p>
    <w:p>
      <w:pPr>
        <w:pStyle w:val="FirstParagraph"/>
      </w:pPr>
      <w:r>
        <w:rPr>
          <w:bCs/>
          <w:b/>
        </w:rPr>
        <w:t xml:space="preserve">Mercado cinza:</w:t>
      </w:r>
      <w:r>
        <w:t xml:space="preserve"> </w:t>
      </w:r>
      <w:r>
        <w:t xml:space="preserve">o FOXO4-DRI é oferecido online como</w:t>
      </w:r>
      <w:r>
        <w:t xml:space="preserve"> </w:t>
      </w:r>
      <w:r>
        <w:t xml:space="preserve">“</w:t>
      </w:r>
      <w:r>
        <w:t xml:space="preserve">senolítico</w:t>
      </w:r>
      <w:r>
        <w:t xml:space="preserve">”</w:t>
      </w:r>
      <w:r>
        <w:t xml:space="preserve"> </w:t>
      </w:r>
      <w:r>
        <w:t xml:space="preserve">para injeção, muitas vezes a preços altos. A fabricação de um peptídeo longo de D-aminoácidos é exigente; se os produtos vendidos realmente têm a sequência e a pureza corretas não é verificado.</w:t>
      </w:r>
    </w:p>
    <w:bookmarkEnd w:id="1921"/>
    <w:bookmarkStart w:id="1922" w:name="situação-legal-44"/>
    <w:p>
      <w:pPr>
        <w:pStyle w:val="Heading3"/>
      </w:pPr>
      <w:r>
        <w:t xml:space="preserve">Situação legal</w:t>
      </w:r>
    </w:p>
    <w:p>
      <w:pPr>
        <w:numPr>
          <w:ilvl w:val="0"/>
          <w:numId w:val="1243"/>
        </w:numPr>
        <w:pStyle w:val="Compact"/>
      </w:pPr>
      <w:r>
        <w:rPr>
          <w:bCs/>
          <w:b/>
        </w:rPr>
        <w:t xml:space="preserve">UE / Áustria / Alemanha:</w:t>
      </w:r>
      <w:r>
        <w:t xml:space="preserve"> </w:t>
      </w:r>
      <w:r>
        <w:t xml:space="preserve">não aprovado; como substância com efeito farmacológico, o FOXO4-DRI é considerado medicamento, e a venda para uso em humanos não é permitida.</w:t>
      </w:r>
    </w:p>
    <w:p>
      <w:pPr>
        <w:numPr>
          <w:ilvl w:val="0"/>
          <w:numId w:val="1243"/>
        </w:numPr>
        <w:pStyle w:val="Compact"/>
      </w:pPr>
      <w:r>
        <w:rPr>
          <w:bCs/>
          <w:b/>
        </w:rPr>
        <w:t xml:space="preserve">EUA:</w:t>
      </w:r>
      <w:r>
        <w:t xml:space="preserve"> </w:t>
      </w:r>
      <w:r>
        <w:t xml:space="preserve">não aprovado.</w:t>
      </w:r>
    </w:p>
    <w:p>
      <w:pPr>
        <w:numPr>
          <w:ilvl w:val="0"/>
          <w:numId w:val="1243"/>
        </w:numPr>
        <w:pStyle w:val="Compact"/>
      </w:pPr>
      <w:r>
        <w:rPr>
          <w:bCs/>
          <w:b/>
        </w:rPr>
        <w:t xml:space="preserve">Esporte:</w:t>
      </w:r>
      <w:r>
        <w:t xml:space="preserve"> </w:t>
      </w:r>
      <w:r>
        <w:t xml:space="preserve">em nossa avaliação, categoria S0 da WADA (situação em 2026, verificar atualização).</w:t>
      </w:r>
    </w:p>
    <w:bookmarkEnd w:id="1922"/>
    <w:bookmarkStart w:id="1923" w:name="estudos-em-andamento-e-perspectivas-44"/>
    <w:p>
      <w:pPr>
        <w:pStyle w:val="Heading3"/>
      </w:pPr>
      <w:r>
        <w:t xml:space="preserve">Estudos em andamento e perspectivas</w:t>
      </w:r>
    </w:p>
    <w:p>
      <w:pPr>
        <w:pStyle w:val="FirstParagraph"/>
      </w:pPr>
      <w:r>
        <w:rPr>
          <w:bCs/>
          <w:b/>
        </w:rPr>
        <w:t xml:space="preserve">Comprovado:</w:t>
      </w:r>
      <w:r>
        <w:t xml:space="preserve"> </w:t>
      </w:r>
      <w:r>
        <w:t xml:space="preserve">nenhum estudo clínico registrado com FOXO4-DRI (consulta de outubro de 2026). O grupo desenvolvedor trabalha em aperfeiçoamentos do princípio; estudos clínicos com senolíticos estão em andamento sobretudo com outras substâncias.</w:t>
      </w:r>
    </w:p>
    <w:p>
      <w:pPr>
        <w:pStyle w:val="BodyText"/>
      </w:pPr>
      <w:r>
        <w:rPr>
          <w:bCs/>
          <w:b/>
        </w:rPr>
        <w:t xml:space="preserve">Avaliação:</w:t>
      </w:r>
      <w:r>
        <w:t xml:space="preserve"> </w:t>
      </w:r>
      <w:r>
        <w:t xml:space="preserve">a pesquisa sobre senolíticos é um dos campos mais instigantes da pesquisa sobre envelhecimento, mas os primeiros estudos controlados em humanos foram decepcionantes. Para o FOXO4-DRI seriam necessários primeiro estudos sistemáticos de toxicidade e um primeiro estudo cauteloso em humanos – idealmente em uma doença claramente definida, não como</w:t>
      </w:r>
      <w:r>
        <w:t xml:space="preserve"> </w:t>
      </w:r>
      <w:r>
        <w:t xml:space="preserve">“</w:t>
      </w:r>
      <w:r>
        <w:t xml:space="preserve">anti-aging</w:t>
      </w:r>
      <w:r>
        <w:t xml:space="preserve">”</w:t>
      </w:r>
      <w:r>
        <w:t xml:space="preserve"> </w:t>
      </w:r>
      <w:r>
        <w:t xml:space="preserve">genérico.</w:t>
      </w:r>
    </w:p>
    <w:bookmarkEnd w:id="1923"/>
    <w:bookmarkStart w:id="1924" w:name="conclusão-44"/>
    <w:p>
      <w:pPr>
        <w:pStyle w:val="Heading3"/>
      </w:pPr>
      <w:r>
        <w:t xml:space="preserve">Conclusão</w:t>
      </w:r>
    </w:p>
    <w:p>
      <w:pPr>
        <w:pStyle w:val="FirstParagraph"/>
      </w:pPr>
      <w:r>
        <w:t xml:space="preserve">O FOXO4-DRI é um peptídeo artificial que, em culturas de células e em camundongos, eliminou especificamente células senescentes e, em animais envelhecidos, melhorou condição física, pelagem e função renal. Nunca foi estudado em humanos. Em modelos animais de hipertensão pulmonar, a remoção de células senescentes com FOXO4-DRI piorou a evolução da doença, e a intervenção na proteína de proteção contra o câncer p53 levanta questões em aberto. Os dados não são suficientes para avaliar benefício ou segurança em humanos.</w:t>
      </w:r>
    </w:p>
    <w:bookmarkEnd w:id="1924"/>
    <w:bookmarkEnd w:id="1925"/>
    <w:bookmarkStart w:id="1957" w:name="glutationa"/>
    <w:p>
      <w:pPr>
        <w:pStyle w:val="Heading2"/>
      </w:pPr>
      <w:r>
        <w:t xml:space="preserve">Glutationa</w:t>
      </w:r>
    </w:p>
    <w:bookmarkStart w:id="1926" w:name="ficha-técnica-45"/>
    <w:p>
      <w:pPr>
        <w:pStyle w:val="Heading3"/>
      </w:pPr>
      <w:r>
        <w:t xml:space="preserve">Ficha técnica</w:t>
      </w:r>
    </w:p>
    <w:p>
      <w:pPr>
        <w:numPr>
          <w:ilvl w:val="0"/>
          <w:numId w:val="1244"/>
        </w:numPr>
        <w:pStyle w:val="Compact"/>
      </w:pPr>
      <w:r>
        <w:rPr>
          <w:bCs/>
          <w:b/>
        </w:rPr>
        <w:t xml:space="preserve">Tipo e estrutura:</w:t>
      </w:r>
      <w:r>
        <w:t xml:space="preserve"> </w:t>
      </w:r>
      <w:r>
        <w:t xml:space="preserve">tripeptídeo de três aminoácidos – ácido glutâmico, cisteína e glicina (γ-glutamil-cisteinil-glicina, abreviado GSH). A forma reduzida (GSH) é a ativa; na defesa contra a oxidação, duas moléculas se unem em glutationa oxidada (GSSG).</w:t>
      </w:r>
    </w:p>
    <w:p>
      <w:pPr>
        <w:numPr>
          <w:ilvl w:val="0"/>
          <w:numId w:val="1244"/>
        </w:numPr>
        <w:pStyle w:val="Compact"/>
      </w:pPr>
      <w:r>
        <w:rPr>
          <w:bCs/>
          <w:b/>
        </w:rPr>
        <w:t xml:space="preserve">Origem:</w:t>
      </w:r>
      <w:r>
        <w:t xml:space="preserve"> </w:t>
      </w:r>
      <w:r>
        <w:t xml:space="preserve">é produzida por praticamente todas as células do corpo, em quantidade especialmente grande no fígado. Como preparado, é em geral fabricada por fermentação com leveduras.</w:t>
      </w:r>
    </w:p>
    <w:p>
      <w:pPr>
        <w:numPr>
          <w:ilvl w:val="0"/>
          <w:numId w:val="1244"/>
        </w:numPr>
        <w:pStyle w:val="Compact"/>
      </w:pPr>
      <w:r>
        <w:rPr>
          <w:bCs/>
          <w:b/>
        </w:rPr>
        <w:t xml:space="preserve">Princípio de ação:</w:t>
      </w:r>
      <w:r>
        <w:t xml:space="preserve"> </w:t>
      </w:r>
      <w:r>
        <w:t xml:space="preserve">a mais importante substância protetora do próprio organismo contra a oxidação nas células; participa da desintoxicação de medicamentos e poluentes (por exemplo, na degradação do paracetamol) e da regulação de células imunológicas. Na pele, desloca a formação de pigmento da melanina escura para a mais clara.</w:t>
      </w:r>
    </w:p>
    <w:p>
      <w:pPr>
        <w:numPr>
          <w:ilvl w:val="0"/>
          <w:numId w:val="1244"/>
        </w:numPr>
        <w:pStyle w:val="Compact"/>
      </w:pPr>
      <w:r>
        <w:rPr>
          <w:bCs/>
          <w:b/>
        </w:rPr>
        <w:t xml:space="preserve">Aprovação UE:</w:t>
      </w:r>
      <w:r>
        <w:t xml:space="preserve"> </w:t>
      </w:r>
      <w:r>
        <w:t xml:space="preserve">amplamente comercializada como suplemento alimentar; como medicamento injetável, apenas em alguns países para indicações estritamente delimitadas, não para clareamento da pele.</w:t>
      </w:r>
    </w:p>
    <w:p>
      <w:pPr>
        <w:numPr>
          <w:ilvl w:val="0"/>
          <w:numId w:val="1244"/>
        </w:numPr>
        <w:pStyle w:val="Compact"/>
      </w:pPr>
      <w:r>
        <w:rPr>
          <w:bCs/>
          <w:b/>
        </w:rPr>
        <w:t xml:space="preserve">Aprovação EUA:</w:t>
      </w:r>
      <w:r>
        <w:t xml:space="preserve"> </w:t>
      </w:r>
      <w:r>
        <w:t xml:space="preserve">nenhum medicamento de glutationa aprovado pela FDA; disponível como suplemento alimentar e como preparação de farmácia de manipulação.</w:t>
      </w:r>
    </w:p>
    <w:p>
      <w:pPr>
        <w:numPr>
          <w:ilvl w:val="0"/>
          <w:numId w:val="1244"/>
        </w:numPr>
        <w:pStyle w:val="Compact"/>
      </w:pPr>
      <w:r>
        <w:rPr>
          <w:bCs/>
          <w:b/>
        </w:rPr>
        <w:t xml:space="preserve">WADA:</w:t>
      </w:r>
      <w:r>
        <w:t xml:space="preserve"> </w:t>
      </w:r>
      <w:r>
        <w:t xml:space="preserve">a glutationa em si não é proibida. Infusões ou injeções de mais de 100 ml em doze horas, no entanto, são abrangidas como método proibido (M2), exceto no âmbito de tratamento hospitalar ou exame.</w:t>
      </w:r>
    </w:p>
    <w:p>
      <w:pPr>
        <w:numPr>
          <w:ilvl w:val="0"/>
          <w:numId w:val="1244"/>
        </w:numPr>
        <w:pStyle w:val="Compact"/>
      </w:pPr>
      <w:r>
        <w:rPr>
          <w:bCs/>
          <w:b/>
        </w:rPr>
        <w:t xml:space="preserve">Nível de evidência:</w:t>
      </w:r>
      <w:r>
        <w:t xml:space="preserve"> </w:t>
      </w:r>
      <w:r>
        <w:rPr>
          <w:bCs/>
          <w:b/>
        </w:rPr>
        <w:t xml:space="preserve">B</w:t>
      </w:r>
      <w:r>
        <w:t xml:space="preserve"> </w:t>
      </w:r>
      <w:r>
        <w:t xml:space="preserve">– numerosos estudos randomizados, predominantemente pequenos, com resultados variáveis; nenhuma aprovação com base em grandes estudos de desfechos.</w:t>
      </w:r>
    </w:p>
    <w:bookmarkEnd w:id="1926"/>
    <w:bookmarkStart w:id="1927" w:name="como-deveria-agir-45"/>
    <w:p>
      <w:pPr>
        <w:pStyle w:val="Heading3"/>
      </w:pPr>
      <w:r>
        <w:t xml:space="preserve">Como deveria agir</w:t>
      </w:r>
    </w:p>
    <w:p>
      <w:pPr>
        <w:pStyle w:val="FirstParagraph"/>
      </w:pPr>
      <w:r>
        <w:t xml:space="preserve">A glutationa é um componente absolutamente comum de toda célula. Ela capta espécies reativas de oxigênio, ajuda enzimas na desintoxicação e mantém outras substâncias protetoras, como as vitaminas C e E, em sua forma ativa. Em muitas doenças – como diabetes, doenças hepáticas, HIV, Parkinson – e com o avanço da idade, os níveis de glutationa no sangue ou nos tecidos são mais baixos. Daí surgiu a ideia óbvia de fornecer glutationa de fora.</w:t>
      </w:r>
    </w:p>
    <w:p>
      <w:pPr>
        <w:pStyle w:val="BodyText"/>
      </w:pPr>
      <w:r>
        <w:t xml:space="preserve">Isso é mais difícil do que parece, por três motivos:</w:t>
      </w:r>
    </w:p>
    <w:p>
      <w:pPr>
        <w:numPr>
          <w:ilvl w:val="0"/>
          <w:numId w:val="1245"/>
        </w:numPr>
        <w:pStyle w:val="Compact"/>
      </w:pPr>
      <w:r>
        <w:rPr>
          <w:bCs/>
          <w:b/>
        </w:rPr>
        <w:t xml:space="preserve">Digestão:</w:t>
      </w:r>
      <w:r>
        <w:t xml:space="preserve"> </w:t>
      </w:r>
      <w:r>
        <w:t xml:space="preserve">como peptídeo, a glutationa é parcialmente decomposta no intestino; por muito tempo foi considerada, por isso, pouco eficaz quando engolida.</w:t>
      </w:r>
    </w:p>
    <w:p>
      <w:pPr>
        <w:numPr>
          <w:ilvl w:val="0"/>
          <w:numId w:val="1245"/>
        </w:numPr>
        <w:pStyle w:val="Compact"/>
      </w:pPr>
      <w:r>
        <w:rPr>
          <w:bCs/>
          <w:b/>
        </w:rPr>
        <w:t xml:space="preserve">Entrada nas células:</w:t>
      </w:r>
      <w:r>
        <w:t xml:space="preserve"> </w:t>
      </w:r>
      <w:r>
        <w:t xml:space="preserve">a glutationa é produzida predominantemente</w:t>
      </w:r>
      <w:r>
        <w:t xml:space="preserve"> </w:t>
      </w:r>
      <w:r>
        <w:rPr>
          <w:iCs/>
          <w:i/>
        </w:rPr>
        <w:t xml:space="preserve">dentro</w:t>
      </w:r>
      <w:r>
        <w:t xml:space="preserve"> </w:t>
      </w:r>
      <w:r>
        <w:t xml:space="preserve">das células; a partir do sangue, entra nelas apenas de forma limitada.</w:t>
      </w:r>
    </w:p>
    <w:p>
      <w:pPr>
        <w:numPr>
          <w:ilvl w:val="0"/>
          <w:numId w:val="1245"/>
        </w:numPr>
        <w:pStyle w:val="Compact"/>
      </w:pPr>
      <w:r>
        <w:rPr>
          <w:bCs/>
          <w:b/>
        </w:rPr>
        <w:t xml:space="preserve">Curta permanência:</w:t>
      </w:r>
      <w:r>
        <w:t xml:space="preserve"> </w:t>
      </w:r>
      <w:r>
        <w:t xml:space="preserve">a glutationa infundida é rapidamente degradada no sangue.</w:t>
      </w:r>
    </w:p>
    <w:p>
      <w:pPr>
        <w:pStyle w:val="FirstParagraph"/>
      </w:pPr>
      <w:r>
        <w:t xml:space="preserve">Por isso, oferecem-se diversas formas de administração: cápsulas e comprimidos, glutationa</w:t>
      </w:r>
      <w:r>
        <w:t xml:space="preserve"> </w:t>
      </w:r>
      <w:r>
        <w:rPr>
          <w:bCs/>
          <w:b/>
        </w:rPr>
        <w:t xml:space="preserve">lipossomal</w:t>
      </w:r>
      <w:r>
        <w:t xml:space="preserve"> </w:t>
      </w:r>
      <w:r>
        <w:t xml:space="preserve">(envolta em vesículas de gordura), pastilhas e filmes para a mucosa oral, spray nasal, cremes – e</w:t>
      </w:r>
      <w:r>
        <w:t xml:space="preserve"> </w:t>
      </w:r>
      <w:r>
        <w:rPr>
          <w:bCs/>
          <w:b/>
        </w:rPr>
        <w:t xml:space="preserve">infusões</w:t>
      </w:r>
      <w:r>
        <w:t xml:space="preserve"> </w:t>
      </w:r>
      <w:r>
        <w:t xml:space="preserve">na veia. Além disso, há precursores como a N-acetilcisteína (NAC) ou glicina mais NAC, que o organismo usa para a produção própria; eles não são tema deste capítulo.</w:t>
      </w:r>
    </w:p>
    <w:p>
      <w:pPr>
        <w:pStyle w:val="BodyText"/>
      </w:pPr>
      <w:r>
        <w:t xml:space="preserve">Para o clareamento da pele, supõe-se um mecanismo adicional: em experimentos de laboratório, a glutationa inibe a enzima tirosinase e desvia a formação de pigmento da eumelanina escura para a feomelanina mais clara.</w:t>
      </w:r>
    </w:p>
    <w:bookmarkEnd w:id="1927"/>
    <w:bookmarkStart w:id="1947" w:name="estudos-em-humanos-45"/>
    <w:p>
      <w:pPr>
        <w:pStyle w:val="Heading3"/>
      </w:pPr>
      <w:r>
        <w:t xml:space="preserve">Estudos em humanos</w:t>
      </w:r>
    </w:p>
    <w:p>
      <w:pPr>
        <w:pStyle w:val="FirstParagraph"/>
      </w:pPr>
      <w:r>
        <w:rPr>
          <w:bCs/>
          <w:b/>
        </w:rPr>
        <w:t xml:space="preserve">Dimensão do conjunto de estudos:</w:t>
      </w:r>
      <w:r>
        <w:t xml:space="preserve"> </w:t>
      </w:r>
      <w:r>
        <w:t xml:space="preserve">a consulta automatizada ao PubMed (outubro de 2026) resultou em 161 publicações classificadas como estudos em humanos, além de 15 revisões e metanálises. No ClinicalTrials.gov estavam registrados 273 estudos. Os dois números superestimam claramente a situação direta dos dados: muitas ocorrências apenas medem a glutationa como valor laboratorial (por exemplo, sob selênio, vitaminas, esporte ou NAC) ou se referem à enzima glutationa S-transferase. Estudos em que a própria glutationa foi administrada são minoria – mas, ainda assim, algumas dezenas.</w:t>
      </w:r>
    </w:p>
    <w:bookmarkStart w:id="1931" w:name="X07b923a74cfa521be03a15213eed7b58687bdc1"/>
    <w:p>
      <w:pPr>
        <w:pStyle w:val="Heading4"/>
      </w:pPr>
      <w:r>
        <w:t xml:space="preserve">A glutationa engolida chega mesmo ao destino?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saudáveis, cápsulas contra placebo, duplo-cego</w:t>
            </w:r>
          </w:p>
        </w:tc>
        <w:tc>
          <w:tcPr/>
          <w:p>
            <w:pPr>
              <w:pStyle w:val="Compact"/>
              <w:jc w:val="left"/>
            </w:pPr>
            <w:r>
              <w:t xml:space="preserve">4 semanas</w:t>
            </w:r>
          </w:p>
        </w:tc>
        <w:tc>
          <w:tcPr/>
          <w:p>
            <w:pPr>
              <w:pStyle w:val="Compact"/>
              <w:jc w:val="left"/>
            </w:pPr>
            <w:r>
              <w:t xml:space="preserve">nenhuma alteração dos níveis de glutationa ou dos marcadores de oxidação</w:t>
            </w:r>
          </w:p>
        </w:tc>
      </w:tr>
      <w:tr>
        <w:tc>
          <w:tcPr/>
          <w:p>
            <w:pPr>
              <w:pStyle w:val="Compact"/>
              <w:jc w:val="left"/>
            </w:pPr>
            <w:r>
              <w:t xml:space="preserve">Richie 2015, PMID 24791752</w:t>
            </w:r>
          </w:p>
        </w:tc>
        <w:tc>
          <w:tcPr/>
          <w:p>
            <w:pPr>
              <w:pStyle w:val="Compact"/>
              <w:jc w:val="left"/>
            </w:pPr>
            <w:r>
              <w:t xml:space="preserve">54 saudáveis, duas doses contra placebo, duplo-cego</w:t>
            </w:r>
          </w:p>
        </w:tc>
        <w:tc>
          <w:tcPr/>
          <w:p>
            <w:pPr>
              <w:pStyle w:val="Compact"/>
              <w:jc w:val="left"/>
            </w:pPr>
            <w:r>
              <w:t xml:space="preserve">6 meses</w:t>
            </w:r>
          </w:p>
        </w:tc>
        <w:tc>
          <w:tcPr/>
          <w:p>
            <w:pPr>
              <w:pStyle w:val="Compact"/>
              <w:jc w:val="left"/>
            </w:pPr>
            <w:r>
              <w:t xml:space="preserve">níveis em células sanguíneas e plasma 30–35% maiores (dose alta); de volta ao normal após a suspensão</w:t>
            </w:r>
          </w:p>
        </w:tc>
      </w:tr>
      <w:tr>
        <w:tc>
          <w:tcPr/>
          <w:p>
            <w:pPr>
              <w:pStyle w:val="Compact"/>
              <w:jc w:val="left"/>
            </w:pPr>
            <w:r>
              <w:t xml:space="preserve">Sinha 2018, PMID 28853742</w:t>
            </w:r>
          </w:p>
        </w:tc>
        <w:tc>
          <w:tcPr/>
          <w:p>
            <w:pPr>
              <w:pStyle w:val="Compact"/>
              <w:jc w:val="left"/>
            </w:pPr>
            <w:r>
              <w:t xml:space="preserve">12 saudáveis, glutationa lipossomal, sem placebo</w:t>
            </w:r>
          </w:p>
        </w:tc>
        <w:tc>
          <w:tcPr/>
          <w:p>
            <w:pPr>
              <w:pStyle w:val="Compact"/>
              <w:jc w:val="left"/>
            </w:pPr>
            <w:r>
              <w:t xml:space="preserve">4 semanas</w:t>
            </w:r>
          </w:p>
        </w:tc>
        <w:tc>
          <w:tcPr/>
          <w:p>
            <w:pPr>
              <w:pStyle w:val="Compact"/>
              <w:jc w:val="left"/>
            </w:pPr>
            <w:r>
              <w:t xml:space="preserve">níveis no sangue total até 40% maiores, em células imunológicas até 100%</w:t>
            </w:r>
          </w:p>
        </w:tc>
      </w:tr>
      <w:tr>
        <w:tc>
          <w:tcPr/>
          <w:p>
            <w:pPr>
              <w:pStyle w:val="Compact"/>
              <w:jc w:val="left"/>
            </w:pPr>
            <w:r>
              <w:t xml:space="preserve">Schmitt 2015, PMID 26262996</w:t>
            </w:r>
          </w:p>
        </w:tc>
        <w:tc>
          <w:tcPr/>
          <w:p>
            <w:pPr>
              <w:pStyle w:val="Compact"/>
              <w:jc w:val="left"/>
            </w:pPr>
            <w:r>
              <w:t xml:space="preserve">20 pessoas com síndrome metabólica, cruzado: cápsula, forma sublingual, NAC</w:t>
            </w:r>
          </w:p>
        </w:tc>
        <w:tc>
          <w:tcPr/>
          <w:p>
            <w:pPr>
              <w:pStyle w:val="Compact"/>
              <w:jc w:val="left"/>
            </w:pPr>
            <w:r>
              <w:t xml:space="preserve">3 semanas cada</w:t>
            </w:r>
          </w:p>
        </w:tc>
        <w:tc>
          <w:tcPr/>
          <w:p>
            <w:pPr>
              <w:pStyle w:val="Compact"/>
              <w:jc w:val="left"/>
            </w:pPr>
            <w:r>
              <w:t xml:space="preserve">a forma sublingual aumentou os níveis plasmáticos mais do que as cápsulas</w:t>
            </w:r>
          </w:p>
        </w:tc>
      </w:tr>
      <w:tr>
        <w:tc>
          <w:tcPr/>
          <w:p>
            <w:pPr>
              <w:pStyle w:val="Compact"/>
              <w:jc w:val="left"/>
            </w:pPr>
            <w:r>
              <w:t xml:space="preserve">Jung 2026, PMID 42392376</w:t>
            </w:r>
          </w:p>
        </w:tc>
        <w:tc>
          <w:tcPr/>
          <w:p>
            <w:pPr>
              <w:pStyle w:val="Compact"/>
              <w:jc w:val="left"/>
            </w:pPr>
            <w:r>
              <w:t xml:space="preserve">saudáveis, filme para dissolver na boca contra comprimido</w:t>
            </w:r>
          </w:p>
        </w:tc>
        <w:tc>
          <w:tcPr/>
          <w:p>
            <w:pPr>
              <w:pStyle w:val="Compact"/>
              <w:jc w:val="left"/>
            </w:pPr>
            <w:r>
              <w:t xml:space="preserve">dose única e 4 semanas</w:t>
            </w:r>
          </w:p>
        </w:tc>
        <w:tc>
          <w:tcPr/>
          <w:p>
            <w:pPr>
              <w:pStyle w:val="Compact"/>
              <w:jc w:val="left"/>
            </w:pPr>
            <w:r>
              <w:t xml:space="preserve">as duas formas aumentaram os níveis sanguíneos; nenhuma alteração dos marcadores de oxidação</w:t>
            </w:r>
          </w:p>
        </w:tc>
      </w:tr>
    </w:tbl>
    <w:p>
      <w:pPr>
        <w:pStyle w:val="BodyText"/>
      </w:pPr>
      <w:r>
        <w:t xml:space="preserve">A questão foi por muito tempo controversa. Um estudo curto com 40 pessoas saudáveis não encontrou nenhuma alteração após quatro semanas</w:t>
      </w:r>
      <w:r>
        <w:rPr>
          <w:rStyle w:val="FootnoteReference"/>
        </w:rPr>
        <w:footnoteReference w:id="1928"/>
      </w:r>
      <w:r>
        <w:t xml:space="preserve">. Um estudo mais longo, também duplo-cego, com 54 pessoas saudáveis, encontrou por outro lado, após seis meses, níveis de glutationa mais altos, de forma dependente da dose, no sangue, nas células sanguíneas e na mucosa oral; um mês após a suspensão, os valores haviam voltado ao nível inicial</w:t>
      </w:r>
      <w:r>
        <w:rPr>
          <w:rStyle w:val="FootnoteReference"/>
        </w:rPr>
        <w:footnoteReference w:id="1929"/>
      </w:r>
      <w:r>
        <w:t xml:space="preserve">. Um pequeno estudo piloto sem grupo placebo relatou aumentos com glutationa lipossomal já após uma a duas semanas</w:t>
      </w:r>
      <w:r>
        <w:rPr>
          <w:rStyle w:val="FootnoteReference"/>
        </w:rPr>
        <w:footnoteReference w:id="1930"/>
      </w:r>
      <w:r>
        <w:t xml:space="preserve">.</w:t>
      </w:r>
    </w:p>
    <w:p>
      <w:pPr>
        <w:pStyle w:val="BodyText"/>
      </w:pPr>
      <w:r>
        <w:t xml:space="preserve">Em resumo: a glutationa engolida pode aumentar de forma mensurável os níveis no sangue, provavelmente dependendo da dose, da duração e da forma de administração. Se níveis mais altos no sangue levam também a um benefício para a saúde é outra questão.</w:t>
      </w:r>
    </w:p>
    <w:bookmarkEnd w:id="1931"/>
    <w:bookmarkStart w:id="1939" w:name="estudos-relacionados-a-doenças"/>
    <w:p>
      <w:pPr>
        <w:pStyle w:val="Heading4"/>
      </w:pPr>
      <w:r>
        <w:t xml:space="preserve">Estudos relacionados a doenças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com câncer sob paclitaxel/carboplatina, infusão contra placebo, fase 3</w:t>
            </w:r>
          </w:p>
        </w:tc>
        <w:tc>
          <w:tcPr/>
          <w:p>
            <w:pPr>
              <w:pStyle w:val="Compact"/>
              <w:jc w:val="left"/>
            </w:pPr>
            <w:r>
              <w:t xml:space="preserve">duração da quimioterapia</w:t>
            </w:r>
          </w:p>
        </w:tc>
        <w:tc>
          <w:tcPr/>
          <w:p>
            <w:pPr>
              <w:pStyle w:val="Compact"/>
              <w:jc w:val="left"/>
            </w:pPr>
            <w:r>
              <w:rPr>
                <w:bCs/>
                <w:b/>
              </w:rPr>
              <w:t xml:space="preserve">nenhuma</w:t>
            </w:r>
            <w:r>
              <w:t xml:space="preserve"> </w:t>
            </w:r>
            <w:r>
              <w:t xml:space="preserve">redução das lesões nervosas causadas pela quimioterapia</w:t>
            </w:r>
          </w:p>
        </w:tc>
      </w:tr>
      <w:tr>
        <w:tc>
          <w:tcPr/>
          <w:p>
            <w:pPr>
              <w:pStyle w:val="Compact"/>
              <w:jc w:val="left"/>
            </w:pPr>
            <w:r>
              <w:t xml:space="preserve">Hauser 2009, PMID 19230029</w:t>
            </w:r>
          </w:p>
        </w:tc>
        <w:tc>
          <w:tcPr/>
          <w:p>
            <w:pPr>
              <w:pStyle w:val="Compact"/>
              <w:jc w:val="left"/>
            </w:pPr>
            <w:r>
              <w:t xml:space="preserve">21 pessoas com Parkinson, infusão contra placebo</w:t>
            </w:r>
          </w:p>
        </w:tc>
        <w:tc>
          <w:tcPr/>
          <w:p>
            <w:pPr>
              <w:pStyle w:val="Compact"/>
              <w:jc w:val="left"/>
            </w:pPr>
            <w:r>
              <w:t xml:space="preserve">4 semanas</w:t>
            </w:r>
          </w:p>
        </w:tc>
        <w:tc>
          <w:tcPr/>
          <w:p>
            <w:pPr>
              <w:pStyle w:val="Compact"/>
              <w:jc w:val="left"/>
            </w:pPr>
            <w:r>
              <w:t xml:space="preserve">nenhuma diferença significativa na escala de Parkinson</w:t>
            </w:r>
          </w:p>
        </w:tc>
      </w:tr>
      <w:tr>
        <w:tc>
          <w:tcPr/>
          <w:p>
            <w:pPr>
              <w:pStyle w:val="Compact"/>
              <w:jc w:val="left"/>
            </w:pPr>
            <w:r>
              <w:t xml:space="preserve">Mischley 2017, PMID 28436395</w:t>
            </w:r>
          </w:p>
        </w:tc>
        <w:tc>
          <w:tcPr/>
          <w:p>
            <w:pPr>
              <w:pStyle w:val="Compact"/>
              <w:jc w:val="left"/>
            </w:pPr>
            <w:r>
              <w:t xml:space="preserve">45 pessoas com Parkinson, spray nasal em duas doses contra placebo</w:t>
            </w:r>
          </w:p>
        </w:tc>
        <w:tc>
          <w:tcPr/>
          <w:p>
            <w:pPr>
              <w:pStyle w:val="Compact"/>
              <w:jc w:val="left"/>
            </w:pPr>
            <w:r>
              <w:t xml:space="preserve">3 meses</w:t>
            </w:r>
          </w:p>
        </w:tc>
        <w:tc>
          <w:tcPr/>
          <w:p>
            <w:pPr>
              <w:pStyle w:val="Compact"/>
              <w:jc w:val="left"/>
            </w:pPr>
            <w:r>
              <w:t xml:space="preserve">todos os grupos melhoraram, glutationa não melhor que placebo</w:t>
            </w:r>
          </w:p>
        </w:tc>
      </w:tr>
      <w:tr>
        <w:tc>
          <w:tcPr/>
          <w:p>
            <w:pPr>
              <w:pStyle w:val="Compact"/>
              <w:jc w:val="left"/>
            </w:pPr>
            <w:r>
              <w:t xml:space="preserve">Bozic 2020, PMID 32960827</w:t>
            </w:r>
          </w:p>
        </w:tc>
        <w:tc>
          <w:tcPr/>
          <w:p>
            <w:pPr>
              <w:pStyle w:val="Compact"/>
              <w:jc w:val="left"/>
            </w:pPr>
            <w:r>
              <w:t xml:space="preserve">58 crianças com fibrose cística, cápsulas contra placebo</w:t>
            </w:r>
          </w:p>
        </w:tc>
        <w:tc>
          <w:tcPr/>
          <w:p>
            <w:pPr>
              <w:pStyle w:val="Compact"/>
              <w:jc w:val="left"/>
            </w:pPr>
            <w:r>
              <w:t xml:space="preserve">24 semanas</w:t>
            </w:r>
          </w:p>
        </w:tc>
        <w:tc>
          <w:tcPr/>
          <w:p>
            <w:pPr>
              <w:pStyle w:val="Compact"/>
              <w:jc w:val="left"/>
            </w:pPr>
            <w:r>
              <w:t xml:space="preserve">nenhum efeito sobre crescimento e marcadores inflamatórios</w:t>
            </w:r>
          </w:p>
        </w:tc>
      </w:tr>
      <w:tr>
        <w:tc>
          <w:tcPr/>
          <w:p>
            <w:pPr>
              <w:pStyle w:val="Compact"/>
              <w:jc w:val="left"/>
            </w:pPr>
            <w:r>
              <w:t xml:space="preserve">Søndergård 2021, PMID 33740389</w:t>
            </w:r>
          </w:p>
        </w:tc>
        <w:tc>
          <w:tcPr/>
          <w:p>
            <w:pPr>
              <w:pStyle w:val="Compact"/>
              <w:jc w:val="left"/>
            </w:pPr>
            <w:r>
              <w:t xml:space="preserve">20 homens com excesso de peso, com e sem diabetes tipo 2, contra placebo</w:t>
            </w:r>
          </w:p>
        </w:tc>
        <w:tc>
          <w:tcPr/>
          <w:p>
            <w:pPr>
              <w:pStyle w:val="Compact"/>
              <w:jc w:val="left"/>
            </w:pPr>
            <w:r>
              <w:t xml:space="preserve">3 semanas</w:t>
            </w:r>
          </w:p>
        </w:tc>
        <w:tc>
          <w:tcPr/>
          <w:p>
            <w:pPr>
              <w:pStyle w:val="Compact"/>
              <w:jc w:val="left"/>
            </w:pPr>
            <w:r>
              <w:t xml:space="preserve">sensibilidade à insulina melhorada; marcadores de oxidação inalterados</w:t>
            </w:r>
          </w:p>
        </w:tc>
      </w:tr>
      <w:tr>
        <w:tc>
          <w:tcPr/>
          <w:p>
            <w:pPr>
              <w:pStyle w:val="Compact"/>
              <w:jc w:val="left"/>
            </w:pPr>
            <w:r>
              <w:t xml:space="preserve">Honda 2017, PMID 28789631</w:t>
            </w:r>
          </w:p>
        </w:tc>
        <w:tc>
          <w:tcPr/>
          <w:p>
            <w:pPr>
              <w:pStyle w:val="Compact"/>
              <w:jc w:val="left"/>
            </w:pPr>
            <w:r>
              <w:t xml:space="preserve">34 pessoas com fígado gorduroso, aberto, sem grupo controle</w:t>
            </w:r>
          </w:p>
        </w:tc>
        <w:tc>
          <w:tcPr/>
          <w:p>
            <w:pPr>
              <w:pStyle w:val="Compact"/>
              <w:jc w:val="left"/>
            </w:pPr>
            <w:r>
              <w:t xml:space="preserve">4 meses</w:t>
            </w:r>
          </w:p>
        </w:tc>
        <w:tc>
          <w:tcPr/>
          <w:p>
            <w:pPr>
              <w:pStyle w:val="Compact"/>
              <w:jc w:val="left"/>
            </w:pPr>
            <w:r>
              <w:t xml:space="preserve">valor hepático ALT diminuído</w:t>
            </w:r>
          </w:p>
        </w:tc>
      </w:tr>
      <w:tr>
        <w:tc>
          <w:tcPr/>
          <w:p>
            <w:pPr>
              <w:pStyle w:val="Compact"/>
              <w:jc w:val="left"/>
            </w:pPr>
            <w:r>
              <w:t xml:space="preserve">Arrivi 2023, PMID 36083043</w:t>
            </w:r>
          </w:p>
        </w:tc>
        <w:tc>
          <w:tcPr/>
          <w:p>
            <w:pPr>
              <w:pStyle w:val="Compact"/>
              <w:jc w:val="left"/>
            </w:pPr>
            <w:r>
              <w:t xml:space="preserve">100 pessoas com infarto do miocárdio, infusão contra placebo (análise posterior)</w:t>
            </w:r>
          </w:p>
        </w:tc>
        <w:tc>
          <w:tcPr/>
          <w:p>
            <w:pPr>
              <w:pStyle w:val="Compact"/>
              <w:jc w:val="left"/>
            </w:pPr>
            <w:r>
              <w:t xml:space="preserve">internação hospitalar</w:t>
            </w:r>
          </w:p>
        </w:tc>
        <w:tc>
          <w:tcPr/>
          <w:p>
            <w:pPr>
              <w:pStyle w:val="Compact"/>
              <w:jc w:val="left"/>
            </w:pPr>
            <w:r>
              <w:t xml:space="preserve">internação de 8,6 em vez de 10,8 dias</w:t>
            </w:r>
          </w:p>
        </w:tc>
      </w:tr>
    </w:tbl>
    <w:p>
      <w:pPr>
        <w:pStyle w:val="BodyText"/>
      </w:pPr>
      <w:r>
        <w:t xml:space="preserve">O quadro é decepcionante: o maior e metodologicamente mais forte estudo – um estudo de fase 3 com 185 pacientes com câncer – não encontrou proteção contra lesões nervosas causadas pela quimioterapia; em alguns objetivos secundários, o placebo teve até resultado melhor</w:t>
      </w:r>
      <w:r>
        <w:rPr>
          <w:rStyle w:val="FootnoteReference"/>
        </w:rPr>
        <w:footnoteReference w:id="1932"/>
      </w:r>
      <w:r>
        <w:t xml:space="preserve">. No Parkinson, a glutationa não foi melhor que o placebo nem como infusão</w:t>
      </w:r>
      <w:r>
        <w:rPr>
          <w:rStyle w:val="FootnoteReference"/>
        </w:rPr>
        <w:footnoteReference w:id="1933"/>
      </w:r>
      <w:r>
        <w:t xml:space="preserve"> </w:t>
      </w:r>
      <w:r>
        <w:t xml:space="preserve">nem como spray nasal; no estudo com spray nasal, uma pessoa desenvolveu, com a dose mais alta, uma doença do músculo cardíaco</w:t>
      </w:r>
      <w:r>
        <w:rPr>
          <w:rStyle w:val="FootnoteReference"/>
        </w:rPr>
        <w:footnoteReference w:id="1934"/>
      </w:r>
      <w:r>
        <w:t xml:space="preserve">. Em crianças com fibrose cística, o crescimento não foi influenciado</w:t>
      </w:r>
      <w:r>
        <w:rPr>
          <w:rStyle w:val="FootnoteReference"/>
        </w:rPr>
        <w:footnoteReference w:id="1935"/>
      </w:r>
      <w:r>
        <w:t xml:space="preserve">.</w:t>
      </w:r>
    </w:p>
    <w:p>
      <w:pPr>
        <w:pStyle w:val="BodyText"/>
      </w:pPr>
      <w:r>
        <w:t xml:space="preserve">Sinais positivos vêm de pequenos estudos: em 20 homens com excesso de peso, a sensibilidade à insulina melhorou após três semanas</w:t>
      </w:r>
      <w:r>
        <w:rPr>
          <w:rStyle w:val="FootnoteReference"/>
        </w:rPr>
        <w:footnoteReference w:id="1936"/>
      </w:r>
      <w:r>
        <w:t xml:space="preserve">; no fígado gorduroso, os valores hepáticos caíram em um estudo não controlado</w:t>
      </w:r>
      <w:r>
        <w:rPr>
          <w:rStyle w:val="FootnoteReference"/>
        </w:rPr>
        <w:footnoteReference w:id="1937"/>
      </w:r>
      <w:r>
        <w:t xml:space="preserve">; após infarto do miocárdio, a internação foi mais curta em uma análise posterior</w:t>
      </w:r>
      <w:r>
        <w:rPr>
          <w:rStyle w:val="FootnoteReference"/>
        </w:rPr>
        <w:footnoteReference w:id="1938"/>
      </w:r>
      <w:r>
        <w:t xml:space="preserve">. Nenhum desses achados foi confirmado até agora em um estudo maior.</w:t>
      </w:r>
    </w:p>
    <w:bookmarkEnd w:id="1939"/>
    <w:bookmarkStart w:id="1946" w:name="Xf660f3aaf136c90bf5c7c292784a5612daa41b5"/>
    <w:p>
      <w:pPr>
        <w:pStyle w:val="Heading4"/>
      </w:pPr>
      <w:r>
        <w:t xml:space="preserve">Clareamento da pele: oral, tópico, intravenoso</w:t>
      </w:r>
    </w:p>
    <w:p>
      <w:pPr>
        <w:pStyle w:val="FirstParagraph"/>
      </w:pPr>
      <w:r>
        <w:t xml:space="preserve">Em partes da Ásia, da África e, cada vez mais, também da Europa, a glutationa é comercializada sobretudo como</w:t>
      </w:r>
      <w:r>
        <w:t xml:space="preserve"> </w:t>
      </w:r>
      <w:r>
        <w:t xml:space="preserve">“</w:t>
      </w:r>
      <w:r>
        <w:t xml:space="preserve">clareador de pele</w:t>
      </w:r>
      <w:r>
        <w:t xml:space="preserve">”</w:t>
      </w:r>
      <w:r>
        <w:t xml:space="preserve"> </w:t>
      </w:r>
      <w:r>
        <w:t xml:space="preserve">– em cápsulas, cremes e na forma de infusões em clínicas de estética.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estudantes de medicina na Tailândia, cápsulas contra placebo</w:t>
            </w:r>
          </w:p>
        </w:tc>
        <w:tc>
          <w:tcPr/>
          <w:p>
            <w:pPr>
              <w:pStyle w:val="Compact"/>
              <w:jc w:val="left"/>
            </w:pPr>
            <w:r>
              <w:t xml:space="preserve">4 semanas</w:t>
            </w:r>
          </w:p>
        </w:tc>
        <w:tc>
          <w:tcPr/>
          <w:p>
            <w:pPr>
              <w:pStyle w:val="Compact"/>
              <w:jc w:val="left"/>
            </w:pPr>
            <w:r>
              <w:t xml:space="preserve">índice de melanina mais reduzido em 2 de 6 pontos de medição</w:t>
            </w:r>
          </w:p>
        </w:tc>
      </w:tr>
      <w:tr>
        <w:tc>
          <w:tcPr/>
          <w:p>
            <w:pPr>
              <w:pStyle w:val="Compact"/>
              <w:jc w:val="left"/>
            </w:pPr>
            <w:r>
              <w:t xml:space="preserve">Weschawalit 2017, PMID 28490897</w:t>
            </w:r>
          </w:p>
        </w:tc>
        <w:tc>
          <w:tcPr/>
          <w:p>
            <w:pPr>
              <w:pStyle w:val="Compact"/>
              <w:jc w:val="left"/>
            </w:pPr>
            <w:r>
              <w:t xml:space="preserve">mulheres saudáveis, glutationa reduzida ou oxidada contra placebo</w:t>
            </w:r>
          </w:p>
        </w:tc>
        <w:tc>
          <w:tcPr/>
          <w:p>
            <w:pPr>
              <w:pStyle w:val="Compact"/>
              <w:jc w:val="left"/>
            </w:pPr>
            <w:r>
              <w:t xml:space="preserve">12 semanas</w:t>
            </w:r>
          </w:p>
        </w:tc>
        <w:tc>
          <w:tcPr/>
          <w:p>
            <w:pPr>
              <w:pStyle w:val="Compact"/>
              <w:jc w:val="left"/>
            </w:pPr>
            <w:r>
              <w:t xml:space="preserve">índice de melanina com tendência a ser menor; em parte menos rugas</w:t>
            </w:r>
          </w:p>
        </w:tc>
      </w:tr>
      <w:tr>
        <w:tc>
          <w:tcPr/>
          <w:p>
            <w:pPr>
              <w:pStyle w:val="Compact"/>
              <w:jc w:val="left"/>
            </w:pPr>
            <w:r>
              <w:t xml:space="preserve">Handog 2016, PMID 26148180</w:t>
            </w:r>
          </w:p>
        </w:tc>
        <w:tc>
          <w:tcPr/>
          <w:p>
            <w:pPr>
              <w:pStyle w:val="Compact"/>
              <w:jc w:val="left"/>
            </w:pPr>
            <w:r>
              <w:t xml:space="preserve">30 mulheres nas Filipinas, pastilha, sem grupo controle</w:t>
            </w:r>
          </w:p>
        </w:tc>
        <w:tc>
          <w:tcPr/>
          <w:p>
            <w:pPr>
              <w:pStyle w:val="Compact"/>
              <w:jc w:val="left"/>
            </w:pPr>
            <w:r>
              <w:t xml:space="preserve">8 semanas</w:t>
            </w:r>
          </w:p>
        </w:tc>
        <w:tc>
          <w:tcPr/>
          <w:p>
            <w:pPr>
              <w:pStyle w:val="Compact"/>
              <w:jc w:val="left"/>
            </w:pPr>
            <w:r>
              <w:t xml:space="preserve">índice de melanina diminuído</w:t>
            </w:r>
          </w:p>
        </w:tc>
      </w:tr>
      <w:tr>
        <w:tc>
          <w:tcPr/>
          <w:p>
            <w:pPr>
              <w:pStyle w:val="Compact"/>
              <w:jc w:val="left"/>
            </w:pPr>
            <w:r>
              <w:t xml:space="preserve">Wahab 2021, PMID 33871071</w:t>
            </w:r>
          </w:p>
        </w:tc>
        <w:tc>
          <w:tcPr/>
          <w:p>
            <w:pPr>
              <w:pStyle w:val="Compact"/>
              <w:jc w:val="left"/>
            </w:pPr>
            <w:r>
              <w:t xml:space="preserve">46 pessoas, combinação de creme e cápsula contra placebo</w:t>
            </w:r>
          </w:p>
        </w:tc>
        <w:tc>
          <w:tcPr/>
          <w:p>
            <w:pPr>
              <w:pStyle w:val="Compact"/>
              <w:jc w:val="left"/>
            </w:pPr>
            <w:r>
              <w:t xml:space="preserve">8 semanas</w:t>
            </w:r>
          </w:p>
        </w:tc>
        <w:tc>
          <w:tcPr/>
          <w:p>
            <w:pPr>
              <w:pStyle w:val="Compact"/>
              <w:jc w:val="left"/>
            </w:pPr>
            <w:r>
              <w:t xml:space="preserve">combinação possivelmente mais eficaz do que o uso isolado</w:t>
            </w:r>
          </w:p>
        </w:tc>
      </w:tr>
    </w:tbl>
    <w:p>
      <w:pPr>
        <w:pStyle w:val="BodyText"/>
      </w:pPr>
      <w:r>
        <w:rPr>
          <w:bCs/>
          <w:b/>
        </w:rPr>
        <w:t xml:space="preserve">Oral e tópico:</w:t>
      </w:r>
      <w:r>
        <w:t xml:space="preserve"> </w:t>
      </w:r>
      <w:r>
        <w:t xml:space="preserve">vários pequenos estudos randomizados mostram um leve clareamento, sobretudo em locais expostos ao sol. No primeiro estudo, o efeito foi estatisticamente significativo em apenas dois de seis pontos de medição</w:t>
      </w:r>
      <w:r>
        <w:rPr>
          <w:rStyle w:val="FootnoteReference"/>
        </w:rPr>
        <w:footnoteReference w:id="1940"/>
      </w:r>
      <w:r>
        <w:t xml:space="preserve">. Uma revisão sistemática concluiu em 2019 que as evidências, devido à qualidade dos estudos e a achados contraditórios,</w:t>
      </w:r>
      <w:r>
        <w:t xml:space="preserve"> </w:t>
      </w:r>
      <w:r>
        <w:t xml:space="preserve">“</w:t>
      </w:r>
      <w:r>
        <w:t xml:space="preserve">ainda não são inequívocas</w:t>
      </w:r>
      <w:r>
        <w:t xml:space="preserve">”</w:t>
      </w:r>
      <w:r>
        <w:rPr>
          <w:rStyle w:val="FootnoteReference"/>
        </w:rPr>
        <w:footnoteReference w:id="1941"/>
      </w:r>
      <w:r>
        <w:t xml:space="preserve">. Uma revisão mais recente avalia cremes e cápsulas como moderadamente eficazes, com efeitos que não persistem após a suspensão</w:t>
      </w:r>
      <w:r>
        <w:rPr>
          <w:rStyle w:val="FootnoteReference"/>
        </w:rPr>
        <w:footnoteReference w:id="1942"/>
      </w:r>
      <w:r>
        <w:t xml:space="preserve">.</w:t>
      </w:r>
    </w:p>
    <w:p>
      <w:pPr>
        <w:pStyle w:val="BodyText"/>
      </w:pPr>
      <w:r>
        <w:rPr>
          <w:bCs/>
          <w:b/>
        </w:rPr>
        <w:t xml:space="preserve">Intravenoso:</w:t>
      </w:r>
      <w:r>
        <w:t xml:space="preserve"> </w:t>
      </w:r>
      <w:r>
        <w:t xml:space="preserve">para infusões de clareamento da pele, segundo a mesma revisão, há apenas um estudo controlado por placebo, que não encontrou diferença significativa (37,5% frente a 18,7%, p = 0,054). Os autores consideram a glutationa intravenosa para clareamento da pele</w:t>
      </w:r>
      <w:r>
        <w:t xml:space="preserve"> </w:t>
      </w:r>
      <w:r>
        <w:rPr>
          <w:bCs/>
          <w:b/>
        </w:rPr>
        <w:t xml:space="preserve">contraindicada</w:t>
      </w:r>
      <w:r>
        <w:t xml:space="preserve">, ou seja, injustificável, por falta de eficácia e por efeitos colaterais</w:t>
      </w:r>
      <w:r>
        <w:rPr>
          <w:rStyle w:val="FootnoteReference"/>
        </w:rPr>
        <w:footnoteReference w:id="1943"/>
      </w:r>
      <w:r>
        <w:t xml:space="preserve">. Uma revisão sul-africana não encontrou um único estudo sobre a segurança de infusões repetidas em qualquer aplicação</w:t>
      </w:r>
      <w:r>
        <w:rPr>
          <w:rStyle w:val="FootnoteReference"/>
        </w:rPr>
        <w:footnoteReference w:id="1944"/>
      </w:r>
      <w:r>
        <w:t xml:space="preserve">. No British Medical Journal, a prática foi criticada como</w:t>
      </w:r>
      <w:r>
        <w:t xml:space="preserve"> </w:t>
      </w:r>
      <w:r>
        <w:t xml:space="preserve">“</w:t>
      </w:r>
      <w:r>
        <w:t xml:space="preserve">branqueamento antiético</w:t>
      </w:r>
      <w:r>
        <w:t xml:space="preserve">”</w:t>
      </w:r>
      <w:r>
        <w:rPr>
          <w:rStyle w:val="FootnoteReference"/>
        </w:rPr>
        <w:footnoteReference w:id="1945"/>
      </w:r>
      <w:r>
        <w:t xml:space="preserve">.</w:t>
      </w:r>
    </w:p>
    <w:bookmarkEnd w:id="1946"/>
    <w:bookmarkEnd w:id="1947"/>
    <w:bookmarkStart w:id="1948" w:name="estudos-em-animais-e-em-laboratório-45"/>
    <w:p>
      <w:pPr>
        <w:pStyle w:val="Heading3"/>
      </w:pPr>
      <w:r>
        <w:t xml:space="preserve">Estudos em animais e em laboratório</w:t>
      </w:r>
    </w:p>
    <w:p>
      <w:pPr>
        <w:pStyle w:val="FirstParagraph"/>
      </w:pPr>
      <w:r>
        <w:t xml:space="preserve">A pesquisa laboratorial sobre a glutationa é enormemente extensa e abrange quase todas as áreas da biologia celular. Relevante para este livro é sobretudo que, em experimentos com células e animais, a glutationa ou seus precursores puderam proteger contra danos oxidativos, toxicidade de medicamentos e reações inflamatórias – efeitos que, nos estudos clínicos em humanos, reaparecem apenas parcialmente e em geral de forma fraca.</w:t>
      </w:r>
    </w:p>
    <w:bookmarkEnd w:id="1948"/>
    <w:bookmarkStart w:id="1952" w:name="riscos-e-efeitos-colaterais-45"/>
    <w:p>
      <w:pPr>
        <w:pStyle w:val="Heading3"/>
      </w:pPr>
      <w:r>
        <w:t xml:space="preserve">Riscos e efeitos colaterais</w:t>
      </w:r>
    </w:p>
    <w:p>
      <w:pPr>
        <w:pStyle w:val="FirstParagraph"/>
      </w:pPr>
      <w:r>
        <w:rPr>
          <w:bCs/>
          <w:b/>
        </w:rPr>
        <w:t xml:space="preserve">Ingestão oral:</w:t>
      </w:r>
      <w:r>
        <w:t xml:space="preserve"> </w:t>
      </w:r>
      <w:r>
        <w:t xml:space="preserve">bem tolerada nos estudos; relatam-se ocasionalmente queixas gastrointestinais. Faltam em grande parte dados de longo prazo para mais de seis meses.</w:t>
      </w:r>
    </w:p>
    <w:p>
      <w:pPr>
        <w:pStyle w:val="BodyText"/>
      </w:pPr>
      <w:r>
        <w:rPr>
          <w:bCs/>
          <w:b/>
        </w:rPr>
        <w:t xml:space="preserve">Spray nasal:</w:t>
      </w:r>
      <w:r>
        <w:t xml:space="preserve"> </w:t>
      </w:r>
      <w:r>
        <w:t xml:space="preserve">em um estudo de Parkinson, ocorreu em uma pessoa, com a dose mais alta, uma doença do músculo cardíaco; uma relação não está comprovada</w:t>
      </w:r>
      <w:r>
        <w:rPr>
          <w:rStyle w:val="FootnoteReference"/>
        </w:rPr>
        <w:footnoteReference w:id="1949"/>
      </w:r>
      <w:r>
        <w:t xml:space="preserve">.</w:t>
      </w:r>
    </w:p>
    <w:p>
      <w:pPr>
        <w:pStyle w:val="BodyText"/>
      </w:pPr>
      <w:r>
        <w:rPr>
          <w:bCs/>
          <w:b/>
        </w:rPr>
        <w:t xml:space="preserve">Infusões – os verdadeiros riscos:</w:t>
      </w:r>
    </w:p>
    <w:p>
      <w:pPr>
        <w:numPr>
          <w:ilvl w:val="0"/>
          <w:numId w:val="1246"/>
        </w:numPr>
        <w:pStyle w:val="Compact"/>
      </w:pPr>
      <w:r>
        <w:rPr>
          <w:bCs/>
          <w:b/>
        </w:rPr>
        <w:t xml:space="preserve">Preparações contaminadas:</w:t>
      </w:r>
      <w:r>
        <w:t xml:space="preserve"> </w:t>
      </w:r>
      <w:r>
        <w:t xml:space="preserve">a agência americana de medicamentos FDA advertiu farmácias em 2019 a não usar glutationa de um determinado distribuidor para infusões, depois que pacientes desenvolveram náusea, vômitos e falta de ar após infusões e foram medidos valores elevados de endotoxina (componentes de bactérias que podem desencadear febre e choque). Em agosto de 2026, a FDA voltou a pedir às farmácias que não usassem glutationa de qualidade de suplemento alimentar para injeções; após infusões de um determinado lote, haviam ocorrido febre, calafrios, estados semelhantes a choque e internações hospitalares.</w:t>
      </w:r>
    </w:p>
    <w:p>
      <w:pPr>
        <w:numPr>
          <w:ilvl w:val="0"/>
          <w:numId w:val="1246"/>
        </w:numPr>
        <w:pStyle w:val="Compact"/>
      </w:pPr>
      <w:r>
        <w:rPr>
          <w:bCs/>
          <w:b/>
        </w:rPr>
        <w:t xml:space="preserve">Advertências de autoridades sobre clareamento da pele:</w:t>
      </w:r>
      <w:r>
        <w:t xml:space="preserve"> </w:t>
      </w:r>
      <w:r>
        <w:t xml:space="preserve">a agência filipina de medicamentos advertiu em 2011 e 2019 contra injeções de glutationa para clareamento da pele; citou efeitos colaterais desde erupções cutâneas até as reações cutâneas com risco de vida síndrome de Stevens-Johnson e necrólise epidérmica tóxica, bem como riscos de injeções inadequadas, como sepse e transmissão de infecções. Também a FDA americana advertiu os consumidores de que nenhum preparado injetável para clareamento da pele é aprovado e de que tais produtos podem conter componentes desconhecidos e nocivos.</w:t>
      </w:r>
    </w:p>
    <w:p>
      <w:pPr>
        <w:numPr>
          <w:ilvl w:val="0"/>
          <w:numId w:val="1246"/>
        </w:numPr>
        <w:pStyle w:val="Compact"/>
      </w:pPr>
      <w:r>
        <w:rPr>
          <w:bCs/>
          <w:b/>
        </w:rPr>
        <w:t xml:space="preserve">Câncer de pele (teórico):</w:t>
      </w:r>
      <w:r>
        <w:t xml:space="preserve"> </w:t>
      </w:r>
      <w:r>
        <w:t xml:space="preserve">o deslocamento da melanina escura para a clara poderia reduzir a proteção solar natural da pele</w:t>
      </w:r>
      <w:r>
        <w:rPr>
          <w:rStyle w:val="FootnoteReference"/>
        </w:rPr>
        <w:footnoteReference w:id="1950"/>
      </w:r>
      <w:r>
        <w:t xml:space="preserve">.</w:t>
      </w:r>
    </w:p>
    <w:p>
      <w:pPr>
        <w:pStyle w:val="FirstParagraph"/>
      </w:pPr>
      <w:r>
        <w:rPr>
          <w:bCs/>
          <w:b/>
        </w:rPr>
        <w:t xml:space="preserve">Interações:</w:t>
      </w:r>
      <w:r>
        <w:t xml:space="preserve"> </w:t>
      </w:r>
      <w:r>
        <w:t xml:space="preserve">em um estudo oncológico, a glutationa foi administrada antes da quimioterapia; o tempo até a progressão da doença ali não diferiu do placebo</w:t>
      </w:r>
      <w:r>
        <w:rPr>
          <w:rStyle w:val="FootnoteReference"/>
        </w:rPr>
        <w:footnoteReference w:id="1951"/>
      </w:r>
      <w:r>
        <w:t xml:space="preserve">. Em princípio, discute-se se antioxidantes poderiam atenuar o efeito de algumas terapias contra o câncer. Quem está em tratamento oncológico só deve tomar glutationa após consultar a equipe responsável pelo tratamento.</w:t>
      </w:r>
    </w:p>
    <w:bookmarkEnd w:id="1952"/>
    <w:bookmarkStart w:id="1953" w:name="situação-legal-45"/>
    <w:p>
      <w:pPr>
        <w:pStyle w:val="Heading3"/>
      </w:pPr>
      <w:r>
        <w:t xml:space="preserve">Situação legal</w:t>
      </w:r>
    </w:p>
    <w:p>
      <w:pPr>
        <w:numPr>
          <w:ilvl w:val="0"/>
          <w:numId w:val="1247"/>
        </w:numPr>
        <w:pStyle w:val="Compact"/>
      </w:pPr>
      <w:r>
        <w:rPr>
          <w:bCs/>
          <w:b/>
        </w:rPr>
        <w:t xml:space="preserve">UE / Áustria / Alemanha:</w:t>
      </w:r>
      <w:r>
        <w:t xml:space="preserve"> </w:t>
      </w:r>
      <w:r>
        <w:t xml:space="preserve">a glutationa é vendida como suplemento alimentar em cápsulas e pós; promessas de saúde na publicidade não são permitidas sem alegações de saúde (health claims) autorizadas. Infusões e injeções são medicamentos; preparados para clareamento da pele por infusão não são aprovados. Em alguns países (segundo nosso conhecimento, por exemplo a Itália) há injeções de glutationa aprovadas para aplicações médicas específicas; os detalhes devem ser consultados na respectiva bula técnica.</w:t>
      </w:r>
    </w:p>
    <w:p>
      <w:pPr>
        <w:numPr>
          <w:ilvl w:val="0"/>
          <w:numId w:val="1247"/>
        </w:numPr>
        <w:pStyle w:val="Compact"/>
      </w:pPr>
      <w:r>
        <w:rPr>
          <w:bCs/>
          <w:b/>
        </w:rPr>
        <w:t xml:space="preserve">EUA:</w:t>
      </w:r>
      <w:r>
        <w:t xml:space="preserve"> </w:t>
      </w:r>
      <w:r>
        <w:t xml:space="preserve">nenhum medicamento de glutationa aprovado; suplementos alimentares são permitidos, e infusões são produzidas como preparações de farmácia de manipulação, sujeitas às exigências da FDA para preparações estéreis.</w:t>
      </w:r>
    </w:p>
    <w:p>
      <w:pPr>
        <w:numPr>
          <w:ilvl w:val="0"/>
          <w:numId w:val="1247"/>
        </w:numPr>
        <w:pStyle w:val="Compact"/>
      </w:pPr>
      <w:r>
        <w:rPr>
          <w:bCs/>
          <w:b/>
        </w:rPr>
        <w:t xml:space="preserve">Esporte:</w:t>
      </w:r>
      <w:r>
        <w:t xml:space="preserve"> </w:t>
      </w:r>
      <w:r>
        <w:t xml:space="preserve">a glutationa não é proibida; infusões acima de 100 ml em doze horas se enquadram, fora de tratamentos hospitalares, no método M2 da WADA (situação em 2026, verificar atualização).</w:t>
      </w:r>
    </w:p>
    <w:bookmarkEnd w:id="1953"/>
    <w:bookmarkStart w:id="1955" w:name="estudos-em-andamento-e-perspectivas-45"/>
    <w:p>
      <w:pPr>
        <w:pStyle w:val="Heading3"/>
      </w:pPr>
      <w:r>
        <w:t xml:space="preserve">Estudos em andamento e perspectivas</w:t>
      </w:r>
    </w:p>
    <w:p>
      <w:pPr>
        <w:pStyle w:val="FirstParagraph"/>
      </w:pPr>
      <w:r>
        <w:rPr>
          <w:bCs/>
          <w:b/>
        </w:rPr>
        <w:t xml:space="preserve">Comprovado (estudos registrados, situação em outubro de 2026):</w:t>
      </w:r>
    </w:p>
    <w:p>
      <w:pPr>
        <w:numPr>
          <w:ilvl w:val="0"/>
          <w:numId w:val="1248"/>
        </w:numPr>
        <w:pStyle w:val="Compact"/>
      </w:pPr>
      <w:r>
        <w:t xml:space="preserve">Um estudo de fase 1 na China testa a glutationa adicionada à imunoterapia e à quimioterapia no câncer de pulmão avançado (NCT06896422, 80 participantes previstos).</w:t>
      </w:r>
    </w:p>
    <w:p>
      <w:pPr>
        <w:numPr>
          <w:ilvl w:val="0"/>
          <w:numId w:val="1248"/>
        </w:numPr>
        <w:pStyle w:val="Compact"/>
      </w:pPr>
      <w:r>
        <w:t xml:space="preserve">Um estudo sobre microagulhamento apoiado por glutationa no melasma (manchas pigmentares) está registrado</w:t>
      </w:r>
      <w:r>
        <w:rPr>
          <w:rStyle w:val="FootnoteReference"/>
        </w:rPr>
        <w:footnoteReference w:id="1954"/>
      </w:r>
      <w:r>
        <w:t xml:space="preserve">.</w:t>
      </w:r>
    </w:p>
    <w:p>
      <w:pPr>
        <w:numPr>
          <w:ilvl w:val="0"/>
          <w:numId w:val="1248"/>
        </w:numPr>
        <w:pStyle w:val="Compact"/>
      </w:pPr>
      <w:r>
        <w:t xml:space="preserve">Vários pequenos estudos examinam novas formas de administração (lipossomal, micelar) e recuperação esportiva, frequentemente financiados por fabricantes.</w:t>
      </w:r>
    </w:p>
    <w:p>
      <w:pPr>
        <w:pStyle w:val="FirstParagraph"/>
      </w:pPr>
      <w:r>
        <w:rPr>
          <w:bCs/>
          <w:b/>
        </w:rPr>
        <w:t xml:space="preserve">Avaliação:</w:t>
      </w:r>
      <w:r>
        <w:t xml:space="preserve"> </w:t>
      </w:r>
      <w:r>
        <w:t xml:space="preserve">a questão em aberto mais importante já não é se a glutationa é absorvida, mas se níveis mais altos trazem algum benefício clínico. Os grandes estudos até agora falam mais contra isso. Em infusões para clareamento da pele ou como</w:t>
      </w:r>
      <w:r>
        <w:t xml:space="preserve"> </w:t>
      </w:r>
      <w:r>
        <w:t xml:space="preserve">“</w:t>
      </w:r>
      <w:r>
        <w:t xml:space="preserve">soro de bem-estar</w:t>
      </w:r>
      <w:r>
        <w:t xml:space="preserve">”</w:t>
      </w:r>
      <w:r>
        <w:t xml:space="preserve">, os riscos superam um benefício não comprovado.</w:t>
      </w:r>
    </w:p>
    <w:bookmarkEnd w:id="1955"/>
    <w:bookmarkStart w:id="1956" w:name="conclusão-45"/>
    <w:p>
      <w:pPr>
        <w:pStyle w:val="Heading3"/>
      </w:pPr>
      <w:r>
        <w:t xml:space="preserve">Conclusão</w:t>
      </w:r>
    </w:p>
    <w:p>
      <w:pPr>
        <w:pStyle w:val="FirstParagraph"/>
      </w:pPr>
      <w:r>
        <w:t xml:space="preserve">A glutationa é o mais importante peptídeo protetor do próprio organismo contra a oxidação; tomada em cápsula, pode aumentar de forma mensurável os níveis sanguíneos com uso mais prolongado. Clinicamente, porém, os estudos maiores não mostraram benefício – nem contra lesões nervosas causadas pela quimioterapia, nem no Parkinson ou na fibrose cística; indícios positivos vêm de pequenos estudos. Cápsulas e cremes clarearam a pele de forma leve e temporária em pequenos estudos. Infusões para clareamento da pele não têm eficácia comprovada, não são aprovadas e foram objeto de advertências expressas de várias autoridades devido a efeitos colaterais graves e preparados contaminados.</w:t>
      </w:r>
    </w:p>
    <w:bookmarkEnd w:id="1956"/>
    <w:bookmarkEnd w:id="1957"/>
    <w:bookmarkEnd w:id="1958"/>
    <w:bookmarkStart w:id="2314" w:name="Xf48eae67d256d33a2681a1ff30e00055ec0bab9"/>
    <w:p>
      <w:pPr>
        <w:pStyle w:val="Heading1"/>
      </w:pPr>
      <w:r>
        <w:t xml:space="preserve">Parte II · E – Hormônios, sexualidade e pigmentação</w:t>
      </w:r>
    </w:p>
    <w:p>
      <w:pPr>
        <w:pStyle w:val="FirstParagraph"/>
      </w:pPr>
      <w:r>
        <w:t xml:space="preserve">Os seis peptídeos deste grupo atuam sobre coisas muito diferentes: cor da pele, desejo sexual, fertilidade e comportamento social. O que têm em comum é que imitam vias de sinalização próprias do cérebro e das glândulas hormonais, estreitamente entrelaçadas entre si. Três deles pertencem a uma única família, o sistema das melanocortinas; os outros três regulam o eixo hormonal da reprodução ou estão ligados a ele.</w:t>
      </w:r>
    </w:p>
    <w:bookmarkStart w:id="1961" w:name="o-sistema-das-melanocortinas"/>
    <w:p>
      <w:pPr>
        <w:pStyle w:val="Heading3"/>
      </w:pPr>
      <w:r>
        <w:t xml:space="preserve">O sistema das melanocortinas</w:t>
      </w:r>
    </w:p>
    <w:p>
      <w:pPr>
        <w:pStyle w:val="FirstParagraph"/>
      </w:pPr>
      <w:r>
        <w:t xml:space="preserve">No início está uma grande proteína precursora chamada pró-opiomelanocortina (POMC). Dela, enzimas recortam vários peptídeos menores, entre eles o hormônio do estresse ACTH e os hormônios estimulantes dos melanócitos (MSH), sobretudo o alfa-MSH. Esses mensageiros são chamados, em conjunto, de melanocortinas. Eles atuam por meio de cinco receptores, do MC1R ao MC5R, localizados em diferentes tecidos:</w:t>
      </w:r>
    </w:p>
    <w:p>
      <w:pPr>
        <w:numPr>
          <w:ilvl w:val="0"/>
          <w:numId w:val="1249"/>
        </w:numPr>
        <w:pStyle w:val="Compact"/>
      </w:pPr>
      <w:r>
        <w:rPr>
          <w:bCs/>
          <w:b/>
        </w:rPr>
        <w:t xml:space="preserve">MC1R</w:t>
      </w:r>
      <w:r>
        <w:t xml:space="preserve">, nas células pigmentares da pele, determina se elas produzem eumelanina, escura e protetora. Pessoas de cabelo ruivo e pele clara costumam ter variantes menos eficazes desse receptor.</w:t>
      </w:r>
    </w:p>
    <w:p>
      <w:pPr>
        <w:numPr>
          <w:ilvl w:val="0"/>
          <w:numId w:val="1249"/>
        </w:numPr>
        <w:pStyle w:val="Compact"/>
      </w:pPr>
      <w:r>
        <w:rPr>
          <w:bCs/>
          <w:b/>
        </w:rPr>
        <w:t xml:space="preserve">MC2R</w:t>
      </w:r>
      <w:r>
        <w:t xml:space="preserve">, na glândula suprarrenal, é o receptor do ACTH e regula a produção de cortisol.</w:t>
      </w:r>
    </w:p>
    <w:p>
      <w:pPr>
        <w:numPr>
          <w:ilvl w:val="0"/>
          <w:numId w:val="1249"/>
        </w:numPr>
        <w:pStyle w:val="Compact"/>
      </w:pPr>
      <w:r>
        <w:rPr>
          <w:bCs/>
          <w:b/>
        </w:rPr>
        <w:t xml:space="preserve">MC3R e MC4R</w:t>
      </w:r>
      <w:r>
        <w:t xml:space="preserve">, no cérebro, influenciam o apetite, o gasto de energia e – como se descobriu por acaso – a excitação sexual. Defeitos no MC4R são a causa genética mais frequente de obesidade grave.</w:t>
      </w:r>
    </w:p>
    <w:p>
      <w:pPr>
        <w:numPr>
          <w:ilvl w:val="0"/>
          <w:numId w:val="1249"/>
        </w:numPr>
        <w:pStyle w:val="Compact"/>
      </w:pPr>
      <w:r>
        <w:rPr>
          <w:bCs/>
          <w:b/>
        </w:rPr>
        <w:t xml:space="preserve">MC5R</w:t>
      </w:r>
      <w:r>
        <w:t xml:space="preserve"> </w:t>
      </w:r>
      <w:r>
        <w:t xml:space="preserve">atua, entre outras, sobre as glândulas sebáceas e outras glândulas.</w:t>
      </w:r>
    </w:p>
    <w:p>
      <w:pPr>
        <w:pStyle w:val="FirstParagraph"/>
      </w:pPr>
      <w:r>
        <w:t xml:space="preserve">A história dos três peptídeos de melanocortina desta parte começa na Universidade do Arizona. Lá, nas décadas de 1980 e 1990, pesquisadores desenvolveram duas variantes estabilizadas do alfa-MSH para provocar um bronzeamento sem sol: o melanotan I, linear, e o melanotan II, em forma de anel</w:t>
      </w:r>
      <w:r>
        <w:rPr>
          <w:rStyle w:val="FootnoteReference"/>
        </w:rPr>
        <w:footnoteReference w:id="1959"/>
      </w:r>
      <w:r>
        <w:t xml:space="preserve">. Em testes com melanotan II, homens relataram ereções espontâneas – a descoberta de que as melanocortinas no cérebro influenciam a função sexual</w:t>
      </w:r>
      <w:r>
        <w:rPr>
          <w:rStyle w:val="FootnoteReference"/>
        </w:rPr>
        <w:footnoteReference w:id="1960"/>
      </w:r>
      <w:r>
        <w:t xml:space="preserve">.</w:t>
      </w:r>
    </w:p>
    <w:p>
      <w:pPr>
        <w:pStyle w:val="BodyText"/>
      </w:pPr>
      <w:r>
        <w:t xml:space="preserve">Desses começos surgiram três caminhos:</w:t>
      </w:r>
    </w:p>
    <w:p>
      <w:pPr>
        <w:numPr>
          <w:ilvl w:val="0"/>
          <w:numId w:val="1250"/>
        </w:numPr>
        <w:pStyle w:val="Compact"/>
      </w:pPr>
      <w:r>
        <w:rPr>
          <w:bCs/>
          <w:b/>
        </w:rPr>
        <w:t xml:space="preserve">O melanotan I</w:t>
      </w:r>
      <w:r>
        <w:t xml:space="preserve"> </w:t>
      </w:r>
      <w:r>
        <w:t xml:space="preserve">foi desenvolvido, com o nome</w:t>
      </w:r>
      <w:r>
        <w:t xml:space="preserve"> </w:t>
      </w:r>
      <w:r>
        <w:rPr>
          <w:bCs/>
          <w:b/>
        </w:rPr>
        <w:t xml:space="preserve">afamelanotida</w:t>
      </w:r>
      <w:r>
        <w:t xml:space="preserve">, como implante contra uma rara e dolorosa sensibilidade à luz e está aprovado na UE e nos EUA.</w:t>
      </w:r>
    </w:p>
    <w:p>
      <w:pPr>
        <w:numPr>
          <w:ilvl w:val="0"/>
          <w:numId w:val="1250"/>
        </w:numPr>
        <w:pStyle w:val="Compact"/>
      </w:pPr>
      <w:r>
        <w:rPr>
          <w:bCs/>
          <w:b/>
        </w:rPr>
        <w:t xml:space="preserve">O melanotan II</w:t>
      </w:r>
      <w:r>
        <w:t xml:space="preserve"> </w:t>
      </w:r>
      <w:r>
        <w:t xml:space="preserve">nunca foi aprovado, mas é difundido no mercado cinza como</w:t>
      </w:r>
      <w:r>
        <w:t xml:space="preserve"> </w:t>
      </w:r>
      <w:r>
        <w:t xml:space="preserve">“</w:t>
      </w:r>
      <w:r>
        <w:t xml:space="preserve">injeção de bronzeamento</w:t>
      </w:r>
      <w:r>
        <w:t xml:space="preserve">”</w:t>
      </w:r>
      <w:r>
        <w:t xml:space="preserve">.</w:t>
      </w:r>
    </w:p>
    <w:p>
      <w:pPr>
        <w:numPr>
          <w:ilvl w:val="0"/>
          <w:numId w:val="1250"/>
        </w:numPr>
        <w:pStyle w:val="Compact"/>
      </w:pPr>
      <w:r>
        <w:rPr>
          <w:bCs/>
          <w:b/>
        </w:rPr>
        <w:t xml:space="preserve">A bremelanotida</w:t>
      </w:r>
      <w:r>
        <w:t xml:space="preserve">, uma variante do melanotan II, está aprovada nos EUA contra o baixo desejo sexual em mulheres.</w:t>
      </w:r>
    </w:p>
    <w:p>
      <w:pPr>
        <w:pStyle w:val="FirstParagraph"/>
      </w:pPr>
      <w:r>
        <w:t xml:space="preserve">Um quarto princípio ativo de melanocortina, a setmelanotida, tem como alvo específico o MC4R e é usado em formas genéticas raras de obesidade; ele é tratado na Parte II · A. Quanto mais seletivamente um princípio ativo se liga a um receptor, mais direcionada é sua ação. O melanotan II se liga a quase todos e, por isso, reúne bronzeamento, náusea, perda de apetite e ereções em uma única molécula.</w:t>
      </w:r>
    </w:p>
    <w:bookmarkEnd w:id="1961"/>
    <w:bookmarkStart w:id="1962" w:name="o-eixo-hormonal-da-reprodução"/>
    <w:p>
      <w:pPr>
        <w:pStyle w:val="Heading3"/>
      </w:pPr>
      <w:r>
        <w:t xml:space="preserve">O eixo hormonal da reprodução</w:t>
      </w:r>
    </w:p>
    <w:p>
      <w:pPr>
        <w:pStyle w:val="FirstParagraph"/>
      </w:pPr>
      <w:r>
        <w:t xml:space="preserve">Os outros três peptídeos desta parte atuam sobre o eixo que controla a puberdade, o ciclo menstrual e a fertilidade. A</w:t>
      </w:r>
      <w:r>
        <w:t xml:space="preserve"> </w:t>
      </w:r>
      <w:r>
        <w:rPr>
          <w:bCs/>
          <w:b/>
        </w:rPr>
        <w:t xml:space="preserve">kisspeptina</w:t>
      </w:r>
      <w:r>
        <w:t xml:space="preserve"> </w:t>
      </w:r>
      <w:r>
        <w:t xml:space="preserve">ativa os neurônios de GnRH no hipotálamo. A</w:t>
      </w:r>
      <w:r>
        <w:t xml:space="preserve"> </w:t>
      </w:r>
      <w:r>
        <w:rPr>
          <w:bCs/>
          <w:b/>
        </w:rPr>
        <w:t xml:space="preserve">gonadorelina</w:t>
      </w:r>
      <w:r>
        <w:t xml:space="preserve"> </w:t>
      </w:r>
      <w:r>
        <w:t xml:space="preserve">é a forma sintética do próprio GnRH, que, liberado em pulsos, estimula a hipófise a secretar LH e FSH. Ambas mostram um princípio comum: administradas no ritmo certo, ativam o eixo; como estímulo contínuo, o freiam. A</w:t>
      </w:r>
      <w:r>
        <w:t xml:space="preserve"> </w:t>
      </w:r>
      <w:r>
        <w:rPr>
          <w:bCs/>
          <w:b/>
        </w:rPr>
        <w:t xml:space="preserve">ocitocina</w:t>
      </w:r>
      <w:r>
        <w:t xml:space="preserve">, por fim, provém das mesmas regiões cerebrais, controla o parto e a amamentação e é estudada há duas décadas como spray nasal para o comportamento social – com resultados decepcionantes.</w:t>
      </w:r>
    </w:p>
    <w:bookmarkEnd w:id="1962"/>
    <w:bookmarkStart w:id="1963" w:name="visão-geral-3"/>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EUA (Vyleesi), não na UE</w:t>
            </w:r>
          </w:p>
        </w:tc>
        <w:tc>
          <w:tcPr/>
          <w:p>
            <w:pPr>
              <w:pStyle w:val="Compact"/>
              <w:jc w:val="left"/>
            </w:pPr>
            <w:r>
              <w:t xml:space="preserve">Desejo em mulheres com HSDD; efeito pequeno, muita náusea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nenhuma</w:t>
            </w:r>
          </w:p>
        </w:tc>
        <w:tc>
          <w:tcPr/>
          <w:p>
            <w:pPr>
              <w:pStyle w:val="Compact"/>
              <w:jc w:val="left"/>
            </w:pPr>
            <w:r>
              <w:t xml:space="preserve">Bronzeamento do mercado cinza; relatos de caso sobre pintas e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e EUA (Scenesse)</w:t>
            </w:r>
          </w:p>
        </w:tc>
        <w:tc>
          <w:tcPr/>
          <w:p>
            <w:pPr>
              <w:pStyle w:val="Compact"/>
              <w:jc w:val="left"/>
            </w:pPr>
            <w:r>
              <w:t xml:space="preserve">Proteção contra a luz na EPP; vitiligo em estudo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nenhuma</w:t>
            </w:r>
          </w:p>
        </w:tc>
        <w:tc>
          <w:tcPr/>
          <w:p>
            <w:pPr>
              <w:pStyle w:val="Compact"/>
              <w:jc w:val="left"/>
            </w:pPr>
            <w:r>
              <w:t xml:space="preserve">Maturação de óvulos na FIV, testes hormonais; pesquisa</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como infusão (obstetrícia)</w:t>
            </w:r>
          </w:p>
        </w:tc>
        <w:tc>
          <w:tcPr/>
          <w:p>
            <w:pPr>
              <w:pStyle w:val="Compact"/>
              <w:jc w:val="left"/>
            </w:pPr>
            <w:r>
              <w:t xml:space="preserve">Autismo e confiança: grandes estudos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não mais nos EUA</w:t>
            </w:r>
          </w:p>
        </w:tc>
        <w:tc>
          <w:tcPr/>
          <w:p>
            <w:pPr>
              <w:pStyle w:val="Compact"/>
              <w:jc w:val="left"/>
            </w:pPr>
            <w:r>
              <w:t xml:space="preserve">Teste de GnRH e bomba para quem deseja ter filhos; proibida no esporte</w:t>
            </w:r>
          </w:p>
        </w:tc>
      </w:tr>
    </w:tbl>
    <w:p>
      <w:pPr>
        <w:pStyle w:val="BodyText"/>
      </w:pPr>
      <w:r>
        <w:t xml:space="preserve">As informações sobre aprovação correspondem à situação em 2026 e devem ser verificadas quanto à atualização.</w:t>
      </w:r>
    </w:p>
    <w:bookmarkEnd w:id="1963"/>
    <w:bookmarkStart w:id="1964" w:name="orientação-de-leitura-4"/>
    <w:p>
      <w:pPr>
        <w:pStyle w:val="Heading3"/>
      </w:pPr>
      <w:r>
        <w:t xml:space="preserve">Orientação de leitura</w:t>
      </w:r>
    </w:p>
    <w:p>
      <w:pPr>
        <w:pStyle w:val="FirstParagraph"/>
      </w:pPr>
      <w:r>
        <w:t xml:space="preserve">Quem se interessa por bronzeadores deve ler juntos os capítulos sobre melanotan II e afamelanotida: eles mostram como a mesma ideia básica pode ter resultados muito diferentes – uma vez como medicamento testado em um ambulatório especializado, outra vez como pó não testado vindo da internet. Para o tema sexualidade, vale a pena comparar bremelanotida, kisspeptina e ocitocina; as três mostram como os efeitos placebo são fortes nesse campo. Kisspeptina e gonadorelina explicam, juntas, o eixo hormonal da fertilidade. Informações gerais sobre produtos do mercado cinza estão na Parte I; os riscos em comparação, na Parte IV.</w:t>
      </w:r>
    </w:p>
    <w:bookmarkEnd w:id="1964"/>
    <w:bookmarkStart w:id="2021" w:name="bremelanotida-pt-141"/>
    <w:p>
      <w:pPr>
        <w:pStyle w:val="Heading2"/>
      </w:pPr>
      <w:r>
        <w:t xml:space="preserve">Bremelanotida (PT-141)</w:t>
      </w:r>
    </w:p>
    <w:bookmarkStart w:id="1967" w:name="ficha-técnica-46"/>
    <w:p>
      <w:pPr>
        <w:pStyle w:val="Heading3"/>
      </w:pPr>
      <w:r>
        <w:t xml:space="preserve">Ficha técnica</w:t>
      </w:r>
    </w:p>
    <w:p>
      <w:pPr>
        <w:numPr>
          <w:ilvl w:val="0"/>
          <w:numId w:val="1251"/>
        </w:numPr>
        <w:pStyle w:val="Compact"/>
      </w:pPr>
      <w:r>
        <w:rPr>
          <w:bCs/>
          <w:b/>
        </w:rPr>
        <w:t xml:space="preserve">Tipo/estrutura:</w:t>
      </w:r>
      <w:r>
        <w:t xml:space="preserve"> </w:t>
      </w:r>
      <w:r>
        <w:t xml:space="preserve">peptídeo em forma de anel (cíclico) de sete aminoácidos, produzido sinteticamente. Deriva do hormônio endógeno alfa-MSH (hormônio estimulante dos melanócitos alfa) e é um parente próximo do melanotan II (capítulo 2E02). Na literatura também é chamado de PT-141.</w:t>
      </w:r>
    </w:p>
    <w:p>
      <w:pPr>
        <w:numPr>
          <w:ilvl w:val="0"/>
          <w:numId w:val="1251"/>
        </w:numPr>
        <w:pStyle w:val="Compact"/>
      </w:pPr>
      <w:r>
        <w:rPr>
          <w:bCs/>
          <w:b/>
        </w:rPr>
        <w:t xml:space="preserve">Origem:</w:t>
      </w:r>
      <w:r>
        <w:t xml:space="preserve"> </w:t>
      </w:r>
      <w:r>
        <w:t xml:space="preserve">surgiu do desenvolvimento do melanotan II na Universidade do Arizona; desenvolvido posteriormente pela empresa Palatin Technologies</w:t>
      </w:r>
      <w:r>
        <w:rPr>
          <w:rStyle w:val="FootnoteReference"/>
        </w:rPr>
        <w:footnoteReference w:id="1965"/>
      </w:r>
      <w:r>
        <w:t xml:space="preserve">.</w:t>
      </w:r>
    </w:p>
    <w:p>
      <w:pPr>
        <w:numPr>
          <w:ilvl w:val="0"/>
          <w:numId w:val="1251"/>
        </w:numPr>
        <w:pStyle w:val="Compact"/>
      </w:pPr>
      <w:r>
        <w:rPr>
          <w:bCs/>
          <w:b/>
        </w:rPr>
        <w:t xml:space="preserve">Mecanismo de ação:</w:t>
      </w:r>
      <w:r>
        <w:t xml:space="preserve"> </w:t>
      </w:r>
      <w:r>
        <w:t xml:space="preserve">agonista dos receptores de melanocortina, sobretudo do MC4R no cérebro. Não atua sobre os vasos sanguíneos dos órgãos genitais, como a sildenafila, mas sobre regiões cerebrais envolvidas no desejo sexual.</w:t>
      </w:r>
    </w:p>
    <w:p>
      <w:pPr>
        <w:numPr>
          <w:ilvl w:val="0"/>
          <w:numId w:val="1251"/>
        </w:numPr>
        <w:pStyle w:val="Compact"/>
      </w:pPr>
      <w:r>
        <w:rPr>
          <w:bCs/>
          <w:b/>
        </w:rPr>
        <w:t xml:space="preserve">Forma farmacêutica:</w:t>
      </w:r>
      <w:r>
        <w:t xml:space="preserve"> </w:t>
      </w:r>
      <w:r>
        <w:t xml:space="preserve">seringa preenchida (autoinjetor) para aplicação subcutânea conforme a necessidade, cerca de 45 minutos antes da atividade sexual. Os primeiros estudos usaram um spray nasal.</w:t>
      </w:r>
    </w:p>
    <w:p>
      <w:pPr>
        <w:numPr>
          <w:ilvl w:val="0"/>
          <w:numId w:val="1251"/>
        </w:numPr>
        <w:pStyle w:val="Compact"/>
      </w:pPr>
      <w:r>
        <w:rPr>
          <w:bCs/>
          <w:b/>
        </w:rPr>
        <w:t xml:space="preserve">Aprovação na UE:</w:t>
      </w:r>
      <w:r>
        <w:t xml:space="preserve"> </w:t>
      </w:r>
      <w:r>
        <w:t xml:space="preserve">não.</w:t>
      </w:r>
    </w:p>
    <w:p>
      <w:pPr>
        <w:numPr>
          <w:ilvl w:val="0"/>
          <w:numId w:val="1251"/>
        </w:numPr>
        <w:pStyle w:val="Compact"/>
      </w:pPr>
      <w:r>
        <w:rPr>
          <w:bCs/>
          <w:b/>
        </w:rPr>
        <w:t xml:space="preserve">Aprovação nos EUA:</w:t>
      </w:r>
      <w:r>
        <w:t xml:space="preserve"> </w:t>
      </w:r>
      <w:r>
        <w:t xml:space="preserve">sim, desde 2019 como Vyleesi para mulheres na pré-menopausa com transtorno adquirido e generalizado do desejo sexual (transtorno do desejo sexual hipoativo, HSDD)</w:t>
      </w:r>
      <w:r>
        <w:rPr>
          <w:rStyle w:val="FootnoteReference"/>
        </w:rPr>
        <w:footnoteReference w:id="1966"/>
      </w:r>
      <w:r>
        <w:t xml:space="preserve">. Uso apenas com prescrição médica e conforme a bula.</w:t>
      </w:r>
    </w:p>
    <w:p>
      <w:pPr>
        <w:numPr>
          <w:ilvl w:val="0"/>
          <w:numId w:val="1251"/>
        </w:numPr>
        <w:pStyle w:val="Compact"/>
      </w:pPr>
      <w:r>
        <w:rPr>
          <w:bCs/>
          <w:b/>
        </w:rPr>
        <w:t xml:space="preserve">WADA:</w:t>
      </w:r>
      <w:r>
        <w:t xml:space="preserve"> </w:t>
      </w:r>
      <w:r>
        <w:t xml:space="preserve">não listada nominalmente.</w:t>
      </w:r>
    </w:p>
    <w:p>
      <w:pPr>
        <w:numPr>
          <w:ilvl w:val="0"/>
          <w:numId w:val="1251"/>
        </w:numPr>
        <w:pStyle w:val="Compact"/>
      </w:pPr>
      <w:r>
        <w:rPr>
          <w:bCs/>
          <w:b/>
        </w:rPr>
        <w:t xml:space="preserve">Nível de evidência:</w:t>
      </w:r>
      <w:r>
        <w:t xml:space="preserve"> </w:t>
      </w:r>
      <w:r>
        <w:rPr>
          <w:bCs/>
          <w:b/>
        </w:rPr>
        <w:t xml:space="preserve">A</w:t>
      </w:r>
      <w:r>
        <w:t xml:space="preserve"> </w:t>
      </w:r>
      <w:r>
        <w:t xml:space="preserve">– dois grandes estudos randomizados de fase 3 com mais de 1.200 participantes no total, aprovação nos EUA. O benefício clínico, porém, é pequeno e controverso (veja abaixo).</w:t>
      </w:r>
    </w:p>
    <w:bookmarkEnd w:id="1967"/>
    <w:bookmarkStart w:id="1972" w:name="como-deveria-agir-46"/>
    <w:p>
      <w:pPr>
        <w:pStyle w:val="Heading3"/>
      </w:pPr>
      <w:r>
        <w:t xml:space="preserve">Como deveria agir</w:t>
      </w:r>
    </w:p>
    <w:p>
      <w:pPr>
        <w:pStyle w:val="FirstParagraph"/>
      </w:pPr>
      <w:r>
        <w:t xml:space="preserve">O sistema das melanocortinas é uma rede de mensageiros e cinco receptores (do MC1R ao MC5R), descrita com mais detalhes na introdução desta parte. Para a bremelanotida, o receptor mais importante é o MC4R. Ele se localiza, entre outros lugares, no hipotálamo, uma central de controle no diencéfalo, e ali influencia o apetite, o gasto de energia e – como se descobriu por acaso – a excitação sexual.</w:t>
      </w:r>
    </w:p>
    <w:p>
      <w:pPr>
        <w:pStyle w:val="BodyText"/>
      </w:pPr>
      <w:r>
        <w:t xml:space="preserve">A descoberta foi um subproduto da pesquisa sobre bronzeamento: homens que, na década de 1990, receberam melanotan II para bronzear a pele relataram ereções espontâneas</w:t>
      </w:r>
      <w:r>
        <w:rPr>
          <w:rStyle w:val="FootnoteReference"/>
        </w:rPr>
        <w:footnoteReference w:id="1968"/>
      </w:r>
      <w:r>
        <w:t xml:space="preserve">. A bremelanotida é uma forma ligeiramente modificada dessa molécula. Ela ativa vários receptores de melanocortina, mas, nas doses utilizadas, o MC4R é o mais importante</w:t>
      </w:r>
      <w:r>
        <w:rPr>
          <w:rStyle w:val="FootnoteReference"/>
        </w:rPr>
        <w:footnoteReference w:id="1969"/>
      </w:r>
      <w:r>
        <w:t xml:space="preserve">. Ainda assim, não está totalmente livre de efeito sobre a pele – o que explica as manchas pigmentares observadas.</w:t>
      </w:r>
    </w:p>
    <w:p>
      <w:pPr>
        <w:pStyle w:val="BodyText"/>
      </w:pPr>
      <w:r>
        <w:t xml:space="preserve">Como exatamente a ativação do MC4R influencia o desejo sexual é entendido apenas em parte. Experimentos em animais indicam que a bremelanotida estimula, em uma determinada região do hipotálamo (a área pré-óptica medial), a liberação do mensageiro dopamina, que favorece o desejo sexual</w:t>
      </w:r>
      <w:r>
        <w:rPr>
          <w:rStyle w:val="FootnoteReference"/>
        </w:rPr>
        <w:footnoteReference w:id="1970"/>
      </w:r>
      <w:r>
        <w:t xml:space="preserve">. Um estudo britânico com ressonância magnética funcional (RMf) em 31 mulheres com HSDD encontrou, sob um agonista de MC4R, atividade alterada em regiões cerebrais que processam estímulos eróticos</w:t>
      </w:r>
      <w:r>
        <w:rPr>
          <w:rStyle w:val="FootnoteReference"/>
        </w:rPr>
        <w:footnoteReference w:id="1971"/>
      </w:r>
      <w:r>
        <w:t xml:space="preserve">. As autoras e os autores interpretam isso como menor auto-observação e maior receptividade a estímulos eróticos – uma interpretação, não uma explicação comprovada.</w:t>
      </w:r>
    </w:p>
    <w:p>
      <w:pPr>
        <w:pStyle w:val="BodyText"/>
      </w:pPr>
      <w:r>
        <w:t xml:space="preserve">Importante para a compreensão: a aprovação não visa a</w:t>
      </w:r>
      <w:r>
        <w:t xml:space="preserve"> </w:t>
      </w:r>
      <w:r>
        <w:t xml:space="preserve">“</w:t>
      </w:r>
      <w:r>
        <w:t xml:space="preserve">mais desejo</w:t>
      </w:r>
      <w:r>
        <w:t xml:space="preserve">”</w:t>
      </w:r>
      <w:r>
        <w:t xml:space="preserve"> </w:t>
      </w:r>
      <w:r>
        <w:t xml:space="preserve">em pessoas saudáveis, mas a um diagnóstico definido. HSDD significa desejo sexual persistentemente baixo, que causa sofrimento e não é explicado por outra doença, medicamentos ou problemas de relacionamento.</w:t>
      </w:r>
    </w:p>
    <w:bookmarkEnd w:id="1972"/>
    <w:bookmarkStart w:id="1998" w:name="estudos-em-humanos-46"/>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16</w:t>
      </w:r>
      <w:r>
        <w:t xml:space="preserve"> </w:t>
      </w:r>
      <w:r>
        <w:t xml:space="preserve">estudos em humanos no PubMed (</w:t>
      </w:r>
      <w:r>
        <w:rPr>
          <w:rStyle w:val="VerbatimChar"/>
        </w:rPr>
        <w:t xml:space="preserve">humanstudien_alle</w:t>
      </w:r>
      <w:r>
        <w:t xml:space="preserve">) e</w:t>
      </w:r>
      <w:r>
        <w:t xml:space="preserve"> </w:t>
      </w:r>
      <w:r>
        <w:rPr>
          <w:bCs/>
          <w:b/>
        </w:rPr>
        <w:t xml:space="preserve">10</w:t>
      </w:r>
      <w:r>
        <w:t xml:space="preserve"> </w:t>
      </w:r>
      <w:r>
        <w:t xml:space="preserve">registros no ClinicalTrials.gov. Somam-se a isso várias revisões e metanálises. Para a avaliação, pesam sobretudo os dois estudos de aprovação RECONNECT, sua extensão e a análise de segurança de todo o programa de desenvolvimento.</w:t>
      </w:r>
    </w:p>
    <w:bookmarkStart w:id="1978" w:name="primeiros-estudos-em-homens"/>
    <w:p>
      <w:pPr>
        <w:pStyle w:val="Heading4"/>
      </w:pPr>
      <w:r>
        <w:t xml:space="preserve">Primeiros estudos em homens</w:t>
      </w:r>
    </w:p>
    <w:p>
      <w:pPr>
        <w:pStyle w:val="FirstParagraph"/>
      </w:pPr>
      <w:r>
        <w:t xml:space="preserve">A bremelanotida foi desenvolvida inicialmente como medicamento contra a disfunção erétil. Em estudos de fase 1 com spray nasal</w:t>
      </w:r>
      <w:r>
        <w:rPr>
          <w:rStyle w:val="FootnoteReference"/>
        </w:rPr>
        <w:footnoteReference w:id="1973"/>
      </w:r>
      <w:r>
        <w:t xml:space="preserve"> </w:t>
      </w:r>
      <w:r>
        <w:t xml:space="preserve">e injeção</w:t>
      </w:r>
      <w:r>
        <w:rPr>
          <w:rStyle w:val="FootnoteReference"/>
        </w:rPr>
        <w:footnoteReference w:id="1974"/>
      </w:r>
      <w:r>
        <w:t xml:space="preserve">, ela provocou ereções mensuráveis em homens saudáveis e em homens com disfunção erétil, inclusive naqueles que respondiam de forma insuficiente ao Viagra. Em um pequeno estudo com 19 pacientes, uma dose baixa de bremelanotida potencializou o efeito de uma dose baixa de sildenafila</w:t>
      </w:r>
      <w:r>
        <w:rPr>
          <w:rStyle w:val="FootnoteReference"/>
        </w:rPr>
        <w:footnoteReference w:id="1975"/>
      </w:r>
      <w:r>
        <w:t xml:space="preserve">.</w:t>
      </w:r>
    </w:p>
    <w:p>
      <w:pPr>
        <w:pStyle w:val="BodyText"/>
      </w:pPr>
      <w:r>
        <w:t xml:space="preserve">Um estudo com 342 homens nos quais a sildenafila não havia funcionado relatou resultado positivo em 33,5% com o spray nasal de bremelanotida, contra 8,5% com placebo</w:t>
      </w:r>
      <w:r>
        <w:rPr>
          <w:rStyle w:val="FootnoteReference"/>
        </w:rPr>
        <w:footnoteReference w:id="1976"/>
      </w:r>
      <w:r>
        <w:t xml:space="preserve">. Esse trabalho deve ser lido com cautela: um segundo estudo do mesmo primeiro autor sobre bremelanotida em mulheres foi retratado pela revista científica, porque os métodos e os resultados não eram verificáveis</w:t>
      </w:r>
      <w:r>
        <w:rPr>
          <w:rStyle w:val="FootnoteReference"/>
        </w:rPr>
        <w:footnoteReference w:id="1977"/>
      </w:r>
      <w:r>
        <w:t xml:space="preserve">; outros trabalhos do autor também foram retratados.</w:t>
      </w:r>
    </w:p>
    <w:p>
      <w:pPr>
        <w:pStyle w:val="BodyText"/>
      </w:pPr>
      <w:r>
        <w:t xml:space="preserve">O desenvolvimento do spray nasal foi interrompido depois que aumentos da pressão arterial chamaram a atenção nos estudos. A empresa passou para a injeção e para o público-alvo feminino.</w:t>
      </w:r>
    </w:p>
    <w:bookmarkEnd w:id="1978"/>
    <w:bookmarkStart w:id="1982" w:name="busca-de-dose-em-mulheres"/>
    <w:p>
      <w:pPr>
        <w:pStyle w:val="Heading4"/>
      </w:pPr>
      <w:r>
        <w:t xml:space="preserve">Busca de dose em mulheres</w:t>
      </w:r>
    </w:p>
    <w:p>
      <w:pPr>
        <w:pStyle w:val="FirstParagraph"/>
      </w:pPr>
      <w:r>
        <w:t xml:space="preserve">Um primeiro pequeno estudo de laboratório com 18 mulheres com transtorno da excitação mostrou, após uma única administração, desejo moderado a alto com mais frequência do que após placebo, mas nenhuma alteração mensurável da irrigação sanguínea da vagina ao assistir a filmes eróticos</w:t>
      </w:r>
      <w:r>
        <w:rPr>
          <w:rStyle w:val="FootnoteReference"/>
        </w:rPr>
        <w:footnoteReference w:id="1979"/>
      </w:r>
      <w:r>
        <w:t xml:space="preserve">.</w:t>
      </w:r>
    </w:p>
    <w:p>
      <w:pPr>
        <w:pStyle w:val="BodyText"/>
      </w:pPr>
      <w:r>
        <w:t xml:space="preserve">O estudo decisivo de fase 2b</w:t>
      </w:r>
      <w:r>
        <w:rPr>
          <w:rStyle w:val="FootnoteReference"/>
        </w:rPr>
        <w:footnoteReference w:id="1980"/>
      </w:r>
      <w:r>
        <w:t xml:space="preserve"> </w:t>
      </w:r>
      <w:r>
        <w:t xml:space="preserve">testou três doses contra placebo durante doze semanas em mulheres na pré-menopausa. Foram avaliadas 327 participantes. Somando as duas doses mais altas, o número de</w:t>
      </w:r>
      <w:r>
        <w:t xml:space="preserve"> </w:t>
      </w:r>
      <w:r>
        <w:t xml:space="preserve">“</w:t>
      </w:r>
      <w:r>
        <w:t xml:space="preserve">eventos sexuais satisfatórios</w:t>
      </w:r>
      <w:r>
        <w:t xml:space="preserve">”</w:t>
      </w:r>
      <w:r>
        <w:t xml:space="preserve"> </w:t>
      </w:r>
      <w:r>
        <w:t xml:space="preserve">aumentou 0,7 por mês, contra 0,2 com placebo. No questionário FSFI (Female Sexual Function Index, uma pontuação da função sexual), o aumento foi de 3,6 contra 1,9 pontos. Uma análise posterior definiu a partir de qual mudança um efeito é considerado clinicamente relevante; esses limiares foram então adotados nos estudos de fase 3</w:t>
      </w:r>
      <w:r>
        <w:rPr>
          <w:rStyle w:val="FootnoteReference"/>
        </w:rPr>
        <w:footnoteReference w:id="1981"/>
      </w:r>
      <w:r>
        <w:t xml:space="preserve">.</w:t>
      </w:r>
    </w:p>
    <w:bookmarkEnd w:id="1982"/>
    <w:bookmarkStart w:id="1986" w:name="os-estudos-de-aprovação-reconnect"/>
    <w:p>
      <w:pPr>
        <w:pStyle w:val="Heading4"/>
      </w:pPr>
      <w:r>
        <w:t xml:space="preserve">Os estudos de aprovação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RECONNECT 301 e 302 (Kingsberg 2019), PMID 31599840</w:t>
            </w:r>
          </w:p>
        </w:tc>
        <w:tc>
          <w:tcPr/>
          <w:p>
            <w:pPr>
              <w:pStyle w:val="Compact"/>
              <w:jc w:val="left"/>
            </w:pPr>
            <w:r>
              <w:t xml:space="preserve">1.267 mulheres na pré-menopausa com HSDD, dois ECRs contra placebo, uso conforme a necessidade</w:t>
            </w:r>
          </w:p>
        </w:tc>
        <w:tc>
          <w:tcPr/>
          <w:p>
            <w:pPr>
              <w:pStyle w:val="Compact"/>
              <w:jc w:val="left"/>
            </w:pPr>
            <w:r>
              <w:t xml:space="preserve">24 semanas</w:t>
            </w:r>
          </w:p>
        </w:tc>
        <w:tc>
          <w:tcPr/>
          <w:p>
            <w:pPr>
              <w:pStyle w:val="Compact"/>
              <w:jc w:val="left"/>
            </w:pPr>
            <w:r>
              <w:t xml:space="preserve">Desejo (FSFI-Desire) +0,35 ponto a mais que placebo; sofrimento −0,33 ponto mais reduzido</w:t>
            </w:r>
          </w:p>
        </w:tc>
      </w:tr>
      <w:tr>
        <w:tc>
          <w:tcPr/>
          <w:p>
            <w:pPr>
              <w:pStyle w:val="Compact"/>
              <w:jc w:val="left"/>
            </w:pPr>
            <w:r>
              <w:t xml:space="preserve">Extensão aberta (Simon 2019), PMID 31599847</w:t>
            </w:r>
          </w:p>
        </w:tc>
        <w:tc>
          <w:tcPr/>
          <w:p>
            <w:pPr>
              <w:pStyle w:val="Compact"/>
              <w:jc w:val="left"/>
            </w:pPr>
            <w:r>
              <w:t xml:space="preserve">684 mulheres de ambos os estudos, todas com bremelanotida</w:t>
            </w:r>
          </w:p>
        </w:tc>
        <w:tc>
          <w:tcPr/>
          <w:p>
            <w:pPr>
              <w:pStyle w:val="Compact"/>
              <w:jc w:val="left"/>
            </w:pPr>
            <w:r>
              <w:t xml:space="preserve">52 semanas</w:t>
            </w:r>
          </w:p>
        </w:tc>
        <w:tc>
          <w:tcPr/>
          <w:p>
            <w:pPr>
              <w:pStyle w:val="Compact"/>
              <w:jc w:val="left"/>
            </w:pPr>
            <w:r>
              <w:t xml:space="preserve">272 concluíram a extensão; nenhum novo sinal de segurança</w:t>
            </w:r>
          </w:p>
        </w:tc>
      </w:tr>
      <w:tr>
        <w:tc>
          <w:tcPr/>
          <w:p>
            <w:pPr>
              <w:pStyle w:val="Compact"/>
              <w:jc w:val="left"/>
            </w:pPr>
            <w:r>
              <w:t xml:space="preserve">Análise de subgrupos (Simon 2022), PMID 35230162</w:t>
            </w:r>
          </w:p>
        </w:tc>
        <w:tc>
          <w:tcPr/>
          <w:p>
            <w:pPr>
              <w:pStyle w:val="Compact"/>
              <w:jc w:val="left"/>
            </w:pPr>
            <w:r>
              <w:t xml:space="preserve">1.202 mulheres de ambos os estudos</w:t>
            </w:r>
          </w:p>
        </w:tc>
        <w:tc>
          <w:tcPr/>
          <w:p>
            <w:pPr>
              <w:pStyle w:val="Compact"/>
              <w:jc w:val="left"/>
            </w:pPr>
            <w:r>
              <w:t xml:space="preserve">24 semanas</w:t>
            </w:r>
          </w:p>
        </w:tc>
        <w:tc>
          <w:tcPr/>
          <w:p>
            <w:pPr>
              <w:pStyle w:val="Compact"/>
              <w:jc w:val="left"/>
            </w:pPr>
            <w:r>
              <w:t xml:space="preserve">Efeito semelhante em quase todos os subgrupos de idade, peso e hormônios</w:t>
            </w:r>
          </w:p>
        </w:tc>
      </w:tr>
      <w:tr>
        <w:tc>
          <w:tcPr/>
          <w:p>
            <w:pPr>
              <w:pStyle w:val="Compact"/>
              <w:jc w:val="left"/>
            </w:pPr>
            <w:r>
              <w:t xml:space="preserve">Análise de segurança (Clayton 2022), PMID 35147466</w:t>
            </w:r>
          </w:p>
        </w:tc>
        <w:tc>
          <w:tcPr/>
          <w:p>
            <w:pPr>
              <w:pStyle w:val="Compact"/>
              <w:jc w:val="left"/>
            </w:pPr>
            <w:r>
              <w:t xml:space="preserve">cerca de 3.500 pessoas em 43 estudos</w:t>
            </w:r>
          </w:p>
        </w:tc>
        <w:tc>
          <w:tcPr/>
          <w:p>
            <w:pPr>
              <w:pStyle w:val="Compact"/>
              <w:jc w:val="left"/>
            </w:pPr>
            <w:r>
              <w:t xml:space="preserve">até 18 meses</w:t>
            </w:r>
          </w:p>
        </w:tc>
        <w:tc>
          <w:tcPr/>
          <w:p>
            <w:pPr>
              <w:pStyle w:val="Compact"/>
              <w:jc w:val="left"/>
            </w:pPr>
            <w:r>
              <w:t xml:space="preserve">Náusea 40,0% vs. 1,3%, rubor 20,3% vs. 1,3%</w:t>
            </w:r>
          </w:p>
        </w:tc>
      </w:tr>
    </w:tbl>
    <w:p>
      <w:pPr>
        <w:pStyle w:val="BodyText"/>
      </w:pPr>
      <w:r>
        <w:t xml:space="preserve">Os dois estudos idênticos 301 e 302</w:t>
      </w:r>
      <w:r>
        <w:rPr>
          <w:rStyle w:val="FootnoteReference"/>
        </w:rPr>
        <w:footnoteReference w:id="1983"/>
      </w:r>
      <w:r>
        <w:t xml:space="preserve"> </w:t>
      </w:r>
      <w:r>
        <w:t xml:space="preserve">ocorreram em 2015 e 2016, principalmente nos EUA. As participantes aplicavam em si mesmas, conforme a necessidade antes da atividade sexual, 1,75 mg de bremelanotida ou placebo com um autoinjetor. Foram medidos dois desfechos principais: o desejo sexual (domínio Desire do FSFI, escala de 1,2 a 6) e o sofrimento devido ao baixo desejo (uma pergunta isolada do questionário FSDS-DAO, escala de 0 a 4).</w:t>
      </w:r>
    </w:p>
    <w:p>
      <w:pPr>
        <w:pStyle w:val="BodyText"/>
      </w:pPr>
      <w:r>
        <w:t xml:space="preserve">Ambos os estudos atingiram seus objetivos principais. Na análise conjunta, o desejo aumentou 0,35 ponto a mais do que com placebo, e o sofrimento diminuiu 0,33 ponto a mais</w:t>
      </w:r>
      <w:r>
        <w:rPr>
          <w:rStyle w:val="FootnoteReference"/>
        </w:rPr>
        <w:footnoteReference w:id="1984"/>
      </w:r>
      <w:r>
        <w:t xml:space="preserve">. Esses números são estatisticamente inequívocos, mas pequenos: em uma escala até 6, um terço de ponto significa uma diferença modesta. Também com placebo os valores melhoraram claramente – um padrão conhecido na medicina sexual.</w:t>
      </w:r>
    </w:p>
    <w:p>
      <w:pPr>
        <w:pStyle w:val="BodyText"/>
      </w:pPr>
      <w:r>
        <w:t xml:space="preserve">Em entrevistas de saída com 242 participantes que ainda não sabiam o que haviam recebido, as mulheres sob bremelanotida descreveram com mais frequência excitação física e mais desejo; sob placebo, mencionaram mais uma melhor comunicação no relacionamento</w:t>
      </w:r>
      <w:r>
        <w:rPr>
          <w:rStyle w:val="FootnoteReference"/>
        </w:rPr>
        <w:footnoteReference w:id="1985"/>
      </w:r>
      <w:r>
        <w:t xml:space="preserve">.</w:t>
      </w:r>
    </w:p>
    <w:bookmarkEnd w:id="1986"/>
    <w:bookmarkStart w:id="1989" w:name="as-críticas-aos-estudos-de-aprovação"/>
    <w:p>
      <w:pPr>
        <w:pStyle w:val="Heading4"/>
      </w:pPr>
      <w:r>
        <w:t xml:space="preserve">As críticas aos estudos de aprovação</w:t>
      </w:r>
    </w:p>
    <w:p>
      <w:pPr>
        <w:pStyle w:val="FirstParagraph"/>
      </w:pPr>
      <w:r>
        <w:t xml:space="preserve">Uma reanálise independente, baseada nos documentos apresentados à agência reguladora de medicamentos dos EUA, a FDA, chegou a um julgamento geral diferente</w:t>
      </w:r>
      <w:r>
        <w:rPr>
          <w:rStyle w:val="FootnoteReference"/>
        </w:rPr>
        <w:footnoteReference w:id="1987"/>
      </w:r>
      <w:r>
        <w:t xml:space="preserve">. O autor confirma os efeitos pequenos, mas critica o fato de cerca de 73% dos resultados previstos no protocolo do estudo não terem sido publicados. Dois achados faltavam na publicação principal:</w:t>
      </w:r>
    </w:p>
    <w:p>
      <w:pPr>
        <w:numPr>
          <w:ilvl w:val="0"/>
          <w:numId w:val="1252"/>
        </w:numPr>
        <w:pStyle w:val="Compact"/>
      </w:pPr>
      <w:r>
        <w:t xml:space="preserve">As interrupções por efeitos colaterais foram muito mais frequentes com bremelanotida (odds ratio 11,98). Pelos cálculos, cerca de uma em cada seis mulheres tratadas interrompeu o tratamento por efeitos colaterais, o que não teria acontecido com placebo.</w:t>
      </w:r>
    </w:p>
    <w:p>
      <w:pPr>
        <w:numPr>
          <w:ilvl w:val="0"/>
          <w:numId w:val="1252"/>
        </w:numPr>
        <w:pStyle w:val="Compact"/>
      </w:pPr>
      <w:r>
        <w:t xml:space="preserve">Quem concluiu o estudo e depois passou para a extensão aberta vinha com mais frequência do grupo placebo. A análise de segurança do fabricante também cita esses números: 70% do grupo bremelanotida, contra 87% do grupo placebo, passaram para a extensão</w:t>
      </w:r>
      <w:r>
        <w:rPr>
          <w:rStyle w:val="FootnoteReference"/>
        </w:rPr>
        <w:footnoteReference w:id="1988"/>
      </w:r>
      <w:r>
        <w:t xml:space="preserve">.</w:t>
      </w:r>
    </w:p>
    <w:p>
      <w:pPr>
        <w:pStyle w:val="FirstParagraph"/>
      </w:pPr>
      <w:r>
        <w:t xml:space="preserve">Spielmans conclui que o medicamento não é útil para a maioria das mulheres. Trata-se de uma opinião individual incisiva, mas baseada em dados que o próprio fabricante também publicou.</w:t>
      </w:r>
    </w:p>
    <w:bookmarkEnd w:id="1989"/>
    <w:bookmarkStart w:id="1993" w:name="metanálises-1"/>
    <w:p>
      <w:pPr>
        <w:pStyle w:val="Heading4"/>
      </w:pPr>
      <w:r>
        <w:t xml:space="preserve">Metanálises</w:t>
      </w:r>
    </w:p>
    <w:p>
      <w:pPr>
        <w:pStyle w:val="FirstParagraph"/>
      </w:pPr>
      <w:r>
        <w:t xml:space="preserve">Uma metanálise sobre medicamentos contra disfunções sexuais femininas (entre eles bremelanotida, flibanserina e ocitocina intranasal) constatou que cerca de 67,7% da melhora nos grupos de tratamento também ocorria com placebo</w:t>
      </w:r>
      <w:r>
        <w:rPr>
          <w:rStyle w:val="FootnoteReference"/>
        </w:rPr>
        <w:footnoteReference w:id="1990"/>
      </w:r>
      <w:r>
        <w:t xml:space="preserve">. Uma metanálise mais recente confirma, para a bremelanotida, pequenas melhoras no desejo e na excitação e uma redução do sofrimento, sem comparação com psicoterapia</w:t>
      </w:r>
      <w:r>
        <w:rPr>
          <w:rStyle w:val="FootnoteReference"/>
        </w:rPr>
        <w:footnoteReference w:id="1991"/>
      </w:r>
      <w:r>
        <w:t xml:space="preserve">. Uma revisão dos estudos concluídos registrados no ClinicalTrials.gov critica desfechos heterogêneos e relatos incompletos</w:t>
      </w:r>
      <w:r>
        <w:rPr>
          <w:rStyle w:val="FootnoteReference"/>
        </w:rPr>
        <w:footnoteReference w:id="1992"/>
      </w:r>
      <w:r>
        <w:t xml:space="preserve">.</w:t>
      </w:r>
    </w:p>
    <w:bookmarkEnd w:id="1993"/>
    <w:bookmarkStart w:id="1997" w:name="outras-questões"/>
    <w:p>
      <w:pPr>
        <w:pStyle w:val="Heading4"/>
      </w:pPr>
      <w:r>
        <w:t xml:space="preserve">Outras questões</w:t>
      </w:r>
    </w:p>
    <w:p>
      <w:pPr>
        <w:numPr>
          <w:ilvl w:val="0"/>
          <w:numId w:val="1253"/>
        </w:numPr>
        <w:pStyle w:val="Compact"/>
      </w:pPr>
      <w:r>
        <w:rPr>
          <w:bCs/>
          <w:b/>
        </w:rPr>
        <w:t xml:space="preserve">Álcool:</w:t>
      </w:r>
      <w:r>
        <w:t xml:space="preserve"> </w:t>
      </w:r>
      <w:r>
        <w:t xml:space="preserve">em um estudo de fase 1 com 24 pessoas saudáveis, não ocorreram interações relevantes com o consumo simultâneo de álcool</w:t>
      </w:r>
      <w:r>
        <w:rPr>
          <w:rStyle w:val="FootnoteReference"/>
        </w:rPr>
        <w:footnoteReference w:id="1994"/>
      </w:r>
      <w:r>
        <w:t xml:space="preserve">.</w:t>
      </w:r>
    </w:p>
    <w:p>
      <w:pPr>
        <w:numPr>
          <w:ilvl w:val="0"/>
          <w:numId w:val="1253"/>
        </w:numPr>
        <w:pStyle w:val="Compact"/>
      </w:pPr>
      <w:r>
        <w:rPr>
          <w:bCs/>
          <w:b/>
        </w:rPr>
        <w:t xml:space="preserve">Peso:</w:t>
      </w:r>
      <w:r>
        <w:t xml:space="preserve"> </w:t>
      </w:r>
      <w:r>
        <w:t xml:space="preserve">como o MC4R também controla o apetite, a bremelanotida foi testada em mulheres com obesidade. Em dois pequenos estudos de fase 1, a ingestão calórica caiu cerca de 400 kcal por dia; após 16 dias, o peso estava 1,3 kg abaixo do grupo placebo</w:t>
      </w:r>
      <w:r>
        <w:rPr>
          <w:rStyle w:val="FootnoteReference"/>
        </w:rPr>
        <w:footnoteReference w:id="1995"/>
      </w:r>
      <w:r>
        <w:t xml:space="preserve">. São dados de curto prazo, sem conclusão sobre um tratamento contínuo.</w:t>
      </w:r>
    </w:p>
    <w:p>
      <w:pPr>
        <w:numPr>
          <w:ilvl w:val="0"/>
          <w:numId w:val="1253"/>
        </w:numPr>
        <w:pStyle w:val="Compact"/>
      </w:pPr>
      <w:r>
        <w:rPr>
          <w:bCs/>
          <w:b/>
        </w:rPr>
        <w:t xml:space="preserve">Cérebro:</w:t>
      </w:r>
      <w:r>
        <w:t xml:space="preserve"> </w:t>
      </w:r>
      <w:r>
        <w:t xml:space="preserve">o estudo de RMf já mencionado</w:t>
      </w:r>
      <w:r>
        <w:rPr>
          <w:rStyle w:val="FootnoteReference"/>
        </w:rPr>
        <w:footnoteReference w:id="1996"/>
      </w:r>
      <w:r>
        <w:t xml:space="preserve"> </w:t>
      </w:r>
      <w:r>
        <w:t xml:space="preserve">é um dos poucos trabalhos não conduzidos pelo fabricante.</w:t>
      </w:r>
    </w:p>
    <w:bookmarkEnd w:id="1997"/>
    <w:bookmarkEnd w:id="1998"/>
    <w:bookmarkStart w:id="2002" w:name="estudos-em-animais-e-em-laboratório-46"/>
    <w:p>
      <w:pPr>
        <w:pStyle w:val="Heading3"/>
      </w:pPr>
      <w:r>
        <w:t xml:space="preserve">Estudos em animais e em laboratório</w:t>
      </w:r>
    </w:p>
    <w:p>
      <w:pPr>
        <w:pStyle w:val="FirstParagraph"/>
      </w:pPr>
      <w:r>
        <w:t xml:space="preserve">A pesquisa em animais sobre a bremelanotida provém principalmente de ratos. Uma revisão a resume assim: a bremelanotida ativa o MC4R em neurônios do hipotálamo, que então liberam mais dopamina; em ratas, aumentou o comportamento com o qual as fêmeas demonstram interesse sexual</w:t>
      </w:r>
      <w:r>
        <w:rPr>
          <w:rStyle w:val="FootnoteReference"/>
        </w:rPr>
        <w:footnoteReference w:id="1999"/>
      </w:r>
      <w:r>
        <w:t xml:space="preserve">. A revisão é de pesquisadores ligados ao desenvolvimento do medicamento.</w:t>
      </w:r>
    </w:p>
    <w:p>
      <w:pPr>
        <w:pStyle w:val="BodyText"/>
      </w:pPr>
      <w:r>
        <w:t xml:space="preserve">Um estudo independente em hamsters fêmeas chegou a um resultado decepcionante: a bremelanotida não alterou os receptores do sistema de recompensa nem reforçou o</w:t>
      </w:r>
      <w:r>
        <w:t xml:space="preserve"> </w:t>
      </w:r>
      <w:r>
        <w:t xml:space="preserve">“</w:t>
      </w:r>
      <w:r>
        <w:t xml:space="preserve">valor de recompensa</w:t>
      </w:r>
      <w:r>
        <w:t xml:space="preserve">”</w:t>
      </w:r>
      <w:r>
        <w:t xml:space="preserve"> </w:t>
      </w:r>
      <w:r>
        <w:t xml:space="preserve">de encontros sexuais em um teste comportamental</w:t>
      </w:r>
      <w:r>
        <w:rPr>
          <w:rStyle w:val="FootnoteReference"/>
        </w:rPr>
        <w:footnoteReference w:id="2000"/>
      </w:r>
      <w:r>
        <w:t xml:space="preserve">. As autoras e os autores concluem que o medicamento não atua pelo circuito clássico de recompensa. Como exatamente ele age continua, portanto, em aberto.</w:t>
      </w:r>
    </w:p>
    <w:p>
      <w:pPr>
        <w:pStyle w:val="BodyText"/>
      </w:pPr>
      <w:r>
        <w:t xml:space="preserve">Em culturas de células, a bremelanotida inibiu o crescimento de células de glioblastoma, um tipo de tumor cerebral</w:t>
      </w:r>
      <w:r>
        <w:rPr>
          <w:rStyle w:val="FootnoteReference"/>
        </w:rPr>
        <w:footnoteReference w:id="2001"/>
      </w:r>
      <w:r>
        <w:t xml:space="preserve">. Trata-se de um achado puramente laboratorial, sem significado clínico.</w:t>
      </w:r>
    </w:p>
    <w:bookmarkEnd w:id="2002"/>
    <w:bookmarkStart w:id="2013" w:name="riscos-e-efeitos-colaterais-46"/>
    <w:p>
      <w:pPr>
        <w:pStyle w:val="Heading3"/>
      </w:pPr>
      <w:r>
        <w:t xml:space="preserve">Riscos e efeitos colaterais</w:t>
      </w:r>
    </w:p>
    <w:bookmarkStart w:id="2008" w:name="comprovados-7"/>
    <w:p>
      <w:pPr>
        <w:pStyle w:val="Heading4"/>
      </w:pPr>
      <w:r>
        <w:t xml:space="preserve">Comprovados</w:t>
      </w:r>
    </w:p>
    <w:p>
      <w:pPr>
        <w:numPr>
          <w:ilvl w:val="0"/>
          <w:numId w:val="1254"/>
        </w:numPr>
        <w:pStyle w:val="Compact"/>
      </w:pPr>
      <w:r>
        <w:rPr>
          <w:bCs/>
          <w:b/>
        </w:rPr>
        <w:t xml:space="preserve">Náusea:</w:t>
      </w:r>
      <w:r>
        <w:t xml:space="preserve"> </w:t>
      </w:r>
      <w:r>
        <w:t xml:space="preserve">o efeito colateral mais frequente. Nos estudos de fase 3, afetou 40,0%, contra 1,3% com placebo, e foi o motivo de interrupção mais frequente</w:t>
      </w:r>
      <w:r>
        <w:rPr>
          <w:rStyle w:val="FootnoteReference"/>
        </w:rPr>
        <w:footnoteReference w:id="2003"/>
      </w:r>
      <w:r>
        <w:t xml:space="preserve">. Um estudo próprio com 228 mulheres saudáveis testou se o antiemético ondansetrona ajuda de forma preventiva</w:t>
      </w:r>
      <w:r>
        <w:rPr>
          <w:rStyle w:val="FootnoteReference"/>
        </w:rPr>
        <w:footnoteReference w:id="2004"/>
      </w:r>
      <w:r>
        <w:t xml:space="preserve">.</w:t>
      </w:r>
    </w:p>
    <w:p>
      <w:pPr>
        <w:numPr>
          <w:ilvl w:val="0"/>
          <w:numId w:val="1254"/>
        </w:numPr>
        <w:pStyle w:val="Compact"/>
      </w:pPr>
      <w:r>
        <w:rPr>
          <w:bCs/>
          <w:b/>
        </w:rPr>
        <w:t xml:space="preserve">Rubor (flushing)</w:t>
      </w:r>
      <w:r>
        <w:t xml:space="preserve"> </w:t>
      </w:r>
      <w:r>
        <w:t xml:space="preserve">em 20,3%,</w:t>
      </w:r>
      <w:r>
        <w:t xml:space="preserve"> </w:t>
      </w:r>
      <w:r>
        <w:rPr>
          <w:bCs/>
          <w:b/>
        </w:rPr>
        <w:t xml:space="preserve">dor de cabeça</w:t>
      </w:r>
      <w:r>
        <w:t xml:space="preserve"> </w:t>
      </w:r>
      <w:r>
        <w:t xml:space="preserve">em 11,3%,</w:t>
      </w:r>
      <w:r>
        <w:t xml:space="preserve"> </w:t>
      </w:r>
      <w:r>
        <w:rPr>
          <w:bCs/>
          <w:b/>
        </w:rPr>
        <w:t xml:space="preserve">reações no local da injeção</w:t>
      </w:r>
      <w:r>
        <w:t xml:space="preserve"> </w:t>
      </w:r>
      <w:r>
        <w:t xml:space="preserve">em 5,4% (contra 1,3%, 1,9% e 0,5% com placebo).</w:t>
      </w:r>
    </w:p>
    <w:p>
      <w:pPr>
        <w:numPr>
          <w:ilvl w:val="0"/>
          <w:numId w:val="1254"/>
        </w:numPr>
        <w:pStyle w:val="Compact"/>
      </w:pPr>
      <w:r>
        <w:rPr>
          <w:bCs/>
          <w:b/>
        </w:rPr>
        <w:t xml:space="preserve">Pressão arterial:</w:t>
      </w:r>
      <w:r>
        <w:t xml:space="preserve"> </w:t>
      </w:r>
      <w:r>
        <w:t xml:space="preserve">em um estudo com medição de 24 horas em 397 mulheres, a pressão sistólica subiu temporariamente 2,4 a 3,2 mmHg após a administração; os picos duraram geralmente menos de 15 minutos. Ao mesmo tempo, a frequência cardíaca caiu cerca de 4,6 batimentos por minuto</w:t>
      </w:r>
      <w:r>
        <w:rPr>
          <w:rStyle w:val="FootnoteReference"/>
        </w:rPr>
        <w:footnoteReference w:id="2005"/>
      </w:r>
      <w:r>
        <w:t xml:space="preserve">. Por isso, a bula desaconselha o uso em caso de hipertensão não controlada ou doença cardiovascular conhecida.</w:t>
      </w:r>
    </w:p>
    <w:p>
      <w:pPr>
        <w:numPr>
          <w:ilvl w:val="0"/>
          <w:numId w:val="1254"/>
        </w:numPr>
        <w:pStyle w:val="Compact"/>
      </w:pPr>
      <w:r>
        <w:rPr>
          <w:bCs/>
          <w:b/>
        </w:rPr>
        <w:t xml:space="preserve">Manchas pigmentares:</w:t>
      </w:r>
      <w:r>
        <w:t xml:space="preserve"> </w:t>
      </w:r>
      <w:r>
        <w:t xml:space="preserve">raras quando usada conforme a bula. Porém, quando a bremelanotida foi administrada em até 16 dias consecutivos, mais de um terço dos participantes desenvolveu manchas escuras circunscritas</w:t>
      </w:r>
      <w:r>
        <w:rPr>
          <w:rStyle w:val="FootnoteReference"/>
        </w:rPr>
        <w:footnoteReference w:id="2006"/>
      </w:r>
      <w:r>
        <w:t xml:space="preserve"> </w:t>
      </w:r>
      <w:r>
        <w:t xml:space="preserve">– um indício do efeito residual no receptor de pigmento.</w:t>
      </w:r>
    </w:p>
    <w:p>
      <w:pPr>
        <w:numPr>
          <w:ilvl w:val="0"/>
          <w:numId w:val="1254"/>
        </w:numPr>
        <w:pStyle w:val="Compact"/>
      </w:pPr>
      <w:r>
        <w:rPr>
          <w:bCs/>
          <w:b/>
        </w:rPr>
        <w:t xml:space="preserve">Interações:</w:t>
      </w:r>
      <w:r>
        <w:t xml:space="preserve"> </w:t>
      </w:r>
      <w:r>
        <w:t xml:space="preserve">a bremelanotida retarda brevemente o esvaziamento gástrico e, em estudos, reduziu os níveis sanguíneos de indometacina e naltrexona</w:t>
      </w:r>
      <w:r>
        <w:rPr>
          <w:rStyle w:val="FootnoteReference"/>
        </w:rPr>
        <w:footnoteReference w:id="2007"/>
      </w:r>
      <w:r>
        <w:t xml:space="preserve">.</w:t>
      </w:r>
    </w:p>
    <w:bookmarkEnd w:id="2008"/>
    <w:bookmarkStart w:id="2010" w:name="em-aberto"/>
    <w:p>
      <w:pPr>
        <w:pStyle w:val="Heading4"/>
      </w:pPr>
      <w:r>
        <w:t xml:space="preserve">Em aberto</w:t>
      </w:r>
    </w:p>
    <w:p>
      <w:pPr>
        <w:pStyle w:val="FirstParagraph"/>
      </w:pPr>
      <w:r>
        <w:t xml:space="preserve">Para a gravidez, não há dados suficientes. Um pequeno estudo mede atualmente a passagem para o leite materno</w:t>
      </w:r>
      <w:r>
        <w:rPr>
          <w:rStyle w:val="FootnoteReference"/>
        </w:rPr>
        <w:footnoteReference w:id="2009"/>
      </w:r>
      <w:r>
        <w:t xml:space="preserve">. Faltam dados de longo prazo além de 18 meses.</w:t>
      </w:r>
    </w:p>
    <w:bookmarkEnd w:id="2010"/>
    <w:bookmarkStart w:id="2012" w:name="mercado-cinza-1"/>
    <w:p>
      <w:pPr>
        <w:pStyle w:val="Heading4"/>
      </w:pPr>
      <w:r>
        <w:t xml:space="preserve">Mercado cinza</w:t>
      </w:r>
    </w:p>
    <w:p>
      <w:pPr>
        <w:pStyle w:val="FirstParagraph"/>
      </w:pPr>
      <w:r>
        <w:t xml:space="preserve">Com o nome</w:t>
      </w:r>
      <w:r>
        <w:t xml:space="preserve"> </w:t>
      </w:r>
      <w:r>
        <w:t xml:space="preserve">“</w:t>
      </w:r>
      <w:r>
        <w:t xml:space="preserve">PT-141</w:t>
      </w:r>
      <w:r>
        <w:t xml:space="preserve">”</w:t>
      </w:r>
      <w:r>
        <w:t xml:space="preserve">, a bremelanotida é oferecida na internet como pó para autoinjeção, frequentemente ao lado do melanotan II. Laboratórios forenses identificaram ambas as substâncias em amostras apreendidas pela polícia no meio do fisiculturismo</w:t>
      </w:r>
      <w:r>
        <w:rPr>
          <w:rStyle w:val="FootnoteReference"/>
        </w:rPr>
        <w:footnoteReference w:id="2011"/>
      </w:r>
      <w:r>
        <w:t xml:space="preserve">. Para esses produtos valem os mesmos riscos de outros peptídeos do mercado cinza (Parte I, capítulo</w:t>
      </w:r>
      <w:r>
        <w:t xml:space="preserve"> </w:t>
      </w:r>
      <w:r>
        <w:t xml:space="preserve">“</w:t>
      </w:r>
      <w:r>
        <w:t xml:space="preserve">O mercado cinza</w:t>
      </w:r>
      <w:r>
        <w:t xml:space="preserve">”</w:t>
      </w:r>
      <w:r>
        <w:t xml:space="preserve">): pureza desconhecida, quantidades erradas, contaminações, fabricação não estéril. Sabe-se do spray nasal de bremelanotida que ele agia mais fortemente sobre a pressão arterial; sprays do mercado cinza não são testados.</w:t>
      </w:r>
    </w:p>
    <w:bookmarkEnd w:id="2012"/>
    <w:bookmarkEnd w:id="2013"/>
    <w:bookmarkStart w:id="2015" w:name="situação-legal-46"/>
    <w:p>
      <w:pPr>
        <w:pStyle w:val="Heading3"/>
      </w:pPr>
      <w:r>
        <w:t xml:space="preserve">Situação legal</w:t>
      </w:r>
    </w:p>
    <w:p>
      <w:pPr>
        <w:pStyle w:val="FirstParagraph"/>
      </w:pPr>
      <w:r>
        <w:rPr>
          <w:iCs/>
          <w:i/>
        </w:rPr>
        <w:t xml:space="preserve">Situação em 2026, verificar atualização.</w:t>
      </w:r>
    </w:p>
    <w:p>
      <w:pPr>
        <w:numPr>
          <w:ilvl w:val="0"/>
          <w:numId w:val="1255"/>
        </w:numPr>
        <w:pStyle w:val="Compact"/>
      </w:pPr>
      <w:r>
        <w:rPr>
          <w:bCs/>
          <w:b/>
        </w:rPr>
        <w:t xml:space="preserve">UE:</w:t>
      </w:r>
      <w:r>
        <w:t xml:space="preserve"> </w:t>
      </w:r>
      <w:r>
        <w:t xml:space="preserve">nenhuma aprovação, e não se conhece nenhum processo de aprovação em andamento. A venda para uso em humanos não é permitida na UE.</w:t>
      </w:r>
    </w:p>
    <w:p>
      <w:pPr>
        <w:numPr>
          <w:ilvl w:val="0"/>
          <w:numId w:val="1255"/>
        </w:numPr>
        <w:pStyle w:val="Compact"/>
      </w:pPr>
      <w:r>
        <w:rPr>
          <w:bCs/>
          <w:b/>
        </w:rPr>
        <w:t xml:space="preserve">Alemanha e Áustria:</w:t>
      </w:r>
      <w:r>
        <w:t xml:space="preserve"> </w:t>
      </w:r>
      <w:r>
        <w:t xml:space="preserve">nenhuma aprovação. A importação individual de um medicamento aprovado nos EUA mediante prescrição médica é juridicamente possível de forma muito restrita; produtos do mercado cinza não se enquadram nisso.</w:t>
      </w:r>
    </w:p>
    <w:p>
      <w:pPr>
        <w:numPr>
          <w:ilvl w:val="0"/>
          <w:numId w:val="1255"/>
        </w:numPr>
        <w:pStyle w:val="Compact"/>
      </w:pPr>
      <w:r>
        <w:rPr>
          <w:bCs/>
          <w:b/>
        </w:rPr>
        <w:t xml:space="preserve">EUA:</w:t>
      </w:r>
      <w:r>
        <w:t xml:space="preserve"> </w:t>
      </w:r>
      <w:r>
        <w:t xml:space="preserve">aprovada desde junho de 2019 (Vyleesi) para mulheres na pré-menopausa com HSDD adquirido e generalizado. Não aprovada para homens, para mulheres na pós-menopausa nem para aumentar o desejo em pessoas saudáveis. Os direitos de comercialização mudaram várias vezes; segundo os registros, a responsável hoje é a empresa Cosette Pharmaceuticals.</w:t>
      </w:r>
    </w:p>
    <w:p>
      <w:pPr>
        <w:numPr>
          <w:ilvl w:val="0"/>
          <w:numId w:val="1255"/>
        </w:numPr>
        <w:pStyle w:val="Compact"/>
      </w:pPr>
      <w:r>
        <w:rPr>
          <w:bCs/>
          <w:b/>
        </w:rPr>
        <w:t xml:space="preserve">Outros países:</w:t>
      </w:r>
      <w:r>
        <w:t xml:space="preserve"> </w:t>
      </w:r>
      <w:r>
        <w:t xml:space="preserve">na Coreia do Sul, foi realizado um estudo-ponte com 193 mulheres para uma aprovação no país</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não listada nominalmente. Verifique a lista de proibições atual.</w:t>
      </w:r>
    </w:p>
    <w:bookmarkEnd w:id="2015"/>
    <w:bookmarkStart w:id="2019" w:name="estudos-em-andamento-e-perspectivas-46"/>
    <w:p>
      <w:pPr>
        <w:pStyle w:val="Heading3"/>
      </w:pPr>
      <w:r>
        <w:t xml:space="preserve">Estudos em andamento e perspectivas</w:t>
      </w:r>
    </w:p>
    <w:p>
      <w:pPr>
        <w:pStyle w:val="FirstParagraph"/>
      </w:pPr>
      <w:r>
        <w:rPr>
          <w:bCs/>
          <w:b/>
        </w:rPr>
        <w:t xml:space="preserve">Confirmado (estudos registrados):</w:t>
      </w:r>
    </w:p>
    <w:p>
      <w:pPr>
        <w:numPr>
          <w:ilvl w:val="0"/>
          <w:numId w:val="1256"/>
        </w:numPr>
        <w:pStyle w:val="Compact"/>
      </w:pPr>
      <w:r>
        <w:t xml:space="preserve">Um estudo de fase 2 com 108 pessoas testa a bremelanotida em associação com a tirzepatida na obesidade</w:t>
      </w:r>
      <w:r>
        <w:rPr>
          <w:rStyle w:val="FootnoteReference"/>
        </w:rPr>
        <w:footnoteReference w:id="2016"/>
      </w:r>
      <w:r>
        <w:t xml:space="preserve">. O pano de fundo é o efeito redutor do apetite via MC4R. Resultados publicados e revisados por pares não estavam disponíveis no PubMed no fechamento desta edição.</w:t>
      </w:r>
    </w:p>
    <w:p>
      <w:pPr>
        <w:numPr>
          <w:ilvl w:val="0"/>
          <w:numId w:val="1256"/>
        </w:numPr>
        <w:pStyle w:val="Compact"/>
      </w:pPr>
      <w:r>
        <w:t xml:space="preserve">Um pequeno estudo aberto de fase 2 com 16 pessoas com doença renal diabética foi concluído</w:t>
      </w:r>
      <w:r>
        <w:rPr>
          <w:rStyle w:val="FootnoteReference"/>
        </w:rPr>
        <w:footnoteReference w:id="2017"/>
      </w:r>
      <w:r>
        <w:t xml:space="preserve">, também sem resultado publicado no PubMed.</w:t>
      </w:r>
    </w:p>
    <w:p>
      <w:pPr>
        <w:numPr>
          <w:ilvl w:val="0"/>
          <w:numId w:val="1256"/>
        </w:numPr>
        <w:pStyle w:val="Compact"/>
      </w:pPr>
      <w:r>
        <w:t xml:space="preserve">O estudo de amamentação</w:t>
      </w:r>
      <w:r>
        <w:rPr>
          <w:rStyle w:val="FootnoteReference"/>
        </w:rPr>
        <w:footnoteReference w:id="2018"/>
      </w:r>
      <w:r>
        <w:t xml:space="preserve">, com 10 mulheres, foi concluído em 2025.</w:t>
      </w:r>
    </w:p>
    <w:p>
      <w:pPr>
        <w:pStyle w:val="FirstParagraph"/>
      </w:pPr>
      <w:r>
        <w:rPr>
          <w:bCs/>
          <w:b/>
        </w:rPr>
        <w:t xml:space="preserve">Avaliação do autor:</w:t>
      </w:r>
      <w:r>
        <w:t xml:space="preserve"> </w:t>
      </w:r>
      <w:r>
        <w:t xml:space="preserve">para a aprovação na Europa, falta, segundo o conhecimento atual, interesse econômico; não se conhece nenhum pedido. Mais interessante é o papel do MC4R na pesquisa sobre obesidade, onde, com a setmelanotida (capítulo na Parte II · A), já existe um agonista de MC4R aprovado para formas genéticas raras. Se a bremelanotida encontrará um nicho aqui depende dos resultados de estudos ainda pendentes.</w:t>
      </w:r>
    </w:p>
    <w:bookmarkEnd w:id="2019"/>
    <w:bookmarkStart w:id="2020" w:name="conclusão-46"/>
    <w:p>
      <w:pPr>
        <w:pStyle w:val="Heading3"/>
      </w:pPr>
      <w:r>
        <w:t xml:space="preserve">Conclusão</w:t>
      </w:r>
    </w:p>
    <w:p>
      <w:pPr>
        <w:pStyle w:val="FirstParagraph"/>
      </w:pPr>
      <w:r>
        <w:t xml:space="preserve">A bremelanotida é o único medicamento aprovado que visa ao desejo sexual por meio do sistema das melanocortinas no cérebro – porém apenas nos EUA e apenas para um grupo restrito de mulheres. Em dois grandes estudos de fase 3, o desejo e o sofrimento melhoraram de forma estatisticamente inequívoca, mas em pequena medida e com grande efeito placebo. A náusea atinge quase metade das usuárias e leva frequentemente à interrupção; aumentos breves da pressão arterial exigem cautela em caso de risco cardiovascular. Produtos do mercado cinza com o nome</w:t>
      </w:r>
      <w:r>
        <w:t xml:space="preserve"> </w:t>
      </w:r>
      <w:r>
        <w:t xml:space="preserve">“</w:t>
      </w:r>
      <w:r>
        <w:t xml:space="preserve">PT-141</w:t>
      </w:r>
      <w:r>
        <w:t xml:space="preserve">”</w:t>
      </w:r>
      <w:r>
        <w:t xml:space="preserve"> </w:t>
      </w:r>
      <w:r>
        <w:t xml:space="preserve">não são testados, e para homens ou pessoas sem diagnóstico falta qualquer evidência suficiente para aprovação.</w:t>
      </w:r>
    </w:p>
    <w:bookmarkEnd w:id="2020"/>
    <w:bookmarkEnd w:id="2021"/>
    <w:bookmarkStart w:id="2076" w:name="melanotan-ii"/>
    <w:p>
      <w:pPr>
        <w:pStyle w:val="Heading2"/>
      </w:pPr>
      <w:r>
        <w:t xml:space="preserve">Melanotan II</w:t>
      </w:r>
    </w:p>
    <w:bookmarkStart w:id="2024" w:name="ficha-técnica-47"/>
    <w:p>
      <w:pPr>
        <w:pStyle w:val="Heading3"/>
      </w:pPr>
      <w:r>
        <w:t xml:space="preserve">Ficha técnica</w:t>
      </w:r>
    </w:p>
    <w:p>
      <w:pPr>
        <w:numPr>
          <w:ilvl w:val="0"/>
          <w:numId w:val="1257"/>
        </w:numPr>
        <w:pStyle w:val="Compact"/>
      </w:pPr>
      <w:r>
        <w:rPr>
          <w:bCs/>
          <w:b/>
        </w:rPr>
        <w:t xml:space="preserve">Tipo/estrutura:</w:t>
      </w:r>
      <w:r>
        <w:t xml:space="preserve"> </w:t>
      </w:r>
      <w:r>
        <w:t xml:space="preserve">peptídeo em forma de anel (cíclico) de sete aminoácidos, uma variante encurtada e quimicamente estabilizada do hormônio endógeno alfa-MSH. A estrutura em anel protege contra a degradação rápida e torna a molécula muito mais potente que o modelo natural</w:t>
      </w:r>
      <w:r>
        <w:rPr>
          <w:rStyle w:val="FootnoteReference"/>
        </w:rPr>
        <w:footnoteReference w:id="2022"/>
      </w:r>
      <w:r>
        <w:t xml:space="preserve">.</w:t>
      </w:r>
    </w:p>
    <w:p>
      <w:pPr>
        <w:numPr>
          <w:ilvl w:val="0"/>
          <w:numId w:val="1257"/>
        </w:numPr>
        <w:pStyle w:val="Compact"/>
      </w:pPr>
      <w:r>
        <w:rPr>
          <w:bCs/>
          <w:b/>
        </w:rPr>
        <w:t xml:space="preserve">Origem:</w:t>
      </w:r>
      <w:r>
        <w:t xml:space="preserve"> </w:t>
      </w:r>
      <w:r>
        <w:t xml:space="preserve">desenvolvido no fim da década de 1980 e no início da de 1990 na Universidade do Arizona, em Tucson, originalmente com o objetivo de produzir um bronzeamento sem sol e assim prevenir o câncer de pele</w:t>
      </w:r>
      <w:r>
        <w:rPr>
          <w:rStyle w:val="FootnoteReference"/>
        </w:rPr>
        <w:footnoteReference w:id="2023"/>
      </w:r>
      <w:r>
        <w:t xml:space="preserve">.</w:t>
      </w:r>
    </w:p>
    <w:p>
      <w:pPr>
        <w:numPr>
          <w:ilvl w:val="0"/>
          <w:numId w:val="1257"/>
        </w:numPr>
        <w:pStyle w:val="Compact"/>
      </w:pPr>
      <w:r>
        <w:rPr>
          <w:bCs/>
          <w:b/>
        </w:rPr>
        <w:t xml:space="preserve">Mecanismo de ação:</w:t>
      </w:r>
      <w:r>
        <w:t xml:space="preserve"> </w:t>
      </w:r>
      <w:r>
        <w:t xml:space="preserve">agonista não seletivo dos receptores de melanocortina: MC1R (formação de pigmento na pele), MC3R e MC4R (apetite, função sexual) e outros.</w:t>
      </w:r>
    </w:p>
    <w:p>
      <w:pPr>
        <w:numPr>
          <w:ilvl w:val="0"/>
          <w:numId w:val="1257"/>
        </w:numPr>
        <w:pStyle w:val="Compact"/>
      </w:pPr>
      <w:r>
        <w:rPr>
          <w:bCs/>
          <w:b/>
        </w:rPr>
        <w:t xml:space="preserve">Aprovação na UE:</w:t>
      </w:r>
      <w:r>
        <w:t xml:space="preserve"> </w:t>
      </w:r>
      <w:r>
        <w:t xml:space="preserve">não.</w:t>
      </w:r>
    </w:p>
    <w:p>
      <w:pPr>
        <w:numPr>
          <w:ilvl w:val="0"/>
          <w:numId w:val="1257"/>
        </w:numPr>
        <w:pStyle w:val="Compact"/>
      </w:pPr>
      <w:r>
        <w:rPr>
          <w:bCs/>
          <w:b/>
        </w:rPr>
        <w:t xml:space="preserve">Aprovação nos EUA:</w:t>
      </w:r>
      <w:r>
        <w:t xml:space="preserve"> </w:t>
      </w:r>
      <w:r>
        <w:t xml:space="preserve">não.</w:t>
      </w:r>
    </w:p>
    <w:p>
      <w:pPr>
        <w:numPr>
          <w:ilvl w:val="0"/>
          <w:numId w:val="1257"/>
        </w:numPr>
        <w:pStyle w:val="Compact"/>
      </w:pPr>
      <w:r>
        <w:rPr>
          <w:bCs/>
          <w:b/>
        </w:rPr>
        <w:t xml:space="preserve">WADA:</w:t>
      </w:r>
      <w:r>
        <w:t xml:space="preserve"> </w:t>
      </w:r>
      <w:r>
        <w:t xml:space="preserve">não citado nominalmente; como princípio ativo não aprovado em lugar nenhum, enquadra-se no grupo S0 (substâncias não aprovadas) e, portanto, é proibido em qualquer momento.</w:t>
      </w:r>
    </w:p>
    <w:p>
      <w:pPr>
        <w:numPr>
          <w:ilvl w:val="0"/>
          <w:numId w:val="1257"/>
        </w:numPr>
        <w:pStyle w:val="Compact"/>
      </w:pPr>
      <w:r>
        <w:rPr>
          <w:bCs/>
          <w:b/>
        </w:rPr>
        <w:t xml:space="preserve">Nível de evidência:</w:t>
      </w:r>
      <w:r>
        <w:t xml:space="preserve"> </w:t>
      </w:r>
      <w:r>
        <w:rPr>
          <w:bCs/>
          <w:b/>
        </w:rPr>
        <w:t xml:space="preserve">C</w:t>
      </w:r>
      <w:r>
        <w:t xml:space="preserve"> </w:t>
      </w:r>
      <w:r>
        <w:t xml:space="preserve">– apenas estudos-piloto muito pequenos da década de 1990, com cerca de duas dúzias de participantes no total, complementados por numerosos relatos de caso sobre efeitos colaterais em autoaplicação sem controle.</w:t>
      </w:r>
    </w:p>
    <w:bookmarkEnd w:id="2024"/>
    <w:bookmarkStart w:id="2026" w:name="como-deveria-agir-47"/>
    <w:p>
      <w:pPr>
        <w:pStyle w:val="Heading3"/>
      </w:pPr>
      <w:r>
        <w:t xml:space="preserve">Como deveria agir</w:t>
      </w:r>
    </w:p>
    <w:p>
      <w:pPr>
        <w:pStyle w:val="FirstParagraph"/>
      </w:pPr>
      <w:r>
        <w:t xml:space="preserve">A pele se bronzeia quando as células pigmentares (melanócitos) produzem mais melanina. O sinal para isso é fornecido, entre outros, pelo hormônio alfa-MSH, que se liga ao receptor MC1R nas células pigmentares. Depois de um banho de sol, a produção de alfa-MSH na pele aumenta, e as células pigmentares passam a produzir a eumelanina, escura e protetora.</w:t>
      </w:r>
    </w:p>
    <w:p>
      <w:pPr>
        <w:pStyle w:val="BodyText"/>
      </w:pPr>
      <w:r>
        <w:t xml:space="preserve">O melanotan II imita esse sinal – sem que a radiação UV precise antes danificar a pele. Essa era a ideia original: um</w:t>
      </w:r>
      <w:r>
        <w:t xml:space="preserve"> </w:t>
      </w:r>
      <w:r>
        <w:t xml:space="preserve">“</w:t>
      </w:r>
      <w:r>
        <w:t xml:space="preserve">bronzeado de seringa</w:t>
      </w:r>
      <w:r>
        <w:t xml:space="preserve">”</w:t>
      </w:r>
      <w:r>
        <w:t xml:space="preserve"> </w:t>
      </w:r>
      <w:r>
        <w:t xml:space="preserve">que protegesse contra queimaduras solares. O problema: o melanotan II não se liga apenas ao MC1R, mas também aos receptores MC3R e MC4R no cérebro. Estes controlam o apetite, o gasto de energia e a excitação sexual. Daí vêm os efeitos concomitantes típicos: náusea, bocejos e espreguiçamento, apetite reduzido e ereções espontâneas.</w:t>
      </w:r>
    </w:p>
    <w:p>
      <w:pPr>
        <w:pStyle w:val="BodyText"/>
      </w:pPr>
      <w:r>
        <w:t xml:space="preserve">Da pesquisa sobre esse</w:t>
      </w:r>
      <w:r>
        <w:t xml:space="preserve"> </w:t>
      </w:r>
      <w:r>
        <w:t xml:space="preserve">“</w:t>
      </w:r>
      <w:r>
        <w:t xml:space="preserve">efeito colateral</w:t>
      </w:r>
      <w:r>
        <w:t xml:space="preserve">”</w:t>
      </w:r>
      <w:r>
        <w:t xml:space="preserve"> </w:t>
      </w:r>
      <w:r>
        <w:t xml:space="preserve">surgiram dois outros princípios ativos que, ao contrário do melanotan II, tiveram desenvolvimento clínico:</w:t>
      </w:r>
    </w:p>
    <w:p>
      <w:pPr>
        <w:numPr>
          <w:ilvl w:val="0"/>
          <w:numId w:val="1258"/>
        </w:numPr>
        <w:pStyle w:val="Compact"/>
      </w:pPr>
      <w:r>
        <w:rPr>
          <w:bCs/>
          <w:b/>
        </w:rPr>
        <w:t xml:space="preserve">A afamelanotida</w:t>
      </w:r>
      <w:r>
        <w:t xml:space="preserve">, antes chamada de melanotan I, é uma molécula linear e mais longa, que age preferencialmente sobre a pele e está aprovada como implante para uma rara doença de sensibilidade à luz (capítulo 2E03).</w:t>
      </w:r>
    </w:p>
    <w:p>
      <w:pPr>
        <w:numPr>
          <w:ilvl w:val="0"/>
          <w:numId w:val="1258"/>
        </w:numPr>
        <w:pStyle w:val="Compact"/>
      </w:pPr>
      <w:r>
        <w:rPr>
          <w:bCs/>
          <w:b/>
        </w:rPr>
        <w:t xml:space="preserve">A bremelanotida</w:t>
      </w:r>
      <w:r>
        <w:t xml:space="preserve"> </w:t>
      </w:r>
      <w:r>
        <w:t xml:space="preserve">(PT-141) é uma forma ligeiramente modificada do melanotan II, aprovada nos EUA para o tratamento do baixo desejo sexual em mulheres (capítulo 2E01).</w:t>
      </w:r>
    </w:p>
    <w:p>
      <w:pPr>
        <w:pStyle w:val="FirstParagraph"/>
      </w:pPr>
      <w:r>
        <w:t xml:space="preserve">Na internet, esses nomes são frequentemente confundidos.</w:t>
      </w:r>
      <w:r>
        <w:t xml:space="preserve"> </w:t>
      </w:r>
      <w:r>
        <w:t xml:space="preserve">“</w:t>
      </w:r>
      <w:r>
        <w:t xml:space="preserve">Melanotan</w:t>
      </w:r>
      <w:r>
        <w:t xml:space="preserve">”</w:t>
      </w:r>
      <w:r>
        <w:t xml:space="preserve"> </w:t>
      </w:r>
      <w:r>
        <w:t xml:space="preserve">sem complemento pode designar, conforme o vendedor, um ou outro – ou algo totalmente diferente</w:t>
      </w:r>
      <w:r>
        <w:rPr>
          <w:rStyle w:val="FootnoteReference"/>
        </w:rPr>
        <w:footnoteReference w:id="2025"/>
      </w:r>
      <w:r>
        <w:t xml:space="preserve">.</w:t>
      </w:r>
    </w:p>
    <w:bookmarkEnd w:id="2026"/>
    <w:bookmarkStart w:id="2040" w:name="estudos-em-humanos-47"/>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8</w:t>
      </w:r>
      <w:r>
        <w:t xml:space="preserve"> </w:t>
      </w:r>
      <w:r>
        <w:t xml:space="preserve">estudos em humanos no PubMed (</w:t>
      </w:r>
      <w:r>
        <w:rPr>
          <w:rStyle w:val="VerbatimChar"/>
        </w:rPr>
        <w:t xml:space="preserve">humanstudien_alle</w:t>
      </w:r>
      <w:r>
        <w:t xml:space="preserve">) e um único registro no ClinicalTrials.gov, que, ao ser verificado, se revelou não confiável (veja Perspectivas) – não há, portanto,</w:t>
      </w:r>
      <w:r>
        <w:t xml:space="preserve"> </w:t>
      </w:r>
      <w:r>
        <w:rPr>
          <w:bCs/>
          <w:b/>
        </w:rPr>
        <w:t xml:space="preserve">nenhum</w:t>
      </w:r>
      <w:r>
        <w:t xml:space="preserve"> </w:t>
      </w:r>
      <w:r>
        <w:t xml:space="preserve">(0) estudo registrado sólido. Também o número do PubMed engana: quatro dos oito estudos investigaram o melanotan I, isto é, a futura afamelanotida, e não o melanotan II. Sobre o próprio melanotan II, há apenas três pequenos estudos originais e um resumo do mesmo grupo de pesquisa. Muito mais extensa é a literatura sobre efeitos colaterais: relatos de caso, séries de casos, análises de fóruns da internet e exames laboratoriais de produtos do mercado cinza.</w:t>
      </w:r>
    </w:p>
    <w:bookmarkStart w:id="2030" w:name="os-estudos-clínicos-da-década-de-1990"/>
    <w:p>
      <w:pPr>
        <w:pStyle w:val="Heading4"/>
      </w:pPr>
      <w:r>
        <w:t xml:space="preserve">Os estudos clínicos da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homens saudáveis, simples-cego, alternando princípio ativo e soro fisiológico</w:t>
            </w:r>
          </w:p>
        </w:tc>
        <w:tc>
          <w:tcPr/>
          <w:p>
            <w:pPr>
              <w:pStyle w:val="Compact"/>
              <w:jc w:val="left"/>
            </w:pPr>
            <w:r>
              <w:t xml:space="preserve">2 semanas</w:t>
            </w:r>
          </w:p>
        </w:tc>
        <w:tc>
          <w:tcPr/>
          <w:p>
            <w:pPr>
              <w:pStyle w:val="Compact"/>
              <w:jc w:val="left"/>
            </w:pPr>
            <w:r>
              <w:t xml:space="preserve">Bronzeamento no rosto, tronco e nádegas em 2 de 3; ereções espontâneas; náusea, cansaço</w:t>
            </w:r>
          </w:p>
        </w:tc>
      </w:tr>
      <w:tr>
        <w:tc>
          <w:tcPr/>
          <w:p>
            <w:pPr>
              <w:pStyle w:val="Compact"/>
              <w:jc w:val="left"/>
            </w:pPr>
            <w:r>
              <w:t xml:space="preserve">Wessells 1998, PMID 9679884</w:t>
            </w:r>
          </w:p>
        </w:tc>
        <w:tc>
          <w:tcPr/>
          <w:p>
            <w:pPr>
              <w:pStyle w:val="Compact"/>
              <w:jc w:val="left"/>
            </w:pPr>
            <w:r>
              <w:t xml:space="preserve">10 homens com disfunção erétil de origem psicológica, estudo cruzado duplo-cego contra placebo</w:t>
            </w:r>
          </w:p>
        </w:tc>
        <w:tc>
          <w:tcPr/>
          <w:p>
            <w:pPr>
              <w:pStyle w:val="Compact"/>
              <w:jc w:val="left"/>
            </w:pPr>
            <w:r>
              <w:t xml:space="preserve">Doses únicas</w:t>
            </w:r>
          </w:p>
        </w:tc>
        <w:tc>
          <w:tcPr/>
          <w:p>
            <w:pPr>
              <w:pStyle w:val="Compact"/>
              <w:jc w:val="left"/>
            </w:pPr>
            <w:r>
              <w:t xml:space="preserve">Ereções em 8 de 10; duração de rigidez elevada 38,0 vs. 3,0 minutos</w:t>
            </w:r>
          </w:p>
        </w:tc>
      </w:tr>
      <w:tr>
        <w:tc>
          <w:tcPr/>
          <w:p>
            <w:pPr>
              <w:pStyle w:val="Compact"/>
              <w:jc w:val="left"/>
            </w:pPr>
            <w:r>
              <w:t xml:space="preserve">Wessells 2000, PMID 11018622</w:t>
            </w:r>
          </w:p>
        </w:tc>
        <w:tc>
          <w:tcPr/>
          <w:p>
            <w:pPr>
              <w:pStyle w:val="Compact"/>
              <w:jc w:val="left"/>
            </w:pPr>
            <w:r>
              <w:t xml:space="preserve">10 homens com disfunção erétil de origem orgânica, estudo cruzado duplo-cego</w:t>
            </w:r>
          </w:p>
        </w:tc>
        <w:tc>
          <w:tcPr/>
          <w:p>
            <w:pPr>
              <w:pStyle w:val="Compact"/>
              <w:jc w:val="left"/>
            </w:pPr>
            <w:r>
              <w:t xml:space="preserve">Doses únicas</w:t>
            </w:r>
          </w:p>
        </w:tc>
        <w:tc>
          <w:tcPr/>
          <w:p>
            <w:pPr>
              <w:pStyle w:val="Compact"/>
              <w:jc w:val="left"/>
            </w:pPr>
            <w:r>
              <w:t xml:space="preserve">Ereções após 12 de 19 injeções vs. 1 de 21 doses de placebo; 4 de 19 injeções com náusea forte</w:t>
            </w:r>
          </w:p>
        </w:tc>
      </w:tr>
      <w:tr>
        <w:tc>
          <w:tcPr/>
          <w:p>
            <w:pPr>
              <w:pStyle w:val="Compact"/>
              <w:jc w:val="left"/>
            </w:pPr>
            <w:r>
              <w:t xml:space="preserve">Wessells 2000 (resumo), PMID 11035391</w:t>
            </w:r>
          </w:p>
        </w:tc>
        <w:tc>
          <w:tcPr/>
          <w:p>
            <w:pPr>
              <w:pStyle w:val="Compact"/>
              <w:jc w:val="left"/>
            </w:pPr>
            <w:r>
              <w:t xml:space="preserve">ambos os estudos juntos, 20 homens</w:t>
            </w:r>
          </w:p>
        </w:tc>
        <w:tc>
          <w:tcPr/>
          <w:p>
            <w:pPr>
              <w:pStyle w:val="Compact"/>
              <w:jc w:val="left"/>
            </w:pPr>
            <w:r>
              <w:t xml:space="preserve">Doses únicas</w:t>
            </w:r>
          </w:p>
        </w:tc>
        <w:tc>
          <w:tcPr/>
          <w:p>
            <w:pPr>
              <w:pStyle w:val="Compact"/>
              <w:jc w:val="left"/>
            </w:pPr>
            <w:r>
              <w:t xml:space="preserve">Ereções sem estímulos sexuais em 17 de 20; mais desejo após 68% vs. 19% das doses</w:t>
            </w:r>
          </w:p>
        </w:tc>
      </w:tr>
    </w:tbl>
    <w:p>
      <w:pPr>
        <w:pStyle w:val="BodyText"/>
      </w:pPr>
      <w:r>
        <w:t xml:space="preserve">O primeiro estudo em humanos</w:t>
      </w:r>
      <w:r>
        <w:rPr>
          <w:rStyle w:val="FootnoteReference"/>
        </w:rPr>
        <w:footnoteReference w:id="2027"/>
      </w:r>
      <w:r>
        <w:t xml:space="preserve"> </w:t>
      </w:r>
      <w:r>
        <w:t xml:space="preserve">foi um estudo-piloto com apenas três homens. Já aqui apareceram todos os efeitos que mais tarde os usuários descrevem na internet: dois dos três homens bronzearam-se visivelmente, náusea leve ocorreu na maioria dos níveis de dose, um deles teve cansaço mais forte. Um</w:t>
      </w:r>
      <w:r>
        <w:t xml:space="preserve"> </w:t>
      </w:r>
      <w:r>
        <w:t xml:space="preserve">“</w:t>
      </w:r>
      <w:r>
        <w:t xml:space="preserve">complexo de espreguiçamento e bocejo</w:t>
      </w:r>
      <w:r>
        <w:t xml:space="preserve">”</w:t>
      </w:r>
      <w:r>
        <w:t xml:space="preserve"> </w:t>
      </w:r>
      <w:r>
        <w:t xml:space="preserve">veio acompanhado de ereções espontâneas, que, conforme a dose, voltavam a ocorrer repetidamente durante uma a cinco horas.</w:t>
      </w:r>
    </w:p>
    <w:p>
      <w:pPr>
        <w:pStyle w:val="BodyText"/>
      </w:pPr>
      <w:r>
        <w:t xml:space="preserve">O grupo de trabalho do urologista Hunter Wessells passou então a investigar o efeito erétil. Em dois pequenos estudos cruzados (cada participante recebeu, em ordem aleatória, princípio ativo e placebo), o melanotan II provocou ereções na maioria dos homens com disfunção erétil, mesmo sem estímulos sexuais</w:t>
      </w:r>
      <w:r>
        <w:rPr>
          <w:rStyle w:val="FootnoteReference"/>
        </w:rPr>
        <w:footnoteReference w:id="2028"/>
      </w:r>
      <w:r>
        <w:t xml:space="preserve">. No resumo dos dois estudos, os homens relataram aumento do desejo após 68% das doses de melanotan e após 19% das de placebo. Náusea forte ocorreu em 12,9%</w:t>
      </w:r>
      <w:r>
        <w:rPr>
          <w:rStyle w:val="FootnoteReference"/>
        </w:rPr>
        <w:footnoteReference w:id="2029"/>
      </w:r>
      <w:r>
        <w:t xml:space="preserve">.</w:t>
      </w:r>
    </w:p>
    <w:p>
      <w:pPr>
        <w:pStyle w:val="BodyText"/>
      </w:pPr>
      <w:r>
        <w:t xml:space="preserve">Depois disso, a pesquisa clínica com melanotan II terminou. O desenvolvimento passou para a bremelanotida, testada como spray nasal e, mais tarde, como injeção. Para o bronzeamento da pele em pessoas saudáveis, não existe um único estudo controlado com melanotan II.</w:t>
      </w:r>
    </w:p>
    <w:bookmarkEnd w:id="2030"/>
    <w:bookmarkStart w:id="2033" w:name="os-estudos-sobre-melanotan-i"/>
    <w:p>
      <w:pPr>
        <w:pStyle w:val="Heading4"/>
      </w:pPr>
      <w:r>
        <w:t xml:space="preserve">Os estudos sobre melanotan I</w:t>
      </w:r>
    </w:p>
    <w:p>
      <w:pPr>
        <w:pStyle w:val="FirstParagraph"/>
      </w:pPr>
      <w:r>
        <w:t xml:space="preserve">Para contextualizar: os demais estudos da consulta ao banco de dados referem-se ao melanotan I. Neles, voluntários formaram mais eumelanina após as injeções, quase o dobro de antes na pele do antebraço</w:t>
      </w:r>
      <w:r>
        <w:rPr>
          <w:rStyle w:val="FootnoteReference"/>
        </w:rPr>
        <w:footnoteReference w:id="2031"/>
      </w:r>
      <w:r>
        <w:t xml:space="preserve">. Em combinação com a luz solar, o bronzeado se intensificou e se prolongou</w:t>
      </w:r>
      <w:r>
        <w:rPr>
          <w:rStyle w:val="FootnoteReference"/>
        </w:rPr>
        <w:footnoteReference w:id="2032"/>
      </w:r>
      <w:r>
        <w:t xml:space="preserve">. Esses resultados pertencem à história da afamelanotida e não podem ser transferidos para o melanotan II, que age mais intensamente no cérebro.</w:t>
      </w:r>
    </w:p>
    <w:bookmarkEnd w:id="2033"/>
    <w:bookmarkStart w:id="2039" w:name="quem-usa-melanotan-ii"/>
    <w:p>
      <w:pPr>
        <w:pStyle w:val="Heading4"/>
      </w:pPr>
      <w:r>
        <w:t xml:space="preserve">Quem usa melanotan II</w:t>
      </w:r>
    </w:p>
    <w:p>
      <w:pPr>
        <w:pStyle w:val="FirstParagraph"/>
      </w:pPr>
      <w:r>
        <w:t xml:space="preserve">Como o melanotan II nunca foi aprovado, quase todo o conhecimento sobre o uso atual vem de observações fora de estudos. Já em 2009, especialistas britânicos descreveram no British Medical Journal a disseminação do melanotan I e II na população geral</w:t>
      </w:r>
      <w:r>
        <w:rPr>
          <w:rStyle w:val="FootnoteReference"/>
        </w:rPr>
        <w:footnoteReference w:id="2034"/>
      </w:r>
      <w:r>
        <w:t xml:space="preserve">. Uma revisão sistemática incluiu o melanotan entre os produtos frequentemente injetados para otimização corporal e de desempenho, ao lado de esteroides anabolizantes e hormônio do crescimento</w:t>
      </w:r>
      <w:r>
        <w:rPr>
          <w:rStyle w:val="FootnoteReference"/>
        </w:rPr>
        <w:footnoteReference w:id="2035"/>
      </w:r>
      <w:r>
        <w:t xml:space="preserve">.</w:t>
      </w:r>
    </w:p>
    <w:p>
      <w:pPr>
        <w:pStyle w:val="BodyText"/>
      </w:pPr>
      <w:r>
        <w:t xml:space="preserve">Uma análise de fóruns da internet britânicos e irlandeses dos anos de 2016 e 2017 avaliou 623 postagens de 205 pessoas</w:t>
      </w:r>
      <w:r>
        <w:rPr>
          <w:rStyle w:val="FootnoteReference"/>
        </w:rPr>
        <w:footnoteReference w:id="2036"/>
      </w:r>
      <w:r>
        <w:t xml:space="preserve">. Como motivos, as usuárias e os usuários citaram sobretudo uma pele bronzeada antes de férias e antes de competições de fisiculturismo. Os fóruns mostravam desinformação, esquemas de dosagem criados pelos próprios usuários, a combinação com câmaras de bronzeamento e outras práticas arriscadas. Uma pesquisa online entre usuários descreve como era fácil obter a substância</w:t>
      </w:r>
      <w:r>
        <w:rPr>
          <w:rStyle w:val="FootnoteReference"/>
        </w:rPr>
        <w:footnoteReference w:id="2037"/>
      </w:r>
      <w:r>
        <w:t xml:space="preserve">.</w:t>
      </w:r>
    </w:p>
    <w:p>
      <w:pPr>
        <w:pStyle w:val="BodyText"/>
      </w:pPr>
      <w:r>
        <w:t xml:space="preserve">Nos últimos anos, a publicidade se deslocou cada vez mais para redes sociais como o TikTok, onde o melanotan é promovido como</w:t>
      </w:r>
      <w:r>
        <w:t xml:space="preserve"> </w:t>
      </w:r>
      <w:r>
        <w:t xml:space="preserve">“</w:t>
      </w:r>
      <w:r>
        <w:t xml:space="preserve">Barbie Drug</w:t>
      </w:r>
      <w:r>
        <w:t xml:space="preserve">”</w:t>
      </w:r>
      <w:r>
        <w:t xml:space="preserve">. Várias revistas de dermatologia analisaram esses conteúdos e alertam contra a banalização</w:t>
      </w:r>
      <w:r>
        <w:rPr>
          <w:rStyle w:val="FootnoteReference"/>
        </w:rPr>
        <w:footnoteReference w:id="2038"/>
      </w:r>
      <w:r>
        <w:t xml:space="preserve">.</w:t>
      </w:r>
    </w:p>
    <w:bookmarkEnd w:id="2039"/>
    <w:bookmarkEnd w:id="2040"/>
    <w:bookmarkStart w:id="2044" w:name="estudos-em-animais-e-em-laboratório-47"/>
    <w:p>
      <w:pPr>
        <w:pStyle w:val="Heading3"/>
      </w:pPr>
      <w:r>
        <w:t xml:space="preserve">Estudos em animais e em laboratório</w:t>
      </w:r>
    </w:p>
    <w:p>
      <w:pPr>
        <w:pStyle w:val="FirstParagraph"/>
      </w:pPr>
      <w:r>
        <w:t xml:space="preserve">O melanotan II é uma ferramenta padrão na pesquisa básica para ativar receptores de melanocortina. Por isso, os experimentos em animais são numerosos, mas geralmente respondem a perguntas da neurociência e não dizem respeito à segurança em humanos:</w:t>
      </w:r>
    </w:p>
    <w:p>
      <w:pPr>
        <w:numPr>
          <w:ilvl w:val="0"/>
          <w:numId w:val="1259"/>
        </w:numPr>
        <w:pStyle w:val="Compact"/>
      </w:pPr>
      <w:r>
        <w:rPr>
          <w:bCs/>
          <w:b/>
        </w:rPr>
        <w:t xml:space="preserve">Peso e gordura:</w:t>
      </w:r>
      <w:r>
        <w:t xml:space="preserve"> </w:t>
      </w:r>
      <w:r>
        <w:t xml:space="preserve">em camundongos e ratos com sobrepeso sob dieta rica em gordura, o melanotan II reduziu o peso e a massa gorda, sobretudo por meio de menor ingestão de alimentos</w:t>
      </w:r>
      <w:r>
        <w:rPr>
          <w:rStyle w:val="FootnoteReference"/>
        </w:rPr>
        <w:footnoteReference w:id="2041"/>
      </w:r>
      <w:r>
        <w:t xml:space="preserve">.</w:t>
      </w:r>
    </w:p>
    <w:p>
      <w:pPr>
        <w:numPr>
          <w:ilvl w:val="0"/>
          <w:numId w:val="1259"/>
        </w:numPr>
        <w:pStyle w:val="Compact"/>
      </w:pPr>
      <w:r>
        <w:rPr>
          <w:bCs/>
          <w:b/>
        </w:rPr>
        <w:t xml:space="preserve">Temperatura corporal:</w:t>
      </w:r>
      <w:r>
        <w:t xml:space="preserve"> </w:t>
      </w:r>
      <w:r>
        <w:t xml:space="preserve">em camundongos, provocou uma forte hipotermia passageira, mediada por mastócitos e histamina</w:t>
      </w:r>
      <w:r>
        <w:rPr>
          <w:rStyle w:val="FootnoteReference"/>
        </w:rPr>
        <w:footnoteReference w:id="2042"/>
      </w:r>
      <w:r>
        <w:t xml:space="preserve">.</w:t>
      </w:r>
    </w:p>
    <w:p>
      <w:pPr>
        <w:numPr>
          <w:ilvl w:val="0"/>
          <w:numId w:val="1259"/>
        </w:numPr>
        <w:pStyle w:val="Compact"/>
      </w:pPr>
      <w:r>
        <w:rPr>
          <w:bCs/>
          <w:b/>
        </w:rPr>
        <w:t xml:space="preserve">Comportamento social:</w:t>
      </w:r>
      <w:r>
        <w:t xml:space="preserve"> </w:t>
      </w:r>
      <w:r>
        <w:t xml:space="preserve">em um modelo de autismo em camundongos, uma administração de uma semana melhorou medidas de comportamento social</w:t>
      </w:r>
      <w:r>
        <w:rPr>
          <w:rStyle w:val="FootnoteReference"/>
        </w:rPr>
        <w:footnoteReference w:id="2043"/>
      </w:r>
      <w:r>
        <w:t xml:space="preserve">. O caminho suposto passa por uma ativação do sistema da ocitocina (capítulo 2E05).</w:t>
      </w:r>
    </w:p>
    <w:p>
      <w:pPr>
        <w:pStyle w:val="FirstParagraph"/>
      </w:pPr>
      <w:r>
        <w:t xml:space="preserve">Nenhum desses resultados foi confirmado em humanos.</w:t>
      </w:r>
    </w:p>
    <w:bookmarkEnd w:id="2044"/>
    <w:bookmarkStart w:id="2070" w:name="riscos-e-efeitos-colaterais-47"/>
    <w:p>
      <w:pPr>
        <w:pStyle w:val="Heading3"/>
      </w:pPr>
      <w:r>
        <w:t xml:space="preserve">Riscos e efeitos colaterais</w:t>
      </w:r>
    </w:p>
    <w:p>
      <w:pPr>
        <w:pStyle w:val="FirstParagraph"/>
      </w:pPr>
      <w:r>
        <w:t xml:space="preserve">Os riscos do melanotan II podem ser organizados em três grupos: os efeitos esperados via receptores de melanocortina, as alterações cutâneas com a questão em aberto do câncer de pele e casos isolados graves.</w:t>
      </w:r>
    </w:p>
    <w:bookmarkStart w:id="2049" w:name="efeitos-esperados"/>
    <w:p>
      <w:pPr>
        <w:pStyle w:val="Heading4"/>
      </w:pPr>
      <w:r>
        <w:t xml:space="preserve">Efeitos esperados</w:t>
      </w:r>
    </w:p>
    <w:p>
      <w:pPr>
        <w:pStyle w:val="FirstParagraph"/>
      </w:pPr>
      <w:r>
        <w:t xml:space="preserve">Náusea, vermelhidão facial, bocejos e espreguiçamento, perda de apetite, cansaço e ereções espontâneas já ocorriam nos estudos</w:t>
      </w:r>
      <w:r>
        <w:rPr>
          <w:rStyle w:val="FootnoteReference"/>
        </w:rPr>
        <w:footnoteReference w:id="2045"/>
      </w:r>
      <w:r>
        <w:t xml:space="preserve">. A pigmentação não afeta apenas a pele: relatos de caso descrevem faixas escuras transversais nas unhas das mãos</w:t>
      </w:r>
      <w:r>
        <w:rPr>
          <w:rStyle w:val="FootnoteReference"/>
        </w:rPr>
        <w:footnoteReference w:id="2046"/>
      </w:r>
      <w:r>
        <w:t xml:space="preserve"> </w:t>
      </w:r>
      <w:r>
        <w:t xml:space="preserve">e alterações pigmentares da mucosa oral</w:t>
      </w:r>
      <w:r>
        <w:rPr>
          <w:rStyle w:val="FootnoteReference"/>
        </w:rPr>
        <w:footnoteReference w:id="2047"/>
      </w:r>
      <w:r>
        <w:t xml:space="preserve">. Paradoxalmente, também foram descritas manchas claras, despigmentadas</w:t>
      </w:r>
      <w:r>
        <w:rPr>
          <w:rStyle w:val="FootnoteReference"/>
        </w:rPr>
        <w:footnoteReference w:id="2048"/>
      </w:r>
      <w:r>
        <w:t xml:space="preserve">.</w:t>
      </w:r>
    </w:p>
    <w:bookmarkEnd w:id="2049"/>
    <w:bookmarkStart w:id="2057" w:name="pintas-e-melanoma"/>
    <w:p>
      <w:pPr>
        <w:pStyle w:val="Heading4"/>
      </w:pPr>
      <w:r>
        <w:t xml:space="preserve">Pintas e melanoma</w:t>
      </w:r>
    </w:p>
    <w:p>
      <w:pPr>
        <w:pStyle w:val="FirstParagraph"/>
      </w:pPr>
      <w:r>
        <w:t xml:space="preserve">Esta é a preocupação que mais ocupa dermatologistas. O melanotan II estimula todas as células pigmentares, inclusive as de pintas já existentes (nevos). Vários relatos de caso descrevem:</w:t>
      </w:r>
    </w:p>
    <w:p>
      <w:pPr>
        <w:numPr>
          <w:ilvl w:val="0"/>
          <w:numId w:val="1260"/>
        </w:numPr>
        <w:pStyle w:val="Compact"/>
      </w:pPr>
      <w:r>
        <w:rPr>
          <w:bCs/>
          <w:b/>
        </w:rPr>
        <w:t xml:space="preserve">pintas novas em grande número</w:t>
      </w:r>
      <w:r>
        <w:t xml:space="preserve"> </w:t>
      </w:r>
      <w:r>
        <w:t xml:space="preserve">(nevos eruptivos) após injeções de melanotan</w:t>
      </w:r>
      <w:r>
        <w:rPr>
          <w:rStyle w:val="FootnoteReference"/>
        </w:rPr>
        <w:footnoteReference w:id="2050"/>
      </w:r>
      <w:r>
        <w:t xml:space="preserve">, algumas com aspecto chamativo, atípico</w:t>
      </w:r>
      <w:r>
        <w:rPr>
          <w:rStyle w:val="FootnoteReference"/>
        </w:rPr>
        <w:footnoteReference w:id="2051"/>
      </w:r>
      <w:r>
        <w:t xml:space="preserve">;</w:t>
      </w:r>
    </w:p>
    <w:p>
      <w:pPr>
        <w:numPr>
          <w:ilvl w:val="0"/>
          <w:numId w:val="1260"/>
        </w:numPr>
        <w:pStyle w:val="Compact"/>
      </w:pPr>
      <w:r>
        <w:rPr>
          <w:bCs/>
          <w:b/>
        </w:rPr>
        <w:t xml:space="preserve">pintas existentes que escurecem e se modificam</w:t>
      </w:r>
      <w:r>
        <w:t xml:space="preserve">;</w:t>
      </w:r>
    </w:p>
    <w:p>
      <w:pPr>
        <w:numPr>
          <w:ilvl w:val="0"/>
          <w:numId w:val="1260"/>
        </w:numPr>
        <w:pStyle w:val="Compact"/>
      </w:pPr>
      <w:r>
        <w:rPr>
          <w:bCs/>
          <w:b/>
        </w:rPr>
        <w:t xml:space="preserve">melanomas</w:t>
      </w:r>
      <w:r>
        <w:t xml:space="preserve">, ou seja, câncer de pele negro, durante ou pouco depois do uso</w:t>
      </w:r>
      <w:r>
        <w:rPr>
          <w:rStyle w:val="FootnoteReference"/>
        </w:rPr>
        <w:footnoteReference w:id="2052"/>
      </w:r>
      <w:r>
        <w:t xml:space="preserve">. Uma mulher de 20 anos de pele clara desenvolveu um melanoma nas nádegas três meses após uma autoaplicação de três a quatro semanas, combinada com sessões de bronzeamento artificial</w:t>
      </w:r>
      <w:r>
        <w:rPr>
          <w:rStyle w:val="FootnoteReference"/>
        </w:rPr>
        <w:footnoteReference w:id="2053"/>
      </w:r>
      <w:r>
        <w:t xml:space="preserve">. Um caso publicado em 2025 descreve um melanoma da mucosa oral em uma jovem de 22 anos que havia usado spray nasal de melanotan II</w:t>
      </w:r>
      <w:r>
        <w:rPr>
          <w:rStyle w:val="FootnoteReference"/>
        </w:rPr>
        <w:footnoteReference w:id="2054"/>
      </w:r>
      <w:r>
        <w:t xml:space="preserve">.</w:t>
      </w:r>
    </w:p>
    <w:p>
      <w:pPr>
        <w:pStyle w:val="FirstParagraph"/>
      </w:pPr>
      <w:r>
        <w:t xml:space="preserve">Uma revisão de todos os casos publicados de pintas de aparecimento súbito (179 pessoas) encontrou, entre os desencadeantes, além de imunossupressão e quimioterapia, também o melanotan; 16% dos casos tinham pelo menos uma pinta displásica, isto é, com alterações chamativas</w:t>
      </w:r>
      <w:r>
        <w:rPr>
          <w:rStyle w:val="FootnoteReference"/>
        </w:rPr>
        <w:footnoteReference w:id="2055"/>
      </w:r>
      <w:r>
        <w:t xml:space="preserve">.</w:t>
      </w:r>
    </w:p>
    <w:p>
      <w:pPr>
        <w:pStyle w:val="BodyText"/>
      </w:pPr>
      <w:r>
        <w:rPr>
          <w:bCs/>
          <w:b/>
        </w:rPr>
        <w:t xml:space="preserve">O que esses dados significam:</w:t>
      </w:r>
      <w:r>
        <w:t xml:space="preserve"> </w:t>
      </w:r>
      <w:r>
        <w:t xml:space="preserve">relatos de caso não comprovam uma relação causal. Muitos dos afetados usavam ao mesmo tempo câmaras de bronzeamento ou tomavam sol intensamente, o que aumenta o risco de melanoma de forma independente. Uma revisão conclui que uma relação não está comprovada de forma conclusiva, mas que o acúmulo de casos justifica cautela</w:t>
      </w:r>
      <w:r>
        <w:rPr>
          <w:rStyle w:val="FootnoteReference"/>
        </w:rPr>
        <w:footnoteReference w:id="2056"/>
      </w:r>
      <w:r>
        <w:t xml:space="preserve">. Como o melanotan II nunca foi estudado sistematicamente, ninguém pode dizer qual é a dimensão de um possível risco. Para comparação: para a afamelanotida, aparentada e aprovada, um exame com dermatoscopia mostrou apenas alterações passageiras das pintas, sem indícios de transformação maligna (capítulo 2E03) – esses dados, porém, não valem para o melanotan II.</w:t>
      </w:r>
    </w:p>
    <w:bookmarkEnd w:id="2057"/>
    <w:bookmarkStart w:id="2065" w:name="casos-isolados-graves"/>
    <w:p>
      <w:pPr>
        <w:pStyle w:val="Heading4"/>
      </w:pPr>
      <w:r>
        <w:t xml:space="preserve">Casos isolados graves</w:t>
      </w:r>
    </w:p>
    <w:p>
      <w:pPr>
        <w:numPr>
          <w:ilvl w:val="0"/>
          <w:numId w:val="1261"/>
        </w:numPr>
        <w:pStyle w:val="Compact"/>
      </w:pPr>
      <w:r>
        <w:rPr>
          <w:bCs/>
          <w:b/>
        </w:rPr>
        <w:t xml:space="preserve">Priapismo:</w:t>
      </w:r>
      <w:r>
        <w:t xml:space="preserve"> </w:t>
      </w:r>
      <w:r>
        <w:t xml:space="preserve">ereção prolongada e dolorosa, uma emergência urológica. Vários relatos de caso o descrevem após injeções de melanotan</w:t>
      </w:r>
      <w:r>
        <w:rPr>
          <w:rStyle w:val="FootnoteReference"/>
        </w:rPr>
        <w:footnoteReference w:id="2058"/>
      </w:r>
      <w:r>
        <w:t xml:space="preserve">. Em um caso, foi necessária descompressão cirúrgica</w:t>
      </w:r>
      <w:r>
        <w:rPr>
          <w:rStyle w:val="FootnoteReference"/>
        </w:rPr>
        <w:footnoteReference w:id="2059"/>
      </w:r>
      <w:r>
        <w:t xml:space="preserve">; em outro, a capacidade de ereção ainda não havia sido restabelecida quatro semanas depois</w:t>
      </w:r>
      <w:r>
        <w:rPr>
          <w:rStyle w:val="FootnoteReference"/>
        </w:rPr>
        <w:footnoteReference w:id="2060"/>
      </w:r>
      <w:r>
        <w:t xml:space="preserve">.</w:t>
      </w:r>
    </w:p>
    <w:p>
      <w:pPr>
        <w:numPr>
          <w:ilvl w:val="0"/>
          <w:numId w:val="1261"/>
        </w:numPr>
        <w:pStyle w:val="Compact"/>
      </w:pPr>
      <w:r>
        <w:rPr>
          <w:bCs/>
          <w:b/>
        </w:rPr>
        <w:t xml:space="preserve">Destruição muscular e lesão renal:</w:t>
      </w:r>
      <w:r>
        <w:t xml:space="preserve"> </w:t>
      </w:r>
      <w:r>
        <w:t xml:space="preserve">um homem de 39 anos injetou em si mesmo, segundo seu próprio relato, seis vezes a quantidade inicial recomendada. Ele desenvolveu taquicardia, agitação e uma grave destruição muscular (rabdomiólise), com aumento da enzima muscular CK para 17.773 IU/L e lesão renal transitória; a substância foi confirmada em laboratório como melanotan II</w:t>
      </w:r>
      <w:r>
        <w:rPr>
          <w:rStyle w:val="FootnoteReference"/>
        </w:rPr>
        <w:footnoteReference w:id="2061"/>
      </w:r>
      <w:r>
        <w:t xml:space="preserve">.</w:t>
      </w:r>
    </w:p>
    <w:p>
      <w:pPr>
        <w:numPr>
          <w:ilvl w:val="0"/>
          <w:numId w:val="1261"/>
        </w:numPr>
        <w:pStyle w:val="Compact"/>
      </w:pPr>
      <w:r>
        <w:rPr>
          <w:bCs/>
          <w:b/>
        </w:rPr>
        <w:t xml:space="preserve">Infarto renal:</w:t>
      </w:r>
      <w:r>
        <w:t xml:space="preserve"> </w:t>
      </w:r>
      <w:r>
        <w:t xml:space="preserve">um relato de caso com revisão da literatura aponta o melanotan II como possível causa de uma oclusão de vasos renais</w:t>
      </w:r>
      <w:r>
        <w:rPr>
          <w:rStyle w:val="FootnoteReference"/>
        </w:rPr>
        <w:footnoteReference w:id="2062"/>
      </w:r>
      <w:r>
        <w:t xml:space="preserve">.</w:t>
      </w:r>
    </w:p>
    <w:p>
      <w:pPr>
        <w:numPr>
          <w:ilvl w:val="0"/>
          <w:numId w:val="1261"/>
        </w:numPr>
        <w:pStyle w:val="Compact"/>
      </w:pPr>
      <w:r>
        <w:rPr>
          <w:bCs/>
          <w:b/>
        </w:rPr>
        <w:t xml:space="preserve">Edema cerebral:</w:t>
      </w:r>
      <w:r>
        <w:t xml:space="preserve"> </w:t>
      </w:r>
      <w:r>
        <w:t xml:space="preserve">um relato de caso descreve uma síndrome de encefalopatia posterior reversível (PRES), um edema na região occipital do cérebro, em associação com o melanotan</w:t>
      </w:r>
      <w:r>
        <w:rPr>
          <w:rStyle w:val="FootnoteReference"/>
        </w:rPr>
        <w:footnoteReference w:id="2063"/>
      </w:r>
      <w:r>
        <w:t xml:space="preserve">.</w:t>
      </w:r>
    </w:p>
    <w:p>
      <w:pPr>
        <w:numPr>
          <w:ilvl w:val="0"/>
          <w:numId w:val="1261"/>
        </w:numPr>
        <w:pStyle w:val="Compact"/>
      </w:pPr>
      <w:r>
        <w:rPr>
          <w:bCs/>
          <w:b/>
        </w:rPr>
        <w:t xml:space="preserve">Inflamação cutânea:</w:t>
      </w:r>
      <w:r>
        <w:t xml:space="preserve"> </w:t>
      </w:r>
      <w:r>
        <w:t xml:space="preserve">também foi descrito um pioderma gangrenoso, uma doença de pele ulcerativa grave</w:t>
      </w:r>
      <w:r>
        <w:rPr>
          <w:rStyle w:val="FootnoteReference"/>
        </w:rPr>
        <w:footnoteReference w:id="2064"/>
      </w:r>
      <w:r>
        <w:t xml:space="preserve">.</w:t>
      </w:r>
    </w:p>
    <w:bookmarkEnd w:id="2065"/>
    <w:bookmarkStart w:id="2069" w:name="riscos-do-mercado-cinza-1"/>
    <w:p>
      <w:pPr>
        <w:pStyle w:val="Heading4"/>
      </w:pPr>
      <w:r>
        <w:t xml:space="preserve">Riscos do mercado cinza</w:t>
      </w:r>
    </w:p>
    <w:p>
      <w:pPr>
        <w:pStyle w:val="FirstParagraph"/>
      </w:pPr>
      <w:r>
        <w:t xml:space="preserve">Um laboratório comprou frascos de melanotan II em três lojas online. Todos prometiam 10 mg por frasco; na realidade, continham entre 4,32 e 8,84 mg. Nos produtos de duas lojas, havia 4,1 a 5,9% de impurezas desconhecidas</w:t>
      </w:r>
      <w:r>
        <w:rPr>
          <w:rStyle w:val="FootnoteReference"/>
        </w:rPr>
        <w:footnoteReference w:id="2066"/>
      </w:r>
      <w:r>
        <w:t xml:space="preserve">. Um laboratório forense determinou, em uma amostra apreendida, uma pureza de 30%</w:t>
      </w:r>
      <w:r>
        <w:rPr>
          <w:rStyle w:val="FootnoteReference"/>
        </w:rPr>
        <w:footnoteReference w:id="2067"/>
      </w:r>
      <w:r>
        <w:t xml:space="preserve">. Somam-se a isso os riscos do preparo não estéril e de agulhas compartilhadas, para os quais especialistas chamam expressamente a atenção</w:t>
      </w:r>
      <w:r>
        <w:rPr>
          <w:rStyle w:val="FootnoteReference"/>
        </w:rPr>
        <w:footnoteReference w:id="2068"/>
      </w:r>
      <w:r>
        <w:t xml:space="preserve">. Mais informações sobre pureza e falsificações no mercado cinza estão na Parte I e na Parte IV.</w:t>
      </w:r>
    </w:p>
    <w:bookmarkEnd w:id="2069"/>
    <w:bookmarkEnd w:id="2070"/>
    <w:bookmarkStart w:id="2073" w:name="situação-legal-47"/>
    <w:p>
      <w:pPr>
        <w:pStyle w:val="Heading3"/>
      </w:pPr>
      <w:r>
        <w:t xml:space="preserve">Situação legal</w:t>
      </w:r>
    </w:p>
    <w:p>
      <w:pPr>
        <w:pStyle w:val="FirstParagraph"/>
      </w:pPr>
      <w:r>
        <w:rPr>
          <w:iCs/>
          <w:i/>
        </w:rPr>
        <w:t xml:space="preserve">Situação em 2026, verificar atualização.</w:t>
      </w:r>
    </w:p>
    <w:p>
      <w:pPr>
        <w:numPr>
          <w:ilvl w:val="0"/>
          <w:numId w:val="1262"/>
        </w:numPr>
        <w:pStyle w:val="Compact"/>
      </w:pPr>
      <w:r>
        <w:rPr>
          <w:bCs/>
          <w:b/>
        </w:rPr>
        <w:t xml:space="preserve">UE:</w:t>
      </w:r>
      <w:r>
        <w:t xml:space="preserve"> </w:t>
      </w:r>
      <w:r>
        <w:t xml:space="preserve">o melanotan II não está aprovado em nenhum Estado-membro. Como é oferecido para uso em humanos com efeito sobre funções corporais, é considerado juridicamente um medicamento; fabricação, importação e venda sem aprovação são proibidas. A inscrição</w:t>
      </w:r>
      <w:r>
        <w:t xml:space="preserve"> </w:t>
      </w:r>
      <w:r>
        <w:t xml:space="preserve">“</w:t>
      </w:r>
      <w:r>
        <w:t xml:space="preserve">apenas para fins de pesquisa</w:t>
      </w:r>
      <w:r>
        <w:t xml:space="preserve">”</w:t>
      </w:r>
      <w:r>
        <w:t xml:space="preserve"> </w:t>
      </w:r>
      <w:r>
        <w:t xml:space="preserve">não muda nada nisso.</w:t>
      </w:r>
    </w:p>
    <w:p>
      <w:pPr>
        <w:numPr>
          <w:ilvl w:val="0"/>
          <w:numId w:val="1262"/>
        </w:numPr>
        <w:pStyle w:val="Compact"/>
      </w:pPr>
      <w:r>
        <w:rPr>
          <w:bCs/>
          <w:b/>
        </w:rPr>
        <w:t xml:space="preserve">Alemanha e Áustria:</w:t>
      </w:r>
      <w:r>
        <w:t xml:space="preserve"> </w:t>
      </w:r>
      <w:r>
        <w:t xml:space="preserve">não aprovado. A entrega para uso em humanos viola a respectiva lei de medicamentos. Autoridades e alfândega apreendem remessas.</w:t>
      </w:r>
    </w:p>
    <w:p>
      <w:pPr>
        <w:numPr>
          <w:ilvl w:val="0"/>
          <w:numId w:val="1262"/>
        </w:numPr>
        <w:pStyle w:val="Compact"/>
      </w:pPr>
      <w:r>
        <w:rPr>
          <w:bCs/>
          <w:b/>
        </w:rPr>
        <w:t xml:space="preserve">Alertas das autoridades:</w:t>
      </w:r>
      <w:r>
        <w:t xml:space="preserve"> </w:t>
      </w:r>
      <w:r>
        <w:t xml:space="preserve">várias autoridades nacionais de medicamentos e de saúde emitiram alertas sobre o melanotan I e II</w:t>
      </w:r>
      <w:r>
        <w:rPr>
          <w:rStyle w:val="FootnoteReference"/>
        </w:rPr>
        <w:footnoteReference w:id="2071"/>
      </w:r>
      <w:r>
        <w:t xml:space="preserve">. Segundo o conhecimento do autor, as autoridades do Reino Unido e da Irlanda estiveram entre as primeiras, a partir de 2008; mais tarde seguiram-se outros países europeus e a Austrália. No Reino Unido, a venda é expressamente ilegal</w:t>
      </w:r>
      <w:r>
        <w:rPr>
          <w:rStyle w:val="FootnoteReference"/>
        </w:rPr>
        <w:footnoteReference w:id="2072"/>
      </w:r>
      <w:r>
        <w:t xml:space="preserve">.</w:t>
      </w:r>
    </w:p>
    <w:p>
      <w:pPr>
        <w:numPr>
          <w:ilvl w:val="0"/>
          <w:numId w:val="1262"/>
        </w:numPr>
        <w:pStyle w:val="Compact"/>
      </w:pPr>
      <w:r>
        <w:rPr>
          <w:bCs/>
          <w:b/>
        </w:rPr>
        <w:t xml:space="preserve">EUA:</w:t>
      </w:r>
      <w:r>
        <w:t xml:space="preserve"> </w:t>
      </w:r>
      <w:r>
        <w:t xml:space="preserve">nenhuma aprovação da FDA; a distribuição como medicamento para uso em humanos não é permitida.</w:t>
      </w:r>
    </w:p>
    <w:p>
      <w:pPr>
        <w:numPr>
          <w:ilvl w:val="0"/>
          <w:numId w:val="1262"/>
        </w:numPr>
        <w:pStyle w:val="Compact"/>
      </w:pPr>
      <w:r>
        <w:rPr>
          <w:bCs/>
          <w:b/>
        </w:rPr>
        <w:t xml:space="preserve">WADA:</w:t>
      </w:r>
      <w:r>
        <w:t xml:space="preserve"> </w:t>
      </w:r>
      <w:r>
        <w:t xml:space="preserve">proibido como substância não aprovada (S0).</w:t>
      </w:r>
    </w:p>
    <w:bookmarkEnd w:id="2073"/>
    <w:bookmarkStart w:id="2074" w:name="estudos-em-andamento-e-perspectivas-47"/>
    <w:p>
      <w:pPr>
        <w:pStyle w:val="Heading3"/>
      </w:pPr>
      <w:r>
        <w:t xml:space="preserve">Estudos em andamento e perspectivas</w:t>
      </w:r>
    </w:p>
    <w:p>
      <w:pPr>
        <w:pStyle w:val="FirstParagraph"/>
      </w:pPr>
      <w:r>
        <w:rPr>
          <w:bCs/>
          <w:b/>
        </w:rPr>
        <w:t xml:space="preserve">Confirmado (estudos registrados):</w:t>
      </w:r>
      <w:r>
        <w:t xml:space="preserve"> </w:t>
      </w:r>
      <w:r>
        <w:t xml:space="preserve">nenhum. No ClinicalTrials.gov havia, é verdade, um registro sobre melanotan II no vitiligo; o patrocinador desse registro, porém, também registrou entradas que se autodenominam fictícias. Por isso, o registro não é considerado aqui um estudo real. Isso mostra, de passagem: nem mesmo um registro é prova de que um estudo realmente esteja acontecendo.</w:t>
      </w:r>
    </w:p>
    <w:p>
      <w:pPr>
        <w:pStyle w:val="BodyText"/>
      </w:pPr>
      <w:r>
        <w:rPr>
          <w:bCs/>
          <w:b/>
        </w:rPr>
        <w:t xml:space="preserve">Avaliação do autor:</w:t>
      </w:r>
      <w:r>
        <w:t xml:space="preserve"> </w:t>
      </w:r>
      <w:r>
        <w:t xml:space="preserve">para uma aprovação como bronzeador em pessoas saudáveis, não há caminho realista: o benefício é cosmético, os efeitos colaterais via cérebro são acentuados, e a questão das pintas e do melanoma teria de ser esclarecida em estudos grandes e longos. Aplicações medicamente sensatas de agonistas de melanocortina são buscadas com moléculas mais seletivas – afamelanotida para a pele, bremelanotida e setmelanotida para o cérebro. A popularidade nas redes sociais deve fazer crescer ainda mais o número de relatos de caso.</w:t>
      </w:r>
    </w:p>
    <w:bookmarkEnd w:id="2074"/>
    <w:bookmarkStart w:id="2075" w:name="conclusão-47"/>
    <w:p>
      <w:pPr>
        <w:pStyle w:val="Heading3"/>
      </w:pPr>
      <w:r>
        <w:t xml:space="preserve">Conclusão</w:t>
      </w:r>
    </w:p>
    <w:p>
      <w:pPr>
        <w:pStyle w:val="FirstParagraph"/>
      </w:pPr>
      <w:r>
        <w:t xml:space="preserve">O melanotan II é um peptídeo de pesquisa da década de 1990, testado em apenas cerca de duas dúzias de pessoas em pequenos estudos e que nunca recebeu aprovação. Ele bronzeia a pele, mas, por meio de receptores no cérebro, provoca regularmente náusea e ereções espontâneas. Relatos de caso descrevem pintas novas e alteradas, melanomas, priapismo e destruição muscular; uma relação causal com o câncer de pele não está comprovada, mas também não está excluída. Em análises laboratoriais, produtos do mercado cinza continham menos princípio ativo do que o declarado e impurezas desconhecidas. Os dados não são suficientes para considerar o melanotan II seguro.</w:t>
      </w:r>
    </w:p>
    <w:bookmarkEnd w:id="2075"/>
    <w:bookmarkEnd w:id="2076"/>
    <w:bookmarkStart w:id="2136" w:name="afamelanotida"/>
    <w:p>
      <w:pPr>
        <w:pStyle w:val="Heading2"/>
      </w:pPr>
      <w:r>
        <w:t xml:space="preserve">Afamelanotida</w:t>
      </w:r>
    </w:p>
    <w:bookmarkStart w:id="2079" w:name="ficha-técnica-48"/>
    <w:p>
      <w:pPr>
        <w:pStyle w:val="Heading3"/>
      </w:pPr>
      <w:r>
        <w:t xml:space="preserve">Ficha técnica</w:t>
      </w:r>
    </w:p>
    <w:p>
      <w:pPr>
        <w:numPr>
          <w:ilvl w:val="0"/>
          <w:numId w:val="1263"/>
        </w:numPr>
        <w:pStyle w:val="Compact"/>
      </w:pPr>
      <w:r>
        <w:rPr>
          <w:bCs/>
          <w:b/>
        </w:rPr>
        <w:t xml:space="preserve">Tipo/estrutura:</w:t>
      </w:r>
      <w:r>
        <w:t xml:space="preserve"> </w:t>
      </w:r>
      <w:r>
        <w:t xml:space="preserve">peptídeo linear de 13 aminoácidos. Corresponde ao hormônio endógeno alfa-MSH, no qual dois componentes foram substituídos (na posição 4, norleucina; na posição 7, a forma D, especular, da fenilalanina). Essas alterações o tornam mais estável e mais potente. Nomes anteriores: melanotan I, MT-I, NDP-MSH, CUV1647.</w:t>
      </w:r>
    </w:p>
    <w:p>
      <w:pPr>
        <w:numPr>
          <w:ilvl w:val="0"/>
          <w:numId w:val="1263"/>
        </w:numPr>
        <w:pStyle w:val="Compact"/>
      </w:pPr>
      <w:r>
        <w:rPr>
          <w:bCs/>
          <w:b/>
        </w:rPr>
        <w:t xml:space="preserve">Origem:</w:t>
      </w:r>
      <w:r>
        <w:t xml:space="preserve"> </w:t>
      </w:r>
      <w:r>
        <w:t xml:space="preserve">desenvolvida na Universidade do Arizona junto com o melanotan II</w:t>
      </w:r>
      <w:r>
        <w:rPr>
          <w:rStyle w:val="FootnoteReference"/>
        </w:rPr>
        <w:footnoteReference w:id="2077"/>
      </w:r>
      <w:r>
        <w:t xml:space="preserve">; mais tarde transformada em medicamento pela empresa australiana Clinuvel.</w:t>
      </w:r>
    </w:p>
    <w:p>
      <w:pPr>
        <w:numPr>
          <w:ilvl w:val="0"/>
          <w:numId w:val="1263"/>
        </w:numPr>
        <w:pStyle w:val="Compact"/>
      </w:pPr>
      <w:r>
        <w:rPr>
          <w:bCs/>
          <w:b/>
        </w:rPr>
        <w:t xml:space="preserve">Mecanismo de ação:</w:t>
      </w:r>
      <w:r>
        <w:t xml:space="preserve"> </w:t>
      </w:r>
      <w:r>
        <w:t xml:space="preserve">agonista do receptor de melanocortina 1 (MC1R) das células pigmentares. Estimula a formação do pigmento escuro e fotoprotetor eumelanina – sem radiação UV prévia.</w:t>
      </w:r>
    </w:p>
    <w:p>
      <w:pPr>
        <w:numPr>
          <w:ilvl w:val="0"/>
          <w:numId w:val="1263"/>
        </w:numPr>
        <w:pStyle w:val="Compact"/>
      </w:pPr>
      <w:r>
        <w:rPr>
          <w:bCs/>
          <w:b/>
        </w:rPr>
        <w:t xml:space="preserve">Forma farmacêutica:</w:t>
      </w:r>
      <w:r>
        <w:t xml:space="preserve"> </w:t>
      </w:r>
      <w:r>
        <w:t xml:space="preserve">pequeno implante autoabsorvível (16 mg), inserido sob a pele, que libera o princípio ativo ao longo de semanas. É aplicado em centros especializados.</w:t>
      </w:r>
    </w:p>
    <w:p>
      <w:pPr>
        <w:numPr>
          <w:ilvl w:val="0"/>
          <w:numId w:val="1263"/>
        </w:numPr>
        <w:pStyle w:val="Compact"/>
      </w:pPr>
      <w:r>
        <w:rPr>
          <w:bCs/>
          <w:b/>
        </w:rPr>
        <w:t xml:space="preserve">Aprovação na UE:</w:t>
      </w:r>
      <w:r>
        <w:t xml:space="preserve"> </w:t>
      </w:r>
      <w:r>
        <w:t xml:space="preserve">sim, desde 2014 (Scenesse), para a prevenção de lesões causadas pela luz em adultos com protoporfiria eritropoética (EPP). A aprovação foi vinculada a condições, entre elas um estudo de segurança pós-aprovação e um registro de pacientes</w:t>
      </w:r>
      <w:r>
        <w:rPr>
          <w:rStyle w:val="FootnoteReference"/>
        </w:rPr>
        <w:footnoteReference w:id="2078"/>
      </w:r>
      <w:r>
        <w:t xml:space="preserve">.</w:t>
      </w:r>
    </w:p>
    <w:p>
      <w:pPr>
        <w:numPr>
          <w:ilvl w:val="0"/>
          <w:numId w:val="1263"/>
        </w:numPr>
        <w:pStyle w:val="Compact"/>
      </w:pPr>
      <w:r>
        <w:rPr>
          <w:bCs/>
          <w:b/>
        </w:rPr>
        <w:t xml:space="preserve">Aprovação nos EUA:</w:t>
      </w:r>
      <w:r>
        <w:t xml:space="preserve"> </w:t>
      </w:r>
      <w:r>
        <w:t xml:space="preserve">sim, desde 2019, para adultos com EPP.</w:t>
      </w:r>
    </w:p>
    <w:p>
      <w:pPr>
        <w:numPr>
          <w:ilvl w:val="0"/>
          <w:numId w:val="1263"/>
        </w:numPr>
        <w:pStyle w:val="Compact"/>
      </w:pPr>
      <w:r>
        <w:rPr>
          <w:bCs/>
          <w:b/>
        </w:rPr>
        <w:t xml:space="preserve">WADA:</w:t>
      </w:r>
      <w:r>
        <w:t xml:space="preserve"> </w:t>
      </w:r>
      <w:r>
        <w:t xml:space="preserve">não listada.</w:t>
      </w:r>
    </w:p>
    <w:p>
      <w:pPr>
        <w:numPr>
          <w:ilvl w:val="0"/>
          <w:numId w:val="1263"/>
        </w:numPr>
        <w:pStyle w:val="Compact"/>
      </w:pPr>
      <w:r>
        <w:rPr>
          <w:bCs/>
          <w:b/>
        </w:rPr>
        <w:t xml:space="preserve">Nível de evidência:</w:t>
      </w:r>
      <w:r>
        <w:t xml:space="preserve"> </w:t>
      </w:r>
      <w:r>
        <w:rPr>
          <w:bCs/>
          <w:b/>
        </w:rPr>
        <w:t xml:space="preserve">A</w:t>
      </w:r>
      <w:r>
        <w:t xml:space="preserve"> </w:t>
      </w:r>
      <w:r>
        <w:t xml:space="preserve">– aprovação na UE e nos EUA com base em dois estudos randomizados controlados por placebo, complementados por várias coortes de longo prazo. Devido à raridade da doença, os estudos são menores do que nas doenças comuns.</w:t>
      </w:r>
    </w:p>
    <w:bookmarkEnd w:id="2079"/>
    <w:bookmarkStart w:id="2082" w:name="como-deveria-agir-48"/>
    <w:p>
      <w:pPr>
        <w:pStyle w:val="Heading3"/>
      </w:pPr>
      <w:r>
        <w:t xml:space="preserve">Como deveria agir</w:t>
      </w:r>
    </w:p>
    <w:p>
      <w:pPr>
        <w:pStyle w:val="FirstParagraph"/>
      </w:pPr>
      <w:r>
        <w:t xml:space="preserve">A protoporfiria eritropoética (EPP) é uma doença hereditária rara. Na Europa, pelo menos uma em cada 140.000 pessoas é afetada</w:t>
      </w:r>
      <w:r>
        <w:rPr>
          <w:rStyle w:val="FootnoteReference"/>
        </w:rPr>
        <w:footnoteReference w:id="2080"/>
      </w:r>
      <w:r>
        <w:t xml:space="preserve">. Devido a um defeito enzimático na formação do pigmento vermelho do sangue, um precursor, a protoporfirina IX, acumula-se no sangue e na pele. Essa substância é ativada pela luz visível e então danifica tecidos e pequenos vasos sanguíneos da pele.</w:t>
      </w:r>
    </w:p>
    <w:p>
      <w:pPr>
        <w:pStyle w:val="BodyText"/>
      </w:pPr>
      <w:r>
        <w:t xml:space="preserve">As consequências são dores em queimação, muitas vezes por dias, após poucos minutos sob a luz do sol – frequentemente sem alterações visíveis na pele. As pessoas afetadas evitam a luz do dia desde a infância. O protetor solar convencional ajuda pouco, porque é sobretudo a luz visível, e não a radiação UV, que desencadeia a reação. Além disso, parte das pessoas afetadas desenvolve lesões hepáticas, porque a protoporfirina em excesso é eliminada pela bile</w:t>
      </w:r>
      <w:r>
        <w:rPr>
          <w:rStyle w:val="FootnoteReference"/>
        </w:rPr>
        <w:footnoteReference w:id="2081"/>
      </w:r>
      <w:r>
        <w:t xml:space="preserve">.</w:t>
      </w:r>
    </w:p>
    <w:p>
      <w:pPr>
        <w:pStyle w:val="BodyText"/>
      </w:pPr>
      <w:r>
        <w:t xml:space="preserve">A afamelanotida não atua na causa, mas na pele: ela a bronzeia, e a eumelanina adicional absorve parte da luz antes que ela alcance a protoporfirina. Experimentos de laboratório sugerem, além disso, efeitos anti-inflamatórios e antioxidantes. Quanto disso desempenha um papel em humanos não está claro.</w:t>
      </w:r>
    </w:p>
    <w:p>
      <w:pPr>
        <w:pStyle w:val="BodyText"/>
      </w:pPr>
      <w:r>
        <w:t xml:space="preserve">Ao contrário do melanotan II (capítulo 2E02), a afamelanotida age predominantemente sobre o receptor de pigmento MC1R e pouco sobre os receptores no cérebro. Por isso, náusea e efeitos concomitantes sexuais são bem mais raros.</w:t>
      </w:r>
    </w:p>
    <w:bookmarkEnd w:id="2082"/>
    <w:bookmarkStart w:id="2110" w:name="estudos-em-humanos-48"/>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10</w:t>
      </w:r>
      <w:r>
        <w:t xml:space="preserve"> </w:t>
      </w:r>
      <w:r>
        <w:t xml:space="preserve">estudos em humanos no PubMed (</w:t>
      </w:r>
      <w:r>
        <w:rPr>
          <w:rStyle w:val="VerbatimChar"/>
        </w:rPr>
        <w:t xml:space="preserve">humanstudien_alle</w:t>
      </w:r>
      <w:r>
        <w:t xml:space="preserve">) e</w:t>
      </w:r>
      <w:r>
        <w:t xml:space="preserve"> </w:t>
      </w:r>
      <w:r>
        <w:rPr>
          <w:bCs/>
          <w:b/>
        </w:rPr>
        <w:t xml:space="preserve">23</w:t>
      </w:r>
      <w:r>
        <w:t xml:space="preserve"> </w:t>
      </w:r>
      <w:r>
        <w:t xml:space="preserve">registros no ClinicalTrials.gov. A busca, porém, abrange apenas o nome</w:t>
      </w:r>
      <w:r>
        <w:t xml:space="preserve"> </w:t>
      </w:r>
      <w:r>
        <w:t xml:space="preserve">“</w:t>
      </w:r>
      <w:r>
        <w:t xml:space="preserve">afamelanotide</w:t>
      </w:r>
      <w:r>
        <w:t xml:space="preserve">”</w:t>
      </w:r>
      <w:r>
        <w:t xml:space="preserve">; estudos mais antigos sob o nome melanotan I ou NDP-MSH, assim como vários estudos de coorte, não estão incluídos e são discutidos aqui complementarmente.</w:t>
      </w:r>
    </w:p>
    <w:bookmarkStart w:id="2086" w:name="Xca2d8788b0f699a407d42d9f6a1dff266e4cf79"/>
    <w:p>
      <w:pPr>
        <w:pStyle w:val="Heading4"/>
      </w:pPr>
      <w:r>
        <w:t xml:space="preserve">Antecedentes: melanotan I em pessoas saudáveis</w:t>
      </w:r>
    </w:p>
    <w:p>
      <w:pPr>
        <w:pStyle w:val="FirstParagraph"/>
      </w:pPr>
      <w:r>
        <w:t xml:space="preserve">Nas décadas de 1990 e no início dos anos 2000, voluntários saudáveis no Arizona receberam injeções diárias. Sua pele escureceu no rosto, no pescoço e nos antebraços; o teor de eumelanina da pele do antebraço aumentou em média 98%</w:t>
      </w:r>
      <w:r>
        <w:rPr>
          <w:rStyle w:val="FootnoteReference"/>
        </w:rPr>
        <w:footnoteReference w:id="2083"/>
      </w:r>
      <w:r>
        <w:t xml:space="preserve">. Combinada com a luz solar, a pele bronzeou-se mais intensamente e por mais tempo, e os participantes sem o princípio ativo precisaram de 50% mais tempo ao sol para o mesmo bronzeado</w:t>
      </w:r>
      <w:r>
        <w:rPr>
          <w:rStyle w:val="FootnoteReference"/>
        </w:rPr>
        <w:footnoteReference w:id="2084"/>
      </w:r>
      <w:r>
        <w:t xml:space="preserve">. Em um estudo com 77 pessoas de pele clara, o efeito foi até mais forte em portadores de determinadas variantes genéticas do MC1R – ou seja, em pessoas com pele especialmente sensível ao sol</w:t>
      </w:r>
      <w:r>
        <w:rPr>
          <w:rStyle w:val="FootnoteReference"/>
        </w:rPr>
        <w:footnoteReference w:id="2085"/>
      </w:r>
      <w:r>
        <w:t xml:space="preserve">. O plano de transformar isso em proteção contra o câncer de pele para a população geral não foi levado adiante.</w:t>
      </w:r>
    </w:p>
    <w:bookmarkEnd w:id="2086"/>
    <w:bookmarkStart w:id="2090" w:name="os-estudos-de-aprovação-na-epp"/>
    <w:p>
      <w:pPr>
        <w:pStyle w:val="Heading4"/>
      </w:pPr>
      <w:r>
        <w:t xml:space="preserve">Os estudos de aprovação na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pessoas com EPP, estudo-piloto aberto</w:t>
            </w:r>
          </w:p>
        </w:tc>
        <w:tc>
          <w:tcPr/>
          <w:p>
            <w:pPr>
              <w:pStyle w:val="Compact"/>
              <w:jc w:val="left"/>
            </w:pPr>
            <w:r>
              <w:t xml:space="preserve">120 dias</w:t>
            </w:r>
          </w:p>
        </w:tc>
        <w:tc>
          <w:tcPr/>
          <w:p>
            <w:pPr>
              <w:pStyle w:val="Compact"/>
              <w:jc w:val="left"/>
            </w:pPr>
            <w:r>
              <w:t xml:space="preserve">Tolerância à luz claramente aumentada</w:t>
            </w:r>
          </w:p>
        </w:tc>
      </w:tr>
      <w:tr>
        <w:tc>
          <w:tcPr/>
          <w:p>
            <w:pPr>
              <w:pStyle w:val="Compact"/>
              <w:jc w:val="left"/>
            </w:pPr>
            <w:r>
              <w:t xml:space="preserve">Estudo da UE (Langendonk 2015), PMID 26132941</w:t>
            </w:r>
          </w:p>
        </w:tc>
        <w:tc>
          <w:tcPr/>
          <w:p>
            <w:pPr>
              <w:pStyle w:val="Compact"/>
              <w:jc w:val="left"/>
            </w:pPr>
            <w:r>
              <w:t xml:space="preserve">74 pessoas, ECR contra implante placebo</w:t>
            </w:r>
          </w:p>
        </w:tc>
        <w:tc>
          <w:tcPr/>
          <w:p>
            <w:pPr>
              <w:pStyle w:val="Compact"/>
              <w:jc w:val="left"/>
            </w:pPr>
            <w:r>
              <w:t xml:space="preserve">9 meses</w:t>
            </w:r>
          </w:p>
        </w:tc>
        <w:tc>
          <w:tcPr/>
          <w:p>
            <w:pPr>
              <w:pStyle w:val="Compact"/>
              <w:jc w:val="left"/>
            </w:pPr>
            <w:r>
              <w:t xml:space="preserve">tempo sem dor sob sol direto, mediana 6,0 vs. 0,8 horas; 77 vs. 146 reações à luz</w:t>
            </w:r>
          </w:p>
        </w:tc>
      </w:tr>
      <w:tr>
        <w:tc>
          <w:tcPr/>
          <w:p>
            <w:pPr>
              <w:pStyle w:val="Compact"/>
              <w:jc w:val="left"/>
            </w:pPr>
            <w:r>
              <w:t xml:space="preserve">Estudo dos EUA (Langendonk 2015), PMID 26132941</w:t>
            </w:r>
          </w:p>
        </w:tc>
        <w:tc>
          <w:tcPr/>
          <w:p>
            <w:pPr>
              <w:pStyle w:val="Compact"/>
              <w:jc w:val="left"/>
            </w:pPr>
            <w:r>
              <w:t xml:space="preserve">94 pessoas, ECR contra implante placebo</w:t>
            </w:r>
          </w:p>
        </w:tc>
        <w:tc>
          <w:tcPr/>
          <w:p>
            <w:pPr>
              <w:pStyle w:val="Compact"/>
              <w:jc w:val="left"/>
            </w:pPr>
            <w:r>
              <w:t xml:space="preserve">6 meses</w:t>
            </w:r>
          </w:p>
        </w:tc>
        <w:tc>
          <w:tcPr/>
          <w:p>
            <w:pPr>
              <w:pStyle w:val="Compact"/>
              <w:jc w:val="left"/>
            </w:pPr>
            <w:r>
              <w:t xml:space="preserve">tempo sem dor sob sol direto, mediana 69,4 vs. 40,8 horas</w:t>
            </w:r>
          </w:p>
        </w:tc>
      </w:tr>
      <w:tr>
        <w:tc>
          <w:tcPr/>
          <w:p>
            <w:pPr>
              <w:pStyle w:val="Compact"/>
              <w:jc w:val="left"/>
            </w:pPr>
            <w:r>
              <w:t xml:space="preserve">Revisão sistemática (Heerfordt 2023), PMID 36525819</w:t>
            </w:r>
          </w:p>
        </w:tc>
        <w:tc>
          <w:tcPr/>
          <w:p>
            <w:pPr>
              <w:pStyle w:val="Compact"/>
              <w:jc w:val="left"/>
            </w:pPr>
            <w:r>
              <w:t xml:space="preserve">40 estudos sobre 18 tratamentos na EPP</w:t>
            </w:r>
          </w:p>
        </w:tc>
        <w:tc>
          <w:tcPr/>
          <w:p>
            <w:pPr>
              <w:pStyle w:val="Compact"/>
              <w:jc w:val="left"/>
            </w:pPr>
            <w:r>
              <w:t xml:space="preserve">–</w:t>
            </w:r>
          </w:p>
        </w:tc>
        <w:tc>
          <w:tcPr/>
          <w:p>
            <w:pPr>
              <w:pStyle w:val="Compact"/>
              <w:jc w:val="left"/>
            </w:pPr>
            <w:r>
              <w:t xml:space="preserve">efeito positivo moderado para afamelanotida e protetor solar mineral; nenhum efeito para betacaroteno, entre outros</w:t>
            </w:r>
          </w:p>
        </w:tc>
      </w:tr>
    </w:tbl>
    <w:p>
      <w:pPr>
        <w:pStyle w:val="BodyText"/>
      </w:pPr>
      <w:r>
        <w:t xml:space="preserve">No primeiro estudo-piloto, cinco pessoas afetadas receberam dois implantes com intervalo de 60 dias. Depois disso, toleraram muito mais luz em um teste de luz padronizado, e a densidade de melanina da pele aumentou</w:t>
      </w:r>
      <w:r>
        <w:rPr>
          <w:rStyle w:val="FootnoteReference"/>
        </w:rPr>
        <w:footnoteReference w:id="2087"/>
      </w:r>
      <w:r>
        <w:t xml:space="preserve">.</w:t>
      </w:r>
    </w:p>
    <w:p>
      <w:pPr>
        <w:pStyle w:val="BodyText"/>
      </w:pPr>
      <w:r>
        <w:t xml:space="preserve">A aprovação se baseia em dois estudos duplo-cegos, publicados em conjunto no New England Journal of Medicine</w:t>
      </w:r>
      <w:r>
        <w:rPr>
          <w:rStyle w:val="FootnoteReference"/>
        </w:rPr>
        <w:footnoteReference w:id="2088"/>
      </w:r>
      <w:r>
        <w:t xml:space="preserve">. A cada 60 dias, os participantes recebiam um implante com afamelanotida ou um implante simulado. O desfecho principal foi o número de horas sob sol direto sem dor, que os participantes registravam em um diário.</w:t>
      </w:r>
    </w:p>
    <w:p>
      <w:pPr>
        <w:pStyle w:val="BodyText"/>
      </w:pPr>
      <w:r>
        <w:t xml:space="preserve">Ambos os estudos mostraram vantagem para a afamelanotida, e em ambos a qualidade de vida melhorou. Os números absolutos, porém, são decepcionantes: no estudo europeu, os participantes passaram, ao longo de nove meses, em mediana seis horas sem dor sob sol direto; com placebo, pouco menos de uma hora. Que os valores sejam tão baixos se deve também à própria doença: quem viveu anos de dor continua evitando o sol, mesmo tolerando-o melhor. Uma medição por diário como essa depende, além disso, fortemente do clima e da estação do ano, o que torna os estudos difíceis de comparar</w:t>
      </w:r>
      <w:r>
        <w:rPr>
          <w:rStyle w:val="FootnoteReference"/>
        </w:rPr>
        <w:footnoteReference w:id="2089"/>
      </w:r>
      <w:r>
        <w:t xml:space="preserve">.</w:t>
      </w:r>
    </w:p>
    <w:bookmarkEnd w:id="2090"/>
    <w:bookmarkStart w:id="2094" w:name="dados-de-longo-prazo-da-prática"/>
    <w:p>
      <w:pPr>
        <w:pStyle w:val="Heading4"/>
      </w:pPr>
      <w:r>
        <w:t xml:space="preserve">Dados de longo prazo da prática</w:t>
      </w:r>
    </w:p>
    <w:p>
      <w:pPr>
        <w:pStyle w:val="FirstParagraph"/>
      </w:pPr>
      <w:r>
        <w:t xml:space="preserve">Como os estudos de aprovação foram curtos e pequenos, as observações do atendimento de rotina são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pessoas em Roma e Zurique, 1.023 implantes, estudo observacional</w:t>
            </w:r>
          </w:p>
        </w:tc>
        <w:tc>
          <w:tcPr/>
          <w:p>
            <w:pPr>
              <w:pStyle w:val="Compact"/>
              <w:jc w:val="left"/>
            </w:pPr>
            <w:r>
              <w:t xml:space="preserve">até 8 anos</w:t>
            </w:r>
          </w:p>
        </w:tc>
        <w:tc>
          <w:tcPr/>
          <w:p>
            <w:pPr>
              <w:pStyle w:val="Compact"/>
              <w:jc w:val="left"/>
            </w:pPr>
            <w:r>
              <w:t xml:space="preserve">Qualidade de vida de 31% para 74% do valor máximo</w:t>
            </w:r>
          </w:p>
        </w:tc>
      </w:tr>
      <w:tr>
        <w:tc>
          <w:tcPr/>
          <w:p>
            <w:pPr>
              <w:pStyle w:val="Compact"/>
              <w:jc w:val="left"/>
            </w:pPr>
            <w:r>
              <w:t xml:space="preserve">Wensink 2020, PMID 32186677</w:t>
            </w:r>
          </w:p>
        </w:tc>
        <w:tc>
          <w:tcPr/>
          <w:p>
            <w:pPr>
              <w:pStyle w:val="Compact"/>
              <w:jc w:val="left"/>
            </w:pPr>
            <w:r>
              <w:t xml:space="preserve">117 pessoas em Roterdã, coorte prospectiva</w:t>
            </w:r>
          </w:p>
        </w:tc>
        <w:tc>
          <w:tcPr/>
          <w:p>
            <w:pPr>
              <w:pStyle w:val="Compact"/>
              <w:jc w:val="left"/>
            </w:pPr>
            <w:r>
              <w:t xml:space="preserve">Mediana de 2 anos</w:t>
            </w:r>
          </w:p>
        </w:tc>
        <w:tc>
          <w:tcPr/>
          <w:p>
            <w:pPr>
              <w:pStyle w:val="Compact"/>
              <w:jc w:val="left"/>
            </w:pPr>
            <w:r>
              <w:t xml:space="preserve">6,1 horas a mais por semana ao ar livre; 98% continuaram</w:t>
            </w:r>
          </w:p>
        </w:tc>
      </w:tr>
      <w:tr>
        <w:tc>
          <w:tcPr/>
          <w:p>
            <w:pPr>
              <w:pStyle w:val="Compact"/>
              <w:jc w:val="left"/>
            </w:pPr>
            <w:r>
              <w:t xml:space="preserve">Homey 2025, PMID 40082741</w:t>
            </w:r>
          </w:p>
        </w:tc>
        <w:tc>
          <w:tcPr/>
          <w:p>
            <w:pPr>
              <w:pStyle w:val="Compact"/>
              <w:jc w:val="left"/>
            </w:pPr>
            <w:r>
              <w:t xml:space="preserve">200 pessoas na Alemanha, estudo de segurança pós-aprovação</w:t>
            </w:r>
          </w:p>
        </w:tc>
        <w:tc>
          <w:tcPr/>
          <w:p>
            <w:pPr>
              <w:pStyle w:val="Compact"/>
              <w:jc w:val="left"/>
            </w:pPr>
            <w:r>
              <w:t xml:space="preserve">em andamento</w:t>
            </w:r>
          </w:p>
        </w:tc>
        <w:tc>
          <w:tcPr/>
          <w:p>
            <w:pPr>
              <w:pStyle w:val="Compact"/>
              <w:jc w:val="left"/>
            </w:pPr>
            <w:r>
              <w:t xml:space="preserve">Qualidade de vida significativamente melhor; 91,0% continuaram</w:t>
            </w:r>
          </w:p>
        </w:tc>
      </w:tr>
      <w:tr>
        <w:tc>
          <w:tcPr/>
          <w:p>
            <w:pPr>
              <w:pStyle w:val="Compact"/>
              <w:jc w:val="left"/>
            </w:pPr>
            <w:r>
              <w:t xml:space="preserve">Seidl-Philipp 2026, PMID 41793078</w:t>
            </w:r>
          </w:p>
        </w:tc>
        <w:tc>
          <w:tcPr/>
          <w:p>
            <w:pPr>
              <w:pStyle w:val="Compact"/>
              <w:jc w:val="left"/>
            </w:pPr>
            <w:r>
              <w:t xml:space="preserve">20 pessoas na Áustria</w:t>
            </w:r>
          </w:p>
        </w:tc>
        <w:tc>
          <w:tcPr/>
          <w:p>
            <w:pPr>
              <w:pStyle w:val="Compact"/>
              <w:jc w:val="left"/>
            </w:pPr>
            <w:r>
              <w:t xml:space="preserve">2023</w:t>
            </w:r>
          </w:p>
        </w:tc>
        <w:tc>
          <w:tcPr/>
          <w:p>
            <w:pPr>
              <w:pStyle w:val="Compact"/>
              <w:jc w:val="left"/>
            </w:pPr>
            <w:r>
              <w:t xml:space="preserve">Tolerância à luz, mediana de 15 para 250 minutos; reações à luz em 88% vs. 33%</w:t>
            </w:r>
          </w:p>
        </w:tc>
      </w:tr>
    </w:tbl>
    <w:p>
      <w:pPr>
        <w:pStyle w:val="BodyText"/>
      </w:pPr>
      <w:r>
        <w:t xml:space="preserve">O estudo observacional ítalo-suíço abrangeu tratamentos desde 2006. Apenas três pessoas declararam que o efeito não correspondeu às suas expectativas; 23% interromperam por outros motivos, como gravidez ou custos</w:t>
      </w:r>
      <w:r>
        <w:rPr>
          <w:rStyle w:val="FootnoteReference"/>
        </w:rPr>
        <w:footnoteReference w:id="2091"/>
      </w:r>
      <w:r>
        <w:t xml:space="preserve">. Na coorte holandesa, as reações à luz tornaram-se menos dolorosas, mas seu número e duração não se alteraram significativamente</w:t>
      </w:r>
      <w:r>
        <w:rPr>
          <w:rStyle w:val="FootnoteReference"/>
        </w:rPr>
        <w:footnoteReference w:id="2092"/>
      </w:r>
      <w:r>
        <w:t xml:space="preserve">. A análise austríaca de todas as 20 pessoas tratadas em 2023 mostra melhoras especialmente nítidas da qualidade de vida</w:t>
      </w:r>
      <w:r>
        <w:rPr>
          <w:rStyle w:val="FootnoteReference"/>
        </w:rPr>
        <w:footnoteReference w:id="2093"/>
      </w:r>
      <w:r>
        <w:t xml:space="preserve">.</w:t>
      </w:r>
    </w:p>
    <w:p>
      <w:pPr>
        <w:pStyle w:val="BodyText"/>
      </w:pPr>
      <w:r>
        <w:t xml:space="preserve">Essas coortes não têm grupo de controle. Quem responde bem tende a permanecer em tratamento, e a expectativa em relação a um medicamento caro influencia a autoavaliação. As taxas de continuidade, altas em todos os estudos, de um tratamento que exige uma consulta médica a cada dois meses são, ainda assim, um sinal notável.</w:t>
      </w:r>
    </w:p>
    <w:bookmarkEnd w:id="2094"/>
    <w:bookmarkStart w:id="2098" w:name="outras-observações-na-epp"/>
    <w:p>
      <w:pPr>
        <w:pStyle w:val="Heading4"/>
      </w:pPr>
      <w:r>
        <w:t xml:space="preserve">Outras observações na EPP</w:t>
      </w:r>
    </w:p>
    <w:p>
      <w:pPr>
        <w:numPr>
          <w:ilvl w:val="0"/>
          <w:numId w:val="1264"/>
        </w:numPr>
        <w:pStyle w:val="Compact"/>
      </w:pPr>
      <w:r>
        <w:rPr>
          <w:bCs/>
          <w:b/>
        </w:rPr>
        <w:t xml:space="preserve">Fígado:</w:t>
      </w:r>
      <w:r>
        <w:t xml:space="preserve"> </w:t>
      </w:r>
      <w:r>
        <w:t xml:space="preserve">em uma análise suíça de 70 pessoas tratadas, com quase 3.000 valores hepáticos, a enzima hepática ALT e a bilirrubina diminuíam quanto mais implantes haviam sido aplicados no ano anterior</w:t>
      </w:r>
      <w:r>
        <w:rPr>
          <w:rStyle w:val="FootnoteReference"/>
        </w:rPr>
        <w:footnoteReference w:id="2095"/>
      </w:r>
      <w:r>
        <w:t xml:space="preserve">. Trata-se de uma associação em dados observacionais, não de prova de proteção hepática.</w:t>
      </w:r>
    </w:p>
    <w:p>
      <w:pPr>
        <w:numPr>
          <w:ilvl w:val="0"/>
          <w:numId w:val="1264"/>
        </w:numPr>
        <w:pStyle w:val="Compact"/>
      </w:pPr>
      <w:r>
        <w:rPr>
          <w:bCs/>
          <w:b/>
        </w:rPr>
        <w:t xml:space="preserve">Vitamina D:</w:t>
      </w:r>
      <w:r>
        <w:t xml:space="preserve"> </w:t>
      </w:r>
      <w:r>
        <w:t xml:space="preserve">a afamelanotida não alterou o nível de vitamina D. Em um estudo com 230 pessoas, a deficiência persistiu em 71,8%; apenas a administração de vitamina D3 elevou os valores</w:t>
      </w:r>
      <w:r>
        <w:rPr>
          <w:rStyle w:val="FootnoteReference"/>
        </w:rPr>
        <w:footnoteReference w:id="2096"/>
      </w:r>
      <w:r>
        <w:t xml:space="preserve">.</w:t>
      </w:r>
    </w:p>
    <w:p>
      <w:pPr>
        <w:numPr>
          <w:ilvl w:val="0"/>
          <w:numId w:val="1264"/>
        </w:numPr>
        <w:pStyle w:val="Compact"/>
      </w:pPr>
      <w:r>
        <w:rPr>
          <w:bCs/>
          <w:b/>
        </w:rPr>
        <w:t xml:space="preserve">Anticorpos:</w:t>
      </w:r>
      <w:r>
        <w:t xml:space="preserve"> </w:t>
      </w:r>
      <w:r>
        <w:t xml:space="preserve">em 23 de 26 pessoas não se formaram anticorpos contra o princípio ativo ao longo de até seis anos; três já tinham anticorpos mensuráveis antes do tratamento, que não se alteraram</w:t>
      </w:r>
      <w:r>
        <w:rPr>
          <w:rStyle w:val="FootnoteReference"/>
        </w:rPr>
        <w:footnoteReference w:id="2097"/>
      </w:r>
      <w:r>
        <w:t xml:space="preserve">.</w:t>
      </w:r>
    </w:p>
    <w:bookmarkEnd w:id="2098"/>
    <w:bookmarkStart w:id="2103" w:name="vitiligo"/>
    <w:p>
      <w:pPr>
        <w:pStyle w:val="Heading4"/>
      </w:pPr>
      <w:r>
        <w:t xml:space="preserve">Vitiligo</w:t>
      </w:r>
    </w:p>
    <w:p>
      <w:pPr>
        <w:pStyle w:val="FirstParagraph"/>
      </w:pPr>
      <w:r>
        <w:t xml:space="preserve">No vitiligo, o sistema imunológico destrói células pigmentares; surgem manchas claras. O tratamento padrão é a fototerapia com UVB de banda estreita. A afamelanotida deve estimular adicionalmente as células pigmentares remanescentes.</w:t>
      </w:r>
    </w:p>
    <w:p>
      <w:pPr>
        <w:pStyle w:val="BodyText"/>
      </w:pPr>
      <w:r>
        <w:t xml:space="preserve">Após uma série de casos com quatro pessoas</w:t>
      </w:r>
      <w:r>
        <w:rPr>
          <w:rStyle w:val="FootnoteReference"/>
        </w:rPr>
        <w:footnoteReference w:id="2099"/>
      </w:r>
      <w:r>
        <w:t xml:space="preserve">, seguiu-se um estudo randomizado com 55 participantes</w:t>
      </w:r>
      <w:r>
        <w:rPr>
          <w:rStyle w:val="FootnoteReference"/>
        </w:rPr>
        <w:footnoteReference w:id="2100"/>
      </w:r>
      <w:r>
        <w:t xml:space="preserve">. A combinação de fototerapia e implantes mensais levou mais rapidamente a uma nova pigmentação do que a fototerapia isolada. Após 168 dias, 48,64% da área estava repigmentada no braço de combinação, e 33,26% com fototerapia isolada. A vantagem apareceu sobretudo nos fototipos mais escuros (IV a VI). Uma desvantagem apontada por especialistas: também a pele saudável escurece, de modo que o contraste com as manchas claras pode inicialmente aumentar</w:t>
      </w:r>
      <w:r>
        <w:rPr>
          <w:rStyle w:val="FootnoteReference"/>
        </w:rPr>
        <w:footnoteReference w:id="2101"/>
      </w:r>
      <w:r>
        <w:t xml:space="preserve">. Um estudo em pacientes asiáticas e asiáticos também foi publicado</w:t>
      </w:r>
      <w:r>
        <w:rPr>
          <w:rStyle w:val="FootnoteReference"/>
        </w:rPr>
        <w:footnoteReference w:id="2102"/>
      </w:r>
      <w:r>
        <w:t xml:space="preserve">.</w:t>
      </w:r>
    </w:p>
    <w:bookmarkEnd w:id="2103"/>
    <w:bookmarkStart w:id="2109" w:name="outras-aplicações-em-estudos-piloto"/>
    <w:p>
      <w:pPr>
        <w:pStyle w:val="Heading4"/>
      </w:pPr>
      <w:r>
        <w:t xml:space="preserve">Outras aplicações em estudos-piloto</w:t>
      </w:r>
    </w:p>
    <w:p>
      <w:pPr>
        <w:pStyle w:val="FirstParagraph"/>
      </w:pPr>
      <w:r>
        <w:t xml:space="preserve">Os resultados a seguir vêm de estudos muito pequenos, geralmente abertos, e devem ser entendidos como hipóteses:</w:t>
      </w:r>
    </w:p>
    <w:p>
      <w:pPr>
        <w:numPr>
          <w:ilvl w:val="0"/>
          <w:numId w:val="1265"/>
        </w:numPr>
        <w:pStyle w:val="Compact"/>
      </w:pPr>
      <w:r>
        <w:rPr>
          <w:bCs/>
          <w:b/>
        </w:rPr>
        <w:t xml:space="preserve">Urticária solar</w:t>
      </w:r>
      <w:r>
        <w:t xml:space="preserve"> </w:t>
      </w:r>
      <w:r>
        <w:t xml:space="preserve">(urticária provocada pela luz): em 5 pessoas, menor formação de pápulas após um implante</w:t>
      </w:r>
      <w:r>
        <w:rPr>
          <w:rStyle w:val="FootnoteReference"/>
        </w:rPr>
        <w:footnoteReference w:id="2104"/>
      </w:r>
      <w:r>
        <w:t xml:space="preserve">.</w:t>
      </w:r>
    </w:p>
    <w:p>
      <w:pPr>
        <w:numPr>
          <w:ilvl w:val="0"/>
          <w:numId w:val="1265"/>
        </w:numPr>
        <w:pStyle w:val="Compact"/>
      </w:pPr>
      <w:r>
        <w:rPr>
          <w:bCs/>
          <w:b/>
        </w:rPr>
        <w:t xml:space="preserve">Acne:</w:t>
      </w:r>
      <w:r>
        <w:t xml:space="preserve"> </w:t>
      </w:r>
      <w:r>
        <w:t xml:space="preserve">em 3 pessoas, menos lesões inflamatórias</w:t>
      </w:r>
      <w:r>
        <w:rPr>
          <w:rStyle w:val="FootnoteReference"/>
        </w:rPr>
        <w:footnoteReference w:id="2105"/>
      </w:r>
      <w:r>
        <w:t xml:space="preserve">.</w:t>
      </w:r>
    </w:p>
    <w:p>
      <w:pPr>
        <w:numPr>
          <w:ilvl w:val="0"/>
          <w:numId w:val="1265"/>
        </w:numPr>
        <w:pStyle w:val="Compact"/>
      </w:pPr>
      <w:r>
        <w:rPr>
          <w:bCs/>
          <w:b/>
        </w:rPr>
        <w:t xml:space="preserve">Doença de Hailey-Hailey</w:t>
      </w:r>
      <w:r>
        <w:t xml:space="preserve"> </w:t>
      </w:r>
      <w:r>
        <w:t xml:space="preserve">(doença bolhosa hereditária): cicatrização das lesões cutâneas em 2 pessoas</w:t>
      </w:r>
      <w:r>
        <w:rPr>
          <w:rStyle w:val="FootnoteReference"/>
        </w:rPr>
        <w:footnoteReference w:id="2106"/>
      </w:r>
      <w:r>
        <w:t xml:space="preserve">.</w:t>
      </w:r>
    </w:p>
    <w:p>
      <w:pPr>
        <w:numPr>
          <w:ilvl w:val="0"/>
          <w:numId w:val="1265"/>
        </w:numPr>
        <w:pStyle w:val="Compact"/>
      </w:pPr>
      <w:r>
        <w:rPr>
          <w:bCs/>
          <w:b/>
        </w:rPr>
        <w:t xml:space="preserve">AVC:</w:t>
      </w:r>
      <w:r>
        <w:t xml:space="preserve"> </w:t>
      </w:r>
      <w:r>
        <w:t xml:space="preserve">em um estudo de viabilidade aberto com 6 pessoas, a administração foi viável; uma pessoa morreu de um novo AVC, que os pesquisadores não atribuíram ao medicamento</w:t>
      </w:r>
      <w:r>
        <w:rPr>
          <w:rStyle w:val="FootnoteReference"/>
        </w:rPr>
        <w:footnoteReference w:id="2107"/>
      </w:r>
      <w:r>
        <w:t xml:space="preserve">.</w:t>
      </w:r>
    </w:p>
    <w:p>
      <w:pPr>
        <w:numPr>
          <w:ilvl w:val="0"/>
          <w:numId w:val="1265"/>
        </w:numPr>
        <w:pStyle w:val="Compact"/>
      </w:pPr>
      <w:r>
        <w:rPr>
          <w:bCs/>
          <w:b/>
        </w:rPr>
        <w:t xml:space="preserve">Pele saudável:</w:t>
      </w:r>
      <w:r>
        <w:t xml:space="preserve"> </w:t>
      </w:r>
      <w:r>
        <w:t xml:space="preserve">em 9 voluntários saudáveis, a vermelhidão da pele após irradiação UV foi menor seis dias após o implante</w:t>
      </w:r>
      <w:r>
        <w:rPr>
          <w:rStyle w:val="FootnoteReference"/>
        </w:rPr>
        <w:footnoteReference w:id="2108"/>
      </w:r>
      <w:r>
        <w:t xml:space="preserve">.</w:t>
      </w:r>
    </w:p>
    <w:bookmarkEnd w:id="2109"/>
    <w:bookmarkEnd w:id="2110"/>
    <w:bookmarkStart w:id="2113" w:name="estudos-em-animais-e-em-laboratório-48"/>
    <w:p>
      <w:pPr>
        <w:pStyle w:val="Heading3"/>
      </w:pPr>
      <w:r>
        <w:t xml:space="preserve">Estudos em animais e em laboratório</w:t>
      </w:r>
    </w:p>
    <w:p>
      <w:pPr>
        <w:pStyle w:val="FirstParagraph"/>
      </w:pPr>
      <w:r>
        <w:t xml:space="preserve">Em culturas de células, a afamelanotida tem efeitos antioxidantes. Em células da pele de pessoas com doença de Hailey-Hailey, ativou o fator de proteção Nrf2 e restabeleceu parcialmente a divisão celular perturbada</w:t>
      </w:r>
      <w:r>
        <w:rPr>
          <w:rStyle w:val="FootnoteReference"/>
        </w:rPr>
        <w:footnoteReference w:id="2111"/>
      </w:r>
      <w:r>
        <w:t xml:space="preserve">. Investigações sobre estabilidade e produtos de degradação do princípio ativo dizem respeito à qualidade do medicamento</w:t>
      </w:r>
      <w:r>
        <w:rPr>
          <w:rStyle w:val="FootnoteReference"/>
        </w:rPr>
        <w:footnoteReference w:id="2112"/>
      </w:r>
      <w:r>
        <w:t xml:space="preserve">. Para a avaliação em humanos, os dados em animais têm hoje papel secundário, porque os dados clínicos são mais conclusivos.</w:t>
      </w:r>
    </w:p>
    <w:bookmarkEnd w:id="2113"/>
    <w:bookmarkStart w:id="2124" w:name="riscos-e-efeitos-colaterais-48"/>
    <w:p>
      <w:pPr>
        <w:pStyle w:val="Heading3"/>
      </w:pPr>
      <w:r>
        <w:t xml:space="preserve">Riscos e efeitos colaterais</w:t>
      </w:r>
    </w:p>
    <w:bookmarkStart w:id="2118" w:name="comprovados-8"/>
    <w:p>
      <w:pPr>
        <w:pStyle w:val="Heading4"/>
      </w:pPr>
      <w:r>
        <w:t xml:space="preserve">Comprovados</w:t>
      </w:r>
    </w:p>
    <w:p>
      <w:pPr>
        <w:numPr>
          <w:ilvl w:val="0"/>
          <w:numId w:val="1266"/>
        </w:numPr>
        <w:pStyle w:val="Compact"/>
      </w:pPr>
      <w:r>
        <w:rPr>
          <w:bCs/>
          <w:b/>
        </w:rPr>
        <w:t xml:space="preserve">Efeitos colaterais frequentes, geralmente leves:</w:t>
      </w:r>
      <w:r>
        <w:t xml:space="preserve"> </w:t>
      </w:r>
      <w:r>
        <w:t xml:space="preserve">náusea, dor de cabeça, cansaço e reações no local de inserção do implante</w:t>
      </w:r>
      <w:r>
        <w:rPr>
          <w:rStyle w:val="FootnoteReference"/>
        </w:rPr>
        <w:footnoteReference w:id="2114"/>
      </w:r>
      <w:r>
        <w:t xml:space="preserve">. Nos estudos de aprovação, eventos adversos graves não foram atribuídos ao princípio ativo.</w:t>
      </w:r>
    </w:p>
    <w:p>
      <w:pPr>
        <w:numPr>
          <w:ilvl w:val="0"/>
          <w:numId w:val="1266"/>
        </w:numPr>
        <w:pStyle w:val="Compact"/>
      </w:pPr>
      <w:r>
        <w:rPr>
          <w:bCs/>
          <w:b/>
        </w:rPr>
        <w:t xml:space="preserve">Pele e pintas mais escuras:</w:t>
      </w:r>
      <w:r>
        <w:t xml:space="preserve"> </w:t>
      </w:r>
      <w:r>
        <w:t xml:space="preserve">o bronzeamento é o efeito desejado. Pintas e sardas também escurecem. Em um estudo com 15 pessoas e 103 pintas, a dermatoscopia mostrou alterações passageiras, que haviam regredido após um ano; não surgiram pintas novas nem indícios de malignidade</w:t>
      </w:r>
      <w:r>
        <w:rPr>
          <w:rStyle w:val="FootnoteReference"/>
        </w:rPr>
        <w:footnoteReference w:id="2115"/>
      </w:r>
      <w:r>
        <w:t xml:space="preserve">. A bula prevê exames regulares da pele.</w:t>
      </w:r>
    </w:p>
    <w:p>
      <w:pPr>
        <w:numPr>
          <w:ilvl w:val="0"/>
          <w:numId w:val="1266"/>
        </w:numPr>
        <w:pStyle w:val="Compact"/>
      </w:pPr>
      <w:r>
        <w:rPr>
          <w:bCs/>
          <w:b/>
        </w:rPr>
        <w:t xml:space="preserve">Alterações pigmentares da mucosa oral</w:t>
      </w:r>
      <w:r>
        <w:t xml:space="preserve"> </w:t>
      </w:r>
      <w:r>
        <w:t xml:space="preserve">foram descritas (de Baat 2020, PMID 32459219; a revisão, porém, mistura achados do implante aprovado com achados de melanotan do mercado cinza), assim como um caso de aparente despigmentação com dermatite atópica simultânea</w:t>
      </w:r>
      <w:r>
        <w:rPr>
          <w:rStyle w:val="FootnoteReference"/>
        </w:rPr>
        <w:footnoteReference w:id="2116"/>
      </w:r>
      <w:r>
        <w:t xml:space="preserve">.</w:t>
      </w:r>
    </w:p>
    <w:p>
      <w:pPr>
        <w:numPr>
          <w:ilvl w:val="0"/>
          <w:numId w:val="1266"/>
        </w:numPr>
        <w:pStyle w:val="Compact"/>
      </w:pPr>
      <w:r>
        <w:rPr>
          <w:bCs/>
          <w:b/>
        </w:rPr>
        <w:t xml:space="preserve">Nenhum efeito sobre a vitamina D:</w:t>
      </w:r>
      <w:r>
        <w:t xml:space="preserve"> </w:t>
      </w:r>
      <w:r>
        <w:t xml:space="preserve">veja acima</w:t>
      </w:r>
      <w:r>
        <w:rPr>
          <w:rStyle w:val="FootnoteReference"/>
        </w:rPr>
        <w:footnoteReference w:id="2117"/>
      </w:r>
      <w:r>
        <w:t xml:space="preserve">.</w:t>
      </w:r>
    </w:p>
    <w:bookmarkEnd w:id="2118"/>
    <w:bookmarkStart w:id="2121" w:name="em-aberto-1"/>
    <w:p>
      <w:pPr>
        <w:pStyle w:val="Heading4"/>
      </w:pPr>
      <w:r>
        <w:t xml:space="preserve">Em aberto</w:t>
      </w:r>
    </w:p>
    <w:p>
      <w:pPr>
        <w:pStyle w:val="FirstParagraph"/>
      </w:pPr>
      <w:r>
        <w:t xml:space="preserve">Faltam em grande parte dados sobre gravidez; na prática, o tratamento é pausado. A afamelanotida não está aprovada para crianças e adolescentes</w:t>
      </w:r>
      <w:r>
        <w:rPr>
          <w:rStyle w:val="FootnoteReference"/>
        </w:rPr>
        <w:footnoteReference w:id="2119"/>
      </w:r>
      <w:r>
        <w:t xml:space="preserve">, embora a EPP geralmente comece na primeira infância. Alguns tratamentos de crianças fora da indicação aprovada foram publicados como relatos de caso</w:t>
      </w:r>
      <w:r>
        <w:rPr>
          <w:rStyle w:val="FootnoteReference"/>
        </w:rPr>
        <w:footnoteReference w:id="2120"/>
      </w:r>
      <w:r>
        <w:t xml:space="preserve">. Se a estimulação das células pigmentares ao longo de décadas influencia o risco de câncer de pele não pode ser dito de forma conclusiva com os períodos de observação disponíveis até agora.</w:t>
      </w:r>
    </w:p>
    <w:bookmarkEnd w:id="2121"/>
    <w:bookmarkStart w:id="2123" w:name="diferença-em-relação-ao-mercado-cinza"/>
    <w:p>
      <w:pPr>
        <w:pStyle w:val="Heading4"/>
      </w:pPr>
      <w:r>
        <w:t xml:space="preserve">Diferença em relação ao mercado cinza</w:t>
      </w:r>
    </w:p>
    <w:p>
      <w:pPr>
        <w:pStyle w:val="FirstParagraph"/>
      </w:pPr>
      <w:r>
        <w:t xml:space="preserve">Na internet, o</w:t>
      </w:r>
      <w:r>
        <w:t xml:space="preserve"> </w:t>
      </w:r>
      <w:r>
        <w:t xml:space="preserve">“</w:t>
      </w:r>
      <w:r>
        <w:t xml:space="preserve">melanotan I</w:t>
      </w:r>
      <w:r>
        <w:t xml:space="preserve">”</w:t>
      </w:r>
      <w:r>
        <w:t xml:space="preserve"> </w:t>
      </w:r>
      <w:r>
        <w:t xml:space="preserve">é oferecido como bronzeador. Esses produtos têm em comum com o implante aprovado apenas o nome do princípio ativo: são vendidos como pó para autoinjeção, pureza e teor não são testados, e não há controle médico da pele. Os dados de segurança do tratamento da EPP não podem ser transferidos para eles</w:t>
      </w:r>
      <w:r>
        <w:rPr>
          <w:rStyle w:val="FootnoteReference"/>
        </w:rPr>
        <w:footnoteReference w:id="2122"/>
      </w:r>
      <w:r>
        <w:t xml:space="preserve">.</w:t>
      </w:r>
    </w:p>
    <w:bookmarkEnd w:id="2123"/>
    <w:bookmarkEnd w:id="2124"/>
    <w:bookmarkStart w:id="2128" w:name="situação-legal-48"/>
    <w:p>
      <w:pPr>
        <w:pStyle w:val="Heading3"/>
      </w:pPr>
      <w:r>
        <w:t xml:space="preserve">Situação legal</w:t>
      </w:r>
    </w:p>
    <w:p>
      <w:pPr>
        <w:pStyle w:val="FirstParagraph"/>
      </w:pPr>
      <w:r>
        <w:rPr>
          <w:iCs/>
          <w:i/>
        </w:rPr>
        <w:t xml:space="preserve">Situação em 2026, verificar atualização.</w:t>
      </w:r>
    </w:p>
    <w:p>
      <w:pPr>
        <w:numPr>
          <w:ilvl w:val="0"/>
          <w:numId w:val="1267"/>
        </w:numPr>
        <w:pStyle w:val="Compact"/>
      </w:pPr>
      <w:r>
        <w:rPr>
          <w:bCs/>
          <w:b/>
        </w:rPr>
        <w:t xml:space="preserve">UE:</w:t>
      </w:r>
      <w:r>
        <w:t xml:space="preserve"> </w:t>
      </w:r>
      <w:r>
        <w:t xml:space="preserve">aprovada centralmente desde 2014 como medicamento órfão (Scenesse) para adultos com EPP. O tratamento é feito em centros especializados; um estudo de segurança e um registro europeu fazem parte das condições</w:t>
      </w:r>
      <w:r>
        <w:rPr>
          <w:rStyle w:val="FootnoteReference"/>
        </w:rPr>
        <w:footnoteReference w:id="2125"/>
      </w:r>
      <w:r>
        <w:t xml:space="preserve">.</w:t>
      </w:r>
    </w:p>
    <w:p>
      <w:pPr>
        <w:numPr>
          <w:ilvl w:val="0"/>
          <w:numId w:val="1267"/>
        </w:numPr>
        <w:pStyle w:val="Compact"/>
      </w:pPr>
      <w:r>
        <w:rPr>
          <w:bCs/>
          <w:b/>
        </w:rPr>
        <w:t xml:space="preserve">Alemanha e Áustria:</w:t>
      </w:r>
      <w:r>
        <w:t xml:space="preserve"> </w:t>
      </w:r>
      <w:r>
        <w:t xml:space="preserve">disponível em clínicas especializadas em porfiria e dermatologia; a cobertura dos custos deve ser esclarecida caso a caso. Há coortes de tratamento publicadas de ambos os países</w:t>
      </w:r>
      <w:r>
        <w:rPr>
          <w:rStyle w:val="FootnoteReference"/>
        </w:rPr>
        <w:footnoteReference w:id="2126"/>
      </w:r>
      <w:r>
        <w:t xml:space="preserve">.</w:t>
      </w:r>
    </w:p>
    <w:p>
      <w:pPr>
        <w:numPr>
          <w:ilvl w:val="0"/>
          <w:numId w:val="1267"/>
        </w:numPr>
        <w:pStyle w:val="Compact"/>
      </w:pPr>
      <w:r>
        <w:rPr>
          <w:bCs/>
          <w:b/>
        </w:rPr>
        <w:t xml:space="preserve">EUA:</w:t>
      </w:r>
      <w:r>
        <w:t xml:space="preserve"> </w:t>
      </w:r>
      <w:r>
        <w:t xml:space="preserve">aprovada desde 2019 para adultos com EPP e reações à luz.</w:t>
      </w:r>
    </w:p>
    <w:p>
      <w:pPr>
        <w:numPr>
          <w:ilvl w:val="0"/>
          <w:numId w:val="1267"/>
        </w:numPr>
        <w:pStyle w:val="Compact"/>
      </w:pPr>
      <w:r>
        <w:rPr>
          <w:bCs/>
          <w:b/>
        </w:rPr>
        <w:t xml:space="preserve">Custos:</w:t>
      </w:r>
      <w:r>
        <w:t xml:space="preserve"> </w:t>
      </w:r>
      <w:r>
        <w:t xml:space="preserve">a afamelanotida está entre os medicamentos caros para doenças raras. Na Inglaterra, a agência de avaliação NICE recusou o financiamento – até agora a única terapia em seu programa para doenças muito raras. Representantes de pacientes criticam o cálculo utilizado nessa decisão</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não listada.</w:t>
      </w:r>
    </w:p>
    <w:bookmarkEnd w:id="2128"/>
    <w:bookmarkStart w:id="2134" w:name="estudos-em-andamento-e-perspectivas-48"/>
    <w:p>
      <w:pPr>
        <w:pStyle w:val="Heading3"/>
      </w:pPr>
      <w:r>
        <w:t xml:space="preserve">Estudos em andamento e perspectivas</w:t>
      </w:r>
    </w:p>
    <w:p>
      <w:pPr>
        <w:pStyle w:val="FirstParagraph"/>
      </w:pPr>
      <w:r>
        <w:rPr>
          <w:bCs/>
          <w:b/>
        </w:rPr>
        <w:t xml:space="preserve">Confirmado (estudos registrados):</w:t>
      </w:r>
    </w:p>
    <w:p>
      <w:pPr>
        <w:numPr>
          <w:ilvl w:val="0"/>
          <w:numId w:val="1268"/>
        </w:numPr>
        <w:pStyle w:val="Compact"/>
      </w:pPr>
      <w:r>
        <w:rPr>
          <w:bCs/>
          <w:b/>
        </w:rPr>
        <w:t xml:space="preserve">Vitiligo, fase 3:</w:t>
      </w:r>
      <w:r>
        <w:t xml:space="preserve"> </w:t>
      </w:r>
      <w:r>
        <w:t xml:space="preserve">um estudo com 200 pessoas compara afamelanotida mais UVB de banda estreita com fototerapia isolada</w:t>
      </w:r>
      <w:r>
        <w:rPr>
          <w:rStyle w:val="FootnoteReference"/>
        </w:rPr>
        <w:footnoteReference w:id="2129"/>
      </w:r>
      <w:r>
        <w:t xml:space="preserve">. O término previsto era junho de 2026; resultados revisados por pares não estavam publicados no PubMed no fechamento desta edição. Um pequeno estudo sobre vitiligo no rosto</w:t>
      </w:r>
      <w:r>
        <w:rPr>
          <w:rStyle w:val="FootnoteReference"/>
        </w:rPr>
        <w:footnoteReference w:id="2130"/>
      </w:r>
      <w:r>
        <w:t xml:space="preserve"> </w:t>
      </w:r>
      <w:r>
        <w:t xml:space="preserve">está registrado.</w:t>
      </w:r>
    </w:p>
    <w:p>
      <w:pPr>
        <w:numPr>
          <w:ilvl w:val="0"/>
          <w:numId w:val="1268"/>
        </w:numPr>
        <w:pStyle w:val="Compact"/>
      </w:pPr>
      <w:r>
        <w:rPr>
          <w:bCs/>
          <w:b/>
        </w:rPr>
        <w:t xml:space="preserve">Outras doenças raras de sensibilidade à luz:</w:t>
      </w:r>
      <w:r>
        <w:t xml:space="preserve"> </w:t>
      </w:r>
      <w:r>
        <w:t xml:space="preserve">pequenos estudos de fase 2 sobre porfiria variegata (NCT05854784, concluído) e sobre xeroderma pigmentoso, uma doença hereditária com reparo deficiente de danos UV</w:t>
      </w:r>
      <w:r>
        <w:rPr>
          <w:rStyle w:val="FootnoteReference"/>
        </w:rPr>
        <w:footnoteReference w:id="2131"/>
      </w:r>
      <w:r>
        <w:t xml:space="preserve">.</w:t>
      </w:r>
    </w:p>
    <w:p>
      <w:pPr>
        <w:numPr>
          <w:ilvl w:val="0"/>
          <w:numId w:val="1268"/>
        </w:numPr>
        <w:pStyle w:val="Compact"/>
      </w:pPr>
      <w:r>
        <w:rPr>
          <w:bCs/>
          <w:b/>
        </w:rPr>
        <w:t xml:space="preserve">Farmacologia:</w:t>
      </w:r>
      <w:r>
        <w:t xml:space="preserve"> </w:t>
      </w:r>
      <w:r>
        <w:t xml:space="preserve">um estudo de farmacocinética na EPP com 28 pessoas foi concluído</w:t>
      </w:r>
      <w:r>
        <w:rPr>
          <w:rStyle w:val="FootnoteReference"/>
        </w:rPr>
        <w:footnoteReference w:id="2132"/>
      </w:r>
      <w:r>
        <w:t xml:space="preserve">.</w:t>
      </w:r>
    </w:p>
    <w:p>
      <w:pPr>
        <w:pStyle w:val="FirstParagraph"/>
      </w:pPr>
      <w:r>
        <w:rPr>
          <w:bCs/>
          <w:b/>
        </w:rPr>
        <w:t xml:space="preserve">Nova concorrência:</w:t>
      </w:r>
      <w:r>
        <w:t xml:space="preserve"> </w:t>
      </w:r>
      <w:r>
        <w:t xml:space="preserve">para a EPP estão sendo desenvolvidos dois comprimidos: dersimelagona, um agonista de MC1R não peptídico, e bitopertina, que atua na formação do pigmento vermelho do sangue. Ambos mostraram efeitos em estudos contra placebo; ainda faltam comparações com a afamelanotida</w:t>
      </w:r>
      <w:r>
        <w:rPr>
          <w:rStyle w:val="FootnoteReference"/>
        </w:rPr>
        <w:footnoteReference w:id="2133"/>
      </w:r>
      <w:r>
        <w:t xml:space="preserve">.</w:t>
      </w:r>
    </w:p>
    <w:p>
      <w:pPr>
        <w:pStyle w:val="BodyText"/>
      </w:pPr>
      <w:r>
        <w:rPr>
          <w:bCs/>
          <w:b/>
        </w:rPr>
        <w:t xml:space="preserve">Avaliação do autor:</w:t>
      </w:r>
      <w:r>
        <w:t xml:space="preserve"> </w:t>
      </w:r>
      <w:r>
        <w:t xml:space="preserve">a afamelanotida continuará sendo, por enquanto, a referência para a EPP. Se ela terá papel no vitiligo depende do resultado do estudo de fase 3; a combinação com fototerapia é trabalhosa, e com os cremes de inibidores de JAK já existem outras opções. Uma aprovação para adolescentes seria especialmente importante na EPP, porque a doença começa na infância.</w:t>
      </w:r>
    </w:p>
    <w:bookmarkEnd w:id="2134"/>
    <w:bookmarkStart w:id="2135" w:name="conclusão-48"/>
    <w:p>
      <w:pPr>
        <w:pStyle w:val="Heading3"/>
      </w:pPr>
      <w:r>
        <w:t xml:space="preserve">Conclusão</w:t>
      </w:r>
    </w:p>
    <w:p>
      <w:pPr>
        <w:pStyle w:val="FirstParagraph"/>
      </w:pPr>
      <w:r>
        <w:t xml:space="preserve">A afamelanotida é o peptídeo mais bem estudado e o único aprovado na UE que estimula o bronzeamento da pele pelo sistema das melanocortinas. Em adultos com protoporfiria eritropoética, prolongou em dois estudos randomizados o tempo sem dor sob a luz do sol e melhorou a qualidade de vida; coortes de longo prazo de vários países mostram altas taxas de continuidade, com efeitos colaterais predominantemente leves. No vitiligo, acelerou em um estudo randomizado a repigmentação sob fototerapia; os resultados de fase 3 ainda estão pendentes. O implante controlado em ambulatório especializado não tem praticamente nada em comum com o</w:t>
      </w:r>
      <w:r>
        <w:t xml:space="preserve"> </w:t>
      </w:r>
      <w:r>
        <w:t xml:space="preserve">“</w:t>
      </w:r>
      <w:r>
        <w:t xml:space="preserve">melanotan I</w:t>
      </w:r>
      <w:r>
        <w:t xml:space="preserve">”</w:t>
      </w:r>
      <w:r>
        <w:t xml:space="preserve"> </w:t>
      </w:r>
      <w:r>
        <w:t xml:space="preserve">do mercado cinza para bronzeamento cosmético.</w:t>
      </w:r>
    </w:p>
    <w:bookmarkEnd w:id="2135"/>
    <w:bookmarkEnd w:id="2136"/>
    <w:bookmarkStart w:id="2195" w:name="kisspeptina"/>
    <w:p>
      <w:pPr>
        <w:pStyle w:val="Heading2"/>
      </w:pPr>
      <w:r>
        <w:t xml:space="preserve">Kisspeptina</w:t>
      </w:r>
    </w:p>
    <w:bookmarkStart w:id="2139" w:name="ficha-técnica-49"/>
    <w:p>
      <w:pPr>
        <w:pStyle w:val="Heading3"/>
      </w:pPr>
      <w:r>
        <w:t xml:space="preserve">Ficha técnica</w:t>
      </w:r>
    </w:p>
    <w:p>
      <w:pPr>
        <w:numPr>
          <w:ilvl w:val="0"/>
          <w:numId w:val="1269"/>
        </w:numPr>
        <w:pStyle w:val="Compact"/>
      </w:pPr>
      <w:r>
        <w:rPr>
          <w:bCs/>
          <w:b/>
        </w:rPr>
        <w:t xml:space="preserve">Tipo/estrutura:</w:t>
      </w:r>
      <w:r>
        <w:t xml:space="preserve"> </w:t>
      </w:r>
      <w:r>
        <w:t xml:space="preserve">família de peptídeos endógenos. O gene KISS1 fornece uma proteína precursora da qual surgem fragmentos de diferentes comprimentos: kisspeptina-54 (54 aminoácidos, a forma predominante no sangue), kisspeptina-14, -13 e -10. A forma mais curta, a kisspeptina-10, já contém a parte totalmente ativa. Em estudos, são usadas as formas naturais e variantes sintéticas mais estáveis (como MVT-602 e TAK-448).</w:t>
      </w:r>
    </w:p>
    <w:p>
      <w:pPr>
        <w:numPr>
          <w:ilvl w:val="0"/>
          <w:numId w:val="1269"/>
        </w:numPr>
        <w:pStyle w:val="Compact"/>
      </w:pPr>
      <w:r>
        <w:rPr>
          <w:bCs/>
          <w:b/>
        </w:rPr>
        <w:t xml:space="preserve">Origem:</w:t>
      </w:r>
      <w:r>
        <w:t xml:space="preserve"> </w:t>
      </w:r>
      <w:r>
        <w:t xml:space="preserve">descoberta em 1996, inicialmente como gene que freia a formação de metástases de células de melanoma</w:t>
      </w:r>
      <w:r>
        <w:rPr>
          <w:rStyle w:val="FootnoteReference"/>
        </w:rPr>
        <w:footnoteReference w:id="2137"/>
      </w:r>
      <w:r>
        <w:t xml:space="preserve">. O nome remete à cidade de Hershey, na Pensilvânia, terra do chocolate</w:t>
      </w:r>
      <w:r>
        <w:t xml:space="preserve"> </w:t>
      </w:r>
      <w:r>
        <w:t xml:space="preserve">“</w:t>
      </w:r>
      <w:r>
        <w:t xml:space="preserve">Kisses</w:t>
      </w:r>
      <w:r>
        <w:t xml:space="preserve">”</w:t>
      </w:r>
      <w:r>
        <w:t xml:space="preserve">. Em 2001, o peptídeo foi identificado como mensageiro de um receptor até então</w:t>
      </w:r>
      <w:r>
        <w:t xml:space="preserve"> </w:t>
      </w:r>
      <w:r>
        <w:t xml:space="preserve">“</w:t>
      </w:r>
      <w:r>
        <w:t xml:space="preserve">órfão</w:t>
      </w:r>
      <w:r>
        <w:t xml:space="preserve">”</w:t>
      </w:r>
      <w:r>
        <w:t xml:space="preserve"> </w:t>
      </w:r>
      <w:r>
        <w:t xml:space="preserve">e chamado inicialmente de metastina</w:t>
      </w:r>
      <w:r>
        <w:rPr>
          <w:rStyle w:val="FootnoteReference"/>
        </w:rPr>
        <w:footnoteReference w:id="2138"/>
      </w:r>
      <w:r>
        <w:t xml:space="preserve">.</w:t>
      </w:r>
    </w:p>
    <w:p>
      <w:pPr>
        <w:numPr>
          <w:ilvl w:val="0"/>
          <w:numId w:val="1269"/>
        </w:numPr>
        <w:pStyle w:val="Compact"/>
      </w:pPr>
      <w:r>
        <w:rPr>
          <w:bCs/>
          <w:b/>
        </w:rPr>
        <w:t xml:space="preserve">Mecanismo de ação:</w:t>
      </w:r>
      <w:r>
        <w:t xml:space="preserve"> </w:t>
      </w:r>
      <w:r>
        <w:t xml:space="preserve">agonista do receptor de kisspeptina (KISS1R, antes GPR54) nos neurônios de GnRH do hipotálamo. A kisspeptina é o mais importante desencadeador conhecido da liberação de GnRH e, com isso, de todo o eixo hormonal da reprodução.</w:t>
      </w:r>
    </w:p>
    <w:p>
      <w:pPr>
        <w:numPr>
          <w:ilvl w:val="0"/>
          <w:numId w:val="1269"/>
        </w:numPr>
        <w:pStyle w:val="Compact"/>
      </w:pPr>
      <w:r>
        <w:rPr>
          <w:bCs/>
          <w:b/>
        </w:rPr>
        <w:t xml:space="preserve">Aprovação na UE:</w:t>
      </w:r>
      <w:r>
        <w:t xml:space="preserve"> </w:t>
      </w:r>
      <w:r>
        <w:t xml:space="preserve">não.</w:t>
      </w:r>
    </w:p>
    <w:p>
      <w:pPr>
        <w:numPr>
          <w:ilvl w:val="0"/>
          <w:numId w:val="1269"/>
        </w:numPr>
        <w:pStyle w:val="Compact"/>
      </w:pPr>
      <w:r>
        <w:rPr>
          <w:bCs/>
          <w:b/>
        </w:rPr>
        <w:t xml:space="preserve">Aprovação nos EUA:</w:t>
      </w:r>
      <w:r>
        <w:t xml:space="preserve"> </w:t>
      </w:r>
      <w:r>
        <w:t xml:space="preserve">não.</w:t>
      </w:r>
    </w:p>
    <w:p>
      <w:pPr>
        <w:numPr>
          <w:ilvl w:val="0"/>
          <w:numId w:val="1269"/>
        </w:numPr>
        <w:pStyle w:val="Compact"/>
      </w:pPr>
      <w:r>
        <w:rPr>
          <w:bCs/>
          <w:b/>
        </w:rPr>
        <w:t xml:space="preserve">WADA:</w:t>
      </w:r>
      <w:r>
        <w:t xml:space="preserve"> </w:t>
      </w:r>
      <w:r>
        <w:t xml:space="preserve">não citada nominalmente. Como princípio ativo não aprovado, a kisspeptina enquadra-se no S0; em homens, o grupo S2 abrange, além disso, os fatores liberadores do hormônio luteinizante.</w:t>
      </w:r>
    </w:p>
    <w:p>
      <w:pPr>
        <w:numPr>
          <w:ilvl w:val="0"/>
          <w:numId w:val="1269"/>
        </w:numPr>
        <w:pStyle w:val="Compact"/>
      </w:pPr>
      <w:r>
        <w:rPr>
          <w:bCs/>
          <w:b/>
        </w:rPr>
        <w:t xml:space="preserve">Nível de evidência:</w:t>
      </w:r>
      <w:r>
        <w:t xml:space="preserve"> </w:t>
      </w:r>
      <w:r>
        <w:rPr>
          <w:bCs/>
          <w:b/>
        </w:rPr>
        <w:t xml:space="preserve">B</w:t>
      </w:r>
      <w:r>
        <w:t xml:space="preserve"> </w:t>
      </w:r>
      <w:r>
        <w:t xml:space="preserve">– numerosos estudos pequenos, em parte randomizados, e vários estudos randomizados de fase 2, sobretudo de Londres e Boston. Nenhum estudo de fase 3, nenhuma aprovação.</w:t>
      </w:r>
    </w:p>
    <w:bookmarkEnd w:id="2139"/>
    <w:bookmarkStart w:id="2141" w:name="como-deveria-agir-49"/>
    <w:p>
      <w:pPr>
        <w:pStyle w:val="Heading3"/>
      </w:pPr>
      <w:r>
        <w:t xml:space="preserve">Como deveria agir</w:t>
      </w:r>
    </w:p>
    <w:p>
      <w:pPr>
        <w:pStyle w:val="FirstParagraph"/>
      </w:pPr>
      <w:r>
        <w:t xml:space="preserve">A reprodução humana é controlada por uma cadeia de hormônios. No topo está o hormônio GnRH (hormônio liberador de gonadotrofinas), do hipotálamo, secretado em pulsos. Ele induz a hipófise a liberar os hormônios LH (hormônio luteinizante) e FSH (hormônio folículo-estimulante). Estes, por sua vez, controlam ovários e testículos: maturação dos óvulos e ovulação, formação de espermatozoides, produção de estrogênio e testosterona. O capítulo sobre a gonadorelina (2E06) descreve esse eixo com mais detalhes.</w:t>
      </w:r>
    </w:p>
    <w:p>
      <w:pPr>
        <w:pStyle w:val="BodyText"/>
      </w:pPr>
      <w:r>
        <w:t xml:space="preserve">A kisspeptina fica um nível acima do GnRH. Neurônios especiais do hipotálamo a secretam e, com isso,</w:t>
      </w:r>
      <w:r>
        <w:t xml:space="preserve"> </w:t>
      </w:r>
      <w:r>
        <w:t xml:space="preserve">“</w:t>
      </w:r>
      <w:r>
        <w:t xml:space="preserve">ligam</w:t>
      </w:r>
      <w:r>
        <w:t xml:space="preserve">”</w:t>
      </w:r>
      <w:r>
        <w:t xml:space="preserve"> </w:t>
      </w:r>
      <w:r>
        <w:t xml:space="preserve">as células de GnRH. O quão central é essa função ficou claro em 2003: pessoas com receptor de kisspeptina defeituoso não entram na puberdade e permanecem inférteis</w:t>
      </w:r>
      <w:r>
        <w:rPr>
          <w:rStyle w:val="FootnoteReference"/>
        </w:rPr>
        <w:footnoteReference w:id="2140"/>
      </w:r>
      <w:r>
        <w:t xml:space="preserve">.</w:t>
      </w:r>
    </w:p>
    <w:p>
      <w:pPr>
        <w:pStyle w:val="BodyText"/>
      </w:pPr>
      <w:r>
        <w:t xml:space="preserve">Para a medicina, a kisspeptina é interessante por dois motivos:</w:t>
      </w:r>
    </w:p>
    <w:p>
      <w:pPr>
        <w:numPr>
          <w:ilvl w:val="0"/>
          <w:numId w:val="1270"/>
        </w:numPr>
        <w:pStyle w:val="Compact"/>
      </w:pPr>
      <w:r>
        <w:rPr>
          <w:bCs/>
          <w:b/>
        </w:rPr>
        <w:t xml:space="preserve">Ela age</w:t>
      </w:r>
      <w:r>
        <w:rPr>
          <w:bCs/>
          <w:b/>
        </w:rPr>
        <w:t xml:space="preserve"> </w:t>
      </w:r>
      <w:r>
        <w:rPr>
          <w:bCs/>
          <w:b/>
        </w:rPr>
        <w:t xml:space="preserve">“</w:t>
      </w:r>
      <w:r>
        <w:rPr>
          <w:bCs/>
          <w:b/>
        </w:rPr>
        <w:t xml:space="preserve">de cima</w:t>
      </w:r>
      <w:r>
        <w:rPr>
          <w:bCs/>
          <w:b/>
        </w:rPr>
        <w:t xml:space="preserve">”</w:t>
      </w:r>
      <w:r>
        <w:rPr>
          <w:bCs/>
          <w:b/>
        </w:rPr>
        <w:t xml:space="preserve">.</w:t>
      </w:r>
      <w:r>
        <w:t xml:space="preserve"> </w:t>
      </w:r>
      <w:r>
        <w:t xml:space="preserve">Diferentemente de medicamentos que substituem diretamente o LH ou o FSH, a kisspeptina estimula a secreção de GnRH do próprio corpo. A liberação hormonal subsequente continua sujeita aos mecanismos naturais de retroalimentação. Isso torna menos provável uma hiperestimulação dos ovários.</w:t>
      </w:r>
    </w:p>
    <w:p>
      <w:pPr>
        <w:numPr>
          <w:ilvl w:val="0"/>
          <w:numId w:val="1270"/>
        </w:numPr>
        <w:pStyle w:val="Compact"/>
      </w:pPr>
      <w:r>
        <w:rPr>
          <w:bCs/>
          <w:b/>
        </w:rPr>
        <w:t xml:space="preserve">Por pouco tempo, estimula; de forma contínua, freia.</w:t>
      </w:r>
      <w:r>
        <w:t xml:space="preserve"> </w:t>
      </w:r>
      <w:r>
        <w:t xml:space="preserve">Com administração ininterrupta, os receptores se habituam ao sinal (taquifilaxia), e o eixo hormonal desacelera. Isso é um problema quando se quer favorecer a fertilidade – e uma oportunidade quando se quer reduzir hormônios, como no câncer de próstata.</w:t>
      </w:r>
    </w:p>
    <w:p>
      <w:pPr>
        <w:pStyle w:val="FirstParagraph"/>
      </w:pPr>
      <w:r>
        <w:t xml:space="preserve">Receptores de kisspeptina também se encontram em regiões cerebrais que processam emoções e estímulos sexuais. Daí surgiu a ideia de que a kisspeptina poderia influenciar o desejo sexual.</w:t>
      </w:r>
    </w:p>
    <w:bookmarkEnd w:id="2141"/>
    <w:bookmarkStart w:id="2176" w:name="estudos-em-humanos-49"/>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encontrou</w:t>
      </w:r>
      <w:r>
        <w:t xml:space="preserve"> </w:t>
      </w:r>
      <w:r>
        <w:rPr>
          <w:bCs/>
          <w:b/>
        </w:rPr>
        <w:t xml:space="preserve">37</w:t>
      </w:r>
      <w:r>
        <w:t xml:space="preserve"> </w:t>
      </w:r>
      <w:r>
        <w:t xml:space="preserve">estudos em humanos no PubMed (</w:t>
      </w:r>
      <w:r>
        <w:rPr>
          <w:rStyle w:val="VerbatimChar"/>
        </w:rPr>
        <w:t xml:space="preserve">humanstudien_alle</w:t>
      </w:r>
      <w:r>
        <w:t xml:space="preserve">) e</w:t>
      </w:r>
      <w:r>
        <w:t xml:space="preserve"> </w:t>
      </w:r>
      <w:r>
        <w:rPr>
          <w:bCs/>
          <w:b/>
        </w:rPr>
        <w:t xml:space="preserve">36</w:t>
      </w:r>
      <w:r>
        <w:t xml:space="preserve"> </w:t>
      </w:r>
      <w:r>
        <w:t xml:space="preserve">registros no ClinicalTrials.gov. Nem todos administram kisspeptina como princípio ativo: alguns estudos apenas medem os níveis de kisspeptina no sangue, por exemplo na gravidez. A administração de kisspeptina em humanos foi impulsionada por poucos grupos de trabalho, sobretudo no Imperial College London e no Massachusetts General Hospital, em Boston. A maioria dos estudos tem menos de 50 participantes.</w:t>
      </w:r>
    </w:p>
    <w:bookmarkStart w:id="2146" w:name="primeiras-administrações-e-fundamentos"/>
    <w:p>
      <w:pPr>
        <w:pStyle w:val="Heading4"/>
      </w:pPr>
      <w:r>
        <w:t xml:space="preserve">Primeiras administrações e fundamentos</w:t>
      </w:r>
    </w:p>
    <w:p>
      <w:pPr>
        <w:pStyle w:val="FirstParagraph"/>
      </w:pPr>
      <w:r>
        <w:t xml:space="preserve">O primeiro estudo em humanos incluiu, em 2005, seis homens saudáveis. Uma infusão de 90 minutos de kisspeptina-54 aumentou significativamente LH, FSH e testosterona em comparação com soro fisiológico</w:t>
      </w:r>
      <w:r>
        <w:rPr>
          <w:rStyle w:val="FootnoteReference"/>
        </w:rPr>
        <w:footnoteReference w:id="2142"/>
      </w:r>
      <w:r>
        <w:t xml:space="preserve">. A meia-vida no sangue foi de quase 28 minutos. Nas mulheres, o efeito depende fortemente da fase do ciclo e é mais forte pouco antes da ovulação</w:t>
      </w:r>
      <w:r>
        <w:rPr>
          <w:rStyle w:val="FootnoteReference"/>
        </w:rPr>
        <w:footnoteReference w:id="2143"/>
      </w:r>
      <w:r>
        <w:t xml:space="preserve">.</w:t>
      </w:r>
    </w:p>
    <w:p>
      <w:pPr>
        <w:pStyle w:val="BodyText"/>
      </w:pPr>
      <w:r>
        <w:t xml:space="preserve">A kisspeptina-10 provocou em homens saudáveis um rápido aumento de LH dependente da dose e, em infusão contínua, aumentou a frequência dos pulsos de LH</w:t>
      </w:r>
      <w:r>
        <w:rPr>
          <w:rStyle w:val="FootnoteReference"/>
        </w:rPr>
        <w:footnoteReference w:id="2144"/>
      </w:r>
      <w:r>
        <w:t xml:space="preserve">. Crianças com puberdade atrasada reagiram de forma muito diferente: algumas tiveram resposta nítida, outras nenhuma</w:t>
      </w:r>
      <w:r>
        <w:rPr>
          <w:rStyle w:val="FootnoteReference"/>
        </w:rPr>
        <w:footnoteReference w:id="2145"/>
      </w:r>
      <w:r>
        <w:t xml:space="preserve">. No futuro, isso poderia ajudar a distinguir uma puberdade apenas tardia de uma deficiência hormonal permanente.</w:t>
      </w:r>
    </w:p>
    <w:bookmarkEnd w:id="2146"/>
    <w:bookmarkStart w:id="2153" w:name="Xa017ca82010760b14151101b3df3a74cfcc880b"/>
    <w:p>
      <w:pPr>
        <w:pStyle w:val="Heading4"/>
      </w:pPr>
      <w:r>
        <w:t xml:space="preserve">Tratamento de fertilidade: maturação dos óvulos</w:t>
      </w:r>
    </w:p>
    <w:p>
      <w:pPr>
        <w:pStyle w:val="FirstParagraph"/>
      </w:pPr>
      <w:r>
        <w:t xml:space="preserve">A aplicação mais desenvolvida até agora é o desencadeamento da maturação dos óvulos na fertilização in vitro (FIV). Normalmente, injeta-se para isso o hormônio hCG. O hCG age por muito tempo e pode provocar, em mulheres sensíveis, uma síndrome de hiperestimulação ovariana (SHO) – um deslocamento de líquidos que, em casos extremos, é potencialmente fatal. A kisspeptina, em vez disso, desencadeia uma onda de LH do próprio corpo, mais curta.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mulheres em tratamento de FIV, estudo de dose sem grupo de controle</w:t>
            </w:r>
          </w:p>
        </w:tc>
        <w:tc>
          <w:tcPr/>
          <w:p>
            <w:pPr>
              <w:pStyle w:val="Compact"/>
              <w:jc w:val="left"/>
            </w:pPr>
            <w:r>
              <w:t xml:space="preserve">um ciclo</w:t>
            </w:r>
          </w:p>
        </w:tc>
        <w:tc>
          <w:tcPr/>
          <w:p>
            <w:pPr>
              <w:pStyle w:val="Compact"/>
              <w:jc w:val="left"/>
            </w:pPr>
            <w:r>
              <w:t xml:space="preserve">Maturação dos óvulos em todas as doses; gravidez clínica 23%</w:t>
            </w:r>
          </w:p>
        </w:tc>
      </w:tr>
      <w:tr>
        <w:tc>
          <w:tcPr/>
          <w:p>
            <w:pPr>
              <w:pStyle w:val="Compact"/>
              <w:jc w:val="left"/>
            </w:pPr>
            <w:r>
              <w:t xml:space="preserve">Abbara 2015, PMID 26192876</w:t>
            </w:r>
          </w:p>
        </w:tc>
        <w:tc>
          <w:tcPr/>
          <w:p>
            <w:pPr>
              <w:pStyle w:val="Compact"/>
              <w:jc w:val="left"/>
            </w:pPr>
            <w:r>
              <w:t xml:space="preserve">60 mulheres com alto risco de SHO, estudo de dose randomizado</w:t>
            </w:r>
          </w:p>
        </w:tc>
        <w:tc>
          <w:tcPr/>
          <w:p>
            <w:pPr>
              <w:pStyle w:val="Compact"/>
              <w:jc w:val="left"/>
            </w:pPr>
            <w:r>
              <w:t xml:space="preserve">um ciclo</w:t>
            </w:r>
          </w:p>
        </w:tc>
        <w:tc>
          <w:tcPr/>
          <w:p>
            <w:pPr>
              <w:pStyle w:val="Compact"/>
              <w:jc w:val="left"/>
            </w:pPr>
            <w:r>
              <w:t xml:space="preserve">Maturação dos óvulos em 95%; nascido vivo 45% por transferência; nenhuma SHO moderada ou grave</w:t>
            </w:r>
          </w:p>
        </w:tc>
      </w:tr>
      <w:tr>
        <w:tc>
          <w:tcPr/>
          <w:p>
            <w:pPr>
              <w:pStyle w:val="Compact"/>
              <w:jc w:val="left"/>
            </w:pPr>
            <w:r>
              <w:t xml:space="preserve">Abbara 2017, PMID 28854728</w:t>
            </w:r>
          </w:p>
        </w:tc>
        <w:tc>
          <w:tcPr/>
          <w:p>
            <w:pPr>
              <w:pStyle w:val="Compact"/>
              <w:jc w:val="left"/>
            </w:pPr>
            <w:r>
              <w:t xml:space="preserve">62 mulheres com alto risco de SHO, ECR: segunda dose vs. soro fisiológico</w:t>
            </w:r>
          </w:p>
        </w:tc>
        <w:tc>
          <w:tcPr/>
          <w:p>
            <w:pPr>
              <w:pStyle w:val="Compact"/>
              <w:jc w:val="left"/>
            </w:pPr>
            <w:r>
              <w:t xml:space="preserve">um ciclo</w:t>
            </w:r>
          </w:p>
        </w:tc>
        <w:tc>
          <w:tcPr/>
          <w:p>
            <w:pPr>
              <w:pStyle w:val="Compact"/>
              <w:jc w:val="left"/>
            </w:pPr>
            <w:r>
              <w:t xml:space="preserve">rendimento suficiente de óvulos em 71% vs. 45%</w:t>
            </w:r>
          </w:p>
        </w:tc>
      </w:tr>
      <w:tr>
        <w:tc>
          <w:tcPr/>
          <w:p>
            <w:pPr>
              <w:pStyle w:val="Compact"/>
              <w:jc w:val="left"/>
            </w:pPr>
            <w:r>
              <w:t xml:space="preserve">Abbara 2024, PMID 37925096</w:t>
            </w:r>
          </w:p>
        </w:tc>
        <w:tc>
          <w:tcPr/>
          <w:p>
            <w:pPr>
              <w:pStyle w:val="Compact"/>
              <w:jc w:val="left"/>
            </w:pPr>
            <w:r>
              <w:t xml:space="preserve">24 e 75 mulheres saudáveis, dois ECRs com o análogo MVT-602</w:t>
            </w:r>
          </w:p>
        </w:tc>
        <w:tc>
          <w:tcPr/>
          <w:p>
            <w:pPr>
              <w:pStyle w:val="Compact"/>
              <w:jc w:val="left"/>
            </w:pPr>
            <w:r>
              <w:t xml:space="preserve">Dose única</w:t>
            </w:r>
          </w:p>
        </w:tc>
        <w:tc>
          <w:tcPr/>
          <w:p>
            <w:pPr>
              <w:pStyle w:val="Compact"/>
              <w:jc w:val="left"/>
            </w:pPr>
            <w:r>
              <w:t xml:space="preserve">Aumento de LH semelhante ao do meio do ciclo natural; ovulação em até 5 dias em até 100%</w:t>
            </w:r>
          </w:p>
        </w:tc>
      </w:tr>
    </w:tbl>
    <w:p>
      <w:pPr>
        <w:pStyle w:val="BodyText"/>
      </w:pPr>
      <w:r>
        <w:t xml:space="preserve">No primeiro estudo</w:t>
      </w:r>
      <w:r>
        <w:rPr>
          <w:rStyle w:val="FootnoteReference"/>
        </w:rPr>
        <w:footnoteReference w:id="2147"/>
      </w:r>
      <w:r>
        <w:t xml:space="preserve">, 53 mulheres receberam uma única injeção de kisspeptina. Em todas as doses testadas, os óvulos amadureceram; em 49 mulheres, embriões foram transferidos, e doze engravidaram clinicamente. Com isso, demonstrou-se pela primeira vez que uma gravidez é possível após uma maturação de óvulos controlada por kisspeptina.</w:t>
      </w:r>
    </w:p>
    <w:p>
      <w:pPr>
        <w:pStyle w:val="BodyText"/>
      </w:pPr>
      <w:r>
        <w:t xml:space="preserve">O estudo seguinte concentrou-se em mulheres com alto risco de hiperestimulação</w:t>
      </w:r>
      <w:r>
        <w:rPr>
          <w:rStyle w:val="FootnoteReference"/>
        </w:rPr>
        <w:footnoteReference w:id="2148"/>
      </w:r>
      <w:r>
        <w:t xml:space="preserve">. Nenhuma das 60 mulheres desenvolveu SHO moderada ou grave; a taxa de nascidos vivos por transferência de embrião foi de 45%. Uma segunda dose de kisspeptina dez horas após a primeira melhorou o rendimento de óvulos maduros</w:t>
      </w:r>
      <w:r>
        <w:rPr>
          <w:rStyle w:val="FootnoteReference"/>
        </w:rPr>
        <w:footnoteReference w:id="2149"/>
      </w:r>
      <w:r>
        <w:t xml:space="preserve">.</w:t>
      </w:r>
    </w:p>
    <w:p>
      <w:pPr>
        <w:pStyle w:val="BodyText"/>
      </w:pPr>
      <w:r>
        <w:rPr>
          <w:bCs/>
          <w:b/>
        </w:rPr>
        <w:t xml:space="preserve">Contextualização:</w:t>
      </w:r>
      <w:r>
        <w:t xml:space="preserve"> </w:t>
      </w:r>
      <w:r>
        <w:t xml:space="preserve">esses estudos mostram que o princípio funciona. Mas não foram desenhados para comparar diretamente a kisspeptina com as alternativas estabelecidas – além do hCG, já existe para pacientes de alto risco o desencadeamento com um agonista de GnRH. As próprias autoras e autores pedem esses estudos comparativos</w:t>
      </w:r>
      <w:r>
        <w:rPr>
          <w:rStyle w:val="FootnoteReference"/>
        </w:rPr>
        <w:footnoteReference w:id="2150"/>
      </w:r>
      <w:r>
        <w:t xml:space="preserve">.</w:t>
      </w:r>
    </w:p>
    <w:p>
      <w:pPr>
        <w:pStyle w:val="BodyText"/>
      </w:pPr>
      <w:r>
        <w:t xml:space="preserve">O análogo sintético MVT-602 age por muito mais tempo que a kisspeptina natural: o pico de LH em mulheres saudáveis ocorreu após cerca de 21 horas em vez de 5, e a quantidade total de LH secretado foi cerca de quatro vezes maior</w:t>
      </w:r>
      <w:r>
        <w:rPr>
          <w:rStyle w:val="FootnoteReference"/>
        </w:rPr>
        <w:footnoteReference w:id="2151"/>
      </w:r>
      <w:r>
        <w:t xml:space="preserve">. Em dois estudos randomizados com 99 mulheres no total, o MVT-602 foi bem tolerado e, no segundo estudo, provocou ovulação em até cinco dias, conforme a dose, em 75 a 100% das mulheres – porém também em 60% com placebo, porque as participantes eram saudáveis</w:t>
      </w:r>
      <w:r>
        <w:rPr>
          <w:rStyle w:val="FootnoteReference"/>
        </w:rPr>
        <w:footnoteReference w:id="2152"/>
      </w:r>
      <w:r>
        <w:t xml:space="preserve">.</w:t>
      </w:r>
    </w:p>
    <w:bookmarkEnd w:id="2153"/>
    <w:bookmarkStart w:id="2159" w:name="ausência-de-menstruação-e-sop"/>
    <w:p>
      <w:pPr>
        <w:pStyle w:val="Heading4"/>
      </w:pPr>
      <w:r>
        <w:t xml:space="preserve">Ausência de menstruação e SOP</w:t>
      </w:r>
    </w:p>
    <w:p>
      <w:pPr>
        <w:pStyle w:val="FirstParagraph"/>
      </w:pPr>
      <w:r>
        <w:t xml:space="preserve">Na amenorreia hipotalâmica, a menstruação não ocorre porque o cérebro – muitas vezes por baixo peso, esporte intenso ou estresse – secreta pouco GnRH. Uma única injeção de kisspeptina aumentou fortemente o LH e o FSH em mulheres afetadas. Com administração duas vezes ao dia durante duas semanas, porém, o efeito quase desapareceu</w:t>
      </w:r>
      <w:r>
        <w:rPr>
          <w:rStyle w:val="FootnoteReference"/>
        </w:rPr>
        <w:footnoteReference w:id="2154"/>
      </w:r>
      <w:r>
        <w:t xml:space="preserve">. Administrações duas vezes por semana levaram apenas a uma habituação parcial</w:t>
      </w:r>
      <w:r>
        <w:rPr>
          <w:rStyle w:val="FootnoteReference"/>
        </w:rPr>
        <w:footnoteReference w:id="2155"/>
      </w:r>
      <w:r>
        <w:t xml:space="preserve">, e uma infusão contínua triplicou temporariamente o número de pulsos de LH</w:t>
      </w:r>
      <w:r>
        <w:rPr>
          <w:rStyle w:val="FootnoteReference"/>
        </w:rPr>
        <w:footnoteReference w:id="2156"/>
      </w:r>
      <w:r>
        <w:t xml:space="preserve">. Em pessoas com defeito genético no sistema da neurocinina B, uma infusão de kisspeptina restabeleceu a secreção hormonal pulsátil</w:t>
      </w:r>
      <w:r>
        <w:rPr>
          <w:rStyle w:val="FootnoteReference"/>
        </w:rPr>
        <w:footnoteReference w:id="2157"/>
      </w:r>
      <w:r>
        <w:t xml:space="preserve">.</w:t>
      </w:r>
    </w:p>
    <w:p>
      <w:pPr>
        <w:pStyle w:val="BodyText"/>
      </w:pPr>
      <w:r>
        <w:t xml:space="preserve">Na síndrome dos ovários policísticos (SOP), a situação é mais complicada. Em um estudo-piloto com 12 mulheres, a kisspeptina aumentou o nível de LH apenas ligeiramente; duas mulheres ovularam, na maioria nada aconteceu</w:t>
      </w:r>
      <w:r>
        <w:rPr>
          <w:rStyle w:val="FootnoteReference"/>
        </w:rPr>
        <w:footnoteReference w:id="2158"/>
      </w:r>
      <w:r>
        <w:t xml:space="preserve">.</w:t>
      </w:r>
    </w:p>
    <w:bookmarkEnd w:id="2159"/>
    <w:bookmarkStart w:id="2162" w:name="homens-testosterona-e-diabetes"/>
    <w:p>
      <w:pPr>
        <w:pStyle w:val="Heading4"/>
      </w:pPr>
      <w:r>
        <w:t xml:space="preserve">Homens: testosterona e diabetes</w:t>
      </w:r>
    </w:p>
    <w:p>
      <w:pPr>
        <w:pStyle w:val="FirstParagraph"/>
      </w:pPr>
      <w:r>
        <w:t xml:space="preserve">Em cinco homens com diabetes tipo 2 e testosterona baixa, uma infusão de kisspeptina-10 aumentou o LH, a frequência dos pulsos de LH e a testosterona</w:t>
      </w:r>
      <w:r>
        <w:rPr>
          <w:rStyle w:val="FootnoteReference"/>
        </w:rPr>
        <w:footnoteReference w:id="2160"/>
      </w:r>
      <w:r>
        <w:t xml:space="preserve">. Um novo estudo com 15 homens saudáveis mostrou que infusões subcutâneas diárias de oito horas mantiveram a secreção hormonal por doze dias, enquanto uma infusão contínua deixou de ter efeito sobre LH e FSH após cinco dias</w:t>
      </w:r>
      <w:r>
        <w:rPr>
          <w:rStyle w:val="FootnoteReference"/>
        </w:rPr>
        <w:footnoteReference w:id="2161"/>
      </w:r>
      <w:r>
        <w:t xml:space="preserve">. Esse é um passo importante para um possível tratamento de longo prazo.</w:t>
      </w:r>
    </w:p>
    <w:bookmarkEnd w:id="2162"/>
    <w:bookmarkStart w:id="2166" w:name="desejo-sexual-e-cérebro"/>
    <w:p>
      <w:pPr>
        <w:pStyle w:val="Heading4"/>
      </w:pPr>
      <w:r>
        <w:t xml:space="preserve">Desejo sexual e cérebro</w:t>
      </w:r>
    </w:p>
    <w:p>
      <w:pPr>
        <w:pStyle w:val="FirstParagraph"/>
      </w:pPr>
      <w:r>
        <w:t xml:space="preserve">O grupo de Londres investigou, com ressonância magnética funcional (RMf), como a kisspeptina altera o processamento de imagens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homens jovens saudáveis, estudo cruzado contra placebo</w:t>
            </w:r>
          </w:p>
        </w:tc>
        <w:tc>
          <w:tcPr/>
          <w:p>
            <w:pPr>
              <w:pStyle w:val="Compact"/>
              <w:jc w:val="left"/>
            </w:pPr>
            <w:r>
              <w:t xml:space="preserve">Infusão única</w:t>
            </w:r>
          </w:p>
        </w:tc>
        <w:tc>
          <w:tcPr/>
          <w:p>
            <w:pPr>
              <w:pStyle w:val="Compact"/>
              <w:jc w:val="left"/>
            </w:pPr>
            <w:r>
              <w:t xml:space="preserve">mais atividade em regiões cerebrais límbicas diante de estímulos sexuais; menos humor negativo</w:t>
            </w:r>
          </w:p>
        </w:tc>
      </w:tr>
      <w:tr>
        <w:tc>
          <w:tcPr/>
          <w:p>
            <w:pPr>
              <w:pStyle w:val="Compact"/>
              <w:jc w:val="left"/>
            </w:pPr>
            <w:r>
              <w:t xml:space="preserve">Thurston 2022, PMID 36287566</w:t>
            </w:r>
          </w:p>
        </w:tc>
        <w:tc>
          <w:tcPr/>
          <w:p>
            <w:pPr>
              <w:pStyle w:val="Compact"/>
              <w:jc w:val="left"/>
            </w:pPr>
            <w:r>
              <w:t xml:space="preserve">32 mulheres com HSDD, estudo cruzado duplo-cego</w:t>
            </w:r>
          </w:p>
        </w:tc>
        <w:tc>
          <w:tcPr/>
          <w:p>
            <w:pPr>
              <w:pStyle w:val="Compact"/>
              <w:jc w:val="left"/>
            </w:pPr>
            <w:r>
              <w:t xml:space="preserve">75 minutos</w:t>
            </w:r>
          </w:p>
        </w:tc>
        <w:tc>
          <w:tcPr/>
          <w:p>
            <w:pPr>
              <w:pStyle w:val="Compact"/>
              <w:jc w:val="left"/>
            </w:pPr>
            <w:r>
              <w:t xml:space="preserve">atividade alterada em regiões cerebrais ligadas a estímulos sexuais e atratividade; nenhum efeito colateral</w:t>
            </w:r>
          </w:p>
        </w:tc>
      </w:tr>
      <w:tr>
        <w:tc>
          <w:tcPr/>
          <w:p>
            <w:pPr>
              <w:pStyle w:val="Compact"/>
              <w:jc w:val="left"/>
            </w:pPr>
            <w:r>
              <w:t xml:space="preserve">Mills 2023, PMID 36735255</w:t>
            </w:r>
          </w:p>
        </w:tc>
        <w:tc>
          <w:tcPr/>
          <w:p>
            <w:pPr>
              <w:pStyle w:val="Compact"/>
              <w:jc w:val="left"/>
            </w:pPr>
            <w:r>
              <w:t xml:space="preserve">32 homens com HSDD, estudo cruzado duplo-cego</w:t>
            </w:r>
          </w:p>
        </w:tc>
        <w:tc>
          <w:tcPr/>
          <w:p>
            <w:pPr>
              <w:pStyle w:val="Compact"/>
              <w:jc w:val="left"/>
            </w:pPr>
            <w:r>
              <w:t xml:space="preserve">75 minutos</w:t>
            </w:r>
          </w:p>
        </w:tc>
        <w:tc>
          <w:tcPr/>
          <w:p>
            <w:pPr>
              <w:pStyle w:val="Compact"/>
              <w:jc w:val="left"/>
            </w:pPr>
            <w:r>
              <w:t xml:space="preserve">atividade cerebral alterada; intumescimento peniano diante de vídeos eróticos até 56% maior que com placebo</w:t>
            </w:r>
          </w:p>
        </w:tc>
      </w:tr>
    </w:tbl>
    <w:p>
      <w:pPr>
        <w:pStyle w:val="BodyText"/>
      </w:pPr>
      <w:r>
        <w:t xml:space="preserve">HSDD (transtorno do desejo sexual hipoativo) significa desejo sexual persistentemente baixo com sofrimento. Em homens com HSDD, uma única infusão de kisspeptina intensificou não apenas a atividade de regiões cerebrais sexuais, mas também a excitação física mensurável e alguns itens sobre o desejo, como a</w:t>
      </w:r>
      <w:r>
        <w:t xml:space="preserve"> </w:t>
      </w:r>
      <w:r>
        <w:t xml:space="preserve">“</w:t>
      </w:r>
      <w:r>
        <w:t xml:space="preserve">expectativa prazerosa pelo sexo</w:t>
      </w:r>
      <w:r>
        <w:t xml:space="preserve">”</w:t>
      </w:r>
      <w:r>
        <w:rPr>
          <w:rStyle w:val="FootnoteReference"/>
        </w:rPr>
        <w:footnoteReference w:id="2163"/>
      </w:r>
      <w:r>
        <w:t xml:space="preserve">. Em mulheres com HSDD, as alterações da atividade cerebral correlacionaram-se com o sofrimento e com a aversão sexual</w:t>
      </w:r>
      <w:r>
        <w:rPr>
          <w:rStyle w:val="FootnoteReference"/>
        </w:rPr>
        <w:footnoteReference w:id="2164"/>
      </w:r>
      <w:r>
        <w:t xml:space="preserve">.</w:t>
      </w:r>
    </w:p>
    <w:p>
      <w:pPr>
        <w:pStyle w:val="BodyText"/>
      </w:pPr>
      <w:r>
        <w:rPr>
          <w:bCs/>
          <w:b/>
        </w:rPr>
        <w:t xml:space="preserve">Contextualização:</w:t>
      </w:r>
      <w:r>
        <w:t xml:space="preserve"> </w:t>
      </w:r>
      <w:r>
        <w:t xml:space="preserve">esses estudos testam uma única infusão em laboratório, com a atividade cerebral como desfecho principal. Não dizem nada sobre se a kisspeptina melhora a vivência sexual no dia a dia ao longo de semanas. A administração por infusão é inadequada para um tratamento cotidiano. Um estudo com 95 pessoas não encontrou efeito sobre ansiedade, cortisol, pressão arterial ou frequência cardíaca</w:t>
      </w:r>
      <w:r>
        <w:rPr>
          <w:rStyle w:val="FootnoteReference"/>
        </w:rPr>
        <w:footnoteReference w:id="2165"/>
      </w:r>
      <w:r>
        <w:t xml:space="preserve"> </w:t>
      </w:r>
      <w:r>
        <w:t xml:space="preserve">– um sinal tranquilizador quanto à tolerabilidade, não uma prova de eficácia.</w:t>
      </w:r>
    </w:p>
    <w:bookmarkEnd w:id="2166"/>
    <w:bookmarkStart w:id="2168" w:name="spray-nasal"/>
    <w:p>
      <w:pPr>
        <w:pStyle w:val="Heading4"/>
      </w:pPr>
      <w:r>
        <w:t xml:space="preserve">Spray nasal</w:t>
      </w:r>
    </w:p>
    <w:p>
      <w:pPr>
        <w:pStyle w:val="FirstParagraph"/>
      </w:pPr>
      <w:r>
        <w:t xml:space="preserve">Um spray nasal com kisspeptina-54 aumentou o LH em homens e mulheres saudáveis e em mulheres com amenorreia hipotalâmica, sem efeitos colaterais</w:t>
      </w:r>
      <w:r>
        <w:rPr>
          <w:rStyle w:val="FootnoteReference"/>
        </w:rPr>
        <w:footnoteReference w:id="2167"/>
      </w:r>
      <w:r>
        <w:t xml:space="preserve">. Isso mostra um caminho possível para um tratamento sem agulha. Em camundongos, a kisspeptina foi detectada na mucosa olfatória, o que sugere uma via pelo sistema olfatório.</w:t>
      </w:r>
    </w:p>
    <w:bookmarkEnd w:id="2168"/>
    <w:bookmarkStart w:id="2172" w:name="outros-achados"/>
    <w:p>
      <w:pPr>
        <w:pStyle w:val="Heading4"/>
      </w:pPr>
      <w:r>
        <w:t xml:space="preserve">Outros achados</w:t>
      </w:r>
    </w:p>
    <w:p>
      <w:pPr>
        <w:numPr>
          <w:ilvl w:val="0"/>
          <w:numId w:val="1271"/>
        </w:numPr>
        <w:pStyle w:val="Compact"/>
      </w:pPr>
      <w:r>
        <w:rPr>
          <w:bCs/>
          <w:b/>
        </w:rPr>
        <w:t xml:space="preserve">Ossos:</w:t>
      </w:r>
      <w:r>
        <w:t xml:space="preserve"> </w:t>
      </w:r>
      <w:r>
        <w:t xml:space="preserve">em 26 homens saudáveis, após uma administração de kisspeptina, o marcador de formação óssea osteocalcina aumentou até 20,3%</w:t>
      </w:r>
      <w:r>
        <w:rPr>
          <w:rStyle w:val="FootnoteReference"/>
        </w:rPr>
        <w:footnoteReference w:id="2169"/>
      </w:r>
      <w:r>
        <w:t xml:space="preserve">.</w:t>
      </w:r>
    </w:p>
    <w:p>
      <w:pPr>
        <w:numPr>
          <w:ilvl w:val="0"/>
          <w:numId w:val="1271"/>
        </w:numPr>
        <w:pStyle w:val="Compact"/>
      </w:pPr>
      <w:r>
        <w:rPr>
          <w:bCs/>
          <w:b/>
        </w:rPr>
        <w:t xml:space="preserve">Metabolismo:</w:t>
      </w:r>
      <w:r>
        <w:t xml:space="preserve"> </w:t>
      </w:r>
      <w:r>
        <w:t xml:space="preserve">em 15 homens saudáveis, a kisspeptina aumentou a secreção de insulina após administração de glicose, sem alterar o apetite ou a quantidade ingerida</w:t>
      </w:r>
      <w:r>
        <w:rPr>
          <w:rStyle w:val="FootnoteReference"/>
        </w:rPr>
        <w:footnoteReference w:id="2170"/>
      </w:r>
      <w:r>
        <w:t xml:space="preserve">.</w:t>
      </w:r>
    </w:p>
    <w:p>
      <w:pPr>
        <w:numPr>
          <w:ilvl w:val="0"/>
          <w:numId w:val="1271"/>
        </w:numPr>
        <w:pStyle w:val="Compact"/>
      </w:pPr>
      <w:r>
        <w:rPr>
          <w:bCs/>
          <w:b/>
        </w:rPr>
        <w:t xml:space="preserve">Ocitocina:</w:t>
      </w:r>
      <w:r>
        <w:t xml:space="preserve"> </w:t>
      </w:r>
      <w:r>
        <w:t xml:space="preserve">após uma injeção de kisspeptina, o nível de ocitocina no sangue aumentou, mais nos homens do que nas mulheres</w:t>
      </w:r>
      <w:r>
        <w:rPr>
          <w:rStyle w:val="FootnoteReference"/>
        </w:rPr>
        <w:footnoteReference w:id="2171"/>
      </w:r>
      <w:r>
        <w:t xml:space="preserve">. Isso está sendo estudado como possível teste para deficiência de ocitocina (capítulo 2E05).</w:t>
      </w:r>
    </w:p>
    <w:bookmarkEnd w:id="2172"/>
    <w:bookmarkStart w:id="2175" w:name="o-contrário-reduzir-hormônios"/>
    <w:p>
      <w:pPr>
        <w:pStyle w:val="Heading4"/>
      </w:pPr>
      <w:r>
        <w:t xml:space="preserve">O contrário: reduzir hormônios</w:t>
      </w:r>
    </w:p>
    <w:p>
      <w:pPr>
        <w:pStyle w:val="FirstParagraph"/>
      </w:pPr>
      <w:r>
        <w:t xml:space="preserve">O análogo sintético TAK-448 tornou-se, em administração contínua, um bloqueador hormonal. Em homens saudáveis acima de 50 anos, a testosterona caiu após uma semana de infusão contínua para a faixa de uma castração; em homens com câncer de próstata, uma injeção de depósito reduziu a testosterona e o marcador tumoral PSA</w:t>
      </w:r>
      <w:r>
        <w:rPr>
          <w:rStyle w:val="FootnoteReference"/>
        </w:rPr>
        <w:footnoteReference w:id="2173"/>
      </w:r>
      <w:r>
        <w:t xml:space="preserve">. Outros dois estudos de fase 2 do fabricante foram encerrados antecipadamente</w:t>
      </w:r>
      <w:r>
        <w:rPr>
          <w:rStyle w:val="FootnoteReference"/>
        </w:rPr>
        <w:footnoteReference w:id="2174"/>
      </w:r>
      <w:r>
        <w:t xml:space="preserve">.</w:t>
      </w:r>
    </w:p>
    <w:bookmarkEnd w:id="2175"/>
    <w:bookmarkEnd w:id="2176"/>
    <w:bookmarkStart w:id="2181" w:name="estudos-em-animais-e-em-laboratório-49"/>
    <w:p>
      <w:pPr>
        <w:pStyle w:val="Heading3"/>
      </w:pPr>
      <w:r>
        <w:t xml:space="preserve">Estudos em animais e em laboratório</w:t>
      </w:r>
    </w:p>
    <w:p>
      <w:pPr>
        <w:pStyle w:val="FirstParagraph"/>
      </w:pPr>
      <w:r>
        <w:t xml:space="preserve">O papel da kisspeptina na puberdade e na reprodução foi demonstrado primeiro em camundongos com o gene do receptor desativado; os animais permanecem sexualmente imaturos</w:t>
      </w:r>
      <w:r>
        <w:rPr>
          <w:rStyle w:val="FootnoteReference"/>
        </w:rPr>
        <w:footnoteReference w:id="2177"/>
      </w:r>
      <w:r>
        <w:t xml:space="preserve">. Originalmente, o peptídeo foi descrito como freio da metastização: em cultura de células e em camundongos, inibiu a disseminação de células de melanoma</w:t>
      </w:r>
      <w:r>
        <w:rPr>
          <w:rStyle w:val="FootnoteReference"/>
        </w:rPr>
        <w:footnoteReference w:id="2178"/>
      </w:r>
      <w:r>
        <w:t xml:space="preserve">. Se isso é aproveitável terapeuticamente está em aberto.</w:t>
      </w:r>
    </w:p>
    <w:p>
      <w:pPr>
        <w:pStyle w:val="BodyText"/>
      </w:pPr>
      <w:r>
        <w:t xml:space="preserve">Em modelos de SOP em ratas, a kisspeptina restabeleceu a ovulação em parte dos animais, em outros não</w:t>
      </w:r>
      <w:r>
        <w:rPr>
          <w:rStyle w:val="FootnoteReference"/>
        </w:rPr>
        <w:footnoteReference w:id="2179"/>
      </w:r>
      <w:r>
        <w:t xml:space="preserve">. A pesquisa básica sobre kisspeptina e neurocinina B está resumida em uma revisão</w:t>
      </w:r>
      <w:r>
        <w:rPr>
          <w:rStyle w:val="FootnoteReference"/>
        </w:rPr>
        <w:footnoteReference w:id="2180"/>
      </w:r>
      <w:r>
        <w:t xml:space="preserve">.</w:t>
      </w:r>
    </w:p>
    <w:bookmarkEnd w:id="2181"/>
    <w:bookmarkStart w:id="2189" w:name="riscos-e-efeitos-colaterais-49"/>
    <w:p>
      <w:pPr>
        <w:pStyle w:val="Heading3"/>
      </w:pPr>
      <w:r>
        <w:t xml:space="preserve">Riscos e efeitos colaterais</w:t>
      </w:r>
    </w:p>
    <w:bookmarkStart w:id="2186" w:name="comprovados-9"/>
    <w:p>
      <w:pPr>
        <w:pStyle w:val="Heading4"/>
      </w:pPr>
      <w:r>
        <w:t xml:space="preserve">Comprovados</w:t>
      </w:r>
    </w:p>
    <w:p>
      <w:pPr>
        <w:pStyle w:val="FirstParagraph"/>
      </w:pPr>
      <w:r>
        <w:t xml:space="preserve">Em todos os estudos publicados, a kisspeptina foi bem tolerada. Vários estudos relatam expressamente ausência de efeitos colaterais</w:t>
      </w:r>
      <w:r>
        <w:rPr>
          <w:rStyle w:val="FootnoteReference"/>
        </w:rPr>
        <w:footnoteReference w:id="2182"/>
      </w:r>
      <w:r>
        <w:t xml:space="preserve">. A kisspeptina não alterou o hormônio do crescimento, a prolactina nem o TSH, que controla a tireoide</w:t>
      </w:r>
      <w:r>
        <w:rPr>
          <w:rStyle w:val="FootnoteReference"/>
        </w:rPr>
        <w:footnoteReference w:id="2183"/>
      </w:r>
      <w:r>
        <w:t xml:space="preserve">, e não teve influência sobre ansiedade, pressão arterial ou frequência cardíaca</w:t>
      </w:r>
      <w:r>
        <w:rPr>
          <w:rStyle w:val="FootnoteReference"/>
        </w:rPr>
        <w:footnoteReference w:id="2184"/>
      </w:r>
      <w:r>
        <w:t xml:space="preserve">. Com o análogo TAK-448, efeitos colaterais leves a moderados ocorreram em 26% dos tratados</w:t>
      </w:r>
      <w:r>
        <w:rPr>
          <w:rStyle w:val="FootnoteReference"/>
        </w:rPr>
        <w:footnoteReference w:id="2185"/>
      </w:r>
      <w:r>
        <w:t xml:space="preserve">.</w:t>
      </w:r>
    </w:p>
    <w:bookmarkEnd w:id="2186"/>
    <w:bookmarkStart w:id="2187" w:name="teóricos-e-em-aberto"/>
    <w:p>
      <w:pPr>
        <w:pStyle w:val="Heading4"/>
      </w:pPr>
      <w:r>
        <w:t xml:space="preserve">Teóricos e em aberto</w:t>
      </w:r>
    </w:p>
    <w:p>
      <w:pPr>
        <w:numPr>
          <w:ilvl w:val="0"/>
          <w:numId w:val="1272"/>
        </w:numPr>
        <w:pStyle w:val="Compact"/>
      </w:pPr>
      <w:r>
        <w:rPr>
          <w:bCs/>
          <w:b/>
        </w:rPr>
        <w:t xml:space="preserve">Habituação e queda hormonal:</w:t>
      </w:r>
      <w:r>
        <w:t xml:space="preserve"> </w:t>
      </w:r>
      <w:r>
        <w:t xml:space="preserve">com administração contínua, pode ocorrer o contrário do efeito desejado, como mostram os estudos com TAK-448. Quem usa kisspeptina sem controle médico arrisca, portanto, uma supressão do próprio eixo hormonal.</w:t>
      </w:r>
    </w:p>
    <w:p>
      <w:pPr>
        <w:numPr>
          <w:ilvl w:val="0"/>
          <w:numId w:val="1272"/>
        </w:numPr>
        <w:pStyle w:val="Compact"/>
      </w:pPr>
      <w:r>
        <w:rPr>
          <w:bCs/>
          <w:b/>
        </w:rPr>
        <w:t xml:space="preserve">Dados de longo prazo</w:t>
      </w:r>
      <w:r>
        <w:t xml:space="preserve"> </w:t>
      </w:r>
      <w:r>
        <w:t xml:space="preserve">faltam. Os estudos mais longos duraram oito semanas.</w:t>
      </w:r>
    </w:p>
    <w:p>
      <w:pPr>
        <w:numPr>
          <w:ilvl w:val="0"/>
          <w:numId w:val="1272"/>
        </w:numPr>
        <w:pStyle w:val="Compact"/>
      </w:pPr>
      <w:r>
        <w:rPr>
          <w:bCs/>
          <w:b/>
        </w:rPr>
        <w:t xml:space="preserve">Gravidez:</w:t>
      </w:r>
      <w:r>
        <w:t xml:space="preserve"> </w:t>
      </w:r>
      <w:r>
        <w:t xml:space="preserve">no uso em FIV, nasceram crianças; dados sistemáticos sobre a saúde dessas crianças não foram publicados.</w:t>
      </w:r>
    </w:p>
    <w:bookmarkEnd w:id="2187"/>
    <w:bookmarkStart w:id="2188" w:name="mercado-cinza-2"/>
    <w:p>
      <w:pPr>
        <w:pStyle w:val="Heading4"/>
      </w:pPr>
      <w:r>
        <w:t xml:space="preserve">Mercado cinza</w:t>
      </w:r>
    </w:p>
    <w:p>
      <w:pPr>
        <w:pStyle w:val="FirstParagraph"/>
      </w:pPr>
      <w:r>
        <w:t xml:space="preserve">A kisspeptina-10 é oferecida na internet como</w:t>
      </w:r>
      <w:r>
        <w:t xml:space="preserve"> </w:t>
      </w:r>
      <w:r>
        <w:t xml:space="preserve">“</w:t>
      </w:r>
      <w:r>
        <w:t xml:space="preserve">research peptide</w:t>
      </w:r>
      <w:r>
        <w:t xml:space="preserve">”</w:t>
      </w:r>
      <w:r>
        <w:t xml:space="preserve"> </w:t>
      </w:r>
      <w:r>
        <w:t xml:space="preserve">e promovida em fóruns para aumentar a testosterona ou a libido. Não existem estudos sobre esses produtos. Devido à meia-vida curta e à habituação com administração frequente, um efeito duradouro na autoaplicação não está comprovado; pureza e teor não são testados (veja a Parte I e a Parte IV).</w:t>
      </w:r>
    </w:p>
    <w:bookmarkEnd w:id="2188"/>
    <w:bookmarkEnd w:id="2189"/>
    <w:bookmarkStart w:id="2190" w:name="situação-legal-49"/>
    <w:p>
      <w:pPr>
        <w:pStyle w:val="Heading3"/>
      </w:pPr>
      <w:r>
        <w:t xml:space="preserve">Situação legal</w:t>
      </w:r>
    </w:p>
    <w:p>
      <w:pPr>
        <w:pStyle w:val="FirstParagraph"/>
      </w:pPr>
      <w:r>
        <w:rPr>
          <w:iCs/>
          <w:i/>
        </w:rPr>
        <w:t xml:space="preserve">Situação em 2026, verificar atualização.</w:t>
      </w:r>
    </w:p>
    <w:p>
      <w:pPr>
        <w:numPr>
          <w:ilvl w:val="0"/>
          <w:numId w:val="1273"/>
        </w:numPr>
        <w:pStyle w:val="Compact"/>
      </w:pPr>
      <w:r>
        <w:rPr>
          <w:bCs/>
          <w:b/>
        </w:rPr>
        <w:t xml:space="preserve">UE, Alemanha, Áustria:</w:t>
      </w:r>
      <w:r>
        <w:t xml:space="preserve"> </w:t>
      </w:r>
      <w:r>
        <w:t xml:space="preserve">nenhuma aprovação. A kisspeptina só pode ser usada em humanos no âmbito de estudos clínicos autorizados. A venda para uso em humanos não é permitida.</w:t>
      </w:r>
    </w:p>
    <w:p>
      <w:pPr>
        <w:numPr>
          <w:ilvl w:val="0"/>
          <w:numId w:val="1273"/>
        </w:numPr>
        <w:pStyle w:val="Compact"/>
      </w:pPr>
      <w:r>
        <w:rPr>
          <w:bCs/>
          <w:b/>
        </w:rPr>
        <w:t xml:space="preserve">EUA:</w:t>
      </w:r>
      <w:r>
        <w:t xml:space="preserve"> </w:t>
      </w:r>
      <w:r>
        <w:t xml:space="preserve">nenhuma aprovação; uso apenas em estudos autorizados pela FDA.</w:t>
      </w:r>
    </w:p>
    <w:p>
      <w:pPr>
        <w:numPr>
          <w:ilvl w:val="0"/>
          <w:numId w:val="1273"/>
        </w:numPr>
        <w:pStyle w:val="Compact"/>
      </w:pPr>
      <w:r>
        <w:rPr>
          <w:bCs/>
          <w:b/>
        </w:rPr>
        <w:t xml:space="preserve">WADA:</w:t>
      </w:r>
      <w:r>
        <w:t xml:space="preserve"> </w:t>
      </w:r>
      <w:r>
        <w:t xml:space="preserve">em homens, os fatores liberadores de LH são proibidos pelo S2, e princípios ativos não aprovados em geral pelo S0. A kisspeptina não é citada nominalmente, mas, na avaliação do autor, enquadra-se nesses grupos.</w:t>
      </w:r>
    </w:p>
    <w:bookmarkEnd w:id="2190"/>
    <w:bookmarkStart w:id="2193" w:name="estudos-em-andamento-e-perspectivas-49"/>
    <w:p>
      <w:pPr>
        <w:pStyle w:val="Heading3"/>
      </w:pPr>
      <w:r>
        <w:t xml:space="preserve">Estudos em andamento e perspectivas</w:t>
      </w:r>
    </w:p>
    <w:p>
      <w:pPr>
        <w:pStyle w:val="FirstParagraph"/>
      </w:pPr>
      <w:r>
        <w:rPr>
          <w:bCs/>
          <w:b/>
        </w:rPr>
        <w:t xml:space="preserve">Confirmado (estudos registrados):</w:t>
      </w:r>
    </w:p>
    <w:p>
      <w:pPr>
        <w:numPr>
          <w:ilvl w:val="0"/>
          <w:numId w:val="1274"/>
        </w:numPr>
        <w:pStyle w:val="Compact"/>
      </w:pPr>
      <w:r>
        <w:rPr>
          <w:bCs/>
          <w:b/>
        </w:rPr>
        <w:t xml:space="preserve">Massachusetts General Hospital, Boston:</w:t>
      </w:r>
      <w:r>
        <w:t xml:space="preserve"> </w:t>
      </w:r>
      <w:r>
        <w:t xml:space="preserve">vários estudos de fase 1 e fase 2 com administração subcutânea repetida de kisspeptina na deficiência hormonal congênita (hipogonadismo hipogonadotrófico idiopático, NCT05896293, 36 pessoas, até 2028) e na amenorreia hipotalâmica (NCT07224438, 20 pessoas, até 2030). Outro estudo usa a kisspeptina como teste da função dos neurônios de GnRH</w:t>
      </w:r>
      <w:r>
        <w:rPr>
          <w:rStyle w:val="FootnoteReference"/>
        </w:rPr>
        <w:footnoteReference w:id="2191"/>
      </w:r>
      <w:r>
        <w:t xml:space="preserve">.</w:t>
      </w:r>
    </w:p>
    <w:p>
      <w:pPr>
        <w:numPr>
          <w:ilvl w:val="0"/>
          <w:numId w:val="1274"/>
        </w:numPr>
        <w:pStyle w:val="Compact"/>
      </w:pPr>
      <w:r>
        <w:rPr>
          <w:bCs/>
          <w:b/>
        </w:rPr>
        <w:t xml:space="preserve">Imperial College London:</w:t>
      </w:r>
      <w:r>
        <w:t xml:space="preserve"> </w:t>
      </w:r>
      <w:r>
        <w:t xml:space="preserve">um estudo em andamento desde 2014 sobre a secreção hormonal com administração prolongada de kisspeptina (NCT02081924, 76 pessoas).</w:t>
      </w:r>
    </w:p>
    <w:p>
      <w:pPr>
        <w:numPr>
          <w:ilvl w:val="0"/>
          <w:numId w:val="1274"/>
        </w:numPr>
        <w:pStyle w:val="Compact"/>
      </w:pPr>
      <w:r>
        <w:t xml:space="preserve">Um estudo de fase 2 com administração pulsátil de kisspeptina no hipogonadismo foi concluído</w:t>
      </w:r>
      <w:r>
        <w:rPr>
          <w:rStyle w:val="FootnoteReference"/>
        </w:rPr>
        <w:footnoteReference w:id="2192"/>
      </w:r>
      <w:r>
        <w:t xml:space="preserve">; os resultados não estavam publicados no PubMed no fechamento desta edição.</w:t>
      </w:r>
    </w:p>
    <w:p>
      <w:pPr>
        <w:pStyle w:val="FirstParagraph"/>
      </w:pPr>
      <w:r>
        <w:rPr>
          <w:bCs/>
          <w:b/>
        </w:rPr>
        <w:t xml:space="preserve">Avaliação do autor:</w:t>
      </w:r>
      <w:r>
        <w:t xml:space="preserve"> </w:t>
      </w:r>
      <w:r>
        <w:t xml:space="preserve">a kisspeptina é, no que diz respeito aos fundamentos, um dos peptídeos cientificamente mais sólidos deste livro – seu papel na puberdade está comprovado geneticamente. O desenvolvimento clínico, porém, é lento, porque é conduzido principalmente por universidades. Uma aprovação para a maturação de óvulos em mulheres com risco de SHO, ou como teste diagnóstico para distúrbios da puberdade, parece a mais realista; para isso, no entanto, seriam necessários estudos comparativos maiores. Para o tratamento da falta de desejo sexual, falta até agora qualquer prova de benefício no dia a dia.</w:t>
      </w:r>
    </w:p>
    <w:bookmarkEnd w:id="2193"/>
    <w:bookmarkStart w:id="2194" w:name="conclusão-49"/>
    <w:p>
      <w:pPr>
        <w:pStyle w:val="Heading3"/>
      </w:pPr>
      <w:r>
        <w:t xml:space="preserve">Conclusão</w:t>
      </w:r>
    </w:p>
    <w:p>
      <w:pPr>
        <w:pStyle w:val="FirstParagraph"/>
      </w:pPr>
      <w:r>
        <w:t xml:space="preserve">A kisspeptina é o interruptor principal endógeno dos hormônios da reprodução, como mostram de forma impressionante as pessoas com defeito no receptor. Em pequenos estudos, provocou de forma confiável a secreção de LH e possibilitou, em mulheres com alto risco de hiperestimulação, uma maturação dos óvulos sem SHO grave. Estudos de laboratório com neuroimagem indicam efeitos no processamento de estímulos sexuais, mas não são prova de benefício no dia a dia. O maior obstáculo prático é a habituação com administração frequente, que pode chegar à supressão do eixo hormonal. A kisspeptina não está aprovada em lugar nenhum; fora de estudos, não há uso testado.</w:t>
      </w:r>
    </w:p>
    <w:bookmarkEnd w:id="2194"/>
    <w:bookmarkEnd w:id="2195"/>
    <w:bookmarkStart w:id="2275" w:name="ocitocina-spray-nasal"/>
    <w:p>
      <w:pPr>
        <w:pStyle w:val="Heading2"/>
      </w:pPr>
      <w:r>
        <w:t xml:space="preserve">Ocitocina (spray nasal)</w:t>
      </w:r>
    </w:p>
    <w:bookmarkStart w:id="2196" w:name="ficha-técnica-50"/>
    <w:p>
      <w:pPr>
        <w:pStyle w:val="Heading3"/>
      </w:pPr>
      <w:r>
        <w:t xml:space="preserve">Ficha técnica</w:t>
      </w:r>
    </w:p>
    <w:p>
      <w:pPr>
        <w:numPr>
          <w:ilvl w:val="0"/>
          <w:numId w:val="1275"/>
        </w:numPr>
        <w:pStyle w:val="Compact"/>
      </w:pPr>
      <w:r>
        <w:rPr>
          <w:bCs/>
          <w:b/>
        </w:rPr>
        <w:t xml:space="preserve">Tipo/estrutura:</w:t>
      </w:r>
      <w:r>
        <w:t xml:space="preserve"> </w:t>
      </w:r>
      <w:r>
        <w:t xml:space="preserve">hormônio peptídico endógeno de nove aminoácidos. Duas pontes de enxofre fecham seis deles em um anel. A ocitocina é estreitamente aparentada com o hormônio vasopressina (hormônio antidiurético), do qual difere em apenas dois componentes.</w:t>
      </w:r>
    </w:p>
    <w:p>
      <w:pPr>
        <w:numPr>
          <w:ilvl w:val="0"/>
          <w:numId w:val="1275"/>
        </w:numPr>
        <w:pStyle w:val="Compact"/>
      </w:pPr>
      <w:r>
        <w:rPr>
          <w:bCs/>
          <w:b/>
        </w:rPr>
        <w:t xml:space="preserve">Origem:</w:t>
      </w:r>
      <w:r>
        <w:t xml:space="preserve"> </w:t>
      </w:r>
      <w:r>
        <w:t xml:space="preserve">produzida em neurônios do hipotálamo e liberada no sangue pela hipófise posterior; ao mesmo tempo, é mensageiro dentro do cérebro. Em 1953, a ocitocina foi o primeiro hormônio peptídico reproduzido em laboratório; Vincent du Vigneaud recebeu por isso o Prêmio Nobel de Química de 1955.</w:t>
      </w:r>
    </w:p>
    <w:p>
      <w:pPr>
        <w:numPr>
          <w:ilvl w:val="0"/>
          <w:numId w:val="1275"/>
        </w:numPr>
        <w:pStyle w:val="Compact"/>
      </w:pPr>
      <w:r>
        <w:rPr>
          <w:bCs/>
          <w:b/>
        </w:rPr>
        <w:t xml:space="preserve">Mecanismo de ação:</w:t>
      </w:r>
      <w:r>
        <w:t xml:space="preserve"> </w:t>
      </w:r>
      <w:r>
        <w:t xml:space="preserve">agonista do receptor de ocitocina. No corpo, desencadeia as contrações do parto e o reflexo de ejeção do leite; no cérebro, participa do vínculo, do comportamento social e da regulação do estresse.</w:t>
      </w:r>
    </w:p>
    <w:p>
      <w:pPr>
        <w:numPr>
          <w:ilvl w:val="0"/>
          <w:numId w:val="1275"/>
        </w:numPr>
        <w:pStyle w:val="Compact"/>
      </w:pPr>
      <w:r>
        <w:rPr>
          <w:bCs/>
          <w:b/>
        </w:rPr>
        <w:t xml:space="preserve">Aprovação na UE e nos EUA (injeção/infusão):</w:t>
      </w:r>
      <w:r>
        <w:t xml:space="preserve"> </w:t>
      </w:r>
      <w:r>
        <w:t xml:space="preserve">sim, há décadas na obstetrícia, para induzir e reforçar as contrações do parto e prevenir sangramentos fortes após o parto.</w:t>
      </w:r>
    </w:p>
    <w:p>
      <w:pPr>
        <w:numPr>
          <w:ilvl w:val="0"/>
          <w:numId w:val="1275"/>
        </w:numPr>
        <w:pStyle w:val="Compact"/>
      </w:pPr>
      <w:r>
        <w:rPr>
          <w:bCs/>
          <w:b/>
        </w:rPr>
        <w:t xml:space="preserve">Aprovação como spray nasal:</w:t>
      </w:r>
      <w:r>
        <w:t xml:space="preserve"> </w:t>
      </w:r>
      <w:r>
        <w:t xml:space="preserve">um spray nasal de ocitocina era aprovado no passado em vários países europeus para favorecer o fluxo de leite na amamentação, mas em muitos lugares não está mais à venda. Para usos psíquicos, sociais ou sexuais, a ocitocina não está aprovada em lugar nenhum.</w:t>
      </w:r>
    </w:p>
    <w:p>
      <w:pPr>
        <w:numPr>
          <w:ilvl w:val="0"/>
          <w:numId w:val="1275"/>
        </w:numPr>
        <w:pStyle w:val="Compact"/>
      </w:pPr>
      <w:r>
        <w:rPr>
          <w:bCs/>
          <w:b/>
        </w:rPr>
        <w:t xml:space="preserve">WADA:</w:t>
      </w:r>
      <w:r>
        <w:t xml:space="preserve"> </w:t>
      </w:r>
      <w:r>
        <w:t xml:space="preserve">não listada.</w:t>
      </w:r>
    </w:p>
    <w:p>
      <w:pPr>
        <w:numPr>
          <w:ilvl w:val="0"/>
          <w:numId w:val="1275"/>
        </w:numPr>
        <w:pStyle w:val="Compact"/>
      </w:pPr>
      <w:r>
        <w:rPr>
          <w:bCs/>
          <w:b/>
        </w:rPr>
        <w:t xml:space="preserve">Nível de evidência:</w:t>
      </w:r>
      <w:r>
        <w:t xml:space="preserve"> </w:t>
      </w:r>
      <w:r>
        <w:rPr>
          <w:bCs/>
          <w:b/>
        </w:rPr>
        <w:t xml:space="preserve">B</w:t>
      </w:r>
      <w:r>
        <w:t xml:space="preserve"> </w:t>
      </w:r>
      <w:r>
        <w:t xml:space="preserve">para o uso como spray nasal – centenas de estudos randomizados, mas predominantemente pequenos e com doses únicas; os poucos grandes estudos de tratamento foram negativos. Para a obstetrícia (infusão, injeção), vale o nível A; ela não é o foco deste capítulo.</w:t>
      </w:r>
    </w:p>
    <w:bookmarkEnd w:id="2196"/>
    <w:bookmarkStart w:id="2208" w:name="como-deveria-agir-50"/>
    <w:p>
      <w:pPr>
        <w:pStyle w:val="Heading3"/>
      </w:pPr>
      <w:r>
        <w:t xml:space="preserve">Como deveria agir</w:t>
      </w:r>
    </w:p>
    <w:bookmarkStart w:id="2197" w:name="Xa878b827adb8c888c955607d4ab742d7185187e"/>
    <w:p>
      <w:pPr>
        <w:pStyle w:val="Heading4"/>
      </w:pPr>
      <w:r>
        <w:t xml:space="preserve">Do hormônio do parto ao</w:t>
      </w:r>
      <w:r>
        <w:t xml:space="preserve"> </w:t>
      </w:r>
      <w:r>
        <w:t xml:space="preserve">“</w:t>
      </w:r>
      <w:r>
        <w:t xml:space="preserve">hormônio do carinho</w:t>
      </w:r>
      <w:r>
        <w:t xml:space="preserve">”</w:t>
      </w:r>
    </w:p>
    <w:p>
      <w:pPr>
        <w:pStyle w:val="FirstParagraph"/>
      </w:pPr>
      <w:r>
        <w:t xml:space="preserve">A ocitocina recebe seu nome da expressão grega para</w:t>
      </w:r>
      <w:r>
        <w:t xml:space="preserve"> </w:t>
      </w:r>
      <w:r>
        <w:t xml:space="preserve">“</w:t>
      </w:r>
      <w:r>
        <w:t xml:space="preserve">parto rápido</w:t>
      </w:r>
      <w:r>
        <w:t xml:space="preserve">”</w:t>
      </w:r>
      <w:r>
        <w:t xml:space="preserve">. Suas funções clássicas são físicas: faz o útero se contrair e expulsa o leite das glândulas mamárias. A partir da década de 1990, um segundo papel entrou em foco. Em arganazes-do-campo, que formam casais para toda a vida, o vínculo com o parceiro depende do sistema da ocitocina no cérebro (experimentos em animais). Em ovelhas e roedores, ela controla o comportamento de cuidado das mães com seus filhotes.</w:t>
      </w:r>
    </w:p>
    <w:p>
      <w:pPr>
        <w:pStyle w:val="BodyText"/>
      </w:pPr>
      <w:r>
        <w:t xml:space="preserve">A partir desses achados em animais, surgiu desde 2005 uma onda de estudos em humanos que administravam ocitocina como spray nasal e mediam o comportamento social. A mídia cunhou rótulos como</w:t>
      </w:r>
      <w:r>
        <w:t xml:space="preserve"> </w:t>
      </w:r>
      <w:r>
        <w:t xml:space="preserve">“</w:t>
      </w:r>
      <w:r>
        <w:t xml:space="preserve">hormônio do carinho</w:t>
      </w:r>
      <w:r>
        <w:t xml:space="preserve">”</w:t>
      </w:r>
      <w:r>
        <w:t xml:space="preserve">,</w:t>
      </w:r>
      <w:r>
        <w:t xml:space="preserve"> </w:t>
      </w:r>
      <w:r>
        <w:t xml:space="preserve">“</w:t>
      </w:r>
      <w:r>
        <w:t xml:space="preserve">hormônio da confiança</w:t>
      </w:r>
      <w:r>
        <w:t xml:space="preserve">”</w:t>
      </w:r>
      <w:r>
        <w:t xml:space="preserve"> </w:t>
      </w:r>
      <w:r>
        <w:t xml:space="preserve">ou</w:t>
      </w:r>
      <w:r>
        <w:t xml:space="preserve"> </w:t>
      </w:r>
      <w:r>
        <w:t xml:space="preserve">“</w:t>
      </w:r>
      <w:r>
        <w:t xml:space="preserve">hormônio do amor</w:t>
      </w:r>
      <w:r>
        <w:t xml:space="preserve">”</w:t>
      </w:r>
      <w:r>
        <w:t xml:space="preserve">. Como mostra este capítulo, o conjunto de estudos hoje é bem mais decepcionante do que esses chavões.</w:t>
      </w:r>
    </w:p>
    <w:bookmarkEnd w:id="2197"/>
    <w:bookmarkStart w:id="2205" w:name="o-problema-do-nariz"/>
    <w:p>
      <w:pPr>
        <w:pStyle w:val="Heading4"/>
      </w:pPr>
      <w:r>
        <w:t xml:space="preserve">O problema do nariz</w:t>
      </w:r>
    </w:p>
    <w:p>
      <w:pPr>
        <w:pStyle w:val="FirstParagraph"/>
      </w:pPr>
      <w:r>
        <w:t xml:space="preserve">Como peptídeo, a ocitocina é grande demais e hidrossolúvel demais para atravessar a barreira hematoencefálica em quantidade relevante. O spray nasal deveria encontrar um caminho direto ao cérebro pelos nervos olfatórios e trigeminais da mucosa nasal. Se isso funciona, e em que medida, é uma das questões centrais em aberto da área:</w:t>
      </w:r>
    </w:p>
    <w:p>
      <w:pPr>
        <w:numPr>
          <w:ilvl w:val="0"/>
          <w:numId w:val="1276"/>
        </w:numPr>
        <w:pStyle w:val="Compact"/>
      </w:pPr>
      <w:r>
        <w:rPr>
          <w:bCs/>
          <w:b/>
        </w:rPr>
        <w:t xml:space="preserve">Visão cética:</w:t>
      </w:r>
      <w:r>
        <w:t xml:space="preserve"> </w:t>
      </w:r>
      <w:r>
        <w:t xml:space="preserve">apenas uma fração mínima da quantidade borrifada chega ao líquido cefalorraquidiano, enquanto o nível no sangue sobe muito acima dos valores naturais. Muitos efeitos observados poderiam, portanto, decorrer de ações no corpo, por exemplo sobre o coração ou o intestino, que então influenciam o cérebro indiretamente</w:t>
      </w:r>
      <w:r>
        <w:rPr>
          <w:rStyle w:val="FootnoteReference"/>
        </w:rPr>
        <w:footnoteReference w:id="2198"/>
      </w:r>
      <w:r>
        <w:t xml:space="preserve">.</w:t>
      </w:r>
    </w:p>
    <w:p>
      <w:pPr>
        <w:numPr>
          <w:ilvl w:val="0"/>
          <w:numId w:val="1276"/>
        </w:numPr>
        <w:pStyle w:val="Compact"/>
      </w:pPr>
      <w:r>
        <w:rPr>
          <w:bCs/>
          <w:b/>
        </w:rPr>
        <w:t xml:space="preserve">Achados em macacos:</w:t>
      </w:r>
      <w:r>
        <w:t xml:space="preserve"> </w:t>
      </w:r>
      <w:r>
        <w:t xml:space="preserve">em macacos-rhesus, a ocitocina marcada chegou ao líquido cefalorraquidiano após administração nasal e intravenosa; o nariz não foi superior</w:t>
      </w:r>
      <w:r>
        <w:rPr>
          <w:rStyle w:val="FootnoteReference"/>
        </w:rPr>
        <w:footnoteReference w:id="2199"/>
      </w:r>
      <w:r>
        <w:t xml:space="preserve">. Em um segundo estudo, a ocitocina marcada foi encontrada após administração nasal – não após a intravenosa – em regiões cerebrais ao longo das vias olfatórias e trigeminais</w:t>
      </w:r>
      <w:r>
        <w:rPr>
          <w:rStyle w:val="FootnoteReference"/>
        </w:rPr>
        <w:footnoteReference w:id="2200"/>
      </w:r>
      <w:r>
        <w:t xml:space="preserve">.</w:t>
      </w:r>
    </w:p>
    <w:p>
      <w:pPr>
        <w:numPr>
          <w:ilvl w:val="0"/>
          <w:numId w:val="1276"/>
        </w:numPr>
        <w:pStyle w:val="Compact"/>
      </w:pPr>
      <w:r>
        <w:rPr>
          <w:bCs/>
          <w:b/>
        </w:rPr>
        <w:t xml:space="preserve">Achados em humanos:</w:t>
      </w:r>
      <w:r>
        <w:t xml:space="preserve"> </w:t>
      </w:r>
      <w:r>
        <w:t xml:space="preserve">um estudo comparou spray nasal, nebulizador e infusão. A redução do fluxo sanguíneo na amígdala pôde ser explicada inteiramente pelo aumento no sangue; ao mesmo tempo, houve indícios de efeitos diretos pelo nariz em outras regiões</w:t>
      </w:r>
      <w:r>
        <w:rPr>
          <w:rStyle w:val="FootnoteReference"/>
        </w:rPr>
        <w:footnoteReference w:id="2201"/>
      </w:r>
      <w:r>
        <w:t xml:space="preserve">.</w:t>
      </w:r>
    </w:p>
    <w:p>
      <w:pPr>
        <w:numPr>
          <w:ilvl w:val="0"/>
          <w:numId w:val="1276"/>
        </w:numPr>
        <w:pStyle w:val="Compact"/>
      </w:pPr>
      <w:r>
        <w:rPr>
          <w:bCs/>
          <w:b/>
        </w:rPr>
        <w:t xml:space="preserve">Problemas de medição:</w:t>
      </w:r>
      <w:r>
        <w:t xml:space="preserve"> </w:t>
      </w:r>
      <w:r>
        <w:t xml:space="preserve">os níveis de ocitocina no sangue não refletem os valores no cérebro em condições de repouso</w:t>
      </w:r>
      <w:r>
        <w:rPr>
          <w:rStyle w:val="FootnoteReference"/>
        </w:rPr>
        <w:footnoteReference w:id="2202"/>
      </w:r>
      <w:r>
        <w:t xml:space="preserve">. Além disso, muitos estudos mais antigos usaram métodos de medição hoje considerados não confiáveis</w:t>
      </w:r>
      <w:r>
        <w:rPr>
          <w:rStyle w:val="FootnoteReference"/>
        </w:rPr>
        <w:footnoteReference w:id="2203"/>
      </w:r>
      <w:r>
        <w:t xml:space="preserve">.</w:t>
      </w:r>
    </w:p>
    <w:p>
      <w:pPr>
        <w:pStyle w:val="FirstParagraph"/>
      </w:pPr>
      <w:r>
        <w:t xml:space="preserve">Especialistas que veem a área de forma geral positiva consideram hoje comprovado um caminho direto do nariz ao cérebro, mas ressaltam que a dose, a técnica de aplicação do spray e o sexo dos participantes influenciam fortemente os resultados</w:t>
      </w:r>
      <w:r>
        <w:rPr>
          <w:rStyle w:val="FootnoteReference"/>
        </w:rPr>
        <w:footnoteReference w:id="2204"/>
      </w:r>
      <w:r>
        <w:t xml:space="preserve">. Para você, leitor ou leitora, isso significa: se um spray nasal de ocitocina chega ao cérebro depende de muitos detalhes, e mesmo especialistas discordam quanto à magnitude.</w:t>
      </w:r>
    </w:p>
    <w:bookmarkEnd w:id="2205"/>
    <w:bookmarkStart w:id="2207" w:name="em-breve-a-ocitocina-na-obstetrícia"/>
    <w:p>
      <w:pPr>
        <w:pStyle w:val="Heading4"/>
      </w:pPr>
      <w:r>
        <w:t xml:space="preserve">Em breve: a ocitocina na obstetrícia</w:t>
      </w:r>
    </w:p>
    <w:p>
      <w:pPr>
        <w:pStyle w:val="FirstParagraph"/>
      </w:pPr>
      <w:r>
        <w:t xml:space="preserve">Como infusão ou injeção, a ocitocina é um dos medicamentos mais importantes do mundo; a Organização Mundial da Saúde a inclui em sua lista de medicamentos essenciais. Ela é usada para induzir ou reforçar as contrações do parto e para prevenir sangramentos fortes após o parto. Uma revisão Cochrane com 24 estudos concluiu que a ocitocina administrada preventivamente reduz aproximadamente à metade o risco de uma perda de sangue de 500 ml ou mais (risco relativo 0,51), com qualidade em parte baixa dos estudos individuais</w:t>
      </w:r>
      <w:r>
        <w:rPr>
          <w:rStyle w:val="FootnoteReference"/>
        </w:rPr>
        <w:footnoteReference w:id="2206"/>
      </w:r>
      <w:r>
        <w:t xml:space="preserve">. Esse uso pertence exclusivamente às mãos de parteiras e médicas; dose e monitoramento são regulados pela bula. Para a avaliação do spray nasal em questões psíquicas, ele não tem papel.</w:t>
      </w:r>
    </w:p>
    <w:bookmarkEnd w:id="2207"/>
    <w:bookmarkEnd w:id="2208"/>
    <w:bookmarkStart w:id="2253" w:name="estudos-em-humanos-50"/>
    <w:p>
      <w:pPr>
        <w:pStyle w:val="Heading3"/>
      </w:pPr>
      <w:r>
        <w:t xml:space="preserve">Estudos em humanos</w:t>
      </w:r>
    </w:p>
    <w:p>
      <w:pPr>
        <w:pStyle w:val="FirstParagraph"/>
      </w:pPr>
      <w:r>
        <w:rPr>
          <w:bCs/>
          <w:b/>
        </w:rPr>
        <w:t xml:space="preserve">Dimensão do conjunto de estudos (consulta em outubro de 2026):</w:t>
      </w:r>
      <w:r>
        <w:t xml:space="preserve"> </w:t>
      </w:r>
      <w:r>
        <w:t xml:space="preserve">a busca automatizada deste livro (termo</w:t>
      </w:r>
      <w:r>
        <w:t xml:space="preserve"> </w:t>
      </w:r>
      <w:r>
        <w:t xml:space="preserve">“</w:t>
      </w:r>
      <w:r>
        <w:t xml:space="preserve">intranasal oxytocin</w:t>
      </w:r>
      <w:r>
        <w:t xml:space="preserve">”</w:t>
      </w:r>
      <w:r>
        <w:t xml:space="preserve"> </w:t>
      </w:r>
      <w:r>
        <w:t xml:space="preserve">no título ou no resumo) encontrou</w:t>
      </w:r>
      <w:r>
        <w:t xml:space="preserve"> </w:t>
      </w:r>
      <w:r>
        <w:rPr>
          <w:bCs/>
          <w:b/>
        </w:rPr>
        <w:t xml:space="preserve">349</w:t>
      </w:r>
      <w:r>
        <w:t xml:space="preserve"> </w:t>
      </w:r>
      <w:r>
        <w:t xml:space="preserve">estudos em humanos no PubMed (</w:t>
      </w:r>
      <w:r>
        <w:rPr>
          <w:rStyle w:val="VerbatimChar"/>
        </w:rPr>
        <w:t xml:space="preserve">humanstudien_alle</w:t>
      </w:r>
      <w:r>
        <w:t xml:space="preserve">) e</w:t>
      </w:r>
      <w:r>
        <w:t xml:space="preserve"> </w:t>
      </w:r>
      <w:r>
        <w:rPr>
          <w:bCs/>
          <w:b/>
        </w:rPr>
        <w:t xml:space="preserve">263</w:t>
      </w:r>
      <w:r>
        <w:t xml:space="preserve"> </w:t>
      </w:r>
      <w:r>
        <w:t xml:space="preserve">registros no ClinicalTrials.gov, dos quais cerca de 20 ainda em recrutamento. Somam-se a isso pelo menos 15 metanálises e revisões sistemáticas. Com isso, a ocitocina é o peptídeo mais estudado em humanos nesta parte do livro. A grande maioria dos estudos, porém, administrou apenas uma única dose a, em geral, 20 a 60 homens jovens e saudáveis e mediu alterações de curto prazo em testes de laboratório ou no aparelho de neuroimagem.</w:t>
      </w:r>
    </w:p>
    <w:p>
      <w:pPr>
        <w:pStyle w:val="BodyText"/>
      </w:pPr>
      <w:r>
        <w:t xml:space="preserve">Este capítulo organiza os estudos em quatro grupos: estudos básicos em pessoas saudáveis, com a subsequente crise de replicação; o autismo, como campo de tratamento mais importante; outras doenças psiquiátricas; e, por fim, metabolismo, dor e sexualidade.</w:t>
      </w:r>
    </w:p>
    <w:bookmarkStart w:id="2212" w:name="X63e6a4e18f34ab9649dc32b6a0641e8a3118bf2"/>
    <w:p>
      <w:pPr>
        <w:pStyle w:val="Heading4"/>
      </w:pPr>
      <w:r>
        <w:t xml:space="preserve">Comportamento social em pessoas saudáveis: confiança, estresse, emoções</w:t>
      </w:r>
    </w:p>
    <w:p>
      <w:pPr>
        <w:pStyle w:val="FirstParagraph"/>
      </w:pPr>
      <w:r>
        <w:rPr>
          <w:bCs/>
          <w:b/>
        </w:rPr>
        <w:t xml:space="preserve">Confiança.</w:t>
      </w:r>
      <w:r>
        <w:t xml:space="preserve"> </w:t>
      </w:r>
      <w:r>
        <w:t xml:space="preserve">O estudo que fundou a área foi publicado em 2005 na Nature: homens que haviam inalado ocitocina confiaram mais dinheiro a um estranho em um jogo econômico</w:t>
      </w:r>
      <w:r>
        <w:rPr>
          <w:rStyle w:val="FootnoteReference"/>
        </w:rPr>
        <w:footnoteReference w:id="2209"/>
      </w:r>
      <w:r>
        <w:t xml:space="preserve">. Nesse</w:t>
      </w:r>
      <w:r>
        <w:t xml:space="preserve"> </w:t>
      </w:r>
      <w:r>
        <w:t xml:space="preserve">“</w:t>
      </w:r>
      <w:r>
        <w:t xml:space="preserve">jogo da confiança</w:t>
      </w:r>
      <w:r>
        <w:t xml:space="preserve">”</w:t>
      </w:r>
      <w:r>
        <w:t xml:space="preserve">, um investidor decide quanto dinheiro entrega a um depositário; o valor é multiplicado, e o depositário decide quanto devolve. A ocitocina não aumentou a disposição ao risco em geral, mas especificamente a disposição a assumir riscos sociais.</w:t>
      </w:r>
    </w:p>
    <w:p>
      <w:pPr>
        <w:pStyle w:val="BodyText"/>
      </w:pPr>
      <w:r>
        <w:rPr>
          <w:bCs/>
          <w:b/>
        </w:rPr>
        <w:t xml:space="preserve">Estresse.</w:t>
      </w:r>
      <w:r>
        <w:t xml:space="preserve"> </w:t>
      </w:r>
      <w:r>
        <w:t xml:space="preserve">Em um estudo com 37 homens saudáveis, a ocitocina atenuou a ansiedade em um teste de estresse padronizado (discurso público e cálculo mental diante de plateia). Os valores mais baixos do hormônio do estresse cortisol foram observados em homens que receberam ocitocina e, além disso, tiveram o apoio de seu melhor amigo</w:t>
      </w:r>
      <w:r>
        <w:rPr>
          <w:rStyle w:val="FootnoteReference"/>
        </w:rPr>
        <w:footnoteReference w:id="2210"/>
      </w:r>
      <w:r>
        <w:t xml:space="preserve">.</w:t>
      </w:r>
    </w:p>
    <w:p>
      <w:pPr>
        <w:pStyle w:val="BodyText"/>
      </w:pPr>
      <w:r>
        <w:rPr>
          <w:bCs/>
          <w:b/>
        </w:rPr>
        <w:t xml:space="preserve">Reconhecer emoções.</w:t>
      </w:r>
      <w:r>
        <w:t xml:space="preserve"> </w:t>
      </w:r>
      <w:r>
        <w:t xml:space="preserve">Uma metanálise de 33 estudos constatou que uma dose única melhorou ligeiramente, em pessoas saudáveis, o reconhecimento de emoções básicas, sobretudo do medo. Em pessoas com doenças psíquicas, por outro lado, não houve efeito</w:t>
      </w:r>
      <w:r>
        <w:rPr>
          <w:rStyle w:val="FootnoteReference"/>
        </w:rPr>
        <w:footnoteReference w:id="2211"/>
      </w:r>
      <w:r>
        <w:t xml:space="preserve">.</w:t>
      </w:r>
    </w:p>
    <w:p>
      <w:pPr>
        <w:pStyle w:val="BodyText"/>
      </w:pPr>
      <w:r>
        <w:t xml:space="preserve">Centenas de outros estudos relataram efeitos sobre o comportamento do olhar, a empatia, a memória para rostos, o pertencimento a grupos, a mentira, a generosidade, o ciúme e muito mais. Muitos desses achados apareceram apenas em subgrupos, por exemplo só em homens, só em pessoas ansiosas ou só com determinadas variantes genéticas do receptor de ocitocina.</w:t>
      </w:r>
    </w:p>
    <w:bookmarkEnd w:id="2212"/>
    <w:bookmarkStart w:id="2218" w:name="a-crise-de-replicação"/>
    <w:p>
      <w:pPr>
        <w:pStyle w:val="Heading4"/>
      </w:pPr>
      <w:r>
        <w:t xml:space="preserve">A crise de replicação</w:t>
      </w:r>
    </w:p>
    <w:p>
      <w:pPr>
        <w:pStyle w:val="FirstParagraph"/>
      </w:pPr>
      <w:r>
        <w:t xml:space="preserve">A partir de cerca de 2015, as dúvidas se acumularam. O termo crise de replicação descreve o problema de que muitos achados publicados da psicologia e da medicina não se confirmam quando outros pesquisadores os repetem. A ocitocina tornou-se um exemplo emblemático.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Tipo</w:t>
            </w:r>
          </w:p>
        </w:tc>
        <w:tc>
          <w:tcPr/>
          <w:p>
            <w:pPr>
              <w:pStyle w:val="Compact"/>
              <w:jc w:val="left"/>
            </w:pPr>
            <w:r>
              <w:t xml:space="preserve">Mensagem principal</w:t>
            </w:r>
          </w:p>
        </w:tc>
      </w:tr>
      <w:tr>
        <w:tc>
          <w:tcPr/>
          <w:p>
            <w:pPr>
              <w:pStyle w:val="Compact"/>
              <w:jc w:val="left"/>
            </w:pPr>
            <w:r>
              <w:t xml:space="preserve">Kosfeld 2005, PMID 15931222</w:t>
            </w:r>
          </w:p>
        </w:tc>
        <w:tc>
          <w:tcPr/>
          <w:p>
            <w:pPr>
              <w:pStyle w:val="Compact"/>
              <w:jc w:val="left"/>
            </w:pPr>
            <w:r>
              <w:t xml:space="preserve">Estudo original, jogo da confiança</w:t>
            </w:r>
          </w:p>
        </w:tc>
        <w:tc>
          <w:tcPr/>
          <w:p>
            <w:pPr>
              <w:pStyle w:val="Compact"/>
              <w:jc w:val="left"/>
            </w:pPr>
            <w:r>
              <w:t xml:space="preserve">A ocitocina aumenta a confiança</w:t>
            </w:r>
          </w:p>
        </w:tc>
      </w:tr>
      <w:tr>
        <w:tc>
          <w:tcPr/>
          <w:p>
            <w:pPr>
              <w:pStyle w:val="Compact"/>
              <w:jc w:val="left"/>
            </w:pPr>
            <w:r>
              <w:t xml:space="preserve">Nave 2015, PMID 26581735</w:t>
            </w:r>
          </w:p>
        </w:tc>
        <w:tc>
          <w:tcPr/>
          <w:p>
            <w:pPr>
              <w:pStyle w:val="Compact"/>
              <w:jc w:val="left"/>
            </w:pPr>
            <w:r>
              <w:t xml:space="preserve">Revisão crítica</w:t>
            </w:r>
          </w:p>
        </w:tc>
        <w:tc>
          <w:tcPr/>
          <w:p>
            <w:pPr>
              <w:pStyle w:val="Compact"/>
              <w:jc w:val="left"/>
            </w:pPr>
            <w:r>
              <w:t xml:space="preserve">O efeito sobre a confiança não pôde ser repetido de forma confiável</w:t>
            </w:r>
          </w:p>
        </w:tc>
      </w:tr>
      <w:tr>
        <w:tc>
          <w:tcPr/>
          <w:p>
            <w:pPr>
              <w:pStyle w:val="Compact"/>
              <w:jc w:val="left"/>
            </w:pPr>
            <w:r>
              <w:t xml:space="preserve">Lane 2015, PMID 26368396</w:t>
            </w:r>
          </w:p>
        </w:tc>
        <w:tc>
          <w:tcPr/>
          <w:p>
            <w:pPr>
              <w:pStyle w:val="Compact"/>
              <w:jc w:val="left"/>
            </w:pPr>
            <w:r>
              <w:t xml:space="preserve">Dois estudos de replicação (95 e 61 pessoas)</w:t>
            </w:r>
          </w:p>
        </w:tc>
        <w:tc>
          <w:tcPr/>
          <w:p>
            <w:pPr>
              <w:pStyle w:val="Compact"/>
              <w:jc w:val="left"/>
            </w:pPr>
            <w:r>
              <w:t xml:space="preserve">Grande efeito em outro teste de confiança não confirmado</w:t>
            </w:r>
          </w:p>
        </w:tc>
      </w:tr>
      <w:tr>
        <w:tc>
          <w:tcPr/>
          <w:p>
            <w:pPr>
              <w:pStyle w:val="Compact"/>
              <w:jc w:val="left"/>
            </w:pPr>
            <w:r>
              <w:t xml:space="preserve">Walum 2016, PMID 26210057</w:t>
            </w:r>
          </w:p>
        </w:tc>
        <w:tc>
          <w:tcPr/>
          <w:p>
            <w:pPr>
              <w:pStyle w:val="Compact"/>
              <w:jc w:val="left"/>
            </w:pPr>
            <w:r>
              <w:t xml:space="preserve">Análise estatística da área</w:t>
            </w:r>
          </w:p>
        </w:tc>
        <w:tc>
          <w:tcPr/>
          <w:p>
            <w:pPr>
              <w:pStyle w:val="Compact"/>
              <w:jc w:val="left"/>
            </w:pPr>
            <w:r>
              <w:t xml:space="preserve">Estudos geralmente pequenos demais; a maioria dos achados publicados provavelmente não são efeitos reais</w:t>
            </w:r>
          </w:p>
        </w:tc>
      </w:tr>
      <w:tr>
        <w:tc>
          <w:tcPr/>
          <w:p>
            <w:pPr>
              <w:pStyle w:val="Compact"/>
              <w:jc w:val="left"/>
            </w:pPr>
            <w:r>
              <w:t xml:space="preserve">Mierop 2020, PMID 32633663</w:t>
            </w:r>
          </w:p>
        </w:tc>
        <w:tc>
          <w:tcPr/>
          <w:p>
            <w:pPr>
              <w:pStyle w:val="Compact"/>
              <w:jc w:val="left"/>
            </w:pPr>
            <w:r>
              <w:t xml:space="preserve">Revisão sistemática</w:t>
            </w:r>
          </w:p>
        </w:tc>
        <w:tc>
          <w:tcPr/>
          <w:p>
            <w:pPr>
              <w:pStyle w:val="Compact"/>
              <w:jc w:val="left"/>
            </w:pPr>
            <w:r>
              <w:t xml:space="preserve">Tentativas de replicação de interações geralmente sem sucesso; poder estatístico criticamente baixo</w:t>
            </w:r>
          </w:p>
        </w:tc>
      </w:tr>
      <w:tr>
        <w:tc>
          <w:tcPr/>
          <w:p>
            <w:pPr>
              <w:pStyle w:val="Compact"/>
              <w:jc w:val="left"/>
            </w:pPr>
            <w:r>
              <w:t xml:space="preserve">Declerck 2020, PMID 32514040</w:t>
            </w:r>
          </w:p>
        </w:tc>
        <w:tc>
          <w:tcPr/>
          <w:p>
            <w:pPr>
              <w:pStyle w:val="Compact"/>
              <w:jc w:val="left"/>
            </w:pPr>
            <w:r>
              <w:t xml:space="preserve">Estudo de replicação pré-registrado</w:t>
            </w:r>
          </w:p>
        </w:tc>
        <w:tc>
          <w:tcPr/>
          <w:p>
            <w:pPr>
              <w:pStyle w:val="Compact"/>
              <w:jc w:val="left"/>
            </w:pPr>
            <w:r>
              <w:t xml:space="preserve">Nenhum efeito sobre a confiança na condição original</w:t>
            </w:r>
          </w:p>
        </w:tc>
      </w:tr>
      <w:tr>
        <w:tc>
          <w:tcPr/>
          <w:p>
            <w:pPr>
              <w:pStyle w:val="Compact"/>
              <w:jc w:val="left"/>
            </w:pPr>
            <w:r>
              <w:t xml:space="preserve">Vogt 2026, PMID 42561025</w:t>
            </w:r>
          </w:p>
        </w:tc>
        <w:tc>
          <w:tcPr/>
          <w:p>
            <w:pPr>
              <w:pStyle w:val="Compact"/>
              <w:jc w:val="left"/>
            </w:pPr>
            <w:r>
              <w:t xml:space="preserve">Estudo pré-registrado, 359 homens com baixa confiança de base</w:t>
            </w:r>
          </w:p>
        </w:tc>
        <w:tc>
          <w:tcPr/>
          <w:p>
            <w:pPr>
              <w:pStyle w:val="Compact"/>
              <w:jc w:val="left"/>
            </w:pPr>
            <w:r>
              <w:t xml:space="preserve">Confiança aumentada em cerca de 15%</w:t>
            </w:r>
          </w:p>
        </w:tc>
      </w:tr>
    </w:tbl>
    <w:p>
      <w:pPr>
        <w:pStyle w:val="BodyText"/>
      </w:pPr>
      <w:r>
        <w:t xml:space="preserve">Uma revisão de 2015 concluiu que o conjunto dos dados não demonstra que a confiança humana esteja relacionada de forma confiável à ocitocina ou seja causada por ela</w:t>
      </w:r>
      <w:r>
        <w:rPr>
          <w:rStyle w:val="FootnoteReference"/>
        </w:rPr>
        <w:footnoteReference w:id="2213"/>
      </w:r>
      <w:r>
        <w:t xml:space="preserve">. Uma análise estatística de todos os estudos com o spray nasal foi além: os estudos seriam, em regra, pequenos demais para encontrar efeitos realistas, e, com alta probabilidade, a maioria dos achados publicados não representaria efeitos reais</w:t>
      </w:r>
      <w:r>
        <w:rPr>
          <w:rStyle w:val="FootnoteReference"/>
        </w:rPr>
        <w:footnoteReference w:id="2214"/>
      </w:r>
      <w:r>
        <w:t xml:space="preserve">.</w:t>
      </w:r>
    </w:p>
    <w:p>
      <w:pPr>
        <w:pStyle w:val="BodyText"/>
      </w:pPr>
      <w:r>
        <w:t xml:space="preserve">A prova mais importante foi uma grande replicação pré-registrada do estudo da confiança, com poder estatístico acima de 95%. Na condição correspondente ao estudo original, a ocitocina não teve efeito. Uma análise posterior sugeriu um efeito apenas em pessoas com baixa confiança de base</w:t>
      </w:r>
      <w:r>
        <w:rPr>
          <w:rStyle w:val="FootnoteReference"/>
        </w:rPr>
        <w:footnoteReference w:id="2215"/>
      </w:r>
      <w:r>
        <w:t xml:space="preserve">. Exatamente essa hipótese foi testada em 2026 por outro estudo pré-registrado com 359 homens com baixa confiança de base, que encontrou um aumento da confiança de cerca de 15%</w:t>
      </w:r>
      <w:r>
        <w:rPr>
          <w:rStyle w:val="FootnoteReference"/>
        </w:rPr>
        <w:footnoteReference w:id="2216"/>
      </w:r>
      <w:r>
        <w:t xml:space="preserve">.</w:t>
      </w:r>
    </w:p>
    <w:p>
      <w:pPr>
        <w:pStyle w:val="BodyText"/>
      </w:pPr>
      <w:r>
        <w:rPr>
          <w:bCs/>
          <w:b/>
        </w:rPr>
        <w:t xml:space="preserve">O que isso significa:</w:t>
      </w:r>
      <w:r>
        <w:t xml:space="preserve"> </w:t>
      </w:r>
      <w:r>
        <w:t xml:space="preserve">o efeito original, amplo,</w:t>
      </w:r>
      <w:r>
        <w:t xml:space="preserve"> </w:t>
      </w:r>
      <w:r>
        <w:t xml:space="preserve">“</w:t>
      </w:r>
      <w:r>
        <w:t xml:space="preserve">a ocitocina torna as pessoas mais confiantes</w:t>
      </w:r>
      <w:r>
        <w:t xml:space="preserve">”</w:t>
      </w:r>
      <w:r>
        <w:t xml:space="preserve"> </w:t>
      </w:r>
      <w:r>
        <w:t xml:space="preserve">não se confirmou. Possivelmente existe um efeito menor em um determinado subgrupo e sob determinadas condições. Isso é cientificamente interessante, mas está longe de um benefício prático. As experiências mudaram a área: hoje os estudos são mais frequentemente pré-registrados, são maiores e também relatam resultados negativos. Uma plataforma online apresentada em 2026 deverá avaliar continuamente o conjunto de estudos</w:t>
      </w:r>
      <w:r>
        <w:rPr>
          <w:rStyle w:val="FootnoteReference"/>
        </w:rPr>
        <w:footnoteReference w:id="2217"/>
      </w:r>
      <w:r>
        <w:t xml:space="preserve">.</w:t>
      </w:r>
    </w:p>
    <w:bookmarkEnd w:id="2218"/>
    <w:bookmarkStart w:id="2231" w:name="autismo"/>
    <w:p>
      <w:pPr>
        <w:pStyle w:val="Heading4"/>
      </w:pPr>
      <w:r>
        <w:t xml:space="preserve">Autismo</w:t>
      </w:r>
    </w:p>
    <w:p>
      <w:pPr>
        <w:pStyle w:val="FirstParagraph"/>
      </w:pPr>
      <w:r>
        <w:t xml:space="preserve">Os transtornos do espectro autista caracterizam-se por dificuldades na comunicação social e por comportamentos restritos e repetitivos. Não há medicamentos que alterem essas características centrais. A ocitocina foi, por isso, durante muito tempo uma grande esperança, e em alguns países já era prescrita a crianças com autismo fora de estudos</w:t>
      </w:r>
      <w:r>
        <w:rPr>
          <w:rStyle w:val="FootnoteReference"/>
        </w:rPr>
        <w:footnoteReference w:id="2219"/>
      </w:r>
      <w:r>
        <w:t xml:space="preserve">.</w:t>
      </w:r>
    </w:p>
    <w:p>
      <w:pPr>
        <w:pStyle w:val="BodyText"/>
      </w:pPr>
      <w:r>
        <w:rPr>
          <w:bCs/>
          <w:b/>
        </w:rPr>
        <w:t xml:space="preserve">Primeiros estudos.</w:t>
      </w:r>
      <w:r>
        <w:t xml:space="preserve"> </w:t>
      </w:r>
      <w:r>
        <w:t xml:space="preserve">Uma revisão sistemática de 2014 encontrou sete estudos randomizados com um total de 101 pessoas com autismo, quase todas do sexo masculino. Os estudos eram pequenos (mediana de 15 participantes) e tinham risco de viés médio a alto. Quase todos relataram pelo menos um resultado positivo, geralmente no comportamento do olhar ou no reconhecimento de emoções</w:t>
      </w:r>
      <w:r>
        <w:rPr>
          <w:rStyle w:val="FootnoteReference"/>
        </w:rPr>
        <w:footnoteReference w:id="2220"/>
      </w:r>
      <w:r>
        <w:t xml:space="preserve">.</w:t>
      </w:r>
    </w:p>
    <w:p>
      <w:pPr>
        <w:pStyle w:val="BodyText"/>
      </w:pPr>
      <w:r>
        <w:rPr>
          <w:bCs/>
          <w:b/>
        </w:rPr>
        <w:t xml:space="preserve">Estudos de tratamento ao longo de semanas.</w:t>
      </w:r>
      <w:r>
        <w:t xml:space="preserve"> </w:t>
      </w:r>
      <w:r>
        <w:t xml:space="preserve">Seguiram-se estudos em que crianças e adultos receberam ocitocina durante várias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ECR</w:t>
            </w:r>
          </w:p>
        </w:tc>
        <w:tc>
          <w:tcPr/>
          <w:p>
            <w:pPr>
              <w:pStyle w:val="Compact"/>
              <w:jc w:val="left"/>
            </w:pPr>
            <w:r>
              <w:t xml:space="preserve">6 semanas</w:t>
            </w:r>
          </w:p>
        </w:tc>
        <w:tc>
          <w:tcPr/>
          <w:p>
            <w:pPr>
              <w:pStyle w:val="Compact"/>
              <w:jc w:val="left"/>
            </w:pPr>
            <w:r>
              <w:t xml:space="preserve">Objetivos principais não atingidos; melhora em objetivos secundários</w:t>
            </w:r>
          </w:p>
        </w:tc>
      </w:tr>
      <w:tr>
        <w:tc>
          <w:tcPr/>
          <w:p>
            <w:pPr>
              <w:pStyle w:val="Compact"/>
              <w:jc w:val="left"/>
            </w:pPr>
            <w:r>
              <w:t xml:space="preserve">Guastella 2015, PMID 25087908</w:t>
            </w:r>
          </w:p>
        </w:tc>
        <w:tc>
          <w:tcPr/>
          <w:p>
            <w:pPr>
              <w:pStyle w:val="Compact"/>
              <w:jc w:val="left"/>
            </w:pPr>
            <w:r>
              <w:t xml:space="preserve">50 adolescentes do sexo masculino (12–18 anos), ECR</w:t>
            </w:r>
          </w:p>
        </w:tc>
        <w:tc>
          <w:tcPr/>
          <w:p>
            <w:pPr>
              <w:pStyle w:val="Compact"/>
              <w:jc w:val="left"/>
            </w:pPr>
            <w:r>
              <w:t xml:space="preserve">8 semanas</w:t>
            </w:r>
          </w:p>
        </w:tc>
        <w:tc>
          <w:tcPr/>
          <w:p>
            <w:pPr>
              <w:pStyle w:val="Compact"/>
              <w:jc w:val="left"/>
            </w:pPr>
            <w:r>
              <w:t xml:space="preserve">nenhum benefício nos objetivos principais ou secundários</w:t>
            </w:r>
          </w:p>
        </w:tc>
      </w:tr>
      <w:tr>
        <w:tc>
          <w:tcPr/>
          <w:p>
            <w:pPr>
              <w:pStyle w:val="Compact"/>
              <w:jc w:val="left"/>
            </w:pPr>
            <w:r>
              <w:t xml:space="preserve">Yatawara 2016, PMID 26503762</w:t>
            </w:r>
          </w:p>
        </w:tc>
        <w:tc>
          <w:tcPr/>
          <w:p>
            <w:pPr>
              <w:pStyle w:val="Compact"/>
              <w:jc w:val="left"/>
            </w:pPr>
            <w:r>
              <w:t xml:space="preserve">31 crianças pequenas, estudo cruzado contra placebo</w:t>
            </w:r>
          </w:p>
        </w:tc>
        <w:tc>
          <w:tcPr/>
          <w:p>
            <w:pPr>
              <w:pStyle w:val="Compact"/>
              <w:jc w:val="left"/>
            </w:pPr>
            <w:r>
              <w:t xml:space="preserve">5 semanas cada</w:t>
            </w:r>
          </w:p>
        </w:tc>
        <w:tc>
          <w:tcPr/>
          <w:p>
            <w:pPr>
              <w:pStyle w:val="Compact"/>
              <w:jc w:val="left"/>
            </w:pPr>
            <w:r>
              <w:t xml:space="preserve">responsividade social melhorada segundo os pais</w:t>
            </w:r>
          </w:p>
        </w:tc>
      </w:tr>
      <w:tr>
        <w:tc>
          <w:tcPr/>
          <w:p>
            <w:pPr>
              <w:pStyle w:val="Compact"/>
              <w:jc w:val="left"/>
            </w:pPr>
            <w:r>
              <w:t xml:space="preserve">Parker 2017, PMID 28696286</w:t>
            </w:r>
          </w:p>
        </w:tc>
        <w:tc>
          <w:tcPr/>
          <w:p>
            <w:pPr>
              <w:pStyle w:val="Compact"/>
              <w:jc w:val="left"/>
            </w:pPr>
            <w:r>
              <w:t xml:space="preserve">32 crianças (6–12 anos), ECR</w:t>
            </w:r>
          </w:p>
        </w:tc>
        <w:tc>
          <w:tcPr/>
          <w:p>
            <w:pPr>
              <w:pStyle w:val="Compact"/>
              <w:jc w:val="left"/>
            </w:pPr>
            <w:r>
              <w:t xml:space="preserve">4 semanas</w:t>
            </w:r>
          </w:p>
        </w:tc>
        <w:tc>
          <w:tcPr/>
          <w:p>
            <w:pPr>
              <w:pStyle w:val="Compact"/>
              <w:jc w:val="left"/>
            </w:pPr>
            <w:r>
              <w:t xml:space="preserve">habilidades sociais melhoradas quando considerados os valores iniciais no sangue; nível inicial baixo previu resposta</w:t>
            </w:r>
          </w:p>
        </w:tc>
      </w:tr>
      <w:tr>
        <w:tc>
          <w:tcPr/>
          <w:p>
            <w:pPr>
              <w:pStyle w:val="Compact"/>
              <w:jc w:val="left"/>
            </w:pPr>
            <w:r>
              <w:t xml:space="preserve">SOARS-B (Sikich 2021), PMID 34644471</w:t>
            </w:r>
          </w:p>
        </w:tc>
        <w:tc>
          <w:tcPr/>
          <w:p>
            <w:pPr>
              <w:pStyle w:val="Compact"/>
              <w:jc w:val="left"/>
            </w:pPr>
            <w:r>
              <w:t xml:space="preserve">290 crianças e adolescentes (3–17 anos), ECR</w:t>
            </w:r>
          </w:p>
        </w:tc>
        <w:tc>
          <w:tcPr/>
          <w:p>
            <w:pPr>
              <w:pStyle w:val="Compact"/>
              <w:jc w:val="left"/>
            </w:pPr>
            <w:r>
              <w:t xml:space="preserve">24 semanas</w:t>
            </w:r>
          </w:p>
        </w:tc>
        <w:tc>
          <w:tcPr/>
          <w:p>
            <w:pPr>
              <w:pStyle w:val="Compact"/>
              <w:jc w:val="left"/>
            </w:pPr>
            <w:r>
              <w:t xml:space="preserve">nenhuma diferença: −3,7 vs. −3,5 pontos no retraimento social</w:t>
            </w:r>
          </w:p>
        </w:tc>
      </w:tr>
      <w:tr>
        <w:tc>
          <w:tcPr/>
          <w:p>
            <w:pPr>
              <w:pStyle w:val="Compact"/>
              <w:jc w:val="left"/>
            </w:pPr>
            <w:r>
              <w:t xml:space="preserve">Guastella 2023, PMID 36302965</w:t>
            </w:r>
          </w:p>
        </w:tc>
        <w:tc>
          <w:tcPr/>
          <w:p>
            <w:pPr>
              <w:pStyle w:val="Compact"/>
              <w:jc w:val="left"/>
            </w:pPr>
            <w:r>
              <w:t xml:space="preserve">87 crianças (3–12 anos), ECR após fase prévia com placebo</w:t>
            </w:r>
          </w:p>
        </w:tc>
        <w:tc>
          <w:tcPr/>
          <w:p>
            <w:pPr>
              <w:pStyle w:val="Compact"/>
              <w:jc w:val="left"/>
            </w:pPr>
            <w:r>
              <w:t xml:space="preserve">12 semanas</w:t>
            </w:r>
          </w:p>
        </w:tc>
        <w:tc>
          <w:tcPr/>
          <w:p>
            <w:pPr>
              <w:pStyle w:val="Compact"/>
              <w:jc w:val="left"/>
            </w:pPr>
            <w:r>
              <w:t xml:space="preserve">nenhum efeito no total; indício de efeito em crianças de 3 a 5 anos</w:t>
            </w:r>
          </w:p>
        </w:tc>
      </w:tr>
    </w:tbl>
    <w:p>
      <w:pPr>
        <w:pStyle w:val="BodyText"/>
      </w:pPr>
      <w:r>
        <w:rPr>
          <w:bCs/>
          <w:b/>
        </w:rPr>
        <w:t xml:space="preserve">O estudo SOARS-B.</w:t>
      </w:r>
      <w:r>
        <w:t xml:space="preserve"> </w:t>
      </w:r>
      <w:r>
        <w:t xml:space="preserve">O estudo de longe maior e mais conclusivo é o SOARS-B (Study of Oxytocin in Autism to Improve Reciprocal Social Behaviors), financiado pelas autoridades de saúde dos EUA e publicado em 2021 no New England Journal of Medicine</w:t>
      </w:r>
      <w:r>
        <w:rPr>
          <w:rStyle w:val="FootnoteReference"/>
        </w:rPr>
        <w:footnoteReference w:id="2221"/>
      </w:r>
      <w:r>
        <w:t xml:space="preserve">. 290 crianças e adolescentes entre 3 e 17 anos receberam diariamente, durante 24 semanas, ocitocina ou um spray nasal placebo. O desfecho principal foi uma escala de retraimento social (ABC-mSW, 0 a 39 pontos).</w:t>
      </w:r>
    </w:p>
    <w:p>
      <w:pPr>
        <w:pStyle w:val="BodyText"/>
      </w:pPr>
      <w:r>
        <w:t xml:space="preserve">O resultado foi claramente negativo: o valor caiu 3,7 pontos com ocitocina e 3,5 pontos com placebo. A diferença de 0,2 ponto não foi estatística nem clinicamente relevante. Também os objetivos secundários – duas outras medidas de função social e um teste de inteligência – não diferiram. Os efeitos colaterais foram igualmente frequentes nos dois grupos.</w:t>
      </w:r>
    </w:p>
    <w:p>
      <w:pPr>
        <w:pStyle w:val="BodyText"/>
      </w:pPr>
      <w:r>
        <w:rPr>
          <w:bCs/>
          <w:b/>
        </w:rPr>
        <w:t xml:space="preserve">O estudo australiano em crianças pequenas.</w:t>
      </w:r>
      <w:r>
        <w:t xml:space="preserve"> </w:t>
      </w:r>
      <w:r>
        <w:t xml:space="preserve">O grupo de Adam Guastella havia encontrado anteriormente um resultado positivo em crianças pequenas</w:t>
      </w:r>
      <w:r>
        <w:rPr>
          <w:rStyle w:val="FootnoteReference"/>
        </w:rPr>
        <w:footnoteReference w:id="2222"/>
      </w:r>
      <w:r>
        <w:t xml:space="preserve">. Um estudo seguinte maior, com 87 crianças, incluiu uma fase prévia de três semanas com placebo para filtrar o forte efeito placebo. No total, a ocitocina não mostrou efeito sobre a responsividade social. Apenas no subgrupo de 3 a 5 anos houve indício de melhora segundo a avaliação dos pais; a avaliação médica e todas as outras medidas não mostraram benefício</w:t>
      </w:r>
      <w:r>
        <w:rPr>
          <w:rStyle w:val="FootnoteReference"/>
        </w:rPr>
        <w:footnoteReference w:id="2223"/>
      </w:r>
      <w:r>
        <w:t xml:space="preserve">. Chama a atenção: no estudo com adolescentes de 2015, os pais que acreditavam que seu filho recebia ocitocina relataram melhoras maiores – independentemente do que o filho de fato recebia</w:t>
      </w:r>
      <w:r>
        <w:rPr>
          <w:rStyle w:val="FootnoteReference"/>
        </w:rPr>
        <w:footnoteReference w:id="2224"/>
      </w:r>
      <w:r>
        <w:t xml:space="preserve">.</w:t>
      </w:r>
    </w:p>
    <w:p>
      <w:pPr>
        <w:pStyle w:val="BodyText"/>
      </w:pPr>
      <w:r>
        <w:rPr>
          <w:bCs/>
          <w:b/>
        </w:rPr>
        <w:t xml:space="preserve">Efeitos biológicos sem benefício clínico.</w:t>
      </w:r>
      <w:r>
        <w:t xml:space="preserve"> </w:t>
      </w:r>
      <w:r>
        <w:t xml:space="preserve">Um estudo com 79 crianças encontrou, após quatro semanas de ocitocina, níveis mais altos de ocitocina na saliva e alterações na marcação epigenética do gene do receptor</w:t>
      </w:r>
      <w:r>
        <w:rPr>
          <w:rStyle w:val="FootnoteReference"/>
        </w:rPr>
        <w:footnoteReference w:id="2225"/>
      </w:r>
      <w:r>
        <w:t xml:space="preserve">. Na neuroimagem do mesmo grupo, por outro lado, não houve efeitos significativos do tratamento sobre o processamento de rostos</w:t>
      </w:r>
      <w:r>
        <w:rPr>
          <w:rStyle w:val="FootnoteReference"/>
        </w:rPr>
        <w:footnoteReference w:id="2226"/>
      </w:r>
      <w:r>
        <w:t xml:space="preserve">. Esses sinais biológicos são cientificamente interessantes, mas não comprovam melhora no dia a dia.</w:t>
      </w:r>
    </w:p>
    <w:p>
      <w:pPr>
        <w:pStyle w:val="BodyText"/>
      </w:pPr>
      <w:r>
        <w:rPr>
          <w:bCs/>
          <w:b/>
        </w:rPr>
        <w:t xml:space="preserve">Metanálises.</w:t>
      </w:r>
      <w:r>
        <w:t xml:space="preserve"> </w:t>
      </w:r>
      <w:r>
        <w:t xml:space="preserve">As sínteses chegam a resultados diferentes, conforme os estudos que incluem:</w:t>
      </w:r>
    </w:p>
    <w:p>
      <w:pPr>
        <w:numPr>
          <w:ilvl w:val="0"/>
          <w:numId w:val="1277"/>
        </w:numPr>
        <w:pStyle w:val="Compact"/>
      </w:pPr>
      <w:r>
        <w:t xml:space="preserve">Uma metanálise de 17 estudos randomizados com 466 pessoas com transtornos do desenvolvimento não encontrou efeito sobre o reconhecimento de emoções e encontrou um pequeno efeito sobre a compreensão dos pensamentos alheios</w:t>
      </w:r>
      <w:r>
        <w:rPr>
          <w:rStyle w:val="FootnoteReference"/>
        </w:rPr>
        <w:footnoteReference w:id="2227"/>
      </w:r>
      <w:r>
        <w:t xml:space="preserve">.</w:t>
      </w:r>
    </w:p>
    <w:p>
      <w:pPr>
        <w:numPr>
          <w:ilvl w:val="0"/>
          <w:numId w:val="1277"/>
        </w:numPr>
        <w:pStyle w:val="Compact"/>
      </w:pPr>
      <w:r>
        <w:t xml:space="preserve">Uma metanálise de 28 estudos com 726 pessoas com autismo, incluindo também estudos não controlados, chegou a um julgamento mais positivo sobre a função social</w:t>
      </w:r>
      <w:r>
        <w:rPr>
          <w:rStyle w:val="FootnoteReference"/>
        </w:rPr>
        <w:footnoteReference w:id="2228"/>
      </w:r>
      <w:r>
        <w:t xml:space="preserve">. A inclusão de estudos não controlados torna esse resultado suscetível a vieses.</w:t>
      </w:r>
    </w:p>
    <w:p>
      <w:pPr>
        <w:numPr>
          <w:ilvl w:val="0"/>
          <w:numId w:val="1277"/>
        </w:numPr>
        <w:pStyle w:val="Compact"/>
      </w:pPr>
      <w:r>
        <w:t xml:space="preserve">A maior metanálise até agora sobre todas as doenças psíquicas (42 estudos duplo-cegos, 1.922 pessoas) não encontrou, no total, efeito significativo. Após a exclusão de dois valores discrepantes, o tamanho do efeito ficou próximo de zero</w:t>
      </w:r>
      <w:r>
        <w:rPr>
          <w:rStyle w:val="FootnoteReference"/>
        </w:rPr>
        <w:footnoteReference w:id="2229"/>
      </w:r>
      <w:r>
        <w:t xml:space="preserve">.</w:t>
      </w:r>
    </w:p>
    <w:p>
      <w:pPr>
        <w:pStyle w:val="FirstParagraph"/>
      </w:pPr>
      <w:r>
        <w:rPr>
          <w:bCs/>
          <w:b/>
        </w:rPr>
        <w:t xml:space="preserve">Balanço parcial sobre autismo:</w:t>
      </w:r>
      <w:r>
        <w:t xml:space="preserve"> </w:t>
      </w:r>
      <w:r>
        <w:t xml:space="preserve">depois do grande estudo SOARS-B e do estudo australiano seguinte, não há prova sólida de que o spray nasal de ocitocina melhore o comportamento social de crianças e adolescentes com autismo no dia a dia. Pesquisadores discutem se determinados subgrupos – crianças muito pequenas, crianças com nível baixo de ocitocina – poderiam se beneficiar e propõem uma abordagem personalizada</w:t>
      </w:r>
      <w:r>
        <w:rPr>
          <w:rStyle w:val="FootnoteReference"/>
        </w:rPr>
        <w:footnoteReference w:id="2230"/>
      </w:r>
      <w:r>
        <w:t xml:space="preserve">. Até que isso seja confirmado em estudos próprios, permanece uma hipótese.</w:t>
      </w:r>
    </w:p>
    <w:bookmarkEnd w:id="2231"/>
    <w:bookmarkStart w:id="2239" w:name="outras-doenças-psíquicas"/>
    <w:p>
      <w:pPr>
        <w:pStyle w:val="Heading4"/>
      </w:pPr>
      <w:r>
        <w:t xml:space="preserve">Outras doenças psíquicas</w:t>
      </w:r>
    </w:p>
    <w:p>
      <w:pPr>
        <w:pStyle w:val="FirstParagraph"/>
      </w:pPr>
      <w:r>
        <w:rPr>
          <w:bCs/>
          <w:b/>
        </w:rPr>
        <w:t xml:space="preserve">Esquizofrenia.</w:t>
      </w:r>
      <w:r>
        <w:t xml:space="preserve"> </w:t>
      </w:r>
      <w:r>
        <w:t xml:space="preserve">Em um estudo de doze semanas com 68 pessoas, a ocitocina não melhorou a percepção social</w:t>
      </w:r>
      <w:r>
        <w:rPr>
          <w:rStyle w:val="FootnoteReference"/>
        </w:rPr>
        <w:footnoteReference w:id="2232"/>
      </w:r>
      <w:r>
        <w:t xml:space="preserve">. Uma metanálise de nove estudos não encontrou efeito consistente sobre os chamados sintomas negativos, como falta de motivação e retraimento social</w:t>
      </w:r>
      <w:r>
        <w:rPr>
          <w:rStyle w:val="FootnoteReference"/>
        </w:rPr>
        <w:footnoteReference w:id="2233"/>
      </w:r>
      <w:r>
        <w:t xml:space="preserve">. A grande metanálise de 2026 viu nesse grupo um efeito pequeno, apenas significativo (tamanho de efeito 0,12), e constatou que estudos com mais mulheres tendiam a mostrar efeitos maiores</w:t>
      </w:r>
      <w:r>
        <w:rPr>
          <w:rStyle w:val="FootnoteReference"/>
        </w:rPr>
        <w:footnoteReference w:id="2234"/>
      </w:r>
      <w:r>
        <w:t xml:space="preserve">.</w:t>
      </w:r>
    </w:p>
    <w:p>
      <w:pPr>
        <w:pStyle w:val="BodyText"/>
      </w:pPr>
      <w:r>
        <w:rPr>
          <w:bCs/>
          <w:b/>
        </w:rPr>
        <w:t xml:space="preserve">Álcool.</w:t>
      </w:r>
      <w:r>
        <w:t xml:space="preserve"> </w:t>
      </w:r>
      <w:r>
        <w:t xml:space="preserve">Em um estudo norueguês com 40 pessoas em abstinência alcoólica, a ocitocina não reduziu significativamente a necessidade de sedativos</w:t>
      </w:r>
      <w:r>
        <w:rPr>
          <w:rStyle w:val="FootnoteReference"/>
        </w:rPr>
        <w:footnoteReference w:id="2235"/>
      </w:r>
      <w:r>
        <w:t xml:space="preserve">. Uma metanálise de seis estudos randomizados sobre dependência de álcool não encontrou efeito; uma análise bayesiana chegou a apontar moderadamente para a ausência de efeito</w:t>
      </w:r>
      <w:r>
        <w:rPr>
          <w:rStyle w:val="FootnoteReference"/>
        </w:rPr>
        <w:footnoteReference w:id="2236"/>
      </w:r>
      <w:r>
        <w:t xml:space="preserve">.</w:t>
      </w:r>
    </w:p>
    <w:p>
      <w:pPr>
        <w:pStyle w:val="BodyText"/>
      </w:pPr>
      <w:r>
        <w:rPr>
          <w:bCs/>
          <w:b/>
        </w:rPr>
        <w:t xml:space="preserve">Combinação com psicoterapia.</w:t>
      </w:r>
      <w:r>
        <w:t xml:space="preserve"> </w:t>
      </w:r>
      <w:r>
        <w:t xml:space="preserve">Uma ideia mais recente é administrar a ocitocina não isoladamente, mas como reforço de uma psicoterapia. Uma revisão de 13 estudos com 518 participantes encontrou indícios de menos sintomas depressivos e de uma melhor relação terapêutica, mas nenhum efeito sobre os sintomas psiquiátricos em geral ou sobre a função social; apenas quatro estudos puderam ser agrupados</w:t>
      </w:r>
      <w:r>
        <w:rPr>
          <w:rStyle w:val="FootnoteReference"/>
        </w:rPr>
        <w:footnoteReference w:id="2237"/>
      </w:r>
      <w:r>
        <w:t xml:space="preserve">.</w:t>
      </w:r>
    </w:p>
    <w:p>
      <w:pPr>
        <w:pStyle w:val="BodyText"/>
      </w:pPr>
      <w:r>
        <w:rPr>
          <w:bCs/>
          <w:b/>
        </w:rPr>
        <w:t xml:space="preserve">Após o parto.</w:t>
      </w:r>
      <w:r>
        <w:t xml:space="preserve"> </w:t>
      </w:r>
      <w:r>
        <w:t xml:space="preserve">Em 45 mães com depressão pós-parto (em parte subclínica), uma dose única aumentou o humor positivo e a atenção positiva ao bebê, mas não a sensibilidade no trato com ele</w:t>
      </w:r>
      <w:r>
        <w:rPr>
          <w:rStyle w:val="FootnoteReference"/>
        </w:rPr>
        <w:footnoteReference w:id="2238"/>
      </w:r>
      <w:r>
        <w:t xml:space="preserve">.</w:t>
      </w:r>
    </w:p>
    <w:bookmarkEnd w:id="2239"/>
    <w:bookmarkStart w:id="2246" w:name="metabolismo-peso-e-dor"/>
    <w:p>
      <w:pPr>
        <w:pStyle w:val="Heading4"/>
      </w:pPr>
      <w:r>
        <w:t xml:space="preserve">Metabolismo, peso e dor</w:t>
      </w:r>
    </w:p>
    <w:p>
      <w:pPr>
        <w:pStyle w:val="FirstParagraph"/>
      </w:pPr>
      <w:r>
        <w:rPr>
          <w:bCs/>
          <w:b/>
        </w:rPr>
        <w:t xml:space="preserve">Obesidade.</w:t>
      </w:r>
      <w:r>
        <w:t xml:space="preserve"> </w:t>
      </w:r>
      <w:r>
        <w:t xml:space="preserve">Como a ocitocina reduz a ingestão de alimentos e aumenta o gasto de energia em animais, ela foi testada como medicamento para emagrecer. Uma metanálise constatou que uma dose única, em pessoas sem doença psíquica, reduziu a quantidade ingerida em uma refeição-teste</w:t>
      </w:r>
      <w:r>
        <w:rPr>
          <w:rStyle w:val="FootnoteReference"/>
        </w:rPr>
        <w:footnoteReference w:id="2240"/>
      </w:r>
      <w:r>
        <w:t xml:space="preserve">. O teste decisivo foi um estudo com 61 adultos com obesidade, que aplicaram ocitocina ou placebo quatro vezes ao dia durante oito semanas. O peso não mudou: +0,20 kg com ocitocina, +0,26 kg com placebo. Também a gordura corporal, a gordura hepática e o gasto de energia permaneceram inalterados; apenas em uma refeição-teste os participantes comeram menos</w:t>
      </w:r>
      <w:r>
        <w:rPr>
          <w:rStyle w:val="FootnoteReference"/>
        </w:rPr>
        <w:footnoteReference w:id="2241"/>
      </w:r>
      <w:r>
        <w:t xml:space="preserve">. Um pequeno estudo-piloto com 21 idosos com sobrepeso e perda muscular encontrou um ganho de massa muscular de 2,25 kg</w:t>
      </w:r>
      <w:r>
        <w:rPr>
          <w:rStyle w:val="FootnoteReference"/>
        </w:rPr>
        <w:footnoteReference w:id="2242"/>
      </w:r>
      <w:r>
        <w:t xml:space="preserve">; isso precisa ser confirmado em estudos maiores.</w:t>
      </w:r>
    </w:p>
    <w:p>
      <w:pPr>
        <w:pStyle w:val="BodyText"/>
      </w:pPr>
      <w:r>
        <w:rPr>
          <w:bCs/>
          <w:b/>
        </w:rPr>
        <w:t xml:space="preserve">Síndrome de Prader-Willi.</w:t>
      </w:r>
      <w:r>
        <w:t xml:space="preserve"> </w:t>
      </w:r>
      <w:r>
        <w:t xml:space="preserve">Nessa doença genética rara, com fome insaciável e ocitocina reduzida no hipotálamo, as expectativas eram especialmente grandes. Uma metanálise não encontrou efeito sobre a compulsão alimentar ou o peso</w:t>
      </w:r>
      <w:r>
        <w:rPr>
          <w:rStyle w:val="FootnoteReference"/>
        </w:rPr>
        <w:footnoteReference w:id="2243"/>
      </w:r>
      <w:r>
        <w:t xml:space="preserve">. Em um estudo com 23 crianças, a compulsão alimentar e o comportamento repetitivo melhoraram até mais com placebo</w:t>
      </w:r>
      <w:r>
        <w:rPr>
          <w:rStyle w:val="FootnoteReference"/>
        </w:rPr>
        <w:footnoteReference w:id="2244"/>
      </w:r>
      <w:r>
        <w:t xml:space="preserve">.</w:t>
      </w:r>
    </w:p>
    <w:p>
      <w:pPr>
        <w:pStyle w:val="BodyText"/>
      </w:pPr>
      <w:r>
        <w:rPr>
          <w:bCs/>
          <w:b/>
        </w:rPr>
        <w:t xml:space="preserve">Dor.</w:t>
      </w:r>
      <w:r>
        <w:t xml:space="preserve"> </w:t>
      </w:r>
      <w:r>
        <w:t xml:space="preserve">Uma metanálise de 15 estudos não encontrou efeito significativo sobre a intensidade da dor ou o desconforto causado pela dor</w:t>
      </w:r>
      <w:r>
        <w:rPr>
          <w:rStyle w:val="FootnoteReference"/>
        </w:rPr>
        <w:footnoteReference w:id="2245"/>
      </w:r>
      <w:r>
        <w:t xml:space="preserve">.</w:t>
      </w:r>
    </w:p>
    <w:bookmarkEnd w:id="2246"/>
    <w:bookmarkStart w:id="2249" w:name="sexualidade"/>
    <w:p>
      <w:pPr>
        <w:pStyle w:val="Heading4"/>
      </w:pPr>
      <w:r>
        <w:t xml:space="preserve">Sexualidade</w:t>
      </w:r>
    </w:p>
    <w:p>
      <w:pPr>
        <w:pStyle w:val="FirstParagraph"/>
      </w:pPr>
      <w:r>
        <w:t xml:space="preserve">A ocitocina é liberada no orgasmo e promovida na internet como meio para uma vida amorosa mais intensa. Em um estudo de laboratório com dez homens, um spray nasal aumentou claramente o nível de ocitocina no sangue, mas não alterou, segundo os questionários, desejo, excitação, orgasmo e fase de recuperação</w:t>
      </w:r>
      <w:r>
        <w:rPr>
          <w:rStyle w:val="FootnoteReference"/>
        </w:rPr>
        <w:footnoteReference w:id="2247"/>
      </w:r>
      <w:r>
        <w:t xml:space="preserve">. Uma metanálise sobre medicamentos contra disfunções sexuais femininas, que incluiu também estudos com ocitocina, constatou que cerca de dois terços da melhora também ocorriam com placebo</w:t>
      </w:r>
      <w:r>
        <w:rPr>
          <w:rStyle w:val="FootnoteReference"/>
        </w:rPr>
        <w:footnoteReference w:id="2248"/>
      </w:r>
      <w:r>
        <w:t xml:space="preserve">. Não há provas sólidas de um efeito sobre a sexualidade.</w:t>
      </w:r>
    </w:p>
    <w:bookmarkEnd w:id="2249"/>
    <w:bookmarkStart w:id="2252" w:name="deficiência-de-ocitocina-como-doença"/>
    <w:p>
      <w:pPr>
        <w:pStyle w:val="Heading4"/>
      </w:pPr>
      <w:r>
        <w:t xml:space="preserve">Deficiência de ocitocina como doença</w:t>
      </w:r>
    </w:p>
    <w:p>
      <w:pPr>
        <w:pStyle w:val="FirstParagraph"/>
      </w:pPr>
      <w:r>
        <w:t xml:space="preserve">Um campo novo e medicamente plausível é a verdadeira deficiência de ocitocina. Pessoas cujo hipotálamo ou hipófise foram danificados, por exemplo por um tumor ou uma cirurgia, frequentemente têm deficiência de vasopressina (antes chamada diabetes insípido central). Um estudo suíço usou a droga MDMA, que em pessoas saudáveis libera ocitocina intensamente, como teste de provocação. Em 15 pessoas saudáveis, a ocitocina subiu fortemente; em 15 pessoas afetadas, quase nada; a área sob a curva foi 82% maior nas saudáveis, e as afetadas quase não sentiram os efeitos sociais e ansiolíticos típicos</w:t>
      </w:r>
      <w:r>
        <w:rPr>
          <w:rStyle w:val="FootnoteReference"/>
        </w:rPr>
        <w:footnoteReference w:id="2250"/>
      </w:r>
      <w:r>
        <w:t xml:space="preserve">. Isso indica que muitas dessas pessoas também têm deficiência de ocitocina. Se uma reposição por spray nasal alivia seus sintomas psíquicos é testado por um estudo em andamento</w:t>
      </w:r>
      <w:r>
        <w:rPr>
          <w:rStyle w:val="FootnoteReference"/>
        </w:rPr>
        <w:footnoteReference w:id="2251"/>
      </w:r>
      <w:r>
        <w:t xml:space="preserve">. A kisspeptina também está sendo estudada como possível teste para deficiência de ocitocina (Galbiati 2025, PMID 39965102; capítulo 2E04).</w:t>
      </w:r>
    </w:p>
    <w:bookmarkEnd w:id="2252"/>
    <w:bookmarkEnd w:id="2253"/>
    <w:bookmarkStart w:id="2256" w:name="estudos-em-animais-e-em-laboratório-50"/>
    <w:p>
      <w:pPr>
        <w:pStyle w:val="Heading3"/>
      </w:pPr>
      <w:r>
        <w:t xml:space="preserve">Estudos em animais e em laboratório</w:t>
      </w:r>
    </w:p>
    <w:p>
      <w:pPr>
        <w:pStyle w:val="FirstParagraph"/>
      </w:pPr>
      <w:r>
        <w:t xml:space="preserve">O entusiasmo pela ocitocina baseia-se em achados convincentes em animais: em arganazes-do-campo, o sistema da ocitocina é necessário para o vínculo de casal; em roedores e ovelhas, para o comportamento materno. Em camundongos de um modelo de autismo, um agente que estimula o sistema da ocitocina melhorou medidas de comportamento social</w:t>
      </w:r>
      <w:r>
        <w:rPr>
          <w:rStyle w:val="FootnoteReference"/>
        </w:rPr>
        <w:footnoteReference w:id="2254"/>
      </w:r>
      <w:r>
        <w:t xml:space="preserve">. Em macacos-rhesus, a ocitocina marcada chegou pelo nariz a determinadas regiões cerebrais</w:t>
      </w:r>
      <w:r>
        <w:rPr>
          <w:rStyle w:val="FootnoteReference"/>
        </w:rPr>
        <w:footnoteReference w:id="2255"/>
      </w:r>
      <w:r>
        <w:t xml:space="preserve">.</w:t>
      </w:r>
    </w:p>
    <w:p>
      <w:pPr>
        <w:pStyle w:val="BodyText"/>
      </w:pPr>
      <w:r>
        <w:t xml:space="preserve">Esses achados, porém, só podem ser transferidos de forma limitada: a distribuição dos receptores de ocitocina no cérebro difere muito entre espécies, mesmo entre espécies de arganazes estreitamente aparentadas. Muitos experimentos em animais administraram a ocitocina diretamente no cérebro, o que não é possível em humanos.</w:t>
      </w:r>
    </w:p>
    <w:bookmarkEnd w:id="2256"/>
    <w:bookmarkStart w:id="2266" w:name="riscos-e-efeitos-colaterais-50"/>
    <w:p>
      <w:pPr>
        <w:pStyle w:val="Heading3"/>
      </w:pPr>
      <w:r>
        <w:t xml:space="preserve">Riscos e efeitos colaterais</w:t>
      </w:r>
    </w:p>
    <w:bookmarkStart w:id="2261" w:name="comprovados-spray-nasal-em-estudos"/>
    <w:p>
      <w:pPr>
        <w:pStyle w:val="Heading4"/>
      </w:pPr>
      <w:r>
        <w:t xml:space="preserve">Comprovados: spray nasal em estudos</w:t>
      </w:r>
    </w:p>
    <w:p>
      <w:pPr>
        <w:pStyle w:val="FirstParagraph"/>
      </w:pPr>
      <w:r>
        <w:t xml:space="preserve">Em estudos controlados, o spray nasal de ocitocina é considerado bem tolerado. Uma revisão sistemática de 38 estudos randomizados com 1.529 participantes não encontrou, no uso de curto prazo, efeitos colaterais mais frequentes do que com placebo. Os participantes também não conseguiam reconhecer se haviam recebido ocitocina ou placebo</w:t>
      </w:r>
      <w:r>
        <w:rPr>
          <w:rStyle w:val="FootnoteReference"/>
        </w:rPr>
        <w:footnoteReference w:id="2257"/>
      </w:r>
      <w:r>
        <w:t xml:space="preserve">. No SOARS-B, os efeitos colaterais ao longo de 24 semanas foram igualmente frequentes nos dois grupos</w:t>
      </w:r>
      <w:r>
        <w:rPr>
          <w:rStyle w:val="FootnoteReference"/>
        </w:rPr>
        <w:footnoteReference w:id="2258"/>
      </w:r>
      <w:r>
        <w:t xml:space="preserve">. Em 95 homens idosos, não houve alterações da pressão arterial nem de valores de urina ou sangue ao longo de quatro semanas</w:t>
      </w:r>
      <w:r>
        <w:rPr>
          <w:rStyle w:val="FootnoteReference"/>
        </w:rPr>
        <w:footnoteReference w:id="2259"/>
      </w:r>
      <w:r>
        <w:t xml:space="preserve">. Em estudos com crianças, foram relatados sede, aumento da micção e prisão de ventre</w:t>
      </w:r>
      <w:r>
        <w:rPr>
          <w:rStyle w:val="FootnoteReference"/>
        </w:rPr>
        <w:footnoteReference w:id="2260"/>
      </w:r>
      <w:r>
        <w:t xml:space="preserve">.</w:t>
      </w:r>
    </w:p>
    <w:bookmarkEnd w:id="2261"/>
    <w:bookmarkStart w:id="2264" w:name="possíveis-e-a-considerar"/>
    <w:p>
      <w:pPr>
        <w:pStyle w:val="Heading4"/>
      </w:pPr>
      <w:r>
        <w:t xml:space="preserve">Possíveis e a considerar</w:t>
      </w:r>
    </w:p>
    <w:p>
      <w:pPr>
        <w:numPr>
          <w:ilvl w:val="0"/>
          <w:numId w:val="1278"/>
        </w:numPr>
        <w:pStyle w:val="Compact"/>
      </w:pPr>
      <w:r>
        <w:rPr>
          <w:bCs/>
          <w:b/>
        </w:rPr>
        <w:t xml:space="preserve">Equilíbrio hídrico:</w:t>
      </w:r>
      <w:r>
        <w:t xml:space="preserve"> </w:t>
      </w:r>
      <w:r>
        <w:t xml:space="preserve">a ocitocina se assemelha à vasopressina e, em doses altas, pode reter água no corpo. Na obstetrícia, uma intoxicação hídrica com falta de sódio é uma complicação conhecida e rara de infusões em doses altas. Com o spray nasal, foi descrito um caso de aumento da pressão intracraniana com ingestão simultânea muito alta de líquidos</w:t>
      </w:r>
      <w:r>
        <w:rPr>
          <w:rStyle w:val="FootnoteReference"/>
        </w:rPr>
        <w:footnoteReference w:id="2262"/>
      </w:r>
      <w:r>
        <w:t xml:space="preserve">.</w:t>
      </w:r>
    </w:p>
    <w:p>
      <w:pPr>
        <w:numPr>
          <w:ilvl w:val="0"/>
          <w:numId w:val="1278"/>
        </w:numPr>
        <w:pStyle w:val="Compact"/>
      </w:pPr>
      <w:r>
        <w:rPr>
          <w:bCs/>
          <w:b/>
        </w:rPr>
        <w:t xml:space="preserve">Circulação:</w:t>
      </w:r>
      <w:r>
        <w:t xml:space="preserve"> </w:t>
      </w:r>
      <w:r>
        <w:t xml:space="preserve">em doze homens saudáveis, um spray nasal aumentou a atividade dos nervos que contraem os vasos sanguíneos e elevou ligeiramente a pressão diastólica</w:t>
      </w:r>
      <w:r>
        <w:rPr>
          <w:rStyle w:val="FootnoteReference"/>
        </w:rPr>
        <w:footnoteReference w:id="2263"/>
      </w:r>
      <w:r>
        <w:t xml:space="preserve">.</w:t>
      </w:r>
    </w:p>
    <w:p>
      <w:pPr>
        <w:numPr>
          <w:ilvl w:val="0"/>
          <w:numId w:val="1278"/>
        </w:numPr>
        <w:pStyle w:val="Compact"/>
      </w:pPr>
      <w:r>
        <w:rPr>
          <w:bCs/>
          <w:b/>
        </w:rPr>
        <w:t xml:space="preserve">Gravidez:</w:t>
      </w:r>
      <w:r>
        <w:t xml:space="preserve"> </w:t>
      </w:r>
      <w:r>
        <w:t xml:space="preserve">como a ocitocina desencadeia contrações, o uso sem controle médico na gravidez é perigoso.</w:t>
      </w:r>
    </w:p>
    <w:p>
      <w:pPr>
        <w:numPr>
          <w:ilvl w:val="0"/>
          <w:numId w:val="1278"/>
        </w:numPr>
        <w:pStyle w:val="Compact"/>
      </w:pPr>
      <w:r>
        <w:rPr>
          <w:bCs/>
          <w:b/>
        </w:rPr>
        <w:t xml:space="preserve">Uso de longo prazo:</w:t>
      </w:r>
      <w:r>
        <w:t xml:space="preserve"> </w:t>
      </w:r>
      <w:r>
        <w:t xml:space="preserve">faltam dados de mais de seis meses, especialmente em crianças.</w:t>
      </w:r>
    </w:p>
    <w:p>
      <w:pPr>
        <w:numPr>
          <w:ilvl w:val="0"/>
          <w:numId w:val="1278"/>
        </w:numPr>
        <w:pStyle w:val="Compact"/>
      </w:pPr>
      <w:r>
        <w:rPr>
          <w:bCs/>
          <w:b/>
        </w:rPr>
        <w:t xml:space="preserve">Efeitos sociais:</w:t>
      </w:r>
      <w:r>
        <w:t xml:space="preserve"> </w:t>
      </w:r>
      <w:r>
        <w:t xml:space="preserve">alguns estudos de laboratório relataram que, sob determinadas condições, a ocitocina também pode intensificar a inveja, a desconfiança em relação a estranhos ou o favorecimento do próprio grupo. Esses achados são tão incertos quanto os positivos.</w:t>
      </w:r>
    </w:p>
    <w:bookmarkEnd w:id="2264"/>
    <w:bookmarkStart w:id="2265" w:name="mercado-cinza-3"/>
    <w:p>
      <w:pPr>
        <w:pStyle w:val="Heading4"/>
      </w:pPr>
      <w:r>
        <w:t xml:space="preserve">Mercado cinza</w:t>
      </w:r>
    </w:p>
    <w:p>
      <w:pPr>
        <w:pStyle w:val="FirstParagraph"/>
      </w:pPr>
      <w:r>
        <w:t xml:space="preserve">Sprays nasais de ocitocina são vendidos na internet como</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Conteúdo e teor desses produtos não são verificados de forma independente. Para nenhum desses produtos há provas de efeito.</w:t>
      </w:r>
    </w:p>
    <w:bookmarkEnd w:id="2265"/>
    <w:bookmarkEnd w:id="2266"/>
    <w:bookmarkStart w:id="2267" w:name="situação-legal-50"/>
    <w:p>
      <w:pPr>
        <w:pStyle w:val="Heading3"/>
      </w:pPr>
      <w:r>
        <w:t xml:space="preserve">Situação legal</w:t>
      </w:r>
    </w:p>
    <w:p>
      <w:pPr>
        <w:pStyle w:val="FirstParagraph"/>
      </w:pPr>
      <w:r>
        <w:rPr>
          <w:iCs/>
          <w:i/>
        </w:rPr>
        <w:t xml:space="preserve">Situação em 2026, verificar atualização.</w:t>
      </w:r>
    </w:p>
    <w:p>
      <w:pPr>
        <w:numPr>
          <w:ilvl w:val="0"/>
          <w:numId w:val="1279"/>
        </w:numPr>
        <w:pStyle w:val="Compact"/>
      </w:pPr>
      <w:r>
        <w:rPr>
          <w:bCs/>
          <w:b/>
        </w:rPr>
        <w:t xml:space="preserve">UE, Alemanha, Áustria:</w:t>
      </w:r>
      <w:r>
        <w:t xml:space="preserve"> </w:t>
      </w:r>
      <w:r>
        <w:t xml:space="preserve">a ocitocina para infusão e injeção está aprovada como medicamento de venda sob prescrição para a obstetrícia. Não existe spray nasal aprovado para usos psíquicos ou sociais; sprays aprovados antigamente para favorecer o fluxo de leite não estão mais disponíveis em muitos lugares. Uma prescrição para tratar autismo ou outras doenças seria uma tentativa terapêutica individual fora da indicação aprovada (off-label), com os correspondentes deveres de esclarecimento e responsabilidade.</w:t>
      </w:r>
    </w:p>
    <w:p>
      <w:pPr>
        <w:numPr>
          <w:ilvl w:val="0"/>
          <w:numId w:val="1279"/>
        </w:numPr>
        <w:pStyle w:val="Compact"/>
      </w:pPr>
      <w:r>
        <w:rPr>
          <w:bCs/>
          <w:b/>
        </w:rPr>
        <w:t xml:space="preserve">EUA:</w:t>
      </w:r>
      <w:r>
        <w:t xml:space="preserve"> </w:t>
      </w:r>
      <w:r>
        <w:t xml:space="preserve">injeção de ocitocina (Pitocin e genéricos) aprovada para a obstetrícia; nenhum spray nasal aprovado. Farmácias de manipulação preparam sprays nasais mediante prescrição médica; sua qualidade não é verificada como a dos medicamentos industrializados.</w:t>
      </w:r>
    </w:p>
    <w:p>
      <w:pPr>
        <w:numPr>
          <w:ilvl w:val="0"/>
          <w:numId w:val="1279"/>
        </w:numPr>
        <w:pStyle w:val="Compact"/>
      </w:pPr>
      <w:r>
        <w:rPr>
          <w:bCs/>
          <w:b/>
        </w:rPr>
        <w:t xml:space="preserve">WADA:</w:t>
      </w:r>
      <w:r>
        <w:t xml:space="preserve"> </w:t>
      </w:r>
      <w:r>
        <w:t xml:space="preserve">não listada.</w:t>
      </w:r>
    </w:p>
    <w:bookmarkEnd w:id="2267"/>
    <w:bookmarkStart w:id="2273" w:name="estudos-em-andamento-e-perspectivas-50"/>
    <w:p>
      <w:pPr>
        <w:pStyle w:val="Heading3"/>
      </w:pPr>
      <w:r>
        <w:t xml:space="preserve">Estudos em andamento e perspectivas</w:t>
      </w:r>
    </w:p>
    <w:p>
      <w:pPr>
        <w:pStyle w:val="FirstParagraph"/>
      </w:pPr>
      <w:r>
        <w:rPr>
          <w:bCs/>
          <w:b/>
        </w:rPr>
        <w:t xml:space="preserve">Confirmado (estudos registrados):</w:t>
      </w:r>
      <w:r>
        <w:t xml:space="preserve"> </w:t>
      </w:r>
      <w:r>
        <w:t xml:space="preserve">entre os estudos em andamento, há alguns maiores que poderiam responder a questões específicas em aberto:</w:t>
      </w:r>
    </w:p>
    <w:p>
      <w:pPr>
        <w:numPr>
          <w:ilvl w:val="0"/>
          <w:numId w:val="1280"/>
        </w:numPr>
        <w:pStyle w:val="Compact"/>
      </w:pPr>
      <w:r>
        <w:rPr>
          <w:bCs/>
          <w:b/>
        </w:rPr>
        <w:t xml:space="preserve">Dor crônica:</w:t>
      </w:r>
      <w:r>
        <w:t xml:space="preserve"> </w:t>
      </w:r>
      <w:r>
        <w:t xml:space="preserve">um estudo canadense de fase 2/3 com 336 participantes</w:t>
      </w:r>
      <w:r>
        <w:rPr>
          <w:rStyle w:val="FootnoteReference"/>
        </w:rPr>
        <w:footnoteReference w:id="2268"/>
      </w:r>
      <w:r>
        <w:t xml:space="preserve"> </w:t>
      </w:r>
      <w:r>
        <w:t xml:space="preserve">foi concluído; os resultados estão pendentes.</w:t>
      </w:r>
    </w:p>
    <w:p>
      <w:pPr>
        <w:numPr>
          <w:ilvl w:val="0"/>
          <w:numId w:val="1280"/>
        </w:numPr>
        <w:pStyle w:val="Compact"/>
      </w:pPr>
      <w:r>
        <w:rPr>
          <w:bCs/>
          <w:b/>
        </w:rPr>
        <w:t xml:space="preserve">Psicoterapia mais ocitocina:</w:t>
      </w:r>
      <w:r>
        <w:t xml:space="preserve"> </w:t>
      </w:r>
      <w:r>
        <w:t xml:space="preserve">um estudo do Departamento de Assuntos de Veteranos dos EUA com 240 pessoas testa a ocitocina como complemento de uma terapia de casal no transtorno de estresse pós-traumático (NCT06194851, até 2028). Na Alemanha, estudos testam a ocitocina como complemento do tratamento psicossocial na esquizofrenia (NCT06881810, com 98 pessoas; NCT07265180, na Charité, com 120 pessoas e comparação de doses).</w:t>
      </w:r>
    </w:p>
    <w:p>
      <w:pPr>
        <w:numPr>
          <w:ilvl w:val="0"/>
          <w:numId w:val="1280"/>
        </w:numPr>
        <w:pStyle w:val="Compact"/>
      </w:pPr>
      <w:r>
        <w:rPr>
          <w:bCs/>
          <w:b/>
        </w:rPr>
        <w:t xml:space="preserve">Deficiência de ocitocina:</w:t>
      </w:r>
      <w:r>
        <w:t xml:space="preserve"> </w:t>
      </w:r>
      <w:r>
        <w:t xml:space="preserve">um estudo suíço com 112 pessoas testa uma reposição de ocitocina na deficiência de vasopressina</w:t>
      </w:r>
      <w:r>
        <w:rPr>
          <w:rStyle w:val="FootnoteReference"/>
        </w:rPr>
        <w:footnoteReference w:id="2269"/>
      </w:r>
      <w:r>
        <w:t xml:space="preserve">.</w:t>
      </w:r>
    </w:p>
    <w:p>
      <w:pPr>
        <w:numPr>
          <w:ilvl w:val="0"/>
          <w:numId w:val="1280"/>
        </w:numPr>
        <w:pStyle w:val="Compact"/>
      </w:pPr>
      <w:r>
        <w:rPr>
          <w:bCs/>
          <w:b/>
        </w:rPr>
        <w:t xml:space="preserve">Autismo e ossos:</w:t>
      </w:r>
      <w:r>
        <w:t xml:space="preserve"> </w:t>
      </w:r>
      <w:r>
        <w:t xml:space="preserve">um estudo com 96 crianças investiga efeitos sobre a saúde óssea</w:t>
      </w:r>
      <w:r>
        <w:rPr>
          <w:rStyle w:val="FootnoteReference"/>
        </w:rPr>
        <w:footnoteReference w:id="2270"/>
      </w:r>
      <w:r>
        <w:t xml:space="preserve">.</w:t>
      </w:r>
    </w:p>
    <w:p>
      <w:pPr>
        <w:numPr>
          <w:ilvl w:val="0"/>
          <w:numId w:val="1280"/>
        </w:numPr>
        <w:pStyle w:val="Compact"/>
      </w:pPr>
      <w:r>
        <w:rPr>
          <w:bCs/>
          <w:b/>
        </w:rPr>
        <w:t xml:space="preserve">Transtornos alimentares:</w:t>
      </w:r>
      <w:r>
        <w:t xml:space="preserve"> </w:t>
      </w:r>
      <w:r>
        <w:t xml:space="preserve">um estudo de fase 2 sobre compulsão alimentar (binge eating)</w:t>
      </w:r>
      <w:r>
        <w:rPr>
          <w:rStyle w:val="FootnoteReference"/>
        </w:rPr>
        <w:footnoteReference w:id="2271"/>
      </w:r>
      <w:r>
        <w:t xml:space="preserve">.</w:t>
      </w:r>
    </w:p>
    <w:p>
      <w:pPr>
        <w:numPr>
          <w:ilvl w:val="0"/>
          <w:numId w:val="1280"/>
        </w:numPr>
        <w:pStyle w:val="Compact"/>
      </w:pPr>
      <w:r>
        <w:rPr>
          <w:bCs/>
          <w:b/>
        </w:rPr>
        <w:t xml:space="preserve">Desenvolvimento empresarial:</w:t>
      </w:r>
      <w:r>
        <w:t xml:space="preserve"> </w:t>
      </w:r>
      <w:r>
        <w:t xml:space="preserve">uma empresa testou um spray nasal de ocitocina em dose alta (TNX-1900) na enxaqueca crônica (NCT05679908, 88 pessoas, concluído) e planeja um estudo sobre o tratamento da dor após cirurgias da hipófise</w:t>
      </w:r>
      <w:r>
        <w:rPr>
          <w:rStyle w:val="FootnoteReference"/>
        </w:rPr>
        <w:footnoteReference w:id="2272"/>
      </w:r>
      <w:r>
        <w:t xml:space="preserve">.</w:t>
      </w:r>
    </w:p>
    <w:p>
      <w:pPr>
        <w:pStyle w:val="FirstParagraph"/>
      </w:pPr>
      <w:r>
        <w:rPr>
          <w:bCs/>
          <w:b/>
        </w:rPr>
        <w:t xml:space="preserve">Avaliação do autor:</w:t>
      </w:r>
      <w:r>
        <w:t xml:space="preserve"> </w:t>
      </w:r>
      <w:r>
        <w:t xml:space="preserve">a história do spray nasal de ocitocina é uma lição sobre os limites dos estudos pequenos. Após duas décadas de pesquisa, não há uma única aplicação em que um benefício tenha sido confirmado em estudos grandes e bem feitos. As direções mais promissoras hoje são mais restritas: ocitocina como complemento de uma psicoterapia, e não como medicamento isolado; como reposição em deficiência comprovada; e de forma direcionada em subgrupos definidos previamente. Uma aprovação para autismo ou ansiedade social parece improvável nos próximos anos.</w:t>
      </w:r>
    </w:p>
    <w:bookmarkEnd w:id="2273"/>
    <w:bookmarkStart w:id="2274" w:name="conclusão-50"/>
    <w:p>
      <w:pPr>
        <w:pStyle w:val="Heading3"/>
      </w:pPr>
      <w:r>
        <w:t xml:space="preserve">Conclusão</w:t>
      </w:r>
    </w:p>
    <w:p>
      <w:pPr>
        <w:pStyle w:val="FirstParagraph"/>
      </w:pPr>
      <w:r>
        <w:t xml:space="preserve">Como infusão, a ocitocina é um medicamento indispensável da obstetrícia; como spray nasal, por outro lado, é uma ferramenta de pesquisa sem benefício terapêutico comprovado. O famoso achado de que a ocitocina aumenta a confiança não resistiu a estudos de replicação; no máximo, insinua-se um pequeno efeito em pessoas com baixa confiança de base. O maior estudo sobre autismo, o SOARS-B, com 290 crianças e adolescentes, não encontrou após 24 semanas diferença em relação ao placebo, e também na obesidade, na dependência de álcool, na síndrome de Prader-Willi e na dor os resultados foram negativos. Nos estudos, o spray foi bem tolerado. Quem hoje compra um</w:t>
      </w:r>
      <w:r>
        <w:t xml:space="preserve"> </w:t>
      </w:r>
      <w:r>
        <w:t xml:space="preserve">“</w:t>
      </w:r>
      <w:r>
        <w:t xml:space="preserve">spray do amor</w:t>
      </w:r>
      <w:r>
        <w:t xml:space="preserve">”</w:t>
      </w:r>
      <w:r>
        <w:t xml:space="preserve"> </w:t>
      </w:r>
      <w:r>
        <w:t xml:space="preserve">ou</w:t>
      </w:r>
      <w:r>
        <w:t xml:space="preserve"> </w:t>
      </w:r>
      <w:r>
        <w:t xml:space="preserve">“</w:t>
      </w:r>
      <w:r>
        <w:t xml:space="preserve">spray da confiança</w:t>
      </w:r>
      <w:r>
        <w:t xml:space="preserve">”</w:t>
      </w:r>
      <w:r>
        <w:t xml:space="preserve"> </w:t>
      </w:r>
      <w:r>
        <w:t xml:space="preserve">adquire uma promessa que a pesquisa não cumpre.</w:t>
      </w:r>
    </w:p>
    <w:bookmarkEnd w:id="2274"/>
    <w:bookmarkEnd w:id="2275"/>
    <w:bookmarkStart w:id="2313" w:name="gonadorelina"/>
    <w:p>
      <w:pPr>
        <w:pStyle w:val="Heading2"/>
      </w:pPr>
      <w:r>
        <w:t xml:space="preserve">Gonadorelina</w:t>
      </w:r>
    </w:p>
    <w:bookmarkStart w:id="2276" w:name="ficha-técnica-51"/>
    <w:p>
      <w:pPr>
        <w:pStyle w:val="Heading3"/>
      </w:pPr>
      <w:r>
        <w:t xml:space="preserve">Ficha técnica</w:t>
      </w:r>
    </w:p>
    <w:p>
      <w:pPr>
        <w:numPr>
          <w:ilvl w:val="0"/>
          <w:numId w:val="1281"/>
        </w:numPr>
        <w:pStyle w:val="Compact"/>
      </w:pPr>
      <w:r>
        <w:rPr>
          <w:bCs/>
          <w:b/>
        </w:rPr>
        <w:t xml:space="preserve">Tipo/estrutura:</w:t>
      </w:r>
      <w:r>
        <w:t xml:space="preserve"> </w:t>
      </w:r>
      <w:r>
        <w:t xml:space="preserve">peptídeo de dez aminoácidos, produzido sinteticamente e idêntico na sequência ao hormônio humano GnRH (hormônio liberador de gonadotrofinas, também chamado LHRH ou gonadoliberina).</w:t>
      </w:r>
    </w:p>
    <w:p>
      <w:pPr>
        <w:numPr>
          <w:ilvl w:val="0"/>
          <w:numId w:val="1281"/>
        </w:numPr>
        <w:pStyle w:val="Compact"/>
      </w:pPr>
      <w:r>
        <w:rPr>
          <w:bCs/>
          <w:b/>
        </w:rPr>
        <w:t xml:space="preserve">Origem:</w:t>
      </w:r>
      <w:r>
        <w:t xml:space="preserve"> </w:t>
      </w:r>
      <w:r>
        <w:t xml:space="preserve">o GnRH foi isolado e decifrado no início da década de 1970 a partir de cérebros de porcos e ovelhas; os pesquisadores envolvidos, Andrew Schally e Roger Guillemin, receberam por isso o Prêmio Nobel em 1977. Gonadorelina é a denominação internacional do princípio ativo do hormônio sintético.</w:t>
      </w:r>
    </w:p>
    <w:p>
      <w:pPr>
        <w:numPr>
          <w:ilvl w:val="0"/>
          <w:numId w:val="1281"/>
        </w:numPr>
        <w:pStyle w:val="Compact"/>
      </w:pPr>
      <w:r>
        <w:rPr>
          <w:bCs/>
          <w:b/>
        </w:rPr>
        <w:t xml:space="preserve">Mecanismo de ação:</w:t>
      </w:r>
      <w:r>
        <w:t xml:space="preserve"> </w:t>
      </w:r>
      <w:r>
        <w:t xml:space="preserve">agonista do receptor de GnRH da hipófise. Administrada em pulsos, estimula a secreção de LH e FSH; em administração contínua, a freia.</w:t>
      </w:r>
    </w:p>
    <w:p>
      <w:pPr>
        <w:numPr>
          <w:ilvl w:val="0"/>
          <w:numId w:val="1281"/>
        </w:numPr>
        <w:pStyle w:val="Compact"/>
      </w:pPr>
      <w:r>
        <w:rPr>
          <w:bCs/>
          <w:b/>
        </w:rPr>
        <w:t xml:space="preserve">Formas farmacêuticas:</w:t>
      </w:r>
      <w:r>
        <w:t xml:space="preserve"> </w:t>
      </w:r>
      <w:r>
        <w:t xml:space="preserve">injeção intravenosa para testes funcionais; bomba portátil que libera a cada 60 a 120 minutos uma pequena quantidade sob a pele ou na veia (terapia pulsátil); em alguns países, um spray nasal para bebês com criptorquidia (testículo não descido).</w:t>
      </w:r>
    </w:p>
    <w:p>
      <w:pPr>
        <w:numPr>
          <w:ilvl w:val="0"/>
          <w:numId w:val="1281"/>
        </w:numPr>
        <w:pStyle w:val="Compact"/>
      </w:pPr>
      <w:r>
        <w:rPr>
          <w:bCs/>
          <w:b/>
        </w:rPr>
        <w:t xml:space="preserve">Aprovação na UE:</w:t>
      </w:r>
      <w:r>
        <w:t xml:space="preserve"> </w:t>
      </w:r>
      <w:r>
        <w:t xml:space="preserve">aprovada nacionalmente em alguns Estados-membros, por exemplo como agente diagnóstico e para a terapia com bomba; preparações e disponibilidade variam de país para país.</w:t>
      </w:r>
    </w:p>
    <w:p>
      <w:pPr>
        <w:numPr>
          <w:ilvl w:val="0"/>
          <w:numId w:val="1281"/>
        </w:numPr>
        <w:pStyle w:val="Compact"/>
      </w:pPr>
      <w:r>
        <w:rPr>
          <w:bCs/>
          <w:b/>
        </w:rPr>
        <w:t xml:space="preserve">Aprovação nos EUA:</w:t>
      </w:r>
      <w:r>
        <w:t xml:space="preserve"> </w:t>
      </w:r>
      <w:r>
        <w:t xml:space="preserve">preparações anteriores (Factrel para diagnóstico, Lutrepulse para a bomba) não estão mais no mercado. Segundo o conhecimento do autor, não há atualmente nenhum medicamento humano aprovado comercializado (verificar atualização).</w:t>
      </w:r>
    </w:p>
    <w:p>
      <w:pPr>
        <w:numPr>
          <w:ilvl w:val="0"/>
          <w:numId w:val="1281"/>
        </w:numPr>
        <w:pStyle w:val="Compact"/>
      </w:pPr>
      <w:r>
        <w:rPr>
          <w:bCs/>
          <w:b/>
        </w:rPr>
        <w:t xml:space="preserve">WADA:</w:t>
      </w:r>
      <w:r>
        <w:t xml:space="preserve"> </w:t>
      </w:r>
      <w:r>
        <w:t xml:space="preserve">proibida para homens (grupo S2, onde a gonadorelina é citada nominalmente), em competição e fora dela.</w:t>
      </w:r>
    </w:p>
    <w:p>
      <w:pPr>
        <w:numPr>
          <w:ilvl w:val="0"/>
          <w:numId w:val="1281"/>
        </w:numPr>
        <w:pStyle w:val="Compact"/>
      </w:pPr>
      <w:r>
        <w:rPr>
          <w:bCs/>
          <w:b/>
        </w:rPr>
        <w:t xml:space="preserve">Nível de evidência:</w:t>
      </w:r>
      <w:r>
        <w:t xml:space="preserve"> </w:t>
      </w:r>
      <w:r>
        <w:rPr>
          <w:bCs/>
          <w:b/>
        </w:rPr>
        <w:t xml:space="preserve">B</w:t>
      </w:r>
      <w:r>
        <w:t xml:space="preserve"> </w:t>
      </w:r>
      <w:r>
        <w:t xml:space="preserve">– medicamento aprovado, com décadas de uso; os dados de eficácia, porém, provêm predominantemente de grandes séries de casos, coortes e poucos estudos randomizados pequenos.</w:t>
      </w:r>
    </w:p>
    <w:bookmarkEnd w:id="2276"/>
    <w:bookmarkStart w:id="2277" w:name="como-deveria-agir-51"/>
    <w:p>
      <w:pPr>
        <w:pStyle w:val="Heading3"/>
      </w:pPr>
      <w:r>
        <w:t xml:space="preserve">Como deveria agir</w:t>
      </w:r>
    </w:p>
    <w:p>
      <w:pPr>
        <w:pStyle w:val="FirstParagraph"/>
      </w:pPr>
      <w:r>
        <w:t xml:space="preserve">O eixo hormonal da reprodução começa no hipotálamo. Ali, neurônios especializados secretam GnRH – não de forma constante, mas em pulsos, aproximadamente a cada uma a duas horas. Cada pulso induz a hipófise a liberar os hormônios LH e FSH. Estes atuam sobre ovários e testículos: controlam a maturação dos óvulos e a ovulação, a formação de espermatozoides e a produção de estrogênio e testosterona. O mensageiro kisspeptina (capítulo 2E04) fica um nível acima e liga os neurônios de GnRH.</w:t>
      </w:r>
    </w:p>
    <w:p>
      <w:pPr>
        <w:pStyle w:val="BodyText"/>
      </w:pPr>
      <w:r>
        <w:t xml:space="preserve">O ritmo dos pulsos é decisivo. Isso se mostra em uma contradição aparente:</w:t>
      </w:r>
    </w:p>
    <w:p>
      <w:pPr>
        <w:numPr>
          <w:ilvl w:val="0"/>
          <w:numId w:val="1282"/>
        </w:numPr>
        <w:pStyle w:val="Compact"/>
      </w:pPr>
      <w:r>
        <w:rPr>
          <w:bCs/>
          <w:b/>
        </w:rPr>
        <w:t xml:space="preserve">A administração pulsátil</w:t>
      </w:r>
      <w:r>
        <w:t xml:space="preserve"> </w:t>
      </w:r>
      <w:r>
        <w:t xml:space="preserve">– uma pequena quantidade a cada 60 a 120 minutos – imita o ritmo natural e</w:t>
      </w:r>
      <w:r>
        <w:t xml:space="preserve"> </w:t>
      </w:r>
      <w:r>
        <w:rPr>
          <w:bCs/>
          <w:b/>
        </w:rPr>
        <w:t xml:space="preserve">ativa</w:t>
      </w:r>
      <w:r>
        <w:t xml:space="preserve"> </w:t>
      </w:r>
      <w:r>
        <w:t xml:space="preserve">o eixo. Nisso se baseia a terapia com bomba em pessoas cujo hipotálamo produz pouco GnRH.</w:t>
      </w:r>
    </w:p>
    <w:p>
      <w:pPr>
        <w:numPr>
          <w:ilvl w:val="0"/>
          <w:numId w:val="1282"/>
        </w:numPr>
        <w:pStyle w:val="Compact"/>
      </w:pPr>
      <w:r>
        <w:rPr>
          <w:bCs/>
          <w:b/>
        </w:rPr>
        <w:t xml:space="preserve">A estimulação contínua</w:t>
      </w:r>
      <w:r>
        <w:t xml:space="preserve"> </w:t>
      </w:r>
      <w:r>
        <w:t xml:space="preserve">faz, após um breve aumento, com que os receptores da hipófise se desliguem. O eixo hormonal é</w:t>
      </w:r>
      <w:r>
        <w:t xml:space="preserve"> </w:t>
      </w:r>
      <w:r>
        <w:rPr>
          <w:bCs/>
          <w:b/>
        </w:rPr>
        <w:t xml:space="preserve">freado</w:t>
      </w:r>
      <w:r>
        <w:t xml:space="preserve">, chegando a valores de testosterona como após uma castração.</w:t>
      </w:r>
    </w:p>
    <w:p>
      <w:pPr>
        <w:pStyle w:val="FirstParagraph"/>
      </w:pPr>
      <w:r>
        <w:t xml:space="preserve">No segundo princípio baseiam-se os análogos de GnRH, como leuprorrelina, triptorrelina ou gosserrelina. Eles são quimicamente modificados, agem por muito mais tempo que a gonadorelina e são usados como injeção de depósito contra câncer de próstata, endometriose, miomas ou puberdade precoce. Não são objeto deste capítulo, mas distorcem consideravelmente o conjunto de dados (veja abaixo).</w:t>
      </w:r>
    </w:p>
    <w:p>
      <w:pPr>
        <w:pStyle w:val="BodyText"/>
      </w:pPr>
      <w:r>
        <w:t xml:space="preserve">A própria gonadorelina é inadequada para um bloqueio contínuo: ela é degradada no sangue em poucos minutos.</w:t>
      </w:r>
    </w:p>
    <w:bookmarkEnd w:id="2277"/>
    <w:bookmarkStart w:id="2297" w:name="estudos-em-humanos-51"/>
    <w:p>
      <w:pPr>
        <w:pStyle w:val="Heading3"/>
      </w:pPr>
      <w:r>
        <w:t xml:space="preserve">Estudos em humanos</w:t>
      </w:r>
    </w:p>
    <w:p>
      <w:pPr>
        <w:pStyle w:val="FirstParagraph"/>
      </w:pPr>
      <w:r>
        <w:rPr>
          <w:bCs/>
          <w:b/>
        </w:rPr>
        <w:t xml:space="preserve">Dimensão do conjunto de estudos (consulta em outubro de 2026) – e por que os números enganam:</w:t>
      </w:r>
      <w:r>
        <w:t xml:space="preserve"> </w:t>
      </w:r>
      <w:r>
        <w:t xml:space="preserve">a busca automatizada deste livro encontrou</w:t>
      </w:r>
      <w:r>
        <w:t xml:space="preserve"> </w:t>
      </w:r>
      <w:r>
        <w:rPr>
          <w:bCs/>
          <w:b/>
        </w:rPr>
        <w:t xml:space="preserve">9</w:t>
      </w:r>
      <w:r>
        <w:t xml:space="preserve"> </w:t>
      </w:r>
      <w:r>
        <w:t xml:space="preserve">estudos em humanos no PubMed (</w:t>
      </w:r>
      <w:r>
        <w:rPr>
          <w:rStyle w:val="VerbatimChar"/>
        </w:rPr>
        <w:t xml:space="preserve">humanstudien_alle</w:t>
      </w:r>
      <w:r>
        <w:t xml:space="preserve">) e, no ClinicalTrials.gov, o número máximo de</w:t>
      </w:r>
      <w:r>
        <w:t xml:space="preserve"> </w:t>
      </w:r>
      <w:r>
        <w:rPr>
          <w:bCs/>
          <w:b/>
        </w:rPr>
        <w:t xml:space="preserve">1.000</w:t>
      </w:r>
      <w:r>
        <w:t xml:space="preserve"> </w:t>
      </w:r>
      <w:r>
        <w:t xml:space="preserve">registros, no qual a consulta é interrompida. Ambos os números são inúteis para avaliar a gonadorelina, e em direções opostas:</w:t>
      </w:r>
    </w:p>
    <w:p>
      <w:pPr>
        <w:numPr>
          <w:ilvl w:val="0"/>
          <w:numId w:val="1283"/>
        </w:numPr>
        <w:pStyle w:val="Compact"/>
      </w:pPr>
      <w:r>
        <w:rPr>
          <w:bCs/>
          <w:b/>
        </w:rPr>
        <w:t xml:space="preserve">O número de registros está muito superestimado.</w:t>
      </w:r>
      <w:r>
        <w:t xml:space="preserve"> </w:t>
      </w:r>
      <w:r>
        <w:t xml:space="preserve">O ClinicalTrials.gov associa o termo de busca</w:t>
      </w:r>
      <w:r>
        <w:t xml:space="preserve"> </w:t>
      </w:r>
      <w:r>
        <w:t xml:space="preserve">“</w:t>
      </w:r>
      <w:r>
        <w:t xml:space="preserve">gonadorelin</w:t>
      </w:r>
      <w:r>
        <w:t xml:space="preserve">”</w:t>
      </w:r>
      <w:r>
        <w:t xml:space="preserve"> </w:t>
      </w:r>
      <w:r>
        <w:t xml:space="preserve">ao termo genérico</w:t>
      </w:r>
      <w:r>
        <w:t xml:space="preserve"> </w:t>
      </w:r>
      <w:r>
        <w:t xml:space="preserve">“</w:t>
      </w:r>
      <w:r>
        <w:t xml:space="preserve">Gonadotropin-Releasing Hormone</w:t>
      </w:r>
      <w:r>
        <w:t xml:space="preserve">”</w:t>
      </w:r>
      <w:r>
        <w:t xml:space="preserve">. Com isso, aparecem todos os estudos com análogos e antagonistas de GnRH. Nos títulos dos 1.000 resultados, a palavra</w:t>
      </w:r>
      <w:r>
        <w:t xml:space="preserve"> </w:t>
      </w:r>
      <w:r>
        <w:t xml:space="preserve">“</w:t>
      </w:r>
      <w:r>
        <w:t xml:space="preserve">prostate</w:t>
      </w:r>
      <w:r>
        <w:t xml:space="preserve">”</w:t>
      </w:r>
      <w:r>
        <w:t xml:space="preserve"> </w:t>
      </w:r>
      <w:r>
        <w:t xml:space="preserve">aparece 340 vezes,</w:t>
      </w:r>
      <w:r>
        <w:t xml:space="preserve"> </w:t>
      </w:r>
      <w:r>
        <w:t xml:space="preserve">“</w:t>
      </w:r>
      <w:r>
        <w:t xml:space="preserve">androgen deprivation</w:t>
      </w:r>
      <w:r>
        <w:t xml:space="preserve">”</w:t>
      </w:r>
      <w:r>
        <w:t xml:space="preserve"> </w:t>
      </w:r>
      <w:r>
        <w:t xml:space="preserve">57 vezes, e leuprorrelina, gosserrelina e triptorrelina juntas bem mais de cem vezes. Uma revisão dos títulos revelou apenas cerca de dez registros que de fato investigam o GnRH nativo ou a gonadorelina – por exemplo como bomba, adesivo ou teste funcional.</w:t>
      </w:r>
    </w:p>
    <w:p>
      <w:pPr>
        <w:numPr>
          <w:ilvl w:val="0"/>
          <w:numId w:val="1283"/>
        </w:numPr>
        <w:pStyle w:val="Compact"/>
      </w:pPr>
      <w:r>
        <w:rPr>
          <w:bCs/>
          <w:b/>
        </w:rPr>
        <w:t xml:space="preserve">O número do PubMed está subestimado.</w:t>
      </w:r>
      <w:r>
        <w:t xml:space="preserve"> </w:t>
      </w:r>
      <w:r>
        <w:t xml:space="preserve">A maioria dos estudos sobre o hormônio idêntico ao endógeno usa os termos</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 e não o nome do princípio ativo. Inversamente, vários dos nove resultados nem sequer tratam da gonadorelina como tratamento: um trabalho investigou um análogo de GnRH no câncer de próstata</w:t>
      </w:r>
      <w:r>
        <w:rPr>
          <w:rStyle w:val="FootnoteReference"/>
        </w:rPr>
        <w:footnoteReference w:id="2278"/>
      </w:r>
      <w:r>
        <w:t xml:space="preserve">; outros usaram a gonadorelina apenas como substância de teste, por exemplo para verificar o efeito de um redutor de colesterol ou da luz UV sobre o eixo hormonal</w:t>
      </w:r>
      <w:r>
        <w:rPr>
          <w:rStyle w:val="FootnoteReference"/>
        </w:rPr>
        <w:footnoteReference w:id="2279"/>
      </w:r>
      <w:r>
        <w:t xml:space="preserve">.</w:t>
      </w:r>
    </w:p>
    <w:p>
      <w:pPr>
        <w:pStyle w:val="FirstParagraph"/>
      </w:pPr>
      <w:r>
        <w:t xml:space="preserve">Por isso, este capítulo se baseia em uma busca complementar e direcionada por estudos sobre a terapia pulsátil com GnRH e sobre o teste de GnRH.</w:t>
      </w:r>
    </w:p>
    <w:bookmarkStart w:id="2283" w:name="diagnóstico-o-teste-de-gnrh"/>
    <w:p>
      <w:pPr>
        <w:pStyle w:val="Heading4"/>
      </w:pPr>
      <w:r>
        <w:t xml:space="preserve">Diagnóstico: o teste de GnRH</w:t>
      </w:r>
    </w:p>
    <w:p>
      <w:pPr>
        <w:pStyle w:val="FirstParagraph"/>
      </w:pPr>
      <w:r>
        <w:t xml:space="preserve">No teste de GnRH (também teste de LHRH), a gonadorelina é injetada na veia; em seguida, mede-se ao longo de uma a duas horas quanto LH e FSH aumentam. O teste ajuda sobretudo em crianças com puberdade cedo demais: um aumento nítido de LH indica que o eixo hormonal no cérebro já está ativo (puberdade precoce central).</w:t>
      </w:r>
    </w:p>
    <w:p>
      <w:pPr>
        <w:pStyle w:val="BodyText"/>
      </w:pPr>
      <w:r>
        <w:t xml:space="preserve">Em uma análise de 584 testes (dos quais 314 para diagnóstico), uma única amostra de sangue 40 minutos após a injeção bastou para o diagnóstico: com um limiar de LH de 5 IU/L, a sensibilidade foi de 98% e a especificidade de 100%</w:t>
      </w:r>
      <w:r>
        <w:rPr>
          <w:rStyle w:val="FootnoteReference"/>
        </w:rPr>
        <w:footnoteReference w:id="2280"/>
      </w:r>
      <w:r>
        <w:t xml:space="preserve">. Uma revisão aponta limitações, por exemplo em estágios muito iniciais da puberdade e em crianças com sobrepeso, e valores de corte divergentes entre os estudos</w:t>
      </w:r>
      <w:r>
        <w:rPr>
          <w:rStyle w:val="FootnoteReference"/>
        </w:rPr>
        <w:footnoteReference w:id="2281"/>
      </w:r>
      <w:r>
        <w:t xml:space="preserve">.</w:t>
      </w:r>
    </w:p>
    <w:p>
      <w:pPr>
        <w:pStyle w:val="BodyText"/>
      </w:pPr>
      <w:r>
        <w:t xml:space="preserve">Como o GnRH nativo é caro e indisponível em muitos lugares, usa-se cada vez mais um análogo de ação curta como substituto. Em um estudo com 341 meninas, um teste com triptorrelina foi tão preciso quanto o teste com gonadorelina</w:t>
      </w:r>
      <w:r>
        <w:rPr>
          <w:rStyle w:val="FootnoteReference"/>
        </w:rPr>
        <w:footnoteReference w:id="2282"/>
      </w:r>
      <w:r>
        <w:t xml:space="preserve">.</w:t>
      </w:r>
    </w:p>
    <w:bookmarkEnd w:id="2283"/>
    <w:bookmarkStart w:id="2289" w:name="X1a07e85ed2dcb5c9485d2dd977d6b9be830d590"/>
    <w:p>
      <w:pPr>
        <w:pStyle w:val="Heading4"/>
      </w:pPr>
      <w:r>
        <w:t xml:space="preserve">Desejo de ter filhos: a bomba de GnRH em mulheres</w:t>
      </w:r>
    </w:p>
    <w:p>
      <w:pPr>
        <w:pStyle w:val="FirstParagraph"/>
      </w:pPr>
      <w:r>
        <w:t xml:space="preserve">Na amenorreia hipotalâmica, a menstruação não ocorre porque o cérebro produz pouco GnRH – frequentemente após forte perda de peso, esporte intenso ou estresse, mais raramente por causas congênitas. Uma pequena bomba portátil pode substituir o ritmo ausente.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mulheres com amenorreia hipotalâmica, estudo multicêntrico com bomba intravenosa</w:t>
            </w:r>
          </w:p>
        </w:tc>
        <w:tc>
          <w:tcPr/>
          <w:p>
            <w:pPr>
              <w:pStyle w:val="Compact"/>
              <w:jc w:val="left"/>
            </w:pPr>
            <w:r>
              <w:t xml:space="preserve">vários ciclos</w:t>
            </w:r>
          </w:p>
        </w:tc>
        <w:tc>
          <w:tcPr/>
          <w:p>
            <w:pPr>
              <w:pStyle w:val="Compact"/>
              <w:jc w:val="left"/>
            </w:pPr>
            <w:r>
              <w:t xml:space="preserve">Ovulação em 91% e 96%; gestações múltiplas 12%</w:t>
            </w:r>
          </w:p>
        </w:tc>
      </w:tr>
      <w:tr>
        <w:tc>
          <w:tcPr/>
          <w:p>
            <w:pPr>
              <w:pStyle w:val="Compact"/>
              <w:jc w:val="left"/>
            </w:pPr>
            <w:r>
              <w:t xml:space="preserve">Filicori 1994, PMID 7962297</w:t>
            </w:r>
          </w:p>
        </w:tc>
        <w:tc>
          <w:tcPr/>
          <w:p>
            <w:pPr>
              <w:pStyle w:val="Compact"/>
              <w:jc w:val="left"/>
            </w:pPr>
            <w:r>
              <w:t xml:space="preserve">292 mulheres, 600 ciclos, causas diversas</w:t>
            </w:r>
          </w:p>
        </w:tc>
        <w:tc>
          <w:tcPr/>
          <w:p>
            <w:pPr>
              <w:pStyle w:val="Compact"/>
              <w:jc w:val="left"/>
            </w:pPr>
            <w:r>
              <w:t xml:space="preserve">1984–1993</w:t>
            </w:r>
          </w:p>
        </w:tc>
        <w:tc>
          <w:tcPr/>
          <w:p>
            <w:pPr>
              <w:pStyle w:val="Compact"/>
              <w:jc w:val="left"/>
            </w:pPr>
            <w:r>
              <w:t xml:space="preserve">Ovulação em 75% dos ciclos; gravidez 18% por ciclo; gestações múltiplas 3,8%; abortos espontâneos 30%</w:t>
            </w:r>
          </w:p>
        </w:tc>
      </w:tr>
      <w:tr>
        <w:tc>
          <w:tcPr/>
          <w:p>
            <w:pPr>
              <w:pStyle w:val="Compact"/>
              <w:jc w:val="left"/>
            </w:pPr>
            <w:r>
              <w:t xml:space="preserve">Christin-Maitre 2007, PMID 17293247</w:t>
            </w:r>
          </w:p>
        </w:tc>
        <w:tc>
          <w:tcPr/>
          <w:p>
            <w:pPr>
              <w:pStyle w:val="Compact"/>
              <w:jc w:val="left"/>
            </w:pPr>
            <w:r>
              <w:t xml:space="preserve">248 mulheres, 829 ciclos, 24 centros franceses, retrospectivo</w:t>
            </w:r>
          </w:p>
        </w:tc>
        <w:tc>
          <w:tcPr/>
          <w:p>
            <w:pPr>
              <w:pStyle w:val="Compact"/>
              <w:jc w:val="left"/>
            </w:pPr>
            <w:r>
              <w:t xml:space="preserve">3 anos</w:t>
            </w:r>
          </w:p>
        </w:tc>
        <w:tc>
          <w:tcPr/>
          <w:p>
            <w:pPr>
              <w:pStyle w:val="Compact"/>
              <w:jc w:val="left"/>
            </w:pPr>
            <w:r>
              <w:t xml:space="preserve">Gravidez 25% por ciclo; gestações múltiplas 8,8%; nenhuma hiperestimulação grave</w:t>
            </w:r>
          </w:p>
        </w:tc>
      </w:tr>
      <w:tr>
        <w:tc>
          <w:tcPr/>
          <w:p>
            <w:pPr>
              <w:pStyle w:val="Compact"/>
              <w:jc w:val="left"/>
            </w:pPr>
            <w:r>
              <w:t xml:space="preserve">Dubourdieu 2013, PMID 23298894</w:t>
            </w:r>
          </w:p>
        </w:tc>
        <w:tc>
          <w:tcPr/>
          <w:p>
            <w:pPr>
              <w:pStyle w:val="Compact"/>
              <w:jc w:val="left"/>
            </w:pPr>
            <w:r>
              <w:t xml:space="preserve">30 mulheres com amenorreia e SOP, ECR: bomba vs. gonadotrofinas</w:t>
            </w:r>
          </w:p>
        </w:tc>
        <w:tc>
          <w:tcPr/>
          <w:p>
            <w:pPr>
              <w:pStyle w:val="Compact"/>
              <w:jc w:val="left"/>
            </w:pPr>
            <w:r>
              <w:t xml:space="preserve">um ciclo</w:t>
            </w:r>
          </w:p>
        </w:tc>
        <w:tc>
          <w:tcPr/>
          <w:p>
            <w:pPr>
              <w:pStyle w:val="Compact"/>
              <w:jc w:val="left"/>
            </w:pPr>
            <w:r>
              <w:t xml:space="preserve">gravidez clínica 46% vs. 0%</w:t>
            </w:r>
          </w:p>
        </w:tc>
      </w:tr>
      <w:tr>
        <w:tc>
          <w:tcPr/>
          <w:p>
            <w:pPr>
              <w:pStyle w:val="Compact"/>
              <w:jc w:val="left"/>
            </w:pPr>
            <w:r>
              <w:t xml:space="preserve">Quaas 2022, PMID 36378460</w:t>
            </w:r>
          </w:p>
        </w:tc>
        <w:tc>
          <w:tcPr/>
          <w:p>
            <w:pPr>
              <w:pStyle w:val="Compact"/>
              <w:jc w:val="left"/>
            </w:pPr>
            <w:r>
              <w:t xml:space="preserve">66 mulheres, 212 ciclos, centro suíço, retrospectivo</w:t>
            </w:r>
          </w:p>
        </w:tc>
        <w:tc>
          <w:tcPr/>
          <w:p>
            <w:pPr>
              <w:pStyle w:val="Compact"/>
              <w:jc w:val="left"/>
            </w:pPr>
            <w:r>
              <w:t xml:space="preserve">1996–2020</w:t>
            </w:r>
          </w:p>
        </w:tc>
        <w:tc>
          <w:tcPr/>
          <w:p>
            <w:pPr>
              <w:pStyle w:val="Compact"/>
              <w:jc w:val="left"/>
            </w:pPr>
            <w:r>
              <w:t xml:space="preserve">Nascido vivo por tratamento 65,9%; um folículo em 75% dos ciclos; uma gravidez gemelar</w:t>
            </w:r>
          </w:p>
        </w:tc>
      </w:tr>
    </w:tbl>
    <w:p>
      <w:pPr>
        <w:pStyle w:val="BodyText"/>
      </w:pPr>
      <w:r>
        <w:t xml:space="preserve">Os números mostram um quadro coerente: em mulheres cujo problema está de fato no hipotálamo, a bomba leva à ovulação na grande maioria dos ciclos, muitas vezes com apenas um óvulo amadurecendo. Como a hipófise mantém sua própria retroalimentação, hiperestimulação e gestações múltiplas são mais raras do que com gonadotrofinas injetadas diretamente</w:t>
      </w:r>
      <w:r>
        <w:rPr>
          <w:rStyle w:val="FootnoteReference"/>
        </w:rPr>
        <w:footnoteReference w:id="2284"/>
      </w:r>
      <w:r>
        <w:t xml:space="preserve">. Em mulheres com síndrome dos ovários policísticos ou sobrepeso, a bomba funciona pior, e os abortos espontâneos foram frequentes na maior série individual</w:t>
      </w:r>
      <w:r>
        <w:rPr>
          <w:rStyle w:val="FootnoteReference"/>
        </w:rPr>
        <w:footnoteReference w:id="2285"/>
      </w:r>
      <w:r>
        <w:t xml:space="preserve">.</w:t>
      </w:r>
    </w:p>
    <w:p>
      <w:pPr>
        <w:pStyle w:val="BodyText"/>
      </w:pPr>
      <w:r>
        <w:t xml:space="preserve">As desvantagens são de natureza prática: a bomba precisa ser usada por semanas. Com a administração intravenosa, houve complicações no acesso, em média em 7%</w:t>
      </w:r>
      <w:r>
        <w:rPr>
          <w:rStyle w:val="FootnoteReference"/>
        </w:rPr>
        <w:footnoteReference w:id="2286"/>
      </w:r>
      <w:r>
        <w:t xml:space="preserve">. Hoje, a infusão é geralmente subcutânea; reações alérgicas locais ocorreram no estudo francês em 1,7% dos ciclos</w:t>
      </w:r>
      <w:r>
        <w:rPr>
          <w:rStyle w:val="FootnoteReference"/>
        </w:rPr>
        <w:footnoteReference w:id="2287"/>
      </w:r>
      <w:r>
        <w:t xml:space="preserve">.</w:t>
      </w:r>
    </w:p>
    <w:p>
      <w:pPr>
        <w:pStyle w:val="BodyText"/>
      </w:pPr>
      <w:r>
        <w:t xml:space="preserve">O conjunto de dados é antigo e predominantemente não randomizado. Faltam grandes estudos comparativos com protocolos modernos de gonadotrofinas. Ainda assim, especialistas consideram a bomba um método especialmente fisiológico e seguro na amenorreia hipotalâmica com desejo de ter filhos</w:t>
      </w:r>
      <w:r>
        <w:rPr>
          <w:rStyle w:val="FootnoteReference"/>
        </w:rPr>
        <w:footnoteReference w:id="2288"/>
      </w:r>
      <w:r>
        <w:t xml:space="preserve"> </w:t>
      </w:r>
      <w:r>
        <w:t xml:space="preserve">– desde que esteja disponível.</w:t>
      </w:r>
    </w:p>
    <w:bookmarkEnd w:id="2289"/>
    <w:bookmarkStart w:id="2293" w:name="homens-com-deficiência-hormonal"/>
    <w:p>
      <w:pPr>
        <w:pStyle w:val="Heading4"/>
      </w:pPr>
      <w:r>
        <w:t xml:space="preserve">Homens com deficiência hormonal</w:t>
      </w:r>
    </w:p>
    <w:p>
      <w:pPr>
        <w:pStyle w:val="FirstParagraph"/>
      </w:pPr>
      <w:r>
        <w:t xml:space="preserve">Também homens com deficiência congênita de GnRH – por exemplo na síndrome de Kallmann, em que além disso falta o olfato – podem ser tratados com a bomba para estimular o crescimento testicular e a formação de espermatozoides.</w:t>
      </w:r>
    </w:p>
    <w:p>
      <w:pPr>
        <w:pStyle w:val="BodyText"/>
      </w:pPr>
      <w:r>
        <w:t xml:space="preserve">Em uma análise de 26 homens em um centro universitário alemão, apareceram espermatozoides no ejaculado em 30 de 33 ciclos de tratamento; em 15 de 18 casos com desejo de ter filhos, a parceira engravidou. Bomba e gonadotrofinas injetadas foram igualmente eficazes</w:t>
      </w:r>
      <w:r>
        <w:rPr>
          <w:rStyle w:val="FootnoteReference"/>
        </w:rPr>
        <w:footnoteReference w:id="2290"/>
      </w:r>
      <w:r>
        <w:t xml:space="preserve">. Em meninos chineses em idade puberal, os testículos cresceram mais com a bomba do que com injeções de hCG</w:t>
      </w:r>
      <w:r>
        <w:rPr>
          <w:rStyle w:val="FootnoteReference"/>
        </w:rPr>
        <w:footnoteReference w:id="2291"/>
      </w:r>
      <w:r>
        <w:t xml:space="preserve">. Um pequeno estudo randomizado encontrou indícios de que um pré-tratamento com FSH antes da bomba poderia melhorar a formação de espermatozoides: todos os sete homens pré-tratados tiveram depois espermatozoides, contra quatro de seis sem pré-tratamento</w:t>
      </w:r>
      <w:r>
        <w:rPr>
          <w:rStyle w:val="FootnoteReference"/>
        </w:rPr>
        <w:footnoteReference w:id="2292"/>
      </w:r>
      <w:r>
        <w:t xml:space="preserve">.</w:t>
      </w:r>
    </w:p>
    <w:bookmarkEnd w:id="2293"/>
    <w:bookmarkStart w:id="2296" w:name="bebês-com-criptorquidia"/>
    <w:p>
      <w:pPr>
        <w:pStyle w:val="Heading4"/>
      </w:pPr>
      <w:r>
        <w:t xml:space="preserve">Bebês com criptorquidia</w:t>
      </w:r>
    </w:p>
    <w:p>
      <w:pPr>
        <w:pStyle w:val="FirstParagraph"/>
      </w:pPr>
      <w:r>
        <w:t xml:space="preserve">Em alguns países europeus, um spray nasal de gonadorelina é administrado antes ou depois da cirurgia de criptorquidia, para favorecer a maturação das células germinativas. Um estudo randomizado com 62 bebês relatou achados ultrassonográficos mais favoráveis após o tratamento combinado</w:t>
      </w:r>
      <w:r>
        <w:rPr>
          <w:rStyle w:val="FootnoteReference"/>
        </w:rPr>
        <w:footnoteReference w:id="2294"/>
      </w:r>
      <w:r>
        <w:t xml:space="preserve">. Outro estudo randomizado, com 36 meninos, não encontrou, por outro lado, diferença no tamanho do pênis, no volume testicular ou nos valores hormonais no momento da cirurgia; o tratamento, porém, mostrou-se seguro</w:t>
      </w:r>
      <w:r>
        <w:rPr>
          <w:rStyle w:val="FootnoteReference"/>
        </w:rPr>
        <w:footnoteReference w:id="2295"/>
      </w:r>
      <w:r>
        <w:t xml:space="preserve">. O benefício é controverso; o foco está na cirurgia precoce.</w:t>
      </w:r>
    </w:p>
    <w:bookmarkEnd w:id="2296"/>
    <w:bookmarkEnd w:id="2297"/>
    <w:bookmarkStart w:id="2298" w:name="estudos-em-animais-e-em-laboratório-51"/>
    <w:p>
      <w:pPr>
        <w:pStyle w:val="Heading3"/>
      </w:pPr>
      <w:r>
        <w:t xml:space="preserve">Estudos em animais e em laboratório</w:t>
      </w:r>
    </w:p>
    <w:p>
      <w:pPr>
        <w:pStyle w:val="FirstParagraph"/>
      </w:pPr>
      <w:r>
        <w:t xml:space="preserve">A gonadorelina é um dos hormônios mais bem compreendidos que existem; seus fundamentos vêm de experimentos em animais da década de 1970. Hoje, a pesquisa em animais quase não tem papel na avaliação em humanos. Na medicina veterinária, a gonadorelina é amplamente usada, sobretudo em bovinos, para controlar a ovulação. Essas preparações são aprovadas para animais e não para humanos.</w:t>
      </w:r>
    </w:p>
    <w:bookmarkEnd w:id="2298"/>
    <w:bookmarkStart w:id="2302" w:name="riscos-e-efeitos-colaterais-51"/>
    <w:p>
      <w:pPr>
        <w:pStyle w:val="Heading3"/>
      </w:pPr>
      <w:r>
        <w:t xml:space="preserve">Riscos e efeitos colaterais</w:t>
      </w:r>
    </w:p>
    <w:bookmarkStart w:id="2300" w:name="comprovados-10"/>
    <w:p>
      <w:pPr>
        <w:pStyle w:val="Heading4"/>
      </w:pPr>
      <w:r>
        <w:t xml:space="preserve">Comprovados</w:t>
      </w:r>
    </w:p>
    <w:p>
      <w:pPr>
        <w:pStyle w:val="FirstParagraph"/>
      </w:pPr>
      <w:r>
        <w:t xml:space="preserve">A gonadorelina é considerada bem tolerada. Nos estudos sobre a terapia com bomba, predominaram problemas com o acesso (inflamação, irritação venosa na administração intravenosa) e reações cutâneas locais</w:t>
      </w:r>
      <w:r>
        <w:rPr>
          <w:rStyle w:val="FootnoteReference"/>
        </w:rPr>
        <w:footnoteReference w:id="2299"/>
      </w:r>
      <w:r>
        <w:t xml:space="preserve">. Gestações múltiplas ocorrem, embora mais raramente que com gonadotrofinas; hiperestimulações graves são exceção. No teste, podem ocorrer temporariamente dor de cabeça, náusea ou rubor. Reações alérgicas foram raramente descritas. Os detalhes estão na bula; o uso deve ficar nas mãos de médicos.</w:t>
      </w:r>
    </w:p>
    <w:bookmarkEnd w:id="2300"/>
    <w:bookmarkStart w:id="2301" w:name="com-uso-incorreto"/>
    <w:p>
      <w:pPr>
        <w:pStyle w:val="Heading4"/>
      </w:pPr>
      <w:r>
        <w:t xml:space="preserve">Com uso incorreto</w:t>
      </w:r>
    </w:p>
    <w:p>
      <w:pPr>
        <w:pStyle w:val="FirstParagraph"/>
      </w:pPr>
      <w:r>
        <w:t xml:space="preserve">Se a gonadorelina não for administrada no ritmo certo, mas com frequência excessiva ou de forma contínua, ela pode suprimir o próprio eixo hormonal em vez de estimulá-lo. Isso não é um risco teórico, mas o princípio de ação dos análogos de GnRH.</w:t>
      </w:r>
    </w:p>
    <w:bookmarkEnd w:id="2301"/>
    <w:bookmarkEnd w:id="2302"/>
    <w:bookmarkStart w:id="2306" w:name="Xd0e155af0dcf791f41751402ad00e9847c2fe68"/>
    <w:p>
      <w:pPr>
        <w:pStyle w:val="Heading3"/>
      </w:pPr>
      <w:r>
        <w:t xml:space="preserve">Contextualização: gonadorelina no fisiculturismo</w:t>
      </w:r>
    </w:p>
    <w:p>
      <w:pPr>
        <w:pStyle w:val="FirstParagraph"/>
      </w:pPr>
      <w:r>
        <w:t xml:space="preserve">Em fóruns da internet e em alguns fornecedores de</w:t>
      </w:r>
      <w:r>
        <w:t xml:space="preserve"> </w:t>
      </w:r>
      <w:r>
        <w:t xml:space="preserve">“</w:t>
      </w:r>
      <w:r>
        <w:t xml:space="preserve">otimização hormonal</w:t>
      </w:r>
      <w:r>
        <w:t xml:space="preserve">”</w:t>
      </w:r>
      <w:r>
        <w:t xml:space="preserve">, a gonadorelina é promovida como parte de uma chamada post-cycle therapy (PCT). Trata-se da fase após um ciclo de esteroides anabolizantes: os hormônios administrados artificialmente suprimiram a produção própria de testosterona, e a gonadorelina deveria</w:t>
      </w:r>
      <w:r>
        <w:t xml:space="preserve"> </w:t>
      </w:r>
      <w:r>
        <w:t xml:space="preserve">“</w:t>
      </w:r>
      <w:r>
        <w:t xml:space="preserve">dar a partida de novo</w:t>
      </w:r>
      <w:r>
        <w:t xml:space="preserve">”</w:t>
      </w:r>
      <w:r>
        <w:t xml:space="preserve"> </w:t>
      </w:r>
      <w:r>
        <w:t xml:space="preserve">no eixo hormonal. Nos EUA, segundo relatos, ela também é oferecida como substituto do hCG.</w:t>
      </w:r>
    </w:p>
    <w:p>
      <w:pPr>
        <w:pStyle w:val="BodyText"/>
      </w:pPr>
      <w:r>
        <w:t xml:space="preserve">O que se sabe a respeito:</w:t>
      </w:r>
    </w:p>
    <w:p>
      <w:pPr>
        <w:numPr>
          <w:ilvl w:val="0"/>
          <w:numId w:val="1284"/>
        </w:numPr>
        <w:pStyle w:val="Compact"/>
      </w:pPr>
      <w:r>
        <w:rPr>
          <w:bCs/>
          <w:b/>
        </w:rPr>
        <w:t xml:space="preserve">Não há estudos</w:t>
      </w:r>
      <w:r>
        <w:t xml:space="preserve"> </w:t>
      </w:r>
      <w:r>
        <w:t xml:space="preserve">sobre gonadorelina nessa situação. O conjunto de dados sobre PCT em geral é escasso; foram estudados quase apenas antiestrogênios, hCG e inibidores da aromatase, e também para eles há predominantemente dados observacionais. Do ponto de vista científico, uma PCT em geral não é recomendada</w:t>
      </w:r>
      <w:r>
        <w:rPr>
          <w:rStyle w:val="FootnoteReference"/>
        </w:rPr>
        <w:footnoteReference w:id="2303"/>
      </w:r>
      <w:r>
        <w:t xml:space="preserve">.</w:t>
      </w:r>
    </w:p>
    <w:p>
      <w:pPr>
        <w:numPr>
          <w:ilvl w:val="0"/>
          <w:numId w:val="1284"/>
        </w:numPr>
        <w:pStyle w:val="Compact"/>
      </w:pPr>
      <w:r>
        <w:rPr>
          <w:bCs/>
          <w:b/>
        </w:rPr>
        <w:t xml:space="preserve">A recuperação geralmente ocorre por si só.</w:t>
      </w:r>
      <w:r>
        <w:t xml:space="preserve"> </w:t>
      </w:r>
      <w:r>
        <w:t xml:space="preserve">No estudo holandês HAARLEM, com 100 praticantes de musculação, a testosterona havia se normalizado na maioria três meses após o fim do ciclo de esteroides; após um ano, estava ainda abaixo da faixa normal em 11%, e a contagem de espermatozoides ainda estava reduzida em 34%</w:t>
      </w:r>
      <w:r>
        <w:rPr>
          <w:rStyle w:val="FootnoteReference"/>
        </w:rPr>
        <w:footnoteReference w:id="2304"/>
      </w:r>
      <w:r>
        <w:t xml:space="preserve">.</w:t>
      </w:r>
    </w:p>
    <w:p>
      <w:pPr>
        <w:numPr>
          <w:ilvl w:val="0"/>
          <w:numId w:val="1284"/>
        </w:numPr>
        <w:pStyle w:val="Compact"/>
      </w:pPr>
      <w:r>
        <w:rPr>
          <w:bCs/>
          <w:b/>
        </w:rPr>
        <w:t xml:space="preserve">O princípio de ação contradiz o uso ingênuo.</w:t>
      </w:r>
      <w:r>
        <w:t xml:space="preserve"> </w:t>
      </w:r>
      <w:r>
        <w:t xml:space="preserve">Injeções isoladas produzem apenas picos curtos de LH; administrações frequentes podem, antes, dessensibilizar a hipófise. Sem bomba e controle laboratorial, não se deve esperar benefício, e um atraso da recuperação não pode ser excluído.</w:t>
      </w:r>
    </w:p>
    <w:p>
      <w:pPr>
        <w:numPr>
          <w:ilvl w:val="0"/>
          <w:numId w:val="1284"/>
        </w:numPr>
        <w:pStyle w:val="Compact"/>
      </w:pPr>
      <w:r>
        <w:rPr>
          <w:bCs/>
          <w:b/>
        </w:rPr>
        <w:t xml:space="preserve">Quem tem queixas após o uso de esteroides</w:t>
      </w:r>
      <w:r>
        <w:t xml:space="preserve">, como falta de energia, perda de libido ou desejo de ter filhos não realizado, deve buscar avaliação médica, idealmente em um ambulatório de andrologia ou endocrinologia.</w:t>
      </w:r>
    </w:p>
    <w:p>
      <w:pPr>
        <w:pStyle w:val="FirstParagraph"/>
      </w:pPr>
      <w:r>
        <w:t xml:space="preserve">No esporte, a gonadorelina é proibida para homens. Laboratórios antidoping desenvolveram métodos próprios de detecção; uma revisão descreve a gonadorelina como exemplo de peptídeo usado de forma abusiva no esporte de competição nos últimos anos</w:t>
      </w:r>
      <w:r>
        <w:rPr>
          <w:rStyle w:val="FootnoteReference"/>
        </w:rPr>
        <w:footnoteReference w:id="2305"/>
      </w:r>
      <w:r>
        <w:t xml:space="preserve">.</w:t>
      </w:r>
    </w:p>
    <w:bookmarkEnd w:id="2306"/>
    <w:bookmarkStart w:id="2307" w:name="situação-legal-51"/>
    <w:p>
      <w:pPr>
        <w:pStyle w:val="Heading3"/>
      </w:pPr>
      <w:r>
        <w:t xml:space="preserve">Situação legal</w:t>
      </w:r>
    </w:p>
    <w:p>
      <w:pPr>
        <w:pStyle w:val="FirstParagraph"/>
      </w:pPr>
      <w:r>
        <w:rPr>
          <w:iCs/>
          <w:i/>
        </w:rPr>
        <w:t xml:space="preserve">Situação em 2026, verificar atualização.</w:t>
      </w:r>
    </w:p>
    <w:p>
      <w:pPr>
        <w:numPr>
          <w:ilvl w:val="0"/>
          <w:numId w:val="1285"/>
        </w:numPr>
        <w:pStyle w:val="Compact"/>
      </w:pPr>
      <w:r>
        <w:rPr>
          <w:bCs/>
          <w:b/>
        </w:rPr>
        <w:t xml:space="preserve">UE:</w:t>
      </w:r>
      <w:r>
        <w:t xml:space="preserve"> </w:t>
      </w:r>
      <w:r>
        <w:t xml:space="preserve">nenhuma aprovação centralizada na UE; aprovações nacionais em vários Estados-membros, entre outras como agente diagnóstico, para a terapia pulsátil com bomba e como spray nasal na criptorquidia. As preparações são de venda sob prescrição.</w:t>
      </w:r>
    </w:p>
    <w:p>
      <w:pPr>
        <w:numPr>
          <w:ilvl w:val="0"/>
          <w:numId w:val="1285"/>
        </w:numPr>
        <w:pStyle w:val="Compact"/>
      </w:pPr>
      <w:r>
        <w:rPr>
          <w:bCs/>
          <w:b/>
        </w:rPr>
        <w:t xml:space="preserve">Alemanha:</w:t>
      </w:r>
      <w:r>
        <w:t xml:space="preserve"> </w:t>
      </w:r>
      <w:r>
        <w:t xml:space="preserve">preparações para o teste de GnRH e para a terapia com bomba estiveram ou estão no mercado; a disponibilidade atual oscila. O tratamento é feito em centros especializados.</w:t>
      </w:r>
    </w:p>
    <w:p>
      <w:pPr>
        <w:numPr>
          <w:ilvl w:val="0"/>
          <w:numId w:val="1285"/>
        </w:numPr>
        <w:pStyle w:val="Compact"/>
      </w:pPr>
      <w:r>
        <w:rPr>
          <w:bCs/>
          <w:b/>
        </w:rPr>
        <w:t xml:space="preserve">Áustria:</w:t>
      </w:r>
      <w:r>
        <w:t xml:space="preserve"> </w:t>
      </w:r>
      <w:r>
        <w:t xml:space="preserve">venda sob prescrição; verificar a disponibilidade atual de preparações específicas na lista de especialidades farmacêuticas.</w:t>
      </w:r>
    </w:p>
    <w:p>
      <w:pPr>
        <w:numPr>
          <w:ilvl w:val="0"/>
          <w:numId w:val="1285"/>
        </w:numPr>
        <w:pStyle w:val="Compact"/>
      </w:pPr>
      <w:r>
        <w:rPr>
          <w:bCs/>
          <w:b/>
        </w:rPr>
        <w:t xml:space="preserve">EUA:</w:t>
      </w:r>
      <w:r>
        <w:t xml:space="preserve"> </w:t>
      </w:r>
      <w:r>
        <w:t xml:space="preserve">as preparações humanas antes aprovadas saíram do mercado. Segundo relatos, a gonadorelina é oferecida por farmácias de manipulação; a avaliação regulatória dessas preparações está em evolução. Medicamentos veterinários com gonadorelina não se destinam a humanos.</w:t>
      </w:r>
    </w:p>
    <w:p>
      <w:pPr>
        <w:numPr>
          <w:ilvl w:val="0"/>
          <w:numId w:val="1285"/>
        </w:numPr>
        <w:pStyle w:val="Compact"/>
      </w:pPr>
      <w:r>
        <w:rPr>
          <w:bCs/>
          <w:b/>
        </w:rPr>
        <w:t xml:space="preserve">WADA:</w:t>
      </w:r>
      <w:r>
        <w:t xml:space="preserve"> </w:t>
      </w:r>
      <w:r>
        <w:t xml:space="preserve">S2 – proibida para homens em competição e fora dela.</w:t>
      </w:r>
    </w:p>
    <w:bookmarkEnd w:id="2307"/>
    <w:bookmarkStart w:id="2311" w:name="estudos-em-andamento-e-perspectivas-51"/>
    <w:p>
      <w:pPr>
        <w:pStyle w:val="Heading3"/>
      </w:pPr>
      <w:r>
        <w:t xml:space="preserve">Estudos em andamento e perspectivas</w:t>
      </w:r>
    </w:p>
    <w:p>
      <w:pPr>
        <w:pStyle w:val="FirstParagraph"/>
      </w:pPr>
      <w:r>
        <w:rPr>
          <w:bCs/>
          <w:b/>
        </w:rPr>
        <w:t xml:space="preserve">Confirmado (estudos registrados):</w:t>
      </w:r>
      <w:r>
        <w:t xml:space="preserve"> </w:t>
      </w:r>
      <w:r>
        <w:t xml:space="preserve">entre os poucos registros que de fato se referem ao GnRH nativo, encontram-se:</w:t>
      </w:r>
    </w:p>
    <w:p>
      <w:pPr>
        <w:numPr>
          <w:ilvl w:val="0"/>
          <w:numId w:val="1286"/>
        </w:numPr>
        <w:pStyle w:val="Compact"/>
      </w:pPr>
      <w:r>
        <w:t xml:space="preserve">estudos concluídos do fabricante Ferring sobre um adesivo cutâneo que libera GnRH de forma pulsátil através da pele por meio de uma corrente fraca (NCT00296465, com 132, e NCT00796289, com 350 participantes). Segundo o conhecimento do autor, os resultados desses estudos não foram publicados no PubMed, e o adesivo não chegou ao mercado;</w:t>
      </w:r>
    </w:p>
    <w:p>
      <w:pPr>
        <w:numPr>
          <w:ilvl w:val="0"/>
          <w:numId w:val="1286"/>
        </w:numPr>
        <w:pStyle w:val="Compact"/>
      </w:pPr>
      <w:r>
        <w:t xml:space="preserve">um estudo retirado em 2025 sobre a administração de GnRH com uma bomba de insulina moderna sem tubo</w:t>
      </w:r>
      <w:r>
        <w:rPr>
          <w:rStyle w:val="FootnoteReference"/>
        </w:rPr>
        <w:footnoteReference w:id="2308"/>
      </w:r>
      <w:r>
        <w:t xml:space="preserve">;</w:t>
      </w:r>
    </w:p>
    <w:p>
      <w:pPr>
        <w:numPr>
          <w:ilvl w:val="0"/>
          <w:numId w:val="1286"/>
        </w:numPr>
        <w:pStyle w:val="Compact"/>
      </w:pPr>
      <w:r>
        <w:t xml:space="preserve">estudos chineses sobre a bomba na deficiência hormonal congênita</w:t>
      </w:r>
      <w:r>
        <w:rPr>
          <w:rStyle w:val="FootnoteReference"/>
        </w:rPr>
        <w:footnoteReference w:id="2309"/>
      </w:r>
      <w:r>
        <w:t xml:space="preserve"> </w:t>
      </w:r>
      <w:r>
        <w:t xml:space="preserve">e na SOP</w:t>
      </w:r>
      <w:r>
        <w:rPr>
          <w:rStyle w:val="FootnoteReference"/>
        </w:rPr>
        <w:footnoteReference w:id="2310"/>
      </w:r>
      <w:r>
        <w:t xml:space="preserve">, ambos com status desconhecido.</w:t>
      </w:r>
    </w:p>
    <w:p>
      <w:pPr>
        <w:pStyle w:val="FirstParagraph"/>
      </w:pPr>
      <w:r>
        <w:rPr>
          <w:bCs/>
          <w:b/>
        </w:rPr>
        <w:t xml:space="preserve">Avaliação do autor:</w:t>
      </w:r>
      <w:r>
        <w:t xml:space="preserve"> </w:t>
      </w:r>
      <w:r>
        <w:t xml:space="preserve">a gonadorelina é um princípio ativo antigo e bem compreendido, cuja importância no diagnóstico diminui porque análogos de ação curta são mais baratos e mais disponíveis. Para a terapia com bomba na amenorreia hipotalâmica e na deficiência hormonal congênita, continua sendo uma opção fisiológica, cujo futuro depende menos de novas pesquisas do que da questão de os fabricantes continuarem abastecendo os pequenos mercados. Bombas modernas sem tubo poderiam tornar o tratamento mais confortável. Para um benefício no contexto do fisiculturismo, não há provas.</w:t>
      </w:r>
    </w:p>
    <w:bookmarkEnd w:id="2311"/>
    <w:bookmarkStart w:id="2312" w:name="conclusão-51"/>
    <w:p>
      <w:pPr>
        <w:pStyle w:val="Heading3"/>
      </w:pPr>
      <w:r>
        <w:t xml:space="preserve">Conclusão</w:t>
      </w:r>
    </w:p>
    <w:p>
      <w:pPr>
        <w:pStyle w:val="FirstParagraph"/>
      </w:pPr>
      <w:r>
        <w:t xml:space="preserve">A gonadorelina é a cópia sintética do GnRH endógeno e é usada há décadas em testes funcionais e na terapia com bomba. Administrada no ritmo de pulsos correto, levou, em grandes séries de casos de mulheres com amenorreia hipotalâmica, à ovulação na maioria dos ciclos, com menos gestações múltiplas do que com gonadotrofinas, e, em homens com deficiência hormonal congênita, à formação de espermatozoides. O conjunto de estudos é antigo e predominantemente não randomizado; os números de registros são maciçamente distorcidos pelos análogos de GnRH. O uso no meio do fisiculturismo após ciclos de esteroides não foi estudado, contradiz o princípio de ação e é proibido no esporte.</w:t>
      </w:r>
    </w:p>
    <w:bookmarkEnd w:id="2312"/>
    <w:bookmarkEnd w:id="2313"/>
    <w:bookmarkEnd w:id="2314"/>
    <w:bookmarkStart w:id="2523" w:name="parte-ii-f-colágeno-nutrição-e-cosmética"/>
    <w:p>
      <w:pPr>
        <w:pStyle w:val="Heading1"/>
      </w:pPr>
      <w:r>
        <w:t xml:space="preserve">Parte II · F – Colágeno, nutrição e cosmética</w:t>
      </w:r>
    </w:p>
    <w:p>
      <w:pPr>
        <w:pStyle w:val="FirstParagraph"/>
      </w:pPr>
      <w:r>
        <w:t xml:space="preserve">A maioria das pessoas não encontra os peptídeos deste grupo no consultório médico, mas no supermercado, na drogaria e na publicidade: como bebida de colágeno, como iogurte para a pressão arterial, como cápsula esportiva ou como</w:t>
      </w:r>
      <w:r>
        <w:t xml:space="preserve"> </w:t>
      </w:r>
      <w:r>
        <w:t xml:space="preserve">“</w:t>
      </w:r>
      <w:r>
        <w:t xml:space="preserve">peptídeo antienvelhecimento</w:t>
      </w:r>
      <w:r>
        <w:t xml:space="preserve">”</w:t>
      </w:r>
      <w:r>
        <w:t xml:space="preserve"> </w:t>
      </w:r>
      <w:r>
        <w:t xml:space="preserve">em um creme facial. Eles são de venda livre, considerados inofensivos e promovidos com estudos. Justamente por isso vale a pena olhar com atenção o que esses estudos mostram.</w:t>
      </w:r>
    </w:p>
    <w:bookmarkStart w:id="2316" w:name="o-que-une-o-grupo"/>
    <w:p>
      <w:pPr>
        <w:pStyle w:val="Heading3"/>
      </w:pPr>
      <w:r>
        <w:t xml:space="preserve">O que une o grupo</w:t>
      </w:r>
    </w:p>
    <w:p>
      <w:pPr>
        <w:pStyle w:val="FirstParagraph"/>
      </w:pPr>
      <w:r>
        <w:t xml:space="preserve">Todas as seis substâncias são ou fragmentos de proteínas endógenas ou presentes nos alimentos (peptídeos de colágeno, lactotripeptídeos do leite, carnosina, GHK-Cu), ou imitações direcionadas delas (Matrixyl, Argireline). Nenhuma delas está aprovada como medicamento. Por isso, não são avaliadas segundo os critérios rigorosos aplicados a medicamentos, mas segundo as regras para alimentos ou cosméticos.</w:t>
      </w:r>
    </w:p>
    <w:p>
      <w:pPr>
        <w:pStyle w:val="BodyText"/>
      </w:pPr>
      <w:r>
        <w:t xml:space="preserve">Disso resultam padrões comuns que se repetem em todos os capítulos:</w:t>
      </w:r>
    </w:p>
    <w:p>
      <w:pPr>
        <w:numPr>
          <w:ilvl w:val="0"/>
          <w:numId w:val="1287"/>
        </w:numPr>
        <w:pStyle w:val="Compact"/>
      </w:pPr>
      <w:r>
        <w:rPr>
          <w:bCs/>
          <w:b/>
        </w:rPr>
        <w:t xml:space="preserve">Muitos estudos pequenos, poucos grandes.</w:t>
      </w:r>
      <w:r>
        <w:t xml:space="preserve"> </w:t>
      </w:r>
      <w:r>
        <w:t xml:space="preserve">O típico são 20 a 150 participantes durante 4 a 24 semanas. Desfechos duros, como fraturas ósseas, infartos ou prótese articular, nunca foram estudados.</w:t>
      </w:r>
    </w:p>
    <w:p>
      <w:pPr>
        <w:numPr>
          <w:ilvl w:val="0"/>
          <w:numId w:val="1287"/>
        </w:numPr>
        <w:pStyle w:val="Compact"/>
      </w:pPr>
      <w:r>
        <w:rPr>
          <w:bCs/>
          <w:b/>
        </w:rPr>
        <w:t xml:space="preserve">Financiamento pelo fabricante.</w:t>
      </w:r>
      <w:r>
        <w:t xml:space="preserve"> </w:t>
      </w:r>
      <w:r>
        <w:t xml:space="preserve">Grande parte dos estudos foi paga por fabricantes de matérias-primas ou de produtos. No caso do colágeno, uma metanálise mostra que o benefício para a pele desaparece quando se consideram apenas estudos com financiamento independente</w:t>
      </w:r>
      <w:r>
        <w:rPr>
          <w:rStyle w:val="FootnoteReference"/>
        </w:rPr>
        <w:footnoteReference w:id="2315"/>
      </w:r>
      <w:r>
        <w:t xml:space="preserve">.</w:t>
      </w:r>
    </w:p>
    <w:p>
      <w:pPr>
        <w:numPr>
          <w:ilvl w:val="0"/>
          <w:numId w:val="1287"/>
        </w:numPr>
        <w:pStyle w:val="Compact"/>
      </w:pPr>
      <w:r>
        <w:rPr>
          <w:bCs/>
          <w:b/>
        </w:rPr>
        <w:t xml:space="preserve">O problema do local de ação.</w:t>
      </w:r>
      <w:r>
        <w:t xml:space="preserve"> </w:t>
      </w:r>
      <w:r>
        <w:t xml:space="preserve">Um peptídeo precisa chegar aonde deve agir. Peptídeos ingeridos são em grande parte digeridos; peptídeos em cremes atravessam a barreira cutânea apenas em pequena medida. Por isso, em cada capítulo, a questão central é se o mecanismo demonstrado em laboratório chega de fato a operar no corpo.</w:t>
      </w:r>
    </w:p>
    <w:p>
      <w:pPr>
        <w:numPr>
          <w:ilvl w:val="0"/>
          <w:numId w:val="1287"/>
        </w:numPr>
        <w:pStyle w:val="Compact"/>
      </w:pPr>
      <w:r>
        <w:rPr>
          <w:bCs/>
          <w:b/>
        </w:rPr>
        <w:t xml:space="preserve">Produtos combinados.</w:t>
      </w:r>
      <w:r>
        <w:t xml:space="preserve"> </w:t>
      </w:r>
      <w:r>
        <w:t xml:space="preserve">Muitos produtos contêm vários princípios ativos. Um resultado positivo de estudo não pode, então, ser atribuído ao peptídeo isolado.</w:t>
      </w:r>
    </w:p>
    <w:bookmarkEnd w:id="2316"/>
    <w:bookmarkStart w:id="2317" w:name="X7c1cc8fbf19bd690d23c3efa5ab260394e4735b"/>
    <w:p>
      <w:pPr>
        <w:pStyle w:val="Heading3"/>
      </w:pPr>
      <w:r>
        <w:t xml:space="preserve">Alimentos, cosméticos, medicamentos – três mundos jurídicos</w:t>
      </w:r>
    </w:p>
    <w:p>
      <w:pPr>
        <w:pStyle w:val="FirstParagraph"/>
      </w:pPr>
      <w:r>
        <w:t xml:space="preserve">Se uma substância é considerada alimento, cosmético ou medicamento não é decidido por sua química, mas por sua finalidade e apresentação. A Parte I explica o enquadramento jurídico em detalhes; para este grupo, três pontos são importantes:</w:t>
      </w:r>
    </w:p>
    <w:p>
      <w:pPr>
        <w:numPr>
          <w:ilvl w:val="0"/>
          <w:numId w:val="1288"/>
        </w:numPr>
        <w:pStyle w:val="Compact"/>
      </w:pPr>
      <w:r>
        <w:rPr>
          <w:bCs/>
          <w:b/>
        </w:rPr>
        <w:t xml:space="preserve">Alimentos e suplementos alimentares</w:t>
      </w:r>
      <w:r>
        <w:t xml:space="preserve"> </w:t>
      </w:r>
      <w:r>
        <w:t xml:space="preserve">(peptídeos de colágeno, lactotripeptídeos, carnosina) não precisam, na UE, de aprovação nem de prova de eficácia. Em contrapartida, está rigorosamente regulado o que podem alegar na publicidade. Segundo o Regulamento de Alegações de Saúde (Regulamento (CE) nº 1924/2006), alegações relacionadas à saúde só são permitidas se tiverem sido avaliadas pela Autoridade Europeia para a Segurança dos Alimentos (EFSA) e autorizadas pela Comissão Europeia.</w:t>
      </w:r>
      <w:r>
        <w:t xml:space="preserve"> </w:t>
      </w:r>
      <w:r>
        <w:rPr>
          <w:bCs/>
          <w:b/>
        </w:rPr>
        <w:t xml:space="preserve">Para colágeno, peptídeos de colágeno, lactotripeptídeos e carnosina não existe uma única alegação de saúde autorizada.</w:t>
      </w:r>
      <w:r>
        <w:t xml:space="preserve"> </w:t>
      </w:r>
      <w:r>
        <w:t xml:space="preserve">A EFSA avaliou negativamente as alegações solicitadas – por exemplo sobre articulações no caso do colágeno ou sobre pressão arterial no caso dos lactotripeptídeos. Se uma embalagem de colágeno ainda assim faz publicidade sobre pele ou ossos, a afirmação juridicamente admissível refere-se em regra à vitamina C adicionada, para a qual está autorizada a alegação</w:t>
      </w:r>
      <w:r>
        <w:t xml:space="preserve"> </w:t>
      </w:r>
      <w:r>
        <w:t xml:space="preserve">“</w:t>
      </w:r>
      <w:r>
        <w:t xml:space="preserve">contribui para a formação normal de colágeno</w:t>
      </w:r>
      <w:r>
        <w:t xml:space="preserve">”</w:t>
      </w:r>
      <w:r>
        <w:t xml:space="preserve">.</w:t>
      </w:r>
    </w:p>
    <w:p>
      <w:pPr>
        <w:numPr>
          <w:ilvl w:val="0"/>
          <w:numId w:val="1288"/>
        </w:numPr>
        <w:pStyle w:val="Compact"/>
      </w:pPr>
      <w:r>
        <w:rPr>
          <w:bCs/>
          <w:b/>
        </w:rPr>
        <w:t xml:space="preserve">Cosméticos</w:t>
      </w:r>
      <w:r>
        <w:t xml:space="preserve"> </w:t>
      </w:r>
      <w:r>
        <w:t xml:space="preserve">(GHK-Cu, Matrixyl, Argireline) estão sujeitos ao Regulamento Europeu de Cosméticos (Regulamento (CE) nº 1223/2009). Só podem ser aplicados externamente, devem ser seguros e não podem reivindicar efeito medicamentoso. As alegações publicitárias devem ser comprováveis, mas não há avaliação oficial de eficácia antes da venda.</w:t>
      </w:r>
    </w:p>
    <w:p>
      <w:pPr>
        <w:numPr>
          <w:ilvl w:val="0"/>
          <w:numId w:val="1288"/>
        </w:numPr>
        <w:pStyle w:val="Compact"/>
      </w:pPr>
      <w:r>
        <w:rPr>
          <w:bCs/>
          <w:b/>
        </w:rPr>
        <w:t xml:space="preserve">Medicamentos</w:t>
      </w:r>
      <w:r>
        <w:t xml:space="preserve"> </w:t>
      </w:r>
      <w:r>
        <w:t xml:space="preserve">precisam comprovar sua eficácia e segurança em estudos e ser aprovados. Se um peptídeo cosmético é injetado – como acontece com GHK-Cu e Argireline no mercado cinza –, ele deixa o mundo dos cosméticos: torna-se um medicamento não aprovado, sem que existam estudos ou controles de qualidade para isso.</w:t>
      </w:r>
    </w:p>
    <w:p>
      <w:pPr>
        <w:pStyle w:val="FirstParagraph"/>
      </w:pPr>
      <w:r>
        <w:t xml:space="preserve">Nos EUA valem princípios semelhantes; lá, porém, os suplementos alimentares podem fazer publicidade com</w:t>
      </w:r>
      <w:r>
        <w:t xml:space="preserve"> </w:t>
      </w:r>
      <w:r>
        <w:t xml:space="preserve">“</w:t>
      </w:r>
      <w:r>
        <w:t xml:space="preserve">alegações de estrutura-função</w:t>
      </w:r>
      <w:r>
        <w:t xml:space="preserve">”</w:t>
      </w:r>
      <w:r>
        <w:t xml:space="preserve"> </w:t>
      </w:r>
      <w:r>
        <w:t xml:space="preserve">gerais, desde que tragam um aviso de que a FDA não as avaliou.</w:t>
      </w:r>
    </w:p>
    <w:bookmarkEnd w:id="2317"/>
    <w:bookmarkStart w:id="2318" w:name="visão-geral-4"/>
    <w:p>
      <w:pPr>
        <w:pStyle w:val="Heading3"/>
      </w:pPr>
      <w:r>
        <w:t xml:space="preserve">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w:t>
            </w:r>
          </w:p>
        </w:tc>
        <w:tc>
          <w:tcPr/>
          <w:p>
            <w:pPr>
              <w:pStyle w:val="Compact"/>
              <w:jc w:val="left"/>
            </w:pPr>
            <w:r>
              <w:t xml:space="preserve">Em resumo</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sem alegação de saúde</w:t>
            </w:r>
          </w:p>
        </w:tc>
        <w:tc>
          <w:tcPr/>
          <w:p>
            <w:pPr>
              <w:pStyle w:val="Compact"/>
              <w:jc w:val="left"/>
            </w:pPr>
            <w:r>
              <w:t xml:space="preserve">Pequenos efeitos sobre a dor articular; benefício para a pele não comprovado em estudos independentes</w:t>
            </w:r>
          </w:p>
        </w:tc>
      </w:tr>
      <w:tr>
        <w:tc>
          <w:tcPr/>
          <w:p>
            <w:pPr>
              <w:pStyle w:val="Compact"/>
              <w:jc w:val="left"/>
            </w:pPr>
            <w:r>
              <w:t xml:space="preserve">Lactotripeptídeos (VPP/IPP)</w:t>
            </w:r>
          </w:p>
        </w:tc>
        <w:tc>
          <w:tcPr/>
          <w:p>
            <w:pPr>
              <w:pStyle w:val="Compact"/>
              <w:jc w:val="left"/>
            </w:pPr>
            <w:r>
              <w:t xml:space="preserve">B</w:t>
            </w:r>
          </w:p>
        </w:tc>
        <w:tc>
          <w:tcPr/>
          <w:p>
            <w:pPr>
              <w:pStyle w:val="Compact"/>
              <w:jc w:val="left"/>
            </w:pPr>
            <w:r>
              <w:t xml:space="preserve">Alimento, alegação sobre pressão arterial rejeitada</w:t>
            </w:r>
          </w:p>
        </w:tc>
        <w:tc>
          <w:tcPr/>
          <w:p>
            <w:pPr>
              <w:pStyle w:val="Compact"/>
              <w:jc w:val="left"/>
            </w:pPr>
            <w:r>
              <w:t xml:space="preserve">Redução da pressão arterial de cerca de 1–4 mmHg, quase não detectável na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sem alegação de saúde</w:t>
            </w:r>
          </w:p>
        </w:tc>
        <w:tc>
          <w:tcPr/>
          <w:p>
            <w:pPr>
              <w:pStyle w:val="Compact"/>
              <w:jc w:val="left"/>
            </w:pPr>
            <w:r>
              <w:t xml:space="preserve">Indícios sobre glicemia; no esporte, o precursor beta-alanina é mais bem comprovado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injeção não aprovada</w:t>
            </w:r>
          </w:p>
        </w:tc>
        <w:tc>
          <w:tcPr/>
          <w:p>
            <w:pPr>
              <w:pStyle w:val="Compact"/>
              <w:jc w:val="left"/>
            </w:pPr>
            <w:r>
              <w:t xml:space="preserve">Um estudo antigo sobre feridas; quase nenhum dado sobre a pele; injeção não testada</w:t>
            </w:r>
          </w:p>
        </w:tc>
      </w:tr>
      <w:tr>
        <w:tc>
          <w:tcPr/>
          <w:p>
            <w:pPr>
              <w:pStyle w:val="Compact"/>
              <w:jc w:val="left"/>
            </w:pPr>
            <w:r>
              <w:t xml:space="preserve">Palmitoil pentapeptídeo-4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Um estudo de hemiface de 2005; permeabilidade cutânea incerta</w:t>
            </w:r>
          </w:p>
        </w:tc>
      </w:tr>
      <w:tr>
        <w:tc>
          <w:tcPr/>
          <w:p>
            <w:pPr>
              <w:pStyle w:val="Compact"/>
              <w:jc w:val="left"/>
            </w:pPr>
            <w:r>
              <w:t xml:space="preserve">Acetil hexapeptídeo-8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w:t>
            </w:r>
            <w:r>
              <w:t xml:space="preserve">Botox em tubo</w:t>
            </w:r>
            <w:r>
              <w:t xml:space="preserve">”</w:t>
            </w:r>
            <w:r>
              <w:t xml:space="preserve"> </w:t>
            </w:r>
            <w:r>
              <w:t xml:space="preserve">não comprovado; quase não penetra na pele</w:t>
            </w:r>
          </w:p>
        </w:tc>
      </w:tr>
    </w:tbl>
    <w:p>
      <w:pPr>
        <w:pStyle w:val="BodyText"/>
      </w:pPr>
      <w:r>
        <w:t xml:space="preserve">A classificação B, neste grupo, expressamente não significa que um efeito esteja assegurado, mas apenas que existem estudos randomizados.</w:t>
      </w:r>
    </w:p>
    <w:bookmarkEnd w:id="2318"/>
    <w:bookmarkStart w:id="2319" w:name="orientação-de-leitura-5"/>
    <w:p>
      <w:pPr>
        <w:pStyle w:val="Heading3"/>
      </w:pPr>
      <w:r>
        <w:t xml:space="preserve">Orientação de leitura</w:t>
      </w:r>
    </w:p>
    <w:p>
      <w:pPr>
        <w:pStyle w:val="FirstParagraph"/>
      </w:pPr>
      <w:r>
        <w:t xml:space="preserve">O capítulo sobre os</w:t>
      </w:r>
      <w:r>
        <w:t xml:space="preserve"> </w:t>
      </w:r>
      <w:r>
        <w:rPr>
          <w:bCs/>
          <w:b/>
        </w:rPr>
        <w:t xml:space="preserve">peptídeos de colágeno</w:t>
      </w:r>
      <w:r>
        <w:t xml:space="preserve"> </w:t>
      </w:r>
      <w:r>
        <w:t xml:space="preserve">é o mais detalhado, porque é sobre eles que existem mais estudos e porque eles mostram bem como metanálises, financiamento pelo fabricante e efeito placebo interagem. Quem ler apenas um capítulo deste grupo deve escolher esse. O capítulo sobre os</w:t>
      </w:r>
      <w:r>
        <w:t xml:space="preserve"> </w:t>
      </w:r>
      <w:r>
        <w:rPr>
          <w:bCs/>
          <w:b/>
        </w:rPr>
        <w:t xml:space="preserve">lactotripeptídeos</w:t>
      </w:r>
      <w:r>
        <w:t xml:space="preserve"> </w:t>
      </w:r>
      <w:r>
        <w:t xml:space="preserve">é uma lição sobre como um mecanismo laboratorial convincente pode encolher em estudos maiores. Os três</w:t>
      </w:r>
      <w:r>
        <w:t xml:space="preserve"> </w:t>
      </w:r>
      <w:r>
        <w:rPr>
          <w:bCs/>
          <w:b/>
        </w:rPr>
        <w:t xml:space="preserve">peptídeos cosméticos</w:t>
      </w:r>
      <w:r>
        <w:t xml:space="preserve"> </w:t>
      </w:r>
      <w:r>
        <w:t xml:space="preserve">são mais curtos; eles compartilham a mesma questão central – se um princípio ativo do creme chega de fato aonde deve agir. Os riscos das injeções do mercado cinza são tratados em detalhes na Parte IV.</w:t>
      </w:r>
    </w:p>
    <w:bookmarkEnd w:id="2319"/>
    <w:bookmarkStart w:id="2371" w:name="Xc9f80ef5b1cb0c55773dadb1830d2b0348bbecc"/>
    <w:p>
      <w:pPr>
        <w:pStyle w:val="Heading2"/>
      </w:pPr>
      <w:r>
        <w:t xml:space="preserve">Peptídeos de colágeno (colágeno hidrolisado)</w:t>
      </w:r>
    </w:p>
    <w:bookmarkStart w:id="2320" w:name="ficha-técnica-52"/>
    <w:p>
      <w:pPr>
        <w:pStyle w:val="Heading3"/>
      </w:pPr>
      <w:r>
        <w:t xml:space="preserve">Ficha técnica</w:t>
      </w:r>
    </w:p>
    <w:p>
      <w:pPr>
        <w:numPr>
          <w:ilvl w:val="0"/>
          <w:numId w:val="1289"/>
        </w:numPr>
        <w:pStyle w:val="Compact"/>
      </w:pPr>
      <w:r>
        <w:rPr>
          <w:bCs/>
          <w:b/>
        </w:rPr>
        <w:t xml:space="preserve">Tipo/estrutura:</w:t>
      </w:r>
      <w:r>
        <w:t xml:space="preserve"> </w:t>
      </w:r>
      <w:r>
        <w:t xml:space="preserve">mistura de peptídeos de diferentes comprimentos, obtida por clivagem enzimática (hidrólise) de colágeno ou gelatina. Produtos típicos contêm fragmentos com massa molecular média de cerca de 2.000 a 5.000 dáltons. São característicos os aminoácidos glicina, prolina e hidroxiprolina; falta o aminoácido essencial triptofano.</w:t>
      </w:r>
    </w:p>
    <w:p>
      <w:pPr>
        <w:numPr>
          <w:ilvl w:val="0"/>
          <w:numId w:val="1289"/>
        </w:numPr>
        <w:pStyle w:val="Compact"/>
      </w:pPr>
      <w:r>
        <w:rPr>
          <w:bCs/>
          <w:b/>
        </w:rPr>
        <w:t xml:space="preserve">Origem:</w:t>
      </w:r>
      <w:r>
        <w:t xml:space="preserve"> </w:t>
      </w:r>
      <w:r>
        <w:t xml:space="preserve">pele, ossos ou escamas de bovinos, suínos, frango e peixe – subprodutos do processamento de carne e peixe. Muitos estudos usam matérias-primas de marca registrada (por exemplo, Verisol, Fortigel, Bodybalance, Tendoforte), provenientes de poucos fabricantes.</w:t>
      </w:r>
    </w:p>
    <w:p>
      <w:pPr>
        <w:numPr>
          <w:ilvl w:val="0"/>
          <w:numId w:val="1289"/>
        </w:numPr>
        <w:pStyle w:val="Compact"/>
      </w:pPr>
      <w:r>
        <w:rPr>
          <w:bCs/>
          <w:b/>
        </w:rPr>
        <w:t xml:space="preserve">Mecanismo de ação:</w:t>
      </w:r>
      <w:r>
        <w:t xml:space="preserve"> </w:t>
      </w:r>
      <w:r>
        <w:t xml:space="preserve">fornecimento de componentes para o tecido conjuntivo do próprio corpo; além disso, discute-se que determinados peptídeos pequenos (sobretudo prolil-hidroxiprolina) atuem como sinalizadores sobre as células do tecido conjuntivo.</w:t>
      </w:r>
    </w:p>
    <w:p>
      <w:pPr>
        <w:numPr>
          <w:ilvl w:val="0"/>
          <w:numId w:val="1289"/>
        </w:numPr>
        <w:pStyle w:val="Compact"/>
      </w:pPr>
      <w:r>
        <w:rPr>
          <w:bCs/>
          <w:b/>
        </w:rPr>
        <w:t xml:space="preserve">Delimitação:</w:t>
      </w:r>
      <w:r>
        <w:t xml:space="preserve"> </w:t>
      </w:r>
      <w:r>
        <w:t xml:space="preserve">o colágeno tipo II</w:t>
      </w:r>
      <w:r>
        <w:t xml:space="preserve"> </w:t>
      </w:r>
      <w:r>
        <w:rPr>
          <w:iCs/>
          <w:i/>
        </w:rPr>
        <w:t xml:space="preserve">não desnaturado</w:t>
      </w:r>
      <w:r>
        <w:t xml:space="preserve"> </w:t>
      </w:r>
      <w:r>
        <w:t xml:space="preserve">(por exemplo, UC-II) é outro produto, com outro mecanismo de ação, e é discutido separadamente abaixo.</w:t>
      </w:r>
    </w:p>
    <w:p>
      <w:pPr>
        <w:numPr>
          <w:ilvl w:val="0"/>
          <w:numId w:val="1289"/>
        </w:numPr>
        <w:pStyle w:val="Compact"/>
      </w:pPr>
      <w:r>
        <w:rPr>
          <w:bCs/>
          <w:b/>
        </w:rPr>
        <w:t xml:space="preserve">Aprovação na UE:</w:t>
      </w:r>
      <w:r>
        <w:t xml:space="preserve"> </w:t>
      </w:r>
      <w:r>
        <w:t xml:space="preserve">nenhuma aprovação como medicamento; comercializável como alimento ou suplemento alimentar. Para o próprio colágeno,</w:t>
      </w:r>
      <w:r>
        <w:t xml:space="preserve"> </w:t>
      </w:r>
      <w:r>
        <w:rPr>
          <w:bCs/>
          <w:b/>
        </w:rPr>
        <w:t xml:space="preserve">não</w:t>
      </w:r>
      <w:r>
        <w:t xml:space="preserve"> </w:t>
      </w:r>
      <w:r>
        <w:t xml:space="preserve">existe nenhuma alegação de saúde (health claim) autorizada.</w:t>
      </w:r>
    </w:p>
    <w:p>
      <w:pPr>
        <w:numPr>
          <w:ilvl w:val="0"/>
          <w:numId w:val="1289"/>
        </w:numPr>
        <w:pStyle w:val="Compact"/>
      </w:pPr>
      <w:r>
        <w:rPr>
          <w:bCs/>
          <w:b/>
        </w:rPr>
        <w:t xml:space="preserve">Aprovação nos EUA:</w:t>
      </w:r>
      <w:r>
        <w:t xml:space="preserve"> </w:t>
      </w:r>
      <w:r>
        <w:t xml:space="preserve">nenhuma aprovação como medicamento; à venda como suplemento alimentar (dietary supplement).</w:t>
      </w:r>
    </w:p>
    <w:p>
      <w:pPr>
        <w:numPr>
          <w:ilvl w:val="0"/>
          <w:numId w:val="1289"/>
        </w:numPr>
        <w:pStyle w:val="Compact"/>
      </w:pPr>
      <w:r>
        <w:rPr>
          <w:bCs/>
          <w:b/>
        </w:rPr>
        <w:t xml:space="preserve">WADA:</w:t>
      </w:r>
      <w:r>
        <w:t xml:space="preserve"> </w:t>
      </w:r>
      <w:r>
        <w:t xml:space="preserve">não listado.</w:t>
      </w:r>
    </w:p>
    <w:p>
      <w:pPr>
        <w:numPr>
          <w:ilvl w:val="0"/>
          <w:numId w:val="1289"/>
        </w:numPr>
        <w:pStyle w:val="Compact"/>
      </w:pPr>
      <w:r>
        <w:rPr>
          <w:bCs/>
          <w:b/>
        </w:rPr>
        <w:t xml:space="preserve">Nível de evidência:</w:t>
      </w:r>
      <w:r>
        <w:t xml:space="preserve"> </w:t>
      </w:r>
      <w:r>
        <w:rPr>
          <w:bCs/>
          <w:b/>
        </w:rPr>
        <w:t xml:space="preserve">B</w:t>
      </w:r>
      <w:r>
        <w:t xml:space="preserve"> </w:t>
      </w:r>
      <w:r>
        <w:t xml:space="preserve">– numerosos estudos randomizados controlados por placebo, mas predominantemente pequenos, curtos e financiados pelos fabricantes.</w:t>
      </w:r>
    </w:p>
    <w:bookmarkEnd w:id="2320"/>
    <w:bookmarkStart w:id="2325" w:name="como-deveria-agir-52"/>
    <w:p>
      <w:pPr>
        <w:pStyle w:val="Heading3"/>
      </w:pPr>
      <w:r>
        <w:t xml:space="preserve">Como deveria agir</w:t>
      </w:r>
    </w:p>
    <w:p>
      <w:pPr>
        <w:pStyle w:val="FirstParagraph"/>
      </w:pPr>
      <w:r>
        <w:t xml:space="preserve">O colágeno é a proteína mais abundante do corpo humano. Ele forma a estrutura da pele, dos tendões, dos ligamentos, da cartilagem e dos ossos. Sua unidade básica é uma tripla hélice de três cadeias proteicas, nas quais um padrão se repete constantemente: glicina, depois um aminoácido qualquer, depois frequentemente prolina ou hidroxiprolina. Com a idade, a produção de colágeno na pele diminui, e a rede de colágeno se torna mais frágil – visível como rugas e perda de firmeza.</w:t>
      </w:r>
    </w:p>
    <w:p>
      <w:pPr>
        <w:pStyle w:val="BodyText"/>
      </w:pPr>
      <w:r>
        <w:t xml:space="preserve">A publicidade sugere muitas vezes uma lógica simples: quem come colágeno produz colágeno. A digestão não funciona assim. As proteínas são em grande parte decompostas no estômago e no intestino delgado em aminoácidos isolados e peptídeos mínimos; a partir deles, o corpo remonta suas proteínas conforme sua própria necessidade. O colágeno da alimentação, portanto, não é</w:t>
      </w:r>
      <w:r>
        <w:t xml:space="preserve"> </w:t>
      </w:r>
      <w:r>
        <w:t xml:space="preserve">“</w:t>
      </w:r>
      <w:r>
        <w:t xml:space="preserve">incorporado</w:t>
      </w:r>
      <w:r>
        <w:t xml:space="preserve">”</w:t>
      </w:r>
      <w:r>
        <w:t xml:space="preserve"> </w:t>
      </w:r>
      <w:r>
        <w:t xml:space="preserve">à pele como colágeno.</w:t>
      </w:r>
    </w:p>
    <w:p>
      <w:pPr>
        <w:pStyle w:val="BodyText"/>
      </w:pPr>
      <w:r>
        <w:t xml:space="preserve">Há, porém, duas hipóteses a serem levadas a sério sobre por que os peptídeos de colágeno ainda assim poderiam ter algum efeito:</w:t>
      </w:r>
    </w:p>
    <w:p>
      <w:pPr>
        <w:numPr>
          <w:ilvl w:val="0"/>
          <w:numId w:val="1290"/>
        </w:numPr>
        <w:pStyle w:val="Compact"/>
      </w:pPr>
      <w:r>
        <w:rPr>
          <w:bCs/>
          <w:b/>
        </w:rPr>
        <w:t xml:space="preserve">Peptídeos sinalizadores.</w:t>
      </w:r>
      <w:r>
        <w:t xml:space="preserve"> </w:t>
      </w:r>
      <w:r>
        <w:t xml:space="preserve">Dipeptídeos e tripeptídeos contendo hidroxiprolina são excepcionalmente estáveis diante das enzimas digestivas. Após a ingestão de gelatina hidrolisada, a concentração de hidroxiprolina ligada a peptídeos no sangue de voluntários aumentou claramente e atingiu o máximo após uma a duas horas; o componente principal foi o dipeptídeo prolil-hidroxiprolina</w:t>
      </w:r>
      <w:r>
        <w:rPr>
          <w:rStyle w:val="FootnoteReference"/>
        </w:rPr>
        <w:footnoteReference w:id="2321"/>
      </w:r>
      <w:r>
        <w:t xml:space="preserve">. Algo semelhante foi observado para uma preparação com alta proporção de tripeptídeos</w:t>
      </w:r>
      <w:r>
        <w:rPr>
          <w:rStyle w:val="FootnoteReference"/>
        </w:rPr>
        <w:footnoteReference w:id="2322"/>
      </w:r>
      <w:r>
        <w:t xml:space="preserve">. Em experimentos com culturas de células e em animais, esses peptídeos estimulam as células do tecido conjuntivo (fibroblastos) a crescer e a formar componentes da matriz. Se as quantidades alcançadas no sangue humano bastam para provocar um efeito mensurável na pele ou na cartilagem não está comprovado com segurança.</w:t>
      </w:r>
    </w:p>
    <w:p>
      <w:pPr>
        <w:numPr>
          <w:ilvl w:val="0"/>
          <w:numId w:val="1290"/>
        </w:numPr>
        <w:pStyle w:val="Compact"/>
      </w:pPr>
      <w:r>
        <w:rPr>
          <w:bCs/>
          <w:b/>
        </w:rPr>
        <w:t xml:space="preserve">Fornecimento de matéria-prima.</w:t>
      </w:r>
      <w:r>
        <w:t xml:space="preserve"> </w:t>
      </w:r>
      <w:r>
        <w:t xml:space="preserve">Os peptídeos de colágeno fornecem grandes quantidades de glicina, prolina e hidroxiprolina. Em um pequeno estudo com oito homens, o marcador sanguíneo de formação de colágeno dobrou quando eles haviam ingerido 15 g de gelatina enriquecida com vitamina C uma hora antes de um breve esforço com saltos</w:t>
      </w:r>
      <w:r>
        <w:rPr>
          <w:rStyle w:val="FootnoteReference"/>
        </w:rPr>
        <w:footnoteReference w:id="2323"/>
      </w:r>
      <w:r>
        <w:t xml:space="preserve">. Isso apoia a ideia de combinar temporalmente os peptídeos de colágeno com o esforço, mas é um valor medido no sangue, não uma prova de tendões mais fortes.</w:t>
      </w:r>
    </w:p>
    <w:p>
      <w:pPr>
        <w:pStyle w:val="FirstParagraph"/>
      </w:pPr>
      <w:r>
        <w:t xml:space="preserve">Importante para a contextualização: o colágeno é uma fonte de proteína incompleta. Como lhe falta triptofano, uma mistura de peptídeos à base de gelatina é usada na pesquisa até mesmo de forma deliberada para reduzir temporariamente o nível de triptofano no sangue</w:t>
      </w:r>
      <w:r>
        <w:rPr>
          <w:rStyle w:val="FootnoteReference"/>
        </w:rPr>
        <w:footnoteReference w:id="2324"/>
      </w:r>
      <w:r>
        <w:t xml:space="preserve">. Para o ganho muscular, o colágeno é, por isso, inferior a outras proteínas – mais sobre isso abaixo.</w:t>
      </w:r>
    </w:p>
    <w:bookmarkEnd w:id="2325"/>
    <w:bookmarkStart w:id="2353" w:name="estudos-em-humanos-52"/>
    <w:p>
      <w:pPr>
        <w:pStyle w:val="Heading3"/>
      </w:pPr>
      <w:r>
        <w:t xml:space="preserve">Estudos em humanos</w:t>
      </w:r>
    </w:p>
    <w:p>
      <w:pPr>
        <w:pStyle w:val="FirstParagraph"/>
      </w:pPr>
      <w:r>
        <w:t xml:space="preserve">O conjunto de estudos é extenso, mas heterogêneo. A consulta ao PubMed avaliada para este livro (colágeno hidrolisado ou peptídeos de colágeno em combinação com ingestão ou suplementação, data da consulta outubro de 2026) resultou em 101 estudos em humanos. No ClinicalTrials.gov, a busca</w:t>
      </w:r>
      <w:r>
        <w:t xml:space="preserve"> </w:t>
      </w:r>
      <w:r>
        <w:t xml:space="preserve">“</w:t>
      </w:r>
      <w:r>
        <w:t xml:space="preserve">collagen peptides</w:t>
      </w:r>
      <w:r>
        <w:t xml:space="preserve">”</w:t>
      </w:r>
      <w:r>
        <w:t xml:space="preserve"> </w:t>
      </w:r>
      <w:r>
        <w:t xml:space="preserve">encontrou 237 registros; uma parte considerável deles, porém, refere-se a outros temas (como implantes de colágeno na odontologia ou o medicamento contra o câncer endostatina, um fragmento de colágeno). Somam-se a isso pelo menos uma dúzia de metanálises.</w:t>
      </w:r>
    </w:p>
    <w:p>
      <w:pPr>
        <w:pStyle w:val="BodyText"/>
      </w:pPr>
      <w:r>
        <w:t xml:space="preserve">Três características marcam quase todos os estudos e devem ser levadas em conta na leitura:</w:t>
      </w:r>
    </w:p>
    <w:p>
      <w:pPr>
        <w:numPr>
          <w:ilvl w:val="0"/>
          <w:numId w:val="1291"/>
        </w:numPr>
        <w:pStyle w:val="Compact"/>
      </w:pPr>
      <w:r>
        <w:rPr>
          <w:bCs/>
          <w:b/>
        </w:rPr>
        <w:t xml:space="preserve">Amostras pequenas e curta duração:</w:t>
      </w:r>
      <w:r>
        <w:t xml:space="preserve"> </w:t>
      </w:r>
      <w:r>
        <w:t xml:space="preserve">geralmente 40 a 150 participantes durante 8 a 24 semanas.</w:t>
      </w:r>
    </w:p>
    <w:p>
      <w:pPr>
        <w:numPr>
          <w:ilvl w:val="0"/>
          <w:numId w:val="1291"/>
        </w:numPr>
        <w:pStyle w:val="Compact"/>
      </w:pPr>
      <w:r>
        <w:rPr>
          <w:bCs/>
          <w:b/>
        </w:rPr>
        <w:t xml:space="preserve">Financiamento pelo fabricante:</w:t>
      </w:r>
      <w:r>
        <w:t xml:space="preserve"> </w:t>
      </w:r>
      <w:r>
        <w:t xml:space="preserve">grande parte dos estudos foi paga pelos fabricantes da matéria-prima ou do produto ou teve coautoria de seus funcionários. Frequentemente são testadas misturas de peptídeos de marca registrada.</w:t>
      </w:r>
    </w:p>
    <w:p>
      <w:pPr>
        <w:numPr>
          <w:ilvl w:val="0"/>
          <w:numId w:val="1291"/>
        </w:numPr>
        <w:pStyle w:val="Compact"/>
      </w:pPr>
      <w:r>
        <w:rPr>
          <w:bCs/>
          <w:b/>
        </w:rPr>
        <w:t xml:space="preserve">Produtos combinados:</w:t>
      </w:r>
      <w:r>
        <w:t xml:space="preserve"> </w:t>
      </w:r>
      <w:r>
        <w:t xml:space="preserve">muitas</w:t>
      </w:r>
      <w:r>
        <w:t xml:space="preserve"> </w:t>
      </w:r>
      <w:r>
        <w:t xml:space="preserve">“</w:t>
      </w:r>
      <w:r>
        <w:t xml:space="preserve">bebidas de colágeno</w:t>
      </w:r>
      <w:r>
        <w:t xml:space="preserve">”</w:t>
      </w:r>
      <w:r>
        <w:t xml:space="preserve"> </w:t>
      </w:r>
      <w:r>
        <w:t xml:space="preserve">contêm também vitamina C, zinco, biotina, ácido hialurônico ou extratos vegetais. Um resultado positivo não pode, então, ser atribuído apenas ao colágeno.</w:t>
      </w:r>
    </w:p>
    <w:bookmarkStart w:id="2328" w:name="pele-hidratação-elasticidade-rugas"/>
    <w:p>
      <w:pPr>
        <w:pStyle w:val="Heading4"/>
      </w:pPr>
      <w:r>
        <w:t xml:space="preserve">Pele: hidratação, elasticidade, rugas</w:t>
      </w:r>
    </w:p>
    <w:p>
      <w:pPr>
        <w:pStyle w:val="FirstParagraph"/>
      </w:pPr>
      <w:r>
        <w:t xml:space="preserve">Os estudos sobre a pele são os mais numerosos. As medições geralmente são feitas com aparelhos: corneômetro (hidratação da camada córnea), cutômetro (elasticidade), moldes da pele ou câmeras 3D (profundidade das rugas), ultrassom (densidade da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mulheres (35–55 anos), 2,5 g ou 5 g vs. placebo</w:t>
            </w:r>
          </w:p>
        </w:tc>
        <w:tc>
          <w:tcPr/>
          <w:p>
            <w:pPr>
              <w:pStyle w:val="Compact"/>
              <w:jc w:val="left"/>
            </w:pPr>
            <w:r>
              <w:t xml:space="preserve">8 semanas</w:t>
            </w:r>
          </w:p>
        </w:tc>
        <w:tc>
          <w:tcPr/>
          <w:p>
            <w:pPr>
              <w:pStyle w:val="Compact"/>
              <w:jc w:val="left"/>
            </w:pPr>
            <w:r>
              <w:t xml:space="preserve">Elasticidade significativamente melhor que placebo nos dois grupos de dose; hidratação não significativa</w:t>
            </w:r>
          </w:p>
        </w:tc>
      </w:tr>
      <w:tr>
        <w:tc>
          <w:tcPr/>
          <w:p>
            <w:pPr>
              <w:pStyle w:val="Compact"/>
              <w:jc w:val="left"/>
            </w:pPr>
            <w:r>
              <w:t xml:space="preserve">Proksch 2014b, PMID 24401291</w:t>
            </w:r>
          </w:p>
        </w:tc>
        <w:tc>
          <w:tcPr/>
          <w:p>
            <w:pPr>
              <w:pStyle w:val="Compact"/>
              <w:jc w:val="left"/>
            </w:pPr>
            <w:r>
              <w:t xml:space="preserve">114 mulheres (45–65 anos), 2,5 g de Verisol vs. placebo</w:t>
            </w:r>
          </w:p>
        </w:tc>
        <w:tc>
          <w:tcPr/>
          <w:p>
            <w:pPr>
              <w:pStyle w:val="Compact"/>
              <w:jc w:val="left"/>
            </w:pPr>
            <w:r>
              <w:t xml:space="preserve">8 semanas</w:t>
            </w:r>
          </w:p>
        </w:tc>
        <w:tc>
          <w:tcPr/>
          <w:p>
            <w:pPr>
              <w:pStyle w:val="Compact"/>
              <w:jc w:val="left"/>
            </w:pPr>
            <w:r>
              <w:t xml:space="preserve">Volume das rugas ao redor dos olhos −20% vs. placebo; pró-colágeno I em amostras de pele +65%</w:t>
            </w:r>
          </w:p>
        </w:tc>
      </w:tr>
      <w:tr>
        <w:tc>
          <w:tcPr/>
          <w:p>
            <w:pPr>
              <w:pStyle w:val="Compact"/>
              <w:jc w:val="left"/>
            </w:pPr>
            <w:r>
              <w:t xml:space="preserve">Kim 2018, PMID 29949889</w:t>
            </w:r>
          </w:p>
        </w:tc>
        <w:tc>
          <w:tcPr/>
          <w:p>
            <w:pPr>
              <w:pStyle w:val="Compact"/>
              <w:jc w:val="left"/>
            </w:pPr>
            <w:r>
              <w:t xml:space="preserve">64 pessoas, 1 g de peptídeo de baixo peso molecular vs. placebo</w:t>
            </w:r>
          </w:p>
        </w:tc>
        <w:tc>
          <w:tcPr/>
          <w:p>
            <w:pPr>
              <w:pStyle w:val="Compact"/>
              <w:jc w:val="left"/>
            </w:pPr>
            <w:r>
              <w:t xml:space="preserve">12 semanas</w:t>
            </w:r>
          </w:p>
        </w:tc>
        <w:tc>
          <w:tcPr/>
          <w:p>
            <w:pPr>
              <w:pStyle w:val="Compact"/>
              <w:jc w:val="left"/>
            </w:pPr>
            <w:r>
              <w:t xml:space="preserve">Hidratação e três parâmetros de rugas melhores que placebo; elasticidade em parte</w:t>
            </w:r>
          </w:p>
        </w:tc>
      </w:tr>
      <w:tr>
        <w:tc>
          <w:tcPr/>
          <w:p>
            <w:pPr>
              <w:pStyle w:val="Compact"/>
              <w:jc w:val="left"/>
            </w:pPr>
            <w:r>
              <w:t xml:space="preserve">Bolke 2019, PMID 31627309</w:t>
            </w:r>
          </w:p>
        </w:tc>
        <w:tc>
          <w:tcPr/>
          <w:p>
            <w:pPr>
              <w:pStyle w:val="Compact"/>
              <w:jc w:val="left"/>
            </w:pPr>
            <w:r>
              <w:t xml:space="preserve">72 mulheres a partir de 35 anos, ampola bebível com 2,5 g de peptídeos mais vitaminas, zinco, acerola vs. placebo</w:t>
            </w:r>
          </w:p>
        </w:tc>
        <w:tc>
          <w:tcPr/>
          <w:p>
            <w:pPr>
              <w:pStyle w:val="Compact"/>
              <w:jc w:val="left"/>
            </w:pPr>
            <w:r>
              <w:t xml:space="preserve">12 semanas</w:t>
            </w:r>
          </w:p>
        </w:tc>
        <w:tc>
          <w:tcPr/>
          <w:p>
            <w:pPr>
              <w:pStyle w:val="Compact"/>
              <w:jc w:val="left"/>
            </w:pPr>
            <w:r>
              <w:t xml:space="preserve">Hidratação, elasticidade, aspereza e densidade melhores que placebo (produto combinado)</w:t>
            </w:r>
          </w:p>
        </w:tc>
      </w:tr>
      <w:tr>
        <w:tc>
          <w:tcPr/>
          <w:p>
            <w:pPr>
              <w:pStyle w:val="Compact"/>
              <w:jc w:val="left"/>
            </w:pPr>
            <w:r>
              <w:t xml:space="preserve">Kim 2022, PMID 36516059</w:t>
            </w:r>
          </w:p>
        </w:tc>
        <w:tc>
          <w:tcPr/>
          <w:p>
            <w:pPr>
              <w:pStyle w:val="Compact"/>
              <w:jc w:val="left"/>
            </w:pPr>
            <w:r>
              <w:t xml:space="preserve">100 pessoas, peptídeos de baixo peso molecular vs. placebo</w:t>
            </w:r>
          </w:p>
        </w:tc>
        <w:tc>
          <w:tcPr/>
          <w:p>
            <w:pPr>
              <w:pStyle w:val="Compact"/>
              <w:jc w:val="left"/>
            </w:pPr>
            <w:r>
              <w:t xml:space="preserve">12 semanas</w:t>
            </w:r>
          </w:p>
        </w:tc>
        <w:tc>
          <w:tcPr/>
          <w:p>
            <w:pPr>
              <w:pStyle w:val="Compact"/>
              <w:jc w:val="left"/>
            </w:pPr>
            <w:r>
              <w:t xml:space="preserve">Pés de galinha, aspereza, elasticidade, hidratação melhores que placebo (análise de 84 pessoas)</w:t>
            </w:r>
          </w:p>
        </w:tc>
      </w:tr>
      <w:tr>
        <w:tc>
          <w:tcPr/>
          <w:p>
            <w:pPr>
              <w:pStyle w:val="Compact"/>
              <w:jc w:val="left"/>
            </w:pPr>
            <w:r>
              <w:t xml:space="preserve">Vleminckx 2024, PMID 39143887</w:t>
            </w:r>
          </w:p>
        </w:tc>
        <w:tc>
          <w:tcPr/>
          <w:p>
            <w:pPr>
              <w:pStyle w:val="Compact"/>
              <w:jc w:val="left"/>
            </w:pPr>
            <w:r>
              <w:t xml:space="preserve">85 mulheres do leste asiático (43–65 anos), 5 g vs. maltodextrina</w:t>
            </w:r>
          </w:p>
        </w:tc>
        <w:tc>
          <w:tcPr/>
          <w:p>
            <w:pPr>
              <w:pStyle w:val="Compact"/>
              <w:jc w:val="left"/>
            </w:pPr>
            <w:r>
              <w:t xml:space="preserve">12 semanas</w:t>
            </w:r>
          </w:p>
        </w:tc>
        <w:tc>
          <w:tcPr/>
          <w:p>
            <w:pPr>
              <w:pStyle w:val="Compact"/>
              <w:jc w:val="left"/>
            </w:pPr>
            <w:r>
              <w:t xml:space="preserve">Densidade da pele e hidratação melhores que placebo após 84 dias</w:t>
            </w:r>
          </w:p>
        </w:tc>
      </w:tr>
    </w:tbl>
    <w:p>
      <w:pPr>
        <w:pStyle w:val="BodyText"/>
      </w:pPr>
      <w:r>
        <w:t xml:space="preserve">Alguns estudos investigaram também a celulite (105 mulheres, seis meses; melhora sobretudo em mulheres com peso normal, Schunck 2015, PMID 26561784) e unhas quebradiças. O estudo sobre unhas, porém, era aberto e sem grupo de controle: 25 participantes, crescimento das unhas +12%, unhas quebradas −42%</w:t>
      </w:r>
      <w:r>
        <w:rPr>
          <w:rStyle w:val="FootnoteReference"/>
        </w:rPr>
        <w:footnoteReference w:id="2326"/>
      </w:r>
      <w:r>
        <w:t xml:space="preserve">. Sem grupo de comparação, não se pode excluir aqui um efeito placebo.</w:t>
      </w:r>
    </w:p>
    <w:p>
      <w:pPr>
        <w:pStyle w:val="BodyText"/>
      </w:pPr>
      <w:r>
        <w:t xml:space="preserve">Em pacientes com úlceras de pressão (escaras), foi testado, além do tratamento padrão, um colágeno hidrolisado com alta proporção de prolil-hidroxiprolina. Em 120 participantes, a cicatrização das feridas após 16 semanas foi melhor nesse grupo do que com placebo</w:t>
      </w:r>
      <w:r>
        <w:rPr>
          <w:rStyle w:val="FootnoteReference"/>
        </w:rPr>
        <w:footnoteReference w:id="2327"/>
      </w:r>
      <w:r>
        <w:t xml:space="preserve">. Um pequeno estudo de 2026 em dermatite atópica moderada relatou menor consumo de creme de corticoide com 5 g de peptídeos de colágeno (0,94 g contra 5,60 g; Proksch 2026, PMID 41758763); os próprios autores pedem estudos maiores de confirmação.</w:t>
      </w:r>
    </w:p>
    <w:bookmarkEnd w:id="2328"/>
    <w:bookmarkStart w:id="2333" w:name="Xf160eeec1a7dad7b909f4859fb3dd76491739b6"/>
    <w:p>
      <w:pPr>
        <w:pStyle w:val="Heading4"/>
      </w:pPr>
      <w:r>
        <w:t xml:space="preserve">As metanálises sobre a pele – e a questão do financiamento</w:t>
      </w:r>
    </w:p>
    <w:p>
      <w:pPr>
        <w:pStyle w:val="FirstParagraph"/>
      </w:pPr>
      <w:r>
        <w:t xml:space="preserve">Reunindo os estudos sobre a pele, obtém-se à primeira vista um quadro claro:</w:t>
      </w:r>
    </w:p>
    <w:p>
      <w:pPr>
        <w:numPr>
          <w:ilvl w:val="0"/>
          <w:numId w:val="1292"/>
        </w:numPr>
        <w:pStyle w:val="Compact"/>
      </w:pPr>
      <w:r>
        <w:t xml:space="preserve">19 estudos com 1.125 participantes: efeito favorável sobre hidratação, elasticidade e rugas</w:t>
      </w:r>
      <w:r>
        <w:rPr>
          <w:rStyle w:val="FootnoteReference"/>
        </w:rPr>
        <w:footnoteReference w:id="2329"/>
      </w:r>
      <w:r>
        <w:t xml:space="preserve">.</w:t>
      </w:r>
    </w:p>
    <w:p>
      <w:pPr>
        <w:numPr>
          <w:ilvl w:val="0"/>
          <w:numId w:val="1292"/>
        </w:numPr>
        <w:pStyle w:val="Compact"/>
      </w:pPr>
      <w:r>
        <w:t xml:space="preserve">26 estudos com 1.721 participantes: melhora significativa de hidratação e elasticidade; os autores, porém, apontam várias fontes de viés e pedem estudos grandes</w:t>
      </w:r>
      <w:r>
        <w:rPr>
          <w:rStyle w:val="FootnoteReference"/>
        </w:rPr>
        <w:footnoteReference w:id="2330"/>
      </w:r>
      <w:r>
        <w:t xml:space="preserve">.</w:t>
      </w:r>
    </w:p>
    <w:p>
      <w:pPr>
        <w:numPr>
          <w:ilvl w:val="0"/>
          <w:numId w:val="1292"/>
        </w:numPr>
        <w:pStyle w:val="Compact"/>
      </w:pPr>
      <w:r>
        <w:t xml:space="preserve">10 estudos com 646 participantes: hidratação e elasticidade melhoradas, com heterogeneidade média e risco de viés predominantemente incerto</w:t>
      </w:r>
      <w:r>
        <w:rPr>
          <w:rStyle w:val="FootnoteReference"/>
        </w:rPr>
        <w:footnoteReference w:id="2331"/>
      </w:r>
      <w:r>
        <w:t xml:space="preserve">.</w:t>
      </w:r>
    </w:p>
    <w:p>
      <w:pPr>
        <w:pStyle w:val="FirstParagraph"/>
      </w:pPr>
      <w:r>
        <w:t xml:space="preserve">Uma metanálise de 2025 foi um passo além e separou os estudos por financiador e qualidade. Considerando todos os 23 estudos com 1.474 participantes, apareceu novamente uma vantagem. Considerando, porém, apenas os estudos</w:t>
      </w:r>
      <w:r>
        <w:t xml:space="preserve"> </w:t>
      </w:r>
      <w:r>
        <w:rPr>
          <w:iCs/>
          <w:i/>
        </w:rPr>
        <w:t xml:space="preserve">sem</w:t>
      </w:r>
      <w:r>
        <w:t xml:space="preserve"> </w:t>
      </w:r>
      <w:r>
        <w:t xml:space="preserve">financiamento da indústria, o efeito sobre hidratação, elasticidade e rugas desapareceu. Também os estudos metodologicamente de alta qualidade não mostraram efeito significativo em nenhuma categoria; apenas nos estudos de baixa qualidade houve melhora da elasticidade. As autoras e os autores concluem que atualmente não há provas clínicas que sustentem o uso de preparações de colágeno para prevenir ou tratar o envelhecimento da pele</w:t>
      </w:r>
      <w:r>
        <w:rPr>
          <w:rStyle w:val="FootnoteReference"/>
        </w:rPr>
        <w:footnoteReference w:id="2332"/>
      </w:r>
      <w:r>
        <w:t xml:space="preserve">.</w:t>
      </w:r>
    </w:p>
    <w:p>
      <w:pPr>
        <w:pStyle w:val="BodyText"/>
      </w:pPr>
      <w:r>
        <w:t xml:space="preserve">Esse resultado não é um veredito definitivo – o número de estudos independentes é pequeno, e a ausência de significância estatística não significa automaticamente que não haja efeito. Mas mostra o quanto o balanço positivo geral depende de estudos financiados pelos próprios fornecedores. Para você, isso significa: a afirmação</w:t>
      </w:r>
      <w:r>
        <w:t xml:space="preserve"> </w:t>
      </w:r>
      <w:r>
        <w:t xml:space="preserve">“</w:t>
      </w:r>
      <w:r>
        <w:t xml:space="preserve">clinicamente comprovado</w:t>
      </w:r>
      <w:r>
        <w:t xml:space="preserve">”</w:t>
      </w:r>
      <w:r>
        <w:t xml:space="preserve"> </w:t>
      </w:r>
      <w:r>
        <w:t xml:space="preserve">em uma embalagem de colágeno baseia-se, em regra, em estudos do próprio fornecedor da matéria-prima.</w:t>
      </w:r>
    </w:p>
    <w:bookmarkEnd w:id="2333"/>
    <w:bookmarkStart w:id="2339" w:name="articulações-e-artrose"/>
    <w:p>
      <w:pPr>
        <w:pStyle w:val="Heading4"/>
      </w:pPr>
      <w:r>
        <w:t xml:space="preserve">Articulações e artrose</w:t>
      </w:r>
    </w:p>
    <w:p>
      <w:pPr>
        <w:pStyle w:val="FirstParagraph"/>
      </w:pPr>
      <w:r>
        <w:t xml:space="preserve">O segundo grande grupo de estudos refere-se a dores articulares – tanto na artrose quanto em pessoas fisicamente ativas sem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atletas com dores articulares relacionadas ao esforço, 10 g vs. placebo</w:t>
            </w:r>
          </w:p>
        </w:tc>
        <w:tc>
          <w:tcPr/>
          <w:p>
            <w:pPr>
              <w:pStyle w:val="Compact"/>
              <w:jc w:val="left"/>
            </w:pPr>
            <w:r>
              <w:t xml:space="preserve">24 semanas</w:t>
            </w:r>
          </w:p>
        </w:tc>
        <w:tc>
          <w:tcPr/>
          <w:p>
            <w:pPr>
              <w:pStyle w:val="Compact"/>
              <w:jc w:val="left"/>
            </w:pPr>
            <w:r>
              <w:t xml:space="preserve">Vários valores de dor melhores que placebo; apenas 97 de 147 avaliáveis</w:t>
            </w:r>
          </w:p>
        </w:tc>
      </w:tr>
      <w:tr>
        <w:tc>
          <w:tcPr/>
          <w:p>
            <w:pPr>
              <w:pStyle w:val="Compact"/>
              <w:jc w:val="left"/>
            </w:pPr>
            <w:r>
              <w:t xml:space="preserve">Bruyère 2012, PMID 22500661</w:t>
            </w:r>
          </w:p>
        </w:tc>
        <w:tc>
          <w:tcPr/>
          <w:p>
            <w:pPr>
              <w:pStyle w:val="Compact"/>
              <w:jc w:val="left"/>
            </w:pPr>
            <w:r>
              <w:t xml:space="preserve">200 pessoas a partir de 50 anos com dores articulares, 1,2 g vs. placebo</w:t>
            </w:r>
          </w:p>
        </w:tc>
        <w:tc>
          <w:tcPr/>
          <w:p>
            <w:pPr>
              <w:pStyle w:val="Compact"/>
              <w:jc w:val="left"/>
            </w:pPr>
            <w:r>
              <w:t xml:space="preserve">6 meses</w:t>
            </w:r>
          </w:p>
        </w:tc>
        <w:tc>
          <w:tcPr/>
          <w:p>
            <w:pPr>
              <w:pStyle w:val="Compact"/>
              <w:jc w:val="left"/>
            </w:pPr>
            <w:r>
              <w:t xml:space="preserve">Taxa de resposta 51,6% vs. 36,5% após 6 meses; após 3 meses, nenhuma diferença</w:t>
            </w:r>
          </w:p>
        </w:tc>
      </w:tr>
      <w:tr>
        <w:tc>
          <w:tcPr/>
          <w:p>
            <w:pPr>
              <w:pStyle w:val="Compact"/>
              <w:jc w:val="left"/>
            </w:pPr>
            <w:r>
              <w:t xml:space="preserve">Kumar 2015, PMID 24852756</w:t>
            </w:r>
          </w:p>
        </w:tc>
        <w:tc>
          <w:tcPr/>
          <w:p>
            <w:pPr>
              <w:pStyle w:val="Compact"/>
              <w:jc w:val="left"/>
            </w:pPr>
            <w:r>
              <w:t xml:space="preserve">Artrose de joelho, peptídeos de pele suína ou osso bovino vs. placebo</w:t>
            </w:r>
          </w:p>
        </w:tc>
        <w:tc>
          <w:tcPr/>
          <w:p>
            <w:pPr>
              <w:pStyle w:val="Compact"/>
              <w:jc w:val="left"/>
            </w:pPr>
            <w:r>
              <w:t xml:space="preserve">13 semanas</w:t>
            </w:r>
          </w:p>
        </w:tc>
        <w:tc>
          <w:tcPr/>
          <w:p>
            <w:pPr>
              <w:pStyle w:val="Compact"/>
              <w:jc w:val="left"/>
            </w:pPr>
            <w:r>
              <w:t xml:space="preserve">Valores de WOMAC, dor e qualidade de vida melhores que placebo</w:t>
            </w:r>
          </w:p>
        </w:tc>
      </w:tr>
      <w:tr>
        <w:tc>
          <w:tcPr/>
          <w:p>
            <w:pPr>
              <w:pStyle w:val="Compact"/>
              <w:jc w:val="left"/>
            </w:pPr>
            <w:r>
              <w:t xml:space="preserve">Zdzieblik 2017, PMID 28177710</w:t>
            </w:r>
          </w:p>
        </w:tc>
        <w:tc>
          <w:tcPr/>
          <w:p>
            <w:pPr>
              <w:pStyle w:val="Compact"/>
              <w:jc w:val="left"/>
            </w:pPr>
            <w:r>
              <w:t xml:space="preserve">139 atletas com queixas no joelho, 5 g vs. placebo</w:t>
            </w:r>
          </w:p>
        </w:tc>
        <w:tc>
          <w:tcPr/>
          <w:p>
            <w:pPr>
              <w:pStyle w:val="Compact"/>
              <w:jc w:val="left"/>
            </w:pPr>
            <w:r>
              <w:t xml:space="preserve">12 semanas</w:t>
            </w:r>
          </w:p>
        </w:tc>
        <w:tc>
          <w:tcPr/>
          <w:p>
            <w:pPr>
              <w:pStyle w:val="Compact"/>
              <w:jc w:val="left"/>
            </w:pPr>
            <w:r>
              <w:t xml:space="preserve">Dor ao esforço melhor que placebo (p = 0,046); dor em repouso não</w:t>
            </w:r>
          </w:p>
        </w:tc>
      </w:tr>
      <w:tr>
        <w:tc>
          <w:tcPr/>
          <w:p>
            <w:pPr>
              <w:pStyle w:val="Compact"/>
              <w:jc w:val="left"/>
            </w:pPr>
            <w:r>
              <w:t xml:space="preserve">Bongers 2020, PMID 31990581</w:t>
            </w:r>
          </w:p>
        </w:tc>
        <w:tc>
          <w:tcPr/>
          <w:p>
            <w:pPr>
              <w:pStyle w:val="Compact"/>
              <w:jc w:val="left"/>
            </w:pPr>
            <w:r>
              <w:t xml:space="preserve">167 pessoas ativas (mediana 63 anos) com dor no joelho, 10 g vs. placebo</w:t>
            </w:r>
          </w:p>
        </w:tc>
        <w:tc>
          <w:tcPr/>
          <w:p>
            <w:pPr>
              <w:pStyle w:val="Compact"/>
              <w:jc w:val="left"/>
            </w:pPr>
            <w:r>
              <w:t xml:space="preserve">12 semanas</w:t>
            </w:r>
          </w:p>
        </w:tc>
        <w:tc>
          <w:tcPr/>
          <w:p>
            <w:pPr>
              <w:pStyle w:val="Compact"/>
              <w:jc w:val="left"/>
            </w:pPr>
            <w:r>
              <w:t xml:space="preserve">Nenhuma diferença: a dor caiu igualmente nos dois grupos</w:t>
            </w:r>
          </w:p>
        </w:tc>
      </w:tr>
    </w:tbl>
    <w:p>
      <w:pPr>
        <w:pStyle w:val="BodyText"/>
      </w:pPr>
      <w:r>
        <w:t xml:space="preserve">O estudo de Bongers é notável porque está entre os maiores e relata um resultado claramente negativo: a dor e a função do joelho melhoraram – mas com placebo tanto quanto com colágeno. Isso ilustra o tamanho do efeito placebo nas dores articulares.</w:t>
      </w:r>
    </w:p>
    <w:p>
      <w:pPr>
        <w:pStyle w:val="BodyText"/>
      </w:pPr>
      <w:r>
        <w:t xml:space="preserve">Ainda assim, as metanálises chegam predominantemente a um resultado favorável:</w:t>
      </w:r>
    </w:p>
    <w:p>
      <w:pPr>
        <w:numPr>
          <w:ilvl w:val="0"/>
          <w:numId w:val="1293"/>
        </w:numPr>
        <w:pStyle w:val="Compact"/>
      </w:pPr>
      <w:r>
        <w:t xml:space="preserve">Uma metanálise de estudos randomizados controlados por placebo encontrou redução significativa do escore total do WOMAC (um questionário de artrose) e do escore de dor na escala visual analógica; os subitens dor e limitação funcional do WOMAC, porém, não diferiram significativamente</w:t>
      </w:r>
      <w:r>
        <w:rPr>
          <w:rStyle w:val="FootnoteReference"/>
        </w:rPr>
        <w:footnoteReference w:id="2334"/>
      </w:r>
      <w:r>
        <w:t xml:space="preserve">.</w:t>
      </w:r>
    </w:p>
    <w:p>
      <w:pPr>
        <w:numPr>
          <w:ilvl w:val="0"/>
          <w:numId w:val="1293"/>
        </w:numPr>
        <w:pStyle w:val="Compact"/>
      </w:pPr>
      <w:r>
        <w:t xml:space="preserve">A análise mais abrangente até agora incluiu 35 estudos com 3.165 pacientes com artrose. Os derivados de colágeno – aqui, colágeno hidrolisado e não desnaturado foram agrupados – tiveram efeitos pequenos a moderados sobre a dor (diferença média padronizada −0,35) e a função (−0,31). Efeitos colaterais e abandonos de estudo não foram mais frequentes do que no controle</w:t>
      </w:r>
      <w:r>
        <w:rPr>
          <w:rStyle w:val="FootnoteReference"/>
        </w:rPr>
        <w:footnoteReference w:id="2335"/>
      </w:r>
      <w:r>
        <w:t xml:space="preserve">.</w:t>
      </w:r>
    </w:p>
    <w:p>
      <w:pPr>
        <w:numPr>
          <w:ilvl w:val="0"/>
          <w:numId w:val="1293"/>
        </w:numPr>
        <w:pStyle w:val="Compact"/>
      </w:pPr>
      <w:r>
        <w:t xml:space="preserve">Uma análise de apenas quatro estudos com 507 pacientes com artrose de joelho também encontrou alívio da dor, mas classificou todos os quatro estudos como de alto risco de viés</w:t>
      </w:r>
      <w:r>
        <w:rPr>
          <w:rStyle w:val="FootnoteReference"/>
        </w:rPr>
        <w:footnoteReference w:id="2336"/>
      </w:r>
      <w:r>
        <w:t xml:space="preserve">.</w:t>
      </w:r>
    </w:p>
    <w:p>
      <w:pPr>
        <w:numPr>
          <w:ilvl w:val="0"/>
          <w:numId w:val="1293"/>
        </w:numPr>
        <w:pStyle w:val="Compact"/>
      </w:pPr>
      <w:r>
        <w:t xml:space="preserve">Uma metanálise atualizada com 11 estudos e 870 participantes relatou melhoras de função e dor, porém com heterogeneidade muito alta (I² 75 e 88%)</w:t>
      </w:r>
      <w:r>
        <w:rPr>
          <w:rStyle w:val="FootnoteReference"/>
        </w:rPr>
        <w:footnoteReference w:id="2337"/>
      </w:r>
      <w:r>
        <w:t xml:space="preserve">.</w:t>
      </w:r>
    </w:p>
    <w:p>
      <w:pPr>
        <w:pStyle w:val="FirstParagraph"/>
      </w:pPr>
      <w:r>
        <w:t xml:space="preserve">Para contextualizar: uma diferença média padronizada de cerca de 0,3 é considerada um efeito pequeno. Ela está em uma ordem de grandeza semelhante à de alguns outros suplementos alimentares para artrose e é bem menor do que o efeito esperado de um analgésico. Uma grande revisão sobre suplementos alimentares na artrose encontrou para o colágeno hidrolisado grandes efeitos de curto prazo sobre a dor, mas concluiu no geral que a qualidade da evidência é muito baixa e que nenhuma preparação mostrou efeitos clinicamente relevantes a longo prazo</w:t>
      </w:r>
      <w:r>
        <w:rPr>
          <w:rStyle w:val="FootnoteReference"/>
        </w:rPr>
        <w:footnoteReference w:id="2338"/>
      </w:r>
      <w:r>
        <w:t xml:space="preserve">.</w:t>
      </w:r>
    </w:p>
    <w:bookmarkEnd w:id="2339"/>
    <w:bookmarkStart w:id="2342" w:name="X737b453bcb91247592582c1c18ebd5071f332ef"/>
    <w:p>
      <w:pPr>
        <w:pStyle w:val="Heading4"/>
      </w:pPr>
      <w:r>
        <w:t xml:space="preserve">Delimitação: colágeno tipo II não desnaturado (UC-II)</w:t>
      </w:r>
    </w:p>
    <w:p>
      <w:pPr>
        <w:pStyle w:val="FirstParagraph"/>
      </w:pPr>
      <w:r>
        <w:t xml:space="preserve">O colágeno tipo II não desnaturado é obtido de forma cuidadosa a partir da cartilagem do peito de frango, de modo que a estrutura original do colágeno é parcialmente preservada. Ele é ingerido em quantidades muito pequenas – nos estudos, 40 miligramas por dia, ou seja, cerca de um centésimo a um duzentos e cinquenta avos das quantidades em gramas do colágeno hidrolisado. Ele não deve agir como matéria-prima, mas pela chamada tolerância oral: o sistema imunológico do intestino aprenderia a não tratar o colágeno da cartilagem como alvo de ataque. Essa ideia vem de modelos animais de inflamação articular.</w:t>
      </w:r>
    </w:p>
    <w:p>
      <w:pPr>
        <w:pStyle w:val="BodyText"/>
      </w:pPr>
      <w:r>
        <w:t xml:space="preserve">Historicamente, o princípio foi testado primeiro na artrite reumatoide. Um pequeno estudo com 60 pacientes relatou em 1993 uma redução de articulações inchadas e dolorosas à pressão</w:t>
      </w:r>
      <w:r>
        <w:rPr>
          <w:rStyle w:val="FootnoteReference"/>
        </w:rPr>
        <w:footnoteReference w:id="2340"/>
      </w:r>
      <w:r>
        <w:t xml:space="preserve">. Um estudo maior, com 274 participantes e quatro doses, encontrou depois uma vantagem significativa apenas na dose mais baixa e apenas segundo um de três critérios de avaliação</w:t>
      </w:r>
      <w:r>
        <w:rPr>
          <w:rStyle w:val="FootnoteReference"/>
        </w:rPr>
        <w:footnoteReference w:id="2341"/>
      </w:r>
      <w:r>
        <w:t xml:space="preserve">. Como terapia reumatológica, a abordagem não se estabeleceu.</w:t>
      </w:r>
    </w:p>
    <w:p>
      <w:pPr>
        <w:pStyle w:val="BodyText"/>
      </w:pPr>
      <w:r>
        <w:t xml:space="preserve">Para artrose e queixas articulares, há sobretudo estudos próximos aos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pessoas com artrose de joelho, UC-II vs. glucosamina/condroitina vs. placebo</w:t>
            </w:r>
          </w:p>
        </w:tc>
        <w:tc>
          <w:tcPr/>
          <w:p>
            <w:pPr>
              <w:pStyle w:val="Compact"/>
              <w:jc w:val="left"/>
            </w:pPr>
            <w:r>
              <w:t xml:space="preserve">180 dias</w:t>
            </w:r>
          </w:p>
        </w:tc>
        <w:tc>
          <w:tcPr/>
          <w:p>
            <w:pPr>
              <w:pStyle w:val="Compact"/>
              <w:jc w:val="left"/>
            </w:pPr>
            <w:r>
              <w:t xml:space="preserve">Escore total do WOMAC melhor que placebo (p = 0,002) e que glucosamina/condroitina (p = 0,04)</w:t>
            </w:r>
          </w:p>
        </w:tc>
      </w:tr>
      <w:tr>
        <w:tc>
          <w:tcPr/>
          <w:p>
            <w:pPr>
              <w:pStyle w:val="Compact"/>
              <w:jc w:val="left"/>
            </w:pPr>
            <w:r>
              <w:t xml:space="preserve">Lugo 2013, PMID 24153020</w:t>
            </w:r>
          </w:p>
        </w:tc>
        <w:tc>
          <w:tcPr/>
          <w:p>
            <w:pPr>
              <w:pStyle w:val="Compact"/>
              <w:jc w:val="left"/>
            </w:pPr>
            <w:r>
              <w:t xml:space="preserve">55 pessoas saudáveis com dor no joelho relacionada ao esforço, UC-II vs. placebo</w:t>
            </w:r>
          </w:p>
        </w:tc>
        <w:tc>
          <w:tcPr/>
          <w:p>
            <w:pPr>
              <w:pStyle w:val="Compact"/>
              <w:jc w:val="left"/>
            </w:pPr>
            <w:r>
              <w:t xml:space="preserve">120 dias</w:t>
            </w:r>
          </w:p>
        </w:tc>
        <w:tc>
          <w:tcPr/>
          <w:p>
            <w:pPr>
              <w:pStyle w:val="Compact"/>
              <w:jc w:val="left"/>
            </w:pPr>
            <w:r>
              <w:t xml:space="preserve">Extensão do joelho 81,0° vs. 74,0°; esforço sem dor mais longo</w:t>
            </w:r>
          </w:p>
        </w:tc>
      </w:tr>
      <w:tr>
        <w:tc>
          <w:tcPr/>
          <w:p>
            <w:pPr>
              <w:pStyle w:val="Compact"/>
              <w:jc w:val="left"/>
            </w:pPr>
            <w:r>
              <w:t xml:space="preserve">Yuenyongviwat 2025, PMID 40897777</w:t>
            </w:r>
          </w:p>
        </w:tc>
        <w:tc>
          <w:tcPr/>
          <w:p>
            <w:pPr>
              <w:pStyle w:val="Compact"/>
              <w:jc w:val="left"/>
            </w:pPr>
            <w:r>
              <w:t xml:space="preserve">68 pessoas com artrose de joelho, UC-II mais colágeno hidrolisado vs. placebo</w:t>
            </w:r>
          </w:p>
        </w:tc>
        <w:tc>
          <w:tcPr/>
          <w:p>
            <w:pPr>
              <w:pStyle w:val="Compact"/>
              <w:jc w:val="left"/>
            </w:pPr>
            <w:r>
              <w:t xml:space="preserve">12 semanas</w:t>
            </w:r>
          </w:p>
        </w:tc>
        <w:tc>
          <w:tcPr/>
          <w:p>
            <w:pPr>
              <w:pStyle w:val="Compact"/>
              <w:jc w:val="left"/>
            </w:pPr>
            <w:r>
              <w:t xml:space="preserve">Nenhuma diferença em dor, função, medicação de resgate</w:t>
            </w:r>
          </w:p>
        </w:tc>
      </w:tr>
    </w:tbl>
    <w:p>
      <w:pPr>
        <w:pStyle w:val="BodyText"/>
      </w:pPr>
      <w:r>
        <w:t xml:space="preserve">O estudo mais recente vem de um grupo de trabalho independente, que aponta expressamente que a maioria dos estudos anteriores sobre colágeno foi financiada pela indústria. Ele encontrou – como Bongers 2020 – melhoras nos dois grupos, mas nenhuma vantagem em relação ao placebo (Yuenyongviwat 2025, PMID 40897777, registrado como NCT06229951).</w:t>
      </w:r>
    </w:p>
    <w:p>
      <w:pPr>
        <w:pStyle w:val="BodyText"/>
      </w:pPr>
      <w:r>
        <w:t xml:space="preserve">Importante para consumidoras e consumidores: UC-II e colágeno hidrolisado não são intercambiáveis. Quem lê estudos sobre um produto não pode deduzir deles nada sobre o outro.</w:t>
      </w:r>
    </w:p>
    <w:bookmarkEnd w:id="2342"/>
    <w:bookmarkStart w:id="2343" w:name="ossos"/>
    <w:p>
      <w:pPr>
        <w:pStyle w:val="Heading4"/>
      </w:pPr>
      <w:r>
        <w:t xml:space="preserve">Ossos</w:t>
      </w:r>
    </w:p>
    <w:p>
      <w:pPr>
        <w:pStyle w:val="FirstParagraph"/>
      </w:pPr>
      <w:r>
        <w:t xml:space="preserve">Nos ossos, os dados são escassos, mas interessantes: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mulheres na pós-menopausa com densidade óssea reduzida, 5 g vs. placebo</w:t>
            </w:r>
          </w:p>
        </w:tc>
        <w:tc>
          <w:tcPr/>
          <w:p>
            <w:pPr>
              <w:pStyle w:val="Compact"/>
              <w:jc w:val="left"/>
            </w:pPr>
            <w:r>
              <w:t xml:space="preserve">12 meses</w:t>
            </w:r>
          </w:p>
        </w:tc>
        <w:tc>
          <w:tcPr/>
          <w:p>
            <w:pPr>
              <w:pStyle w:val="Compact"/>
              <w:jc w:val="left"/>
            </w:pPr>
            <w:r>
              <w:t xml:space="preserve">T-score da coluna +0,1 vs. −0,03; colo do fêmur +0,09 vs. −0,01</w:t>
            </w:r>
          </w:p>
        </w:tc>
      </w:tr>
      <w:tr>
        <w:tc>
          <w:tcPr/>
          <w:p>
            <w:pPr>
              <w:pStyle w:val="Compact"/>
              <w:jc w:val="left"/>
            </w:pPr>
            <w:r>
              <w:t xml:space="preserve">Elam 2015, PMID 25314004</w:t>
            </w:r>
          </w:p>
        </w:tc>
        <w:tc>
          <w:tcPr/>
          <w:p>
            <w:pPr>
              <w:pStyle w:val="Compact"/>
              <w:jc w:val="left"/>
            </w:pPr>
            <w:r>
              <w:t xml:space="preserve">39 mulheres com osteopenia, quelato de cálcio-colágeno mais vitamina D vs. cálcio mais vitamina D</w:t>
            </w:r>
          </w:p>
        </w:tc>
        <w:tc>
          <w:tcPr/>
          <w:p>
            <w:pPr>
              <w:pStyle w:val="Compact"/>
              <w:jc w:val="left"/>
            </w:pPr>
            <w:r>
              <w:t xml:space="preserve">12 meses</w:t>
            </w:r>
          </w:p>
        </w:tc>
        <w:tc>
          <w:tcPr/>
          <w:p>
            <w:pPr>
              <w:pStyle w:val="Compact"/>
              <w:jc w:val="left"/>
            </w:pPr>
            <w:r>
              <w:t xml:space="preserve">Perda de densidade óssea de corpo inteiro −1,33% vs. −3,75% (concluintes do estudo)</w:t>
            </w:r>
          </w:p>
        </w:tc>
      </w:tr>
      <w:tr>
        <w:tc>
          <w:tcPr/>
          <w:p>
            <w:pPr>
              <w:pStyle w:val="Compact"/>
              <w:jc w:val="left"/>
            </w:pPr>
            <w:r>
              <w:t xml:space="preserve">Lampropoulou-Adamidou 2022, PMID 34980546</w:t>
            </w:r>
          </w:p>
        </w:tc>
        <w:tc>
          <w:tcPr/>
          <w:p>
            <w:pPr>
              <w:pStyle w:val="Compact"/>
              <w:jc w:val="left"/>
            </w:pPr>
            <w:r>
              <w:t xml:space="preserve">51 mulheres com osteopenia, 5 g de peptídeos mais cálcio/vitamina D vs. cálcio/vitamina D</w:t>
            </w:r>
          </w:p>
        </w:tc>
        <w:tc>
          <w:tcPr/>
          <w:p>
            <w:pPr>
              <w:pStyle w:val="Compact"/>
              <w:jc w:val="left"/>
            </w:pPr>
            <w:r>
              <w:t xml:space="preserve">12 meses</w:t>
            </w:r>
          </w:p>
        </w:tc>
        <w:tc>
          <w:tcPr/>
          <w:p>
            <w:pPr>
              <w:pStyle w:val="Compact"/>
              <w:jc w:val="left"/>
            </w:pPr>
            <w:r>
              <w:t xml:space="preserve">Maior densidade óssea na tíbia e na coluna lombar com colágeno</w:t>
            </w:r>
          </w:p>
        </w:tc>
      </w:tr>
    </w:tbl>
    <w:p>
      <w:pPr>
        <w:pStyle w:val="BodyText"/>
      </w:pPr>
      <w:r>
        <w:t xml:space="preserve">As diferenças são pequenas, os estudos são curtos, e nenhum estudo investigou fraturas ósseas – o desfecho realmente decisivo. Os peptídeos de colágeno não substituem uma terapia para osteoporose com redução comprovada de fraturas.</w:t>
      </w:r>
    </w:p>
    <w:bookmarkEnd w:id="2343"/>
    <w:bookmarkStart w:id="2350" w:name="músculos-e-tendões"/>
    <w:p>
      <w:pPr>
        <w:pStyle w:val="Heading4"/>
      </w:pPr>
      <w:r>
        <w:t xml:space="preserve">Músculos e tendões</w:t>
      </w:r>
    </w:p>
    <w:p>
      <w:pPr>
        <w:pStyle w:val="FirstParagraph"/>
      </w:pPr>
      <w:r>
        <w:t xml:space="preserve">No esporte, os peptídeos de colágeno são promovidos para dois objetivos diferentes: ganho muscular e fortalecimento de tendões e ligamentos.</w:t>
      </w:r>
    </w:p>
    <w:p>
      <w:pPr>
        <w:pStyle w:val="BodyText"/>
      </w:pPr>
      <w:r>
        <w:rPr>
          <w:bCs/>
          <w:b/>
        </w:rPr>
        <w:t xml:space="preserve">Ganho muscular.</w:t>
      </w:r>
      <w:r>
        <w:t xml:space="preserve"> </w:t>
      </w:r>
      <w:r>
        <w:t xml:space="preserve">O estudo mais citado investigou 53 homens idosos com sarcopenia (perda muscular relacionada à idade), que fizeram treino de força durante doze semanas e receberam 15 g de peptídeos de colágeno ou placebo (dióxido de silício). A massa magra aumentou 4,2 kg com colágeno e 2,9 kg com placebo</w:t>
      </w:r>
      <w:r>
        <w:rPr>
          <w:rStyle w:val="FootnoteReference"/>
        </w:rPr>
        <w:footnoteReference w:id="2344"/>
      </w:r>
      <w:r>
        <w:t xml:space="preserve">. O problema: o grupo placebo não recebeu proteína nenhuma. A vantagem poderia, portanto, dever-se simplesmente ao aporte adicional de proteína.</w:t>
      </w:r>
    </w:p>
    <w:p>
      <w:pPr>
        <w:pStyle w:val="BodyText"/>
      </w:pPr>
      <w:r>
        <w:t xml:space="preserve">Exatamente essa questão é respondida por comparações com proteína de alta qualidade. Em 22 mulheres idosas, a proteína do soro do leite (whey) aumentou a síntese de proteína muscular tanto a curto prazo quanto ao longo de seis dias, e os peptídeos de colágeno não</w:t>
      </w:r>
      <w:r>
        <w:rPr>
          <w:rStyle w:val="FootnoteReference"/>
        </w:rPr>
        <w:footnoteReference w:id="2345"/>
      </w:r>
      <w:r>
        <w:t xml:space="preserve">. Em adultos jovens, a espessura muscular aumentou mais após dez semanas de treino de força com whey do que com colágeno, mesmo quando o colágeno foi enriquecido com leucina até o mesmo teor</w:t>
      </w:r>
      <w:r>
        <w:rPr>
          <w:rStyle w:val="FootnoteReference"/>
        </w:rPr>
        <w:footnoteReference w:id="2346"/>
      </w:r>
      <w:r>
        <w:t xml:space="preserve">. Um estudo com 25 homens jovens não encontrou, com 2 × 15 g de colágeno por dia, maior síntese de proteína muscular ou de tecido conjuntivo do que com placebo</w:t>
      </w:r>
      <w:r>
        <w:rPr>
          <w:rStyle w:val="FootnoteReference"/>
        </w:rPr>
        <w:footnoteReference w:id="2347"/>
      </w:r>
      <w:r>
        <w:t xml:space="preserve">.</w:t>
      </w:r>
    </w:p>
    <w:p>
      <w:pPr>
        <w:pStyle w:val="BodyText"/>
      </w:pPr>
      <w:r>
        <w:rPr>
          <w:bCs/>
          <w:b/>
        </w:rPr>
        <w:t xml:space="preserve">Tendões.</w:t>
      </w:r>
      <w:r>
        <w:t xml:space="preserve"> </w:t>
      </w:r>
      <w:r>
        <w:t xml:space="preserve">Aqui os resultados são contraditórios: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homens, treino de força mais 5 g vs. placebo</w:t>
            </w:r>
          </w:p>
        </w:tc>
        <w:tc>
          <w:tcPr/>
          <w:p>
            <w:pPr>
              <w:pStyle w:val="Compact"/>
              <w:jc w:val="left"/>
            </w:pPr>
            <w:r>
              <w:t xml:space="preserve">14 semanas</w:t>
            </w:r>
          </w:p>
        </w:tc>
        <w:tc>
          <w:tcPr/>
          <w:p>
            <w:pPr>
              <w:pStyle w:val="Compact"/>
              <w:jc w:val="left"/>
            </w:pPr>
            <w:r>
              <w:t xml:space="preserve">Área de secção transversal do tendão patelar aumentada mais intensamente; rigidez e força sem diferença entre grupos</w:t>
            </w:r>
          </w:p>
        </w:tc>
      </w:tr>
      <w:tr>
        <w:tc>
          <w:tcPr/>
          <w:p>
            <w:pPr>
              <w:pStyle w:val="Compact"/>
              <w:jc w:val="left"/>
            </w:pPr>
            <w:r>
              <w:t xml:space="preserve">Balshaw 2023, PMID 37436929</w:t>
            </w:r>
          </w:p>
        </w:tc>
        <w:tc>
          <w:tcPr/>
          <w:p>
            <w:pPr>
              <w:pStyle w:val="Compact"/>
              <w:jc w:val="left"/>
            </w:pPr>
            <w:r>
              <w:t xml:space="preserve">39 homens jovens, treino de força mais 15 g vs. placebo</w:t>
            </w:r>
          </w:p>
        </w:tc>
        <w:tc>
          <w:tcPr/>
          <w:p>
            <w:pPr>
              <w:pStyle w:val="Compact"/>
              <w:jc w:val="left"/>
            </w:pPr>
            <w:r>
              <w:t xml:space="preserve">15 semanas</w:t>
            </w:r>
          </w:p>
        </w:tc>
        <w:tc>
          <w:tcPr/>
          <w:p>
            <w:pPr>
              <w:pStyle w:val="Compact"/>
              <w:jc w:val="left"/>
            </w:pPr>
            <w:r>
              <w:t xml:space="preserve">Nenhuma diferença no tamanho ou na mecânica do tendão</w:t>
            </w:r>
          </w:p>
        </w:tc>
      </w:tr>
      <w:tr>
        <w:tc>
          <w:tcPr/>
          <w:p>
            <w:pPr>
              <w:pStyle w:val="Compact"/>
              <w:jc w:val="left"/>
            </w:pPr>
            <w:r>
              <w:t xml:space="preserve">Miyamoto 2025, PMID 40623147</w:t>
            </w:r>
          </w:p>
        </w:tc>
        <w:tc>
          <w:tcPr/>
          <w:p>
            <w:pPr>
              <w:pStyle w:val="Compact"/>
              <w:jc w:val="left"/>
            </w:pPr>
            <w:r>
              <w:t xml:space="preserve">50 homens não treinados, 10 g vs. placebo</w:t>
            </w:r>
          </w:p>
        </w:tc>
        <w:tc>
          <w:tcPr/>
          <w:p>
            <w:pPr>
              <w:pStyle w:val="Compact"/>
              <w:jc w:val="left"/>
            </w:pPr>
            <w:r>
              <w:t xml:space="preserve">16 semanas</w:t>
            </w:r>
          </w:p>
        </w:tc>
        <w:tc>
          <w:tcPr/>
          <w:p>
            <w:pPr>
              <w:pStyle w:val="Compact"/>
              <w:jc w:val="left"/>
            </w:pPr>
            <w:r>
              <w:t xml:space="preserve">Rigidez do músculo da panturrilha e do tendão de Aquiles aumentada; área de secção transversal inalterada</w:t>
            </w:r>
          </w:p>
        </w:tc>
      </w:tr>
      <w:tr>
        <w:tc>
          <w:tcPr/>
          <w:p>
            <w:pPr>
              <w:pStyle w:val="Compact"/>
              <w:jc w:val="left"/>
            </w:pPr>
            <w:r>
              <w:t xml:space="preserve">Praet 2019, PMID 30609761</w:t>
            </w:r>
          </w:p>
        </w:tc>
        <w:tc>
          <w:tcPr/>
          <w:p>
            <w:pPr>
              <w:pStyle w:val="Compact"/>
              <w:jc w:val="left"/>
            </w:pPr>
            <w:r>
              <w:t xml:space="preserve">20 pessoas com queixas no tendão de Aquiles, estudo cruzado com treino</w:t>
            </w:r>
          </w:p>
        </w:tc>
        <w:tc>
          <w:tcPr/>
          <w:p>
            <w:pPr>
              <w:pStyle w:val="Compact"/>
              <w:jc w:val="left"/>
            </w:pPr>
            <w:r>
              <w:t xml:space="preserve">6 meses</w:t>
            </w:r>
          </w:p>
        </w:tc>
        <w:tc>
          <w:tcPr/>
          <w:p>
            <w:pPr>
              <w:pStyle w:val="Compact"/>
              <w:jc w:val="left"/>
            </w:pPr>
            <w:r>
              <w:t xml:space="preserve">Melhora mais rápida no questionário de queixas na fase com colágeno (estudo-piloto)</w:t>
            </w:r>
          </w:p>
        </w:tc>
      </w:tr>
      <w:tr>
        <w:tc>
          <w:tcPr/>
          <w:p>
            <w:pPr>
              <w:pStyle w:val="Compact"/>
              <w:jc w:val="left"/>
            </w:pPr>
            <w:r>
              <w:t xml:space="preserve">Dressler 2018, PMID 29769831</w:t>
            </w:r>
          </w:p>
        </w:tc>
        <w:tc>
          <w:tcPr/>
          <w:p>
            <w:pPr>
              <w:pStyle w:val="Compact"/>
              <w:jc w:val="left"/>
            </w:pPr>
            <w:r>
              <w:t xml:space="preserve">50 atletas com instabilidade crônica do tornozelo, 5 g vs. placebo</w:t>
            </w:r>
          </w:p>
        </w:tc>
        <w:tc>
          <w:tcPr/>
          <w:p>
            <w:pPr>
              <w:pStyle w:val="Compact"/>
              <w:jc w:val="left"/>
            </w:pPr>
            <w:r>
              <w:t xml:space="preserve">6 meses</w:t>
            </w:r>
          </w:p>
        </w:tc>
        <w:tc>
          <w:tcPr/>
          <w:p>
            <w:pPr>
              <w:pStyle w:val="Compact"/>
              <w:jc w:val="left"/>
            </w:pPr>
            <w:r>
              <w:t xml:space="preserve">Estabilidade subjetiva melhor; estabilidade mecânica inalterada</w:t>
            </w:r>
          </w:p>
        </w:tc>
      </w:tr>
    </w:tbl>
    <w:p>
      <w:pPr>
        <w:pStyle w:val="BodyText"/>
      </w:pPr>
      <w:r>
        <w:t xml:space="preserve">Uma metanálise de 19 estudos com 768 adultos saudáveis encontrou, com ingestão de colágeno de longo prazo combinada com treino, pequenas vantagens em massa magra, morfologia dos tendões, arquitetura muscular e força máxima. A confiabilidade da evidência foi avaliada como moderada para a composição corporal, muito baixa para a morfologia dos tendões e baixa para os demais resultados</w:t>
      </w:r>
      <w:r>
        <w:rPr>
          <w:rStyle w:val="FootnoteReference"/>
        </w:rPr>
        <w:footnoteReference w:id="2348"/>
      </w:r>
      <w:r>
        <w:t xml:space="preserve">. Uma revisão sistemática anterior concluiu que, na síntese de proteína muscular, o colágeno não se equipara a fontes de proteína de maior qualidade</w:t>
      </w:r>
      <w:r>
        <w:rPr>
          <w:rStyle w:val="FootnoteReference"/>
        </w:rPr>
        <w:footnoteReference w:id="2349"/>
      </w:r>
      <w:r>
        <w:t xml:space="preserve">.</w:t>
      </w:r>
    </w:p>
    <w:p>
      <w:pPr>
        <w:pStyle w:val="BodyText"/>
      </w:pPr>
      <w:r>
        <w:rPr>
          <w:bCs/>
          <w:b/>
        </w:rPr>
        <w:t xml:space="preserve">Balanço parcial sobre esporte:</w:t>
      </w:r>
      <w:r>
        <w:t xml:space="preserve"> </w:t>
      </w:r>
      <w:r>
        <w:t xml:space="preserve">para o ganho muscular, há fontes de proteína melhores e mais baratas. Para tendões e ligamentos, um benefício é biologicamente plausível e é sugerido em alguns estudos, mas não está comprovado de forma sólida.</w:t>
      </w:r>
    </w:p>
    <w:bookmarkEnd w:id="2350"/>
    <w:bookmarkStart w:id="2352" w:name="outras-áreas-de-aplicação"/>
    <w:p>
      <w:pPr>
        <w:pStyle w:val="Heading4"/>
      </w:pPr>
      <w:r>
        <w:t xml:space="preserve">Outras áreas de aplicação</w:t>
      </w:r>
    </w:p>
    <w:p>
      <w:pPr>
        <w:pStyle w:val="FirstParagraph"/>
      </w:pPr>
      <w:r>
        <w:t xml:space="preserve">Em estudos menores, os peptídeos de colágeno foram investigados, entre outros, em pressão arterial e função vascular, sono, apetite, gengivite e queixas intestinais. Uma metanálise de 12 estudos controlados por placebo relatou redução da pressão sistólica de 5,04 mmHg e do colesterol LDL de 4,09 mg/dl, porém com heterogeneidade extremamente alta dos estudos individuais (I² 98,9 e 93,4%)</w:t>
      </w:r>
      <w:r>
        <w:rPr>
          <w:rStyle w:val="FootnoteReference"/>
        </w:rPr>
        <w:footnoteReference w:id="2351"/>
      </w:r>
      <w:r>
        <w:t xml:space="preserve">. Esses campos são pouco estudados demais para permitir afirmações sólidas.</w:t>
      </w:r>
    </w:p>
    <w:bookmarkEnd w:id="2352"/>
    <w:bookmarkEnd w:id="2353"/>
    <w:bookmarkStart w:id="2357" w:name="estudos-em-animais-e-em-laboratório-52"/>
    <w:p>
      <w:pPr>
        <w:pStyle w:val="Heading3"/>
      </w:pPr>
      <w:r>
        <w:t xml:space="preserve">Estudos em animais e em laboratório</w:t>
      </w:r>
    </w:p>
    <w:p>
      <w:pPr>
        <w:pStyle w:val="FirstParagraph"/>
      </w:pPr>
      <w:r>
        <w:t xml:space="preserve">Em culturas de células, peptídeos de colágeno e, em especial, a prolil-hidroxiprolina estimulam o crescimento de fibroblastos da pele; em camundongos e ratos, melhoraram em experimentos a barreira cutânea, a densidade óssea e o metabolismo da cartilagem. Em amostras de pele humana em laboratório (ex vivo), os peptídeos de colágeno favoreceram a formação de colágeno e glicosaminoglicanos</w:t>
      </w:r>
      <w:r>
        <w:rPr>
          <w:rStyle w:val="FootnoteReference"/>
        </w:rPr>
        <w:footnoteReference w:id="2354"/>
      </w:r>
      <w:r>
        <w:t xml:space="preserve">. Uma revisão sistemática de onze estudos predominantemente experimentais concluiu que hidrolisados de colágeno, em concentrações de 50 a 500 microgramas por mililitro, estimulam fibroblastos sem efeito tóxico</w:t>
      </w:r>
      <w:r>
        <w:rPr>
          <w:rStyle w:val="FootnoteReference"/>
        </w:rPr>
        <w:footnoteReference w:id="2355"/>
      </w:r>
      <w:r>
        <w:t xml:space="preserve">. Em experimentos com roedores sob alimentação hipercalórica, uma metanálise descreveu efeitos sobre peso e massa gorda</w:t>
      </w:r>
      <w:r>
        <w:rPr>
          <w:rStyle w:val="FootnoteReference"/>
        </w:rPr>
        <w:footnoteReference w:id="2356"/>
      </w:r>
      <w:r>
        <w:t xml:space="preserve"> </w:t>
      </w:r>
      <w:r>
        <w:t xml:space="preserve">– um achado não comprovado em humanos.</w:t>
      </w:r>
    </w:p>
    <w:p>
      <w:pPr>
        <w:pStyle w:val="BodyText"/>
      </w:pPr>
      <w:r>
        <w:t xml:space="preserve">Esses resultados tornam as hipóteses plausíveis. Mas não provam que as concentrações de peptídeos alcançadas em humanos após a ingestão bastem no tecido-alvo.</w:t>
      </w:r>
    </w:p>
    <w:bookmarkEnd w:id="2357"/>
    <w:bookmarkStart w:id="2360" w:name="riscos-e-efeitos-colaterais-52"/>
    <w:p>
      <w:pPr>
        <w:pStyle w:val="Heading3"/>
      </w:pPr>
      <w:r>
        <w:t xml:space="preserve">Riscos e efeitos colaterais</w:t>
      </w:r>
    </w:p>
    <w:p>
      <w:pPr>
        <w:pStyle w:val="FirstParagraph"/>
      </w:pPr>
      <w:r>
        <w:rPr>
          <w:bCs/>
          <w:b/>
        </w:rPr>
        <w:t xml:space="preserve">Comprovados:</w:t>
      </w:r>
      <w:r>
        <w:t xml:space="preserve"> </w:t>
      </w:r>
      <w:r>
        <w:t xml:space="preserve">nos estudos randomizados, os efeitos colaterais não foram mais frequentes do que com placebo. A grande metanálise sobre artrose não encontrou risco aumentado de eventos adversos ou abandonos de estudo</w:t>
      </w:r>
      <w:r>
        <w:rPr>
          <w:rStyle w:val="FootnoteReference"/>
        </w:rPr>
        <w:footnoteReference w:id="2358"/>
      </w:r>
      <w:r>
        <w:t xml:space="preserve">. Ocasionalmente são relatados sensação de plenitude, gases ou um sabor desagradável.</w:t>
      </w:r>
    </w:p>
    <w:p>
      <w:pPr>
        <w:pStyle w:val="BodyText"/>
      </w:pPr>
      <w:r>
        <w:rPr>
          <w:bCs/>
          <w:b/>
        </w:rPr>
        <w:t xml:space="preserve">A considerar:</w:t>
      </w:r>
    </w:p>
    <w:p>
      <w:pPr>
        <w:numPr>
          <w:ilvl w:val="0"/>
          <w:numId w:val="1294"/>
        </w:numPr>
        <w:pStyle w:val="Compact"/>
      </w:pPr>
      <w:r>
        <w:rPr>
          <w:bCs/>
          <w:b/>
        </w:rPr>
        <w:t xml:space="preserve">Alergias e intolerâncias:</w:t>
      </w:r>
      <w:r>
        <w:t xml:space="preserve"> </w:t>
      </w:r>
      <w:r>
        <w:t xml:space="preserve">o colágeno de peixe pode ser problemático em caso de alergia a peixe; produtos de origem bovina ou suína são relevantes para pessoas que evitam esses animais por motivos religiosos ou éticos. A origem consta na lista de ingredientes.</w:t>
      </w:r>
    </w:p>
    <w:p>
      <w:pPr>
        <w:numPr>
          <w:ilvl w:val="0"/>
          <w:numId w:val="1294"/>
        </w:numPr>
        <w:pStyle w:val="Compact"/>
      </w:pPr>
      <w:r>
        <w:rPr>
          <w:bCs/>
          <w:b/>
        </w:rPr>
        <w:t xml:space="preserve">Oxalato e cálculos renais:</w:t>
      </w:r>
      <w:r>
        <w:t xml:space="preserve"> </w:t>
      </w:r>
      <w:r>
        <w:t xml:space="preserve">a hidroxiprolina é em parte degradada a oxalato no corpo. Em um estudo, a excreção de oxalato na urina aumentou 43% após 30 g de gelatina por dia em comparação com whey; já 5 a 10 g de gelatina levaram a alterações mensuráveis</w:t>
      </w:r>
      <w:r>
        <w:rPr>
          <w:rStyle w:val="FootnoteReference"/>
        </w:rPr>
        <w:footnoteReference w:id="2359"/>
      </w:r>
      <w:r>
        <w:t xml:space="preserve">. Para pessoas saudáveis, o significado é incerto. Pessoas com cálculos renais de oxalato de cálcio ou hiperoxalúria congênita devem discutir a ingestão com um médico (risco teórico, mas biologicamente fundamentado).</w:t>
      </w:r>
    </w:p>
    <w:p>
      <w:pPr>
        <w:numPr>
          <w:ilvl w:val="0"/>
          <w:numId w:val="1294"/>
        </w:numPr>
        <w:pStyle w:val="Compact"/>
      </w:pPr>
      <w:r>
        <w:rPr>
          <w:bCs/>
          <w:b/>
        </w:rPr>
        <w:t xml:space="preserve">Quantidade de proteína:</w:t>
      </w:r>
      <w:r>
        <w:t xml:space="preserve"> </w:t>
      </w:r>
      <w:r>
        <w:t xml:space="preserve">em doenças renais com restrição de proteína, o colágeno também conta na ingestão diária de proteína.</w:t>
      </w:r>
    </w:p>
    <w:p>
      <w:pPr>
        <w:numPr>
          <w:ilvl w:val="0"/>
          <w:numId w:val="1294"/>
        </w:numPr>
        <w:pStyle w:val="Compact"/>
      </w:pPr>
      <w:r>
        <w:rPr>
          <w:bCs/>
          <w:b/>
        </w:rPr>
        <w:t xml:space="preserve">Qualidade do produto:</w:t>
      </w:r>
      <w:r>
        <w:t xml:space="preserve"> </w:t>
      </w:r>
      <w:r>
        <w:t xml:space="preserve">suplementos alimentares não são testados quanto à eficácia antes da venda. O fabricante é responsável pela pureza e pela ausência de contaminantes; a fiscalização de alimentos faz apenas controles por amostragem.</w:t>
      </w:r>
    </w:p>
    <w:p>
      <w:pPr>
        <w:numPr>
          <w:ilvl w:val="0"/>
          <w:numId w:val="1294"/>
        </w:numPr>
        <w:pStyle w:val="Compact"/>
      </w:pPr>
      <w:r>
        <w:rPr>
          <w:bCs/>
          <w:b/>
        </w:rPr>
        <w:t xml:space="preserve">Falsa segurança:</w:t>
      </w:r>
      <w:r>
        <w:t xml:space="preserve"> </w:t>
      </w:r>
      <w:r>
        <w:t xml:space="preserve">o maior risco prático é que o colágeno seja usado no lugar de medidas eficazes – por exemplo, em vez de proteção UV contra o envelhecimento da pele ou em vez de um tratamento para osteoporose.</w:t>
      </w:r>
    </w:p>
    <w:bookmarkEnd w:id="2360"/>
    <w:bookmarkStart w:id="2361" w:name="situação-legal-52"/>
    <w:p>
      <w:pPr>
        <w:pStyle w:val="Heading3"/>
      </w:pPr>
      <w:r>
        <w:t xml:space="preserve">Situação legal</w:t>
      </w:r>
    </w:p>
    <w:p>
      <w:pPr>
        <w:numPr>
          <w:ilvl w:val="0"/>
          <w:numId w:val="1295"/>
        </w:numPr>
        <w:pStyle w:val="Compact"/>
      </w:pPr>
      <w:r>
        <w:rPr>
          <w:bCs/>
          <w:b/>
        </w:rPr>
        <w:t xml:space="preserve">UE / Áustria / Alemanha:</w:t>
      </w:r>
      <w:r>
        <w:t xml:space="preserve"> </w:t>
      </w:r>
      <w:r>
        <w:t xml:space="preserve">os peptídeos de colágeno são alimentos. Na Alemanha, os suplementos alimentares devem ser notificados ao Departamento Federal de Proteção do Consumidor e Segurança Alimentar (BVL) antes da primeira venda; na Áustria valem regras próprias. Em nenhum dos dois países há avaliação da eficácia. Alegações relacionadas à saúde só são permitidas, segundo o Regulamento Europeu de Alegações de Saúde (Regulamento (CE) nº 1924/2006), se estiverem autorizadas na lista da UE.</w:t>
      </w:r>
      <w:r>
        <w:t xml:space="preserve"> </w:t>
      </w:r>
      <w:r>
        <w:rPr>
          <w:bCs/>
          <w:b/>
        </w:rPr>
        <w:t xml:space="preserve">Para colágeno ou peptídeos de colágeno, não existe alegação de saúde autorizada.</w:t>
      </w:r>
      <w:r>
        <w:t xml:space="preserve"> </w:t>
      </w:r>
      <w:r>
        <w:t xml:space="preserve">A Autoridade Europeia para a Segurança dos Alimentos (EFSA) avaliou negativamente as alegações solicitadas, por exemplo sobre a saúde articular, porque não havia sido comprovada uma relação de causa e efeito. Por isso, muitos produtos contêm vitamina C: para a vitamina C, está autorizada a alegação de que contribui para a formação normal de colágeno para o funcionamento normal da pele, da cartilagem, dos ossos, das gengivas, dos dentes e dos vasos sanguíneos. A frase publicitária refere-se então juridicamente à vitamina, não ao colágeno. Afirmações sobre beleza (</w:t>
      </w:r>
      <w:r>
        <w:t xml:space="preserve">“</w:t>
      </w:r>
      <w:r>
        <w:t xml:space="preserve">para uma pele mais firme</w:t>
      </w:r>
      <w:r>
        <w:t xml:space="preserve">”</w:t>
      </w:r>
      <w:r>
        <w:t xml:space="preserve">) situam-se em uma zona cinzenta e são julgadas de formas diferentes pelos tribunais.</w:t>
      </w:r>
    </w:p>
    <w:p>
      <w:pPr>
        <w:numPr>
          <w:ilvl w:val="0"/>
          <w:numId w:val="1295"/>
        </w:numPr>
        <w:pStyle w:val="Compact"/>
      </w:pPr>
      <w:r>
        <w:rPr>
          <w:bCs/>
          <w:b/>
        </w:rPr>
        <w:t xml:space="preserve">EUA:</w:t>
      </w:r>
      <w:r>
        <w:t xml:space="preserve"> </w:t>
      </w:r>
      <w:r>
        <w:t xml:space="preserve">os peptídeos de colágeno são vendidos como dietary supplement. Os fabricantes podem fazer as chamadas alegações de estrutura-função (</w:t>
      </w:r>
      <w:r>
        <w:t xml:space="preserve">“</w:t>
      </w:r>
      <w:r>
        <w:t xml:space="preserve">apoia a pele saudável</w:t>
      </w:r>
      <w:r>
        <w:t xml:space="preserve">”</w:t>
      </w:r>
      <w:r>
        <w:t xml:space="preserve">), mas precisam trazer o aviso de que a alegação não foi avaliada pela FDA. Promessas relacionadas a doenças não são permitidas.</w:t>
      </w:r>
    </w:p>
    <w:p>
      <w:pPr>
        <w:numPr>
          <w:ilvl w:val="0"/>
          <w:numId w:val="1295"/>
        </w:numPr>
        <w:pStyle w:val="Compact"/>
      </w:pPr>
      <w:r>
        <w:rPr>
          <w:bCs/>
          <w:b/>
        </w:rPr>
        <w:t xml:space="preserve">Esporte:</w:t>
      </w:r>
      <w:r>
        <w:t xml:space="preserve"> </w:t>
      </w:r>
      <w:r>
        <w:t xml:space="preserve">os peptídeos de colágeno não constam na lista de proibições da WADA. Como em todos os suplementos alimentares, existe um risco residual de contaminações; atletas de alto rendimento devem dar atenção a listas verificadas (por exemplo, a Kölner Liste) (situação em 2026, verificar atualização).</w:t>
      </w:r>
    </w:p>
    <w:bookmarkEnd w:id="2361"/>
    <w:bookmarkStart w:id="2369" w:name="estudos-em-andamento-e-perspectivas-52"/>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296"/>
        </w:numPr>
        <w:pStyle w:val="Compact"/>
      </w:pPr>
      <w:r>
        <w:rPr>
          <w:bCs/>
          <w:b/>
        </w:rPr>
        <w:t xml:space="preserve">Artrose de joelho:</w:t>
      </w:r>
      <w:r>
        <w:t xml:space="preserve"> </w:t>
      </w:r>
      <w:r>
        <w:t xml:space="preserve">um estudo do Istituto Ortopedico Rizzoli compara uma formulação de colágeno hidrolisado com placebo em 204 participantes</w:t>
      </w:r>
      <w:r>
        <w:rPr>
          <w:rStyle w:val="FootnoteReference"/>
        </w:rPr>
        <w:footnoteReference w:id="2362"/>
      </w:r>
      <w:r>
        <w:t xml:space="preserve">. Um estudo menor compara diferentes formas de colágeno</w:t>
      </w:r>
      <w:r>
        <w:rPr>
          <w:rStyle w:val="FootnoteReference"/>
        </w:rPr>
        <w:footnoteReference w:id="2363"/>
      </w:r>
      <w:r>
        <w:t xml:space="preserve">.</w:t>
      </w:r>
    </w:p>
    <w:p>
      <w:pPr>
        <w:numPr>
          <w:ilvl w:val="0"/>
          <w:numId w:val="1296"/>
        </w:numPr>
        <w:pStyle w:val="Compact"/>
      </w:pPr>
      <w:r>
        <w:rPr>
          <w:bCs/>
          <w:b/>
        </w:rPr>
        <w:t xml:space="preserve">Prótese de joelho:</w:t>
      </w:r>
      <w:r>
        <w:t xml:space="preserve"> </w:t>
      </w:r>
      <w:r>
        <w:t xml:space="preserve">peptídeos de colágeno após artroplastia total do joelho, com desfechos remodelação do tecido conjuntivo e cicatrização de feridas</w:t>
      </w:r>
      <w:r>
        <w:rPr>
          <w:rStyle w:val="FootnoteReference"/>
        </w:rPr>
        <w:footnoteReference w:id="2364"/>
      </w:r>
      <w:r>
        <w:t xml:space="preserve">.</w:t>
      </w:r>
    </w:p>
    <w:p>
      <w:pPr>
        <w:numPr>
          <w:ilvl w:val="0"/>
          <w:numId w:val="1296"/>
        </w:numPr>
        <w:pStyle w:val="Compact"/>
      </w:pPr>
      <w:r>
        <w:rPr>
          <w:bCs/>
          <w:b/>
        </w:rPr>
        <w:t xml:space="preserve">Pele:</w:t>
      </w:r>
      <w:r>
        <w:t xml:space="preserve"> </w:t>
      </w:r>
      <w:r>
        <w:t xml:space="preserve">uma comparação entre o uso oral e o tópico de colágeno, isolados e combinados, com 165 mulheres previstas</w:t>
      </w:r>
      <w:r>
        <w:rPr>
          <w:rStyle w:val="FootnoteReference"/>
        </w:rPr>
        <w:footnoteReference w:id="2365"/>
      </w:r>
      <w:r>
        <w:t xml:space="preserve">.</w:t>
      </w:r>
    </w:p>
    <w:p>
      <w:pPr>
        <w:numPr>
          <w:ilvl w:val="0"/>
          <w:numId w:val="1296"/>
        </w:numPr>
        <w:pStyle w:val="Compact"/>
      </w:pPr>
      <w:r>
        <w:rPr>
          <w:bCs/>
          <w:b/>
        </w:rPr>
        <w:t xml:space="preserve">Envelhecimento:</w:t>
      </w:r>
      <w:r>
        <w:t xml:space="preserve"> </w:t>
      </w:r>
      <w:r>
        <w:t xml:space="preserve">um estudo da Universidade de Viena investiga peptídeos de colágeno e marcadores de envelhecimento celular em 125 participantes previstos</w:t>
      </w:r>
      <w:r>
        <w:rPr>
          <w:rStyle w:val="FootnoteReference"/>
        </w:rPr>
        <w:footnoteReference w:id="2366"/>
      </w:r>
      <w:r>
        <w:t xml:space="preserve">.</w:t>
      </w:r>
    </w:p>
    <w:p>
      <w:pPr>
        <w:numPr>
          <w:ilvl w:val="0"/>
          <w:numId w:val="1296"/>
        </w:numPr>
        <w:pStyle w:val="Compact"/>
      </w:pPr>
      <w:r>
        <w:rPr>
          <w:bCs/>
          <w:b/>
        </w:rPr>
        <w:t xml:space="preserve">Metabolismo:</w:t>
      </w:r>
      <w:r>
        <w:t xml:space="preserve"> </w:t>
      </w:r>
      <w:r>
        <w:t xml:space="preserve">um estudo no King’s College London investiga qualidade de vida, apetite e controle glicêmico</w:t>
      </w:r>
      <w:r>
        <w:rPr>
          <w:rStyle w:val="FootnoteReference"/>
        </w:rPr>
        <w:footnoteReference w:id="2367"/>
      </w:r>
      <w:r>
        <w:t xml:space="preserve">.</w:t>
      </w:r>
    </w:p>
    <w:p>
      <w:pPr>
        <w:pStyle w:val="FirstParagraph"/>
      </w:pPr>
      <w:r>
        <w:rPr>
          <w:bCs/>
          <w:b/>
        </w:rPr>
        <w:t xml:space="preserve">Avaliação:</w:t>
      </w:r>
      <w:r>
        <w:t xml:space="preserve"> </w:t>
      </w:r>
      <w:r>
        <w:t xml:space="preserve">a questão decisiva para os próximos anos não é se haverá mais estudos pequenos positivos – é de se esperar que sim –, mas se estudos grandes, com financiamento independente e desfechos registrados previamente, confirmarão os efeitos. A metanálise por fonte de financiamento</w:t>
      </w:r>
      <w:r>
        <w:rPr>
          <w:rStyle w:val="FootnoteReference"/>
        </w:rPr>
        <w:footnoteReference w:id="2368"/>
      </w:r>
      <w:r>
        <w:t xml:space="preserve"> </w:t>
      </w:r>
      <w:r>
        <w:t xml:space="preserve">tornou visível a régua para isso. Para dores articulares, um pequeno efeito é o mais bem comprovado; para pele e tendões, a situação permanece em aberto. Não se deve esperar uma aprovação como medicamento, já que os produtos já são de venda livre como alimentos e nenhum fabricante precisaria arcar com o esforço de um programa de aprovação.</w:t>
      </w:r>
    </w:p>
    <w:bookmarkEnd w:id="2369"/>
    <w:bookmarkStart w:id="2370" w:name="conclusão-52"/>
    <w:p>
      <w:pPr>
        <w:pStyle w:val="Heading3"/>
      </w:pPr>
      <w:r>
        <w:t xml:space="preserve">Conclusão</w:t>
      </w:r>
    </w:p>
    <w:p>
      <w:pPr>
        <w:pStyle w:val="FirstParagraph"/>
      </w:pPr>
      <w:r>
        <w:t xml:space="preserve">Os peptídeos de colágeno são um produto alimentício bem tolerado, com uma base de estudos grande, mas metodologicamente fraca. Para dores articulares na artrose, metanálises mostram pequenos efeitos, mas alguns estudos maiores não encontraram diferença em relação ao placebo. Na pele, o benefício medido em estudos dos fabricantes desaparece quando se consideram apenas estudos com financiamento independente ou metodologicamente de alta qualidade. Para o ganho muscular, o colágeno é inferior a outras fontes de proteína; o colágeno tipo II não desnaturado é um produto à parte, com dados próprios e igualmente limitados. Na UE, o colágeno não pode ser promovido com alegações relacionadas à saúde – as mensagens publicitárias geralmente se referem à vitamina C adicionada.</w:t>
      </w:r>
    </w:p>
    <w:bookmarkEnd w:id="2370"/>
    <w:bookmarkEnd w:id="2371"/>
    <w:bookmarkStart w:id="2400" w:name="lactotripeptídeos-vpp-e-ipp"/>
    <w:p>
      <w:pPr>
        <w:pStyle w:val="Heading2"/>
      </w:pPr>
      <w:r>
        <w:t xml:space="preserve">Lactotripeptídeos (VPP e IPP)</w:t>
      </w:r>
    </w:p>
    <w:bookmarkStart w:id="2372" w:name="ficha-técnica-53"/>
    <w:p>
      <w:pPr>
        <w:pStyle w:val="Heading3"/>
      </w:pPr>
      <w:r>
        <w:t xml:space="preserve">Ficha técnica</w:t>
      </w:r>
    </w:p>
    <w:p>
      <w:pPr>
        <w:numPr>
          <w:ilvl w:val="0"/>
          <w:numId w:val="1297"/>
        </w:numPr>
        <w:pStyle w:val="Compact"/>
      </w:pPr>
      <w:r>
        <w:rPr>
          <w:bCs/>
          <w:b/>
        </w:rPr>
        <w:t xml:space="preserve">Tipo/estrutura:</w:t>
      </w:r>
      <w:r>
        <w:t xml:space="preserve"> </w:t>
      </w:r>
      <w:r>
        <w:t xml:space="preserve">dois tripeptídeos de três aminoácidos cada: valina-prolina-prolina (VPP) e isoleucina-prolina-prolina (IPP). A prolina dupla no final os torna relativamente resistentes às enzimas digestivas.</w:t>
      </w:r>
    </w:p>
    <w:p>
      <w:pPr>
        <w:numPr>
          <w:ilvl w:val="0"/>
          <w:numId w:val="1297"/>
        </w:numPr>
        <w:pStyle w:val="Compact"/>
      </w:pPr>
      <w:r>
        <w:rPr>
          <w:bCs/>
          <w:b/>
        </w:rPr>
        <w:t xml:space="preserve">Origem:</w:t>
      </w:r>
      <w:r>
        <w:t xml:space="preserve"> </w:t>
      </w:r>
      <w:r>
        <w:t xml:space="preserve">fragmentos da proteína do leite caseína. Formam-se quando o leite é fermentado com determinadas bactérias (sobretudo</w:t>
      </w:r>
      <w:r>
        <w:t xml:space="preserve"> </w:t>
      </w:r>
      <w:r>
        <w:rPr>
          <w:iCs/>
          <w:i/>
        </w:rPr>
        <w:t xml:space="preserve">Lactobacillus helveticus</w:t>
      </w:r>
      <w:r>
        <w:t xml:space="preserve">) ou por clivagem enzimática da caseína com enzimas do fungo</w:t>
      </w:r>
      <w:r>
        <w:t xml:space="preserve"> </w:t>
      </w:r>
      <w:r>
        <w:rPr>
          <w:iCs/>
          <w:i/>
        </w:rPr>
        <w:t xml:space="preserve">Aspergillus oryzae</w:t>
      </w:r>
      <w:r>
        <w:t xml:space="preserve">. Produtos conhecidos foram uma bebida japonesa de leite fermentado (Calpis) e um laticínio finlandês (Evolus, da Valio).</w:t>
      </w:r>
    </w:p>
    <w:p>
      <w:pPr>
        <w:numPr>
          <w:ilvl w:val="0"/>
          <w:numId w:val="1297"/>
        </w:numPr>
        <w:pStyle w:val="Compact"/>
      </w:pPr>
      <w:r>
        <w:rPr>
          <w:bCs/>
          <w:b/>
        </w:rPr>
        <w:t xml:space="preserve">Mecanismo de ação:</w:t>
      </w:r>
      <w:r>
        <w:t xml:space="preserve"> </w:t>
      </w:r>
      <w:r>
        <w:t xml:space="preserve">deveriam inibir a enzima conversora de angiotensina (ECA) – a mesma enzima bloqueada por inibidores da ECA anti-hipertensivos como ramipril ou enalapril, apenas muitas vezes mais fracamente.</w:t>
      </w:r>
    </w:p>
    <w:p>
      <w:pPr>
        <w:numPr>
          <w:ilvl w:val="0"/>
          <w:numId w:val="1297"/>
        </w:numPr>
        <w:pStyle w:val="Compact"/>
      </w:pPr>
      <w:r>
        <w:rPr>
          <w:bCs/>
          <w:b/>
        </w:rPr>
        <w:t xml:space="preserve">Aprovação na UE:</w:t>
      </w:r>
      <w:r>
        <w:t xml:space="preserve"> </w:t>
      </w:r>
      <w:r>
        <w:t xml:space="preserve">nenhuma aprovação como medicamento; como ingrediente alimentar ou em suplementos alimentares. Nenhuma alegação de saúde autorizada sobre pressão arterial.</w:t>
      </w:r>
    </w:p>
    <w:p>
      <w:pPr>
        <w:numPr>
          <w:ilvl w:val="0"/>
          <w:numId w:val="1297"/>
        </w:numPr>
        <w:pStyle w:val="Compact"/>
      </w:pPr>
      <w:r>
        <w:rPr>
          <w:bCs/>
          <w:b/>
        </w:rPr>
        <w:t xml:space="preserve">Aprovação nos EUA:</w:t>
      </w:r>
      <w:r>
        <w:t xml:space="preserve"> </w:t>
      </w:r>
      <w:r>
        <w:t xml:space="preserve">nenhuma aprovação como medicamento; disponível como suplemento alimentar.</w:t>
      </w:r>
    </w:p>
    <w:p>
      <w:pPr>
        <w:numPr>
          <w:ilvl w:val="0"/>
          <w:numId w:val="1297"/>
        </w:numPr>
        <w:pStyle w:val="Compact"/>
      </w:pPr>
      <w:r>
        <w:rPr>
          <w:bCs/>
          <w:b/>
        </w:rPr>
        <w:t xml:space="preserve">WADA:</w:t>
      </w:r>
      <w:r>
        <w:t xml:space="preserve"> </w:t>
      </w:r>
      <w:r>
        <w:t xml:space="preserve">não listados.</w:t>
      </w:r>
    </w:p>
    <w:p>
      <w:pPr>
        <w:numPr>
          <w:ilvl w:val="0"/>
          <w:numId w:val="1297"/>
        </w:numPr>
        <w:pStyle w:val="Compact"/>
      </w:pPr>
      <w:r>
        <w:rPr>
          <w:bCs/>
          <w:b/>
        </w:rPr>
        <w:t xml:space="preserve">Nível de evidência:</w:t>
      </w:r>
      <w:r>
        <w:t xml:space="preserve"> </w:t>
      </w:r>
      <w:r>
        <w:rPr>
          <w:bCs/>
          <w:b/>
        </w:rPr>
        <w:t xml:space="preserve">B</w:t>
      </w:r>
      <w:r>
        <w:t xml:space="preserve"> </w:t>
      </w:r>
      <w:r>
        <w:t xml:space="preserve">– cerca de 30 estudos randomizados com alguns milhares de participantes no total, mas cada um pequeno, com resultados contraditórios e sem desfechos duros.</w:t>
      </w:r>
    </w:p>
    <w:bookmarkEnd w:id="2372"/>
    <w:bookmarkStart w:id="2376" w:name="como-deveria-agir-53"/>
    <w:p>
      <w:pPr>
        <w:pStyle w:val="Heading3"/>
      </w:pPr>
      <w:r>
        <w:t xml:space="preserve">Como deveria agir</w:t>
      </w:r>
    </w:p>
    <w:p>
      <w:pPr>
        <w:pStyle w:val="FirstParagraph"/>
      </w:pPr>
      <w:r>
        <w:t xml:space="preserve">A pressão arterial é controlada, entre outros, pelo sistema renina-angiotensina. Uma etapa central é a conversão da angiotensina I, inativa, em angiotensina II, vasoconstritora, pela enzima ECA. A mesma enzima degrada também a bradicinina, uma substância que dilata os vasos. Quando a ECA é inibida, forma-se menos angiotensina II e há mais bradicinina – a pressão cai. Nesse princípio baseiam-se os inibidores da ECA, um dos grupos mais importantes de medicamentos para a pressão arterial. Historicamente interessante: o primeiro inibidor da ECA, o captopril, foi desenvolvido a partir de um peptídeo do veneno de uma serpente.</w:t>
      </w:r>
    </w:p>
    <w:p>
      <w:pPr>
        <w:pStyle w:val="BodyText"/>
      </w:pPr>
      <w:r>
        <w:t xml:space="preserve">Na década de 1990, pesquisadores japoneses isolaram de leite fermentado dois tripeptídeos que inibem a ECA em tubo de ensaio. Em ratos com hipertensão congênita, uma única administração do leite fermentado ou dos peptídeos isolados VPP e IPP reduziu a pressão sistólica por algumas horas; em ratos com pressão normal, nada mudou</w:t>
      </w:r>
      <w:r>
        <w:rPr>
          <w:rStyle w:val="FootnoteReference"/>
        </w:rPr>
        <w:footnoteReference w:id="2373"/>
      </w:r>
      <w:r>
        <w:t xml:space="preserve">. Daí surgiu a ideia de um</w:t>
      </w:r>
      <w:r>
        <w:t xml:space="preserve"> </w:t>
      </w:r>
      <w:r>
        <w:t xml:space="preserve">“</w:t>
      </w:r>
      <w:r>
        <w:t xml:space="preserve">alimento que reduz a pressão arterial</w:t>
      </w:r>
      <w:r>
        <w:t xml:space="preserve">”</w:t>
      </w:r>
      <w:r>
        <w:t xml:space="preserve">.</w:t>
      </w:r>
    </w:p>
    <w:p>
      <w:pPr>
        <w:pStyle w:val="BodyText"/>
      </w:pPr>
      <w:r>
        <w:t xml:space="preserve">Para que isso funcione, os peptídeos precisam chegar intactos à corrente sanguínea. Um pequeno estudo mostrou que o IPP é de fato detectável intacto no sangue após a ingestão de uma bebida de iogurte enriquecida – porém em concentrações na faixa de picomol por litro</w:t>
      </w:r>
      <w:r>
        <w:rPr>
          <w:rStyle w:val="FootnoteReference"/>
        </w:rPr>
        <w:footnoteReference w:id="2374"/>
      </w:r>
      <w:r>
        <w:t xml:space="preserve">. Um estudo suíço com doze homens saudáveis testou então diretamente se os peptídeos inibem a ECA no corpo: após sete dias de leite fermentado, os marcadores de atividade da ECA e a renina permaneceram inalterados, enquanto um único comprimido de captopril reduziu a atividade da ECA no plasma em 82%. O IPP subiu no sangue apenas brevemente e pouco; o VPP ficou abaixo do limite de detecção</w:t>
      </w:r>
      <w:r>
        <w:rPr>
          <w:rStyle w:val="FootnoteReference"/>
        </w:rPr>
        <w:footnoteReference w:id="2375"/>
      </w:r>
      <w:r>
        <w:t xml:space="preserve">.</w:t>
      </w:r>
    </w:p>
    <w:p>
      <w:pPr>
        <w:pStyle w:val="BodyText"/>
      </w:pPr>
      <w:r>
        <w:t xml:space="preserve">Isso significa: o mecanismo plausível em laboratório não pôde ser demonstrado em humanos nas quantidades testadas. Por isso, discutem-se também outras vias, por exemplo uma melhora da função da parede interna dos vasos via óxido nítrico. Essas vêm até agora sobretudo de experimentos com culturas de células e em animais.</w:t>
      </w:r>
    </w:p>
    <w:bookmarkEnd w:id="2376"/>
    <w:bookmarkStart w:id="2387" w:name="estudos-em-humanos-53"/>
    <w:p>
      <w:pPr>
        <w:pStyle w:val="Heading3"/>
      </w:pPr>
      <w:r>
        <w:t xml:space="preserve">Estudos em humanos</w:t>
      </w:r>
    </w:p>
    <w:p>
      <w:pPr>
        <w:pStyle w:val="FirstParagraph"/>
      </w:pPr>
      <w:r>
        <w:t xml:space="preserve">A consulta ao PubMed avaliada para este livro (lactotripeptídeos ou valil-prolil-prolina, data da consulta outubro de 2026) resultou em 21 estudos em humanos; no ClinicalTrials.gov, a busca</w:t>
      </w:r>
      <w:r>
        <w:t xml:space="preserve"> </w:t>
      </w:r>
      <w:r>
        <w:t xml:space="preserve">“</w:t>
      </w:r>
      <w:r>
        <w:t xml:space="preserve">lactotripeptides</w:t>
      </w:r>
      <w:r>
        <w:t xml:space="preserve">”</w:t>
      </w:r>
      <w:r>
        <w:t xml:space="preserve"> </w:t>
      </w:r>
      <w:r>
        <w:t xml:space="preserve">não encontrou nenhum registro. A maioria dos estudos foi realizada antes da introdução da obrigatoriedade de registro para estudos de nutrição. As metanálises referem-se a até 30 estudos randomizados, entre eles muitos estudos japoneses que não são captados integralmente pela consulta ao PubMed.</w:t>
      </w:r>
    </w:p>
    <w:bookmarkStart w:id="2377" w:name="os-primeiros-estudos-positivos"/>
    <w:p>
      <w:pPr>
        <w:pStyle w:val="Heading4"/>
      </w:pPr>
      <w:r>
        <w:t xml:space="preserve">Os primeiros estudos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idosos com hipertensão (a maioria com medicamentos), leite fermentado vs. leite acidificado</w:t>
            </w:r>
          </w:p>
        </w:tc>
        <w:tc>
          <w:tcPr/>
          <w:p>
            <w:pPr>
              <w:pStyle w:val="Compact"/>
              <w:jc w:val="left"/>
            </w:pPr>
            <w:r>
              <w:t xml:space="preserve">8 semanas</w:t>
            </w:r>
          </w:p>
        </w:tc>
        <w:tc>
          <w:tcPr/>
          <w:p>
            <w:pPr>
              <w:pStyle w:val="Compact"/>
              <w:jc w:val="left"/>
            </w:pPr>
            <w:r>
              <w:t xml:space="preserve">Sistólica −14,1 mmHg em relação ao valor inicial no grupo do leite fermentado; placebo inalterado</w:t>
            </w:r>
          </w:p>
        </w:tc>
      </w:tr>
      <w:tr>
        <w:tc>
          <w:tcPr/>
          <w:p>
            <w:pPr>
              <w:pStyle w:val="Compact"/>
              <w:jc w:val="left"/>
            </w:pPr>
            <w:r>
              <w:t xml:space="preserve">Seppo 2003, PMID 12540390</w:t>
            </w:r>
          </w:p>
        </w:tc>
        <w:tc>
          <w:tcPr/>
          <w:p>
            <w:pPr>
              <w:pStyle w:val="Compact"/>
              <w:jc w:val="left"/>
            </w:pPr>
            <w:r>
              <w:t xml:space="preserve">39 pessoas com hipertensão, leite fermentado vs. controle</w:t>
            </w:r>
          </w:p>
        </w:tc>
        <w:tc>
          <w:tcPr/>
          <w:p>
            <w:pPr>
              <w:pStyle w:val="Compact"/>
              <w:jc w:val="left"/>
            </w:pPr>
            <w:r>
              <w:t xml:space="preserve">21 semanas</w:t>
            </w:r>
          </w:p>
        </w:tc>
        <w:tc>
          <w:tcPr/>
          <w:p>
            <w:pPr>
              <w:pStyle w:val="Compact"/>
              <w:jc w:val="left"/>
            </w:pPr>
            <w:r>
              <w:t xml:space="preserve">Diferença sistólica 6,7 mmHg (p = 0,03), diastólica 3,6 mmHg (não significativa)</w:t>
            </w:r>
          </w:p>
        </w:tc>
      </w:tr>
      <w:tr>
        <w:tc>
          <w:tcPr/>
          <w:p>
            <w:pPr>
              <w:pStyle w:val="Compact"/>
              <w:jc w:val="left"/>
            </w:pPr>
            <w:r>
              <w:t xml:space="preserve">Tuomilehto 2004, PMID 15175633</w:t>
            </w:r>
          </w:p>
        </w:tc>
        <w:tc>
          <w:tcPr/>
          <w:p>
            <w:pPr>
              <w:pStyle w:val="Compact"/>
              <w:jc w:val="left"/>
            </w:pPr>
            <w:r>
              <w:t xml:space="preserve">60 pessoas com hipertensão leve, estudo cruzado</w:t>
            </w:r>
          </w:p>
        </w:tc>
        <w:tc>
          <w:tcPr/>
          <w:p>
            <w:pPr>
              <w:pStyle w:val="Compact"/>
              <w:jc w:val="left"/>
            </w:pPr>
            <w:r>
              <w:t xml:space="preserve">2 × fases</w:t>
            </w:r>
          </w:p>
        </w:tc>
        <w:tc>
          <w:tcPr/>
          <w:p>
            <w:pPr>
              <w:pStyle w:val="Compact"/>
              <w:jc w:val="left"/>
            </w:pPr>
            <w:r>
              <w:t xml:space="preserve">Análise geral: diferença sistólica de 2,6 mmHg, não significativa</w:t>
            </w:r>
          </w:p>
        </w:tc>
      </w:tr>
      <w:tr>
        <w:tc>
          <w:tcPr/>
          <w:p>
            <w:pPr>
              <w:pStyle w:val="Compact"/>
              <w:jc w:val="left"/>
            </w:pPr>
            <w:r>
              <w:t xml:space="preserve">Jauhiainen 2005, PMID 16364832</w:t>
            </w:r>
          </w:p>
        </w:tc>
        <w:tc>
          <w:tcPr/>
          <w:p>
            <w:pPr>
              <w:pStyle w:val="Compact"/>
              <w:jc w:val="left"/>
            </w:pPr>
            <w:r>
              <w:t xml:space="preserve">94 pessoas com hipertensão não tratada, leite fermentado vs. controle, medição de 24 horas</w:t>
            </w:r>
          </w:p>
        </w:tc>
        <w:tc>
          <w:tcPr/>
          <w:p>
            <w:pPr>
              <w:pStyle w:val="Compact"/>
              <w:jc w:val="left"/>
            </w:pPr>
            <w:r>
              <w:t xml:space="preserve">10 semanas</w:t>
            </w:r>
          </w:p>
        </w:tc>
        <w:tc>
          <w:tcPr/>
          <w:p>
            <w:pPr>
              <w:pStyle w:val="Compact"/>
              <w:jc w:val="left"/>
            </w:pPr>
            <w:r>
              <w:t xml:space="preserve">Sistólica −4,1 mmHg, diastólica −1,8 mmHg em relação ao controle</w:t>
            </w:r>
          </w:p>
        </w:tc>
      </w:tr>
    </w:tbl>
    <w:p>
      <w:pPr>
        <w:pStyle w:val="BodyText"/>
      </w:pPr>
      <w:r>
        <w:t xml:space="preserve">O estudo inicial de Hata era pequeno, a maioria dos participantes já tomava medicamentos para a pressão, e a comparação foi feita sobretudo com o valor inicial. O estudo de Jauhiainen é metodologicamente mais forte, porque usou a monitorização ambulatorial da pressão arterial de 24 horas, menos suscetível ao</w:t>
      </w:r>
      <w:r>
        <w:t xml:space="preserve"> </w:t>
      </w:r>
      <w:r>
        <w:t xml:space="preserve">“</w:t>
      </w:r>
      <w:r>
        <w:t xml:space="preserve">efeito do jaleco branco</w:t>
      </w:r>
      <w:r>
        <w:t xml:space="preserve">”</w:t>
      </w:r>
      <w:r>
        <w:t xml:space="preserve"> </w:t>
      </w:r>
      <w:r>
        <w:t xml:space="preserve">no consultório.</w:t>
      </w:r>
    </w:p>
    <w:bookmarkEnd w:id="2377"/>
    <w:bookmarkStart w:id="2379" w:name="os-estudos-negativos-da-holanda"/>
    <w:p>
      <w:pPr>
        <w:pStyle w:val="Heading4"/>
      </w:pPr>
      <w:r>
        <w:t xml:space="preserve">Os estudos negativos da Holanda</w:t>
      </w:r>
    </w:p>
    <w:p>
      <w:pPr>
        <w:pStyle w:val="FirstParagraph"/>
      </w:pPr>
      <w:r>
        <w:t xml:space="preserve">A partir de 2008, foram publicados vários estudos maiores e cuidadosamente conduzidos de países europeus que não encontraram efeito: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holandeses com pressão sistólica elevada, três formas de produção de LTP vs. placebo</w:t>
            </w:r>
          </w:p>
        </w:tc>
        <w:tc>
          <w:tcPr/>
          <w:p>
            <w:pPr>
              <w:pStyle w:val="Compact"/>
              <w:jc w:val="left"/>
            </w:pPr>
            <w:r>
              <w:t xml:space="preserve">8 semanas</w:t>
            </w:r>
          </w:p>
        </w:tc>
        <w:tc>
          <w:tcPr/>
          <w:p>
            <w:pPr>
              <w:pStyle w:val="Compact"/>
              <w:jc w:val="left"/>
            </w:pPr>
            <w:r>
              <w:t xml:space="preserve">Nenhuma diferença em relação ao placebo na pressão de consultório, domiciliar e de 24 horas, na atividade da ECA ou na angiotensina II</w:t>
            </w:r>
          </w:p>
        </w:tc>
      </w:tr>
      <w:tr>
        <w:tc>
          <w:tcPr/>
          <w:p>
            <w:pPr>
              <w:pStyle w:val="Compact"/>
              <w:jc w:val="left"/>
            </w:pPr>
            <w:r>
              <w:t xml:space="preserve">van der Zander 2008, PMID 19064533</w:t>
            </w:r>
          </w:p>
        </w:tc>
        <w:tc>
          <w:tcPr/>
          <w:p>
            <w:pPr>
              <w:pStyle w:val="Compact"/>
              <w:jc w:val="left"/>
            </w:pPr>
            <w:r>
              <w:t xml:space="preserve">275 holandeses com hipertensão, LTP produzidos enzimaticamente em bebida de iogurte vs. placebo</w:t>
            </w:r>
          </w:p>
        </w:tc>
        <w:tc>
          <w:tcPr/>
          <w:p>
            <w:pPr>
              <w:pStyle w:val="Compact"/>
              <w:jc w:val="left"/>
            </w:pPr>
            <w:r>
              <w:t xml:space="preserve">8 semanas</w:t>
            </w:r>
          </w:p>
        </w:tc>
        <w:tc>
          <w:tcPr/>
          <w:p>
            <w:pPr>
              <w:pStyle w:val="Compact"/>
              <w:jc w:val="left"/>
            </w:pPr>
            <w:r>
              <w:t xml:space="preserve">Nenhuma diferença sistólica (p = 0,66) ou diastólica (p = 0,72)</w:t>
            </w:r>
          </w:p>
        </w:tc>
      </w:tr>
      <w:tr>
        <w:tc>
          <w:tcPr/>
          <w:p>
            <w:pPr>
              <w:pStyle w:val="Compact"/>
              <w:jc w:val="left"/>
            </w:pPr>
            <w:r>
              <w:t xml:space="preserve">van Mierlo 2009, PMID 19106238</w:t>
            </w:r>
          </w:p>
        </w:tc>
        <w:tc>
          <w:tcPr/>
          <w:p>
            <w:pPr>
              <w:pStyle w:val="Compact"/>
              <w:jc w:val="left"/>
            </w:pPr>
            <w:r>
              <w:t xml:space="preserve">2 estudos cruzados com 69 e 93 adultos não tratados, medição de 24 horas</w:t>
            </w:r>
          </w:p>
        </w:tc>
        <w:tc>
          <w:tcPr/>
          <w:p>
            <w:pPr>
              <w:pStyle w:val="Compact"/>
              <w:jc w:val="left"/>
            </w:pPr>
            <w:r>
              <w:t xml:space="preserve">4 semanas cada</w:t>
            </w:r>
          </w:p>
        </w:tc>
        <w:tc>
          <w:tcPr/>
          <w:p>
            <w:pPr>
              <w:pStyle w:val="Compact"/>
              <w:jc w:val="left"/>
            </w:pPr>
            <w:r>
              <w:t xml:space="preserve">Nenhuma diferença na pressão arterial de 24 horas</w:t>
            </w:r>
          </w:p>
        </w:tc>
      </w:tr>
      <w:tr>
        <w:tc>
          <w:tcPr/>
          <w:p>
            <w:pPr>
              <w:pStyle w:val="Compact"/>
              <w:jc w:val="left"/>
            </w:pPr>
            <w:r>
              <w:t xml:space="preserve">Usinger 2010, PMID 20147968</w:t>
            </w:r>
          </w:p>
        </w:tc>
        <w:tc>
          <w:tcPr/>
          <w:p>
            <w:pPr>
              <w:pStyle w:val="Compact"/>
              <w:jc w:val="left"/>
            </w:pPr>
            <w:r>
              <w:t xml:space="preserve">94 pessoas com pressão normal-alta ou limítrofe, 150 ou 300 ml de leite fermentado vs. placebo</w:t>
            </w:r>
          </w:p>
        </w:tc>
        <w:tc>
          <w:tcPr/>
          <w:p>
            <w:pPr>
              <w:pStyle w:val="Compact"/>
              <w:jc w:val="left"/>
            </w:pPr>
            <w:r>
              <w:t xml:space="preserve">8 semanas</w:t>
            </w:r>
          </w:p>
        </w:tc>
        <w:tc>
          <w:tcPr/>
          <w:p>
            <w:pPr>
              <w:pStyle w:val="Compact"/>
              <w:jc w:val="left"/>
            </w:pPr>
            <w:r>
              <w:t xml:space="preserve">Nenhuma diferença significativa na pressão arterial de 24 horas</w:t>
            </w:r>
          </w:p>
        </w:tc>
      </w:tr>
    </w:tbl>
    <w:p>
      <w:pPr>
        <w:pStyle w:val="BodyText"/>
      </w:pPr>
      <w:r>
        <w:t xml:space="preserve">Notável no estudo de Engberink: ele testou lactotripeptídeos de três fontes – de leite fermentado concentrado, produzidos enzimaticamente e sintetizados quimicamente. Nenhuma das três variantes reduziu a pressão arterial ou inibiu a ECA de forma mensurável. Uma revisão reuniu seis desses estudos, com 780 participantes do Reino Unido e da Holanda, e concluiu que os dados mais recentes não sustentam um papel dos lactotripeptídeos na regulação da pressão arterial</w:t>
      </w:r>
      <w:r>
        <w:rPr>
          <w:rStyle w:val="FootnoteReference"/>
        </w:rPr>
        <w:footnoteReference w:id="2378"/>
      </w:r>
      <w:r>
        <w:t xml:space="preserve">.</w:t>
      </w:r>
    </w:p>
    <w:bookmarkEnd w:id="2379"/>
    <w:bookmarkStart w:id="2384" w:name="estudos-posteriores"/>
    <w:p>
      <w:pPr>
        <w:pStyle w:val="Heading4"/>
      </w:pPr>
      <w:r>
        <w:t xml:space="preserve">Estudos posteriores</w:t>
      </w:r>
    </w:p>
    <w:p>
      <w:pPr>
        <w:pStyle w:val="FirstParagraph"/>
      </w:pPr>
      <w:r>
        <w:t xml:space="preserve">Também depois de 2010 os resultados continuaram mistos. Na Finlândia, uma dose de 50 mg de lactotripeptídeos por dia reduziu a pressão arterial de 24 horas em relação ao valor inicial, mas não de forma significativa em relação ao placebo (−2,6 mmHg sistólica); 5 mg por dia não tiveram efeito</w:t>
      </w:r>
      <w:r>
        <w:rPr>
          <w:rStyle w:val="FootnoteReference"/>
        </w:rPr>
        <w:footnoteReference w:id="2380"/>
      </w:r>
      <w:r>
        <w:t xml:space="preserve">. Uma gordura para passar no pão com IPP, VPP e esteróis vegetais reduziu a pressão sistólica medida em casa mais do que o placebo (−4,1 contra −0,5 mmHg), mas não o valor de consultório ou de 24 horas</w:t>
      </w:r>
      <w:r>
        <w:rPr>
          <w:rStyle w:val="FootnoteReference"/>
        </w:rPr>
        <w:footnoteReference w:id="2381"/>
      </w:r>
      <w:r>
        <w:t xml:space="preserve">. Estudos italianos relataram efeitos favoráveis sobre a pressão de consultório e a rigidez vascular</w:t>
      </w:r>
      <w:r>
        <w:rPr>
          <w:rStyle w:val="FootnoteReference"/>
        </w:rPr>
        <w:footnoteReference w:id="2382"/>
      </w:r>
      <w:r>
        <w:t xml:space="preserve">, em um deles sem efeito sobre a pressão de 24 horas. Nos EUA, em um estudo com 91 pessoas com hipertensão estágio 1 e 2, a pressão sistólica diurna caiu 3,6 mmHg, e com placebo não</w:t>
      </w:r>
      <w:r>
        <w:rPr>
          <w:rStyle w:val="FootnoteReference"/>
        </w:rPr>
        <w:footnoteReference w:id="2383"/>
      </w:r>
      <w:r>
        <w:t xml:space="preserve">.</w:t>
      </w:r>
    </w:p>
    <w:p>
      <w:pPr>
        <w:pStyle w:val="BodyText"/>
      </w:pPr>
      <w:r>
        <w:t xml:space="preserve">Além disso, há pequenos estudos sobre função vascular, irrigação cerebral, fadiga muscular e desempenho cognitivo, geralmente com 15 a 50 participantes (por exemplo, Akazawa 2018, PMID 29703414). Devem ser lidos como indícios, não como provas.</w:t>
      </w:r>
    </w:p>
    <w:bookmarkEnd w:id="2384"/>
    <w:bookmarkStart w:id="2386" w:name="Xa28ae7d12755aaac906262166a98f8678d486e4"/>
    <w:p>
      <w:pPr>
        <w:pStyle w:val="Heading4"/>
      </w:pPr>
      <w:r>
        <w:t xml:space="preserve">Metanálises: efeito pequeno, forte influência da origem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Metanálise</w:t>
            </w:r>
          </w:p>
        </w:tc>
        <w:tc>
          <w:tcPr/>
          <w:p>
            <w:pPr>
              <w:pStyle w:val="Compact"/>
              <w:jc w:val="left"/>
            </w:pPr>
            <w:r>
              <w:t xml:space="preserve">Abrangência</w:t>
            </w:r>
          </w:p>
        </w:tc>
        <w:tc>
          <w:tcPr/>
          <w:p>
            <w:pPr>
              <w:pStyle w:val="Compact"/>
              <w:jc w:val="left"/>
            </w:pPr>
            <w:r>
              <w:t xml:space="preserve">Efeito sobre a pressão sistólica</w:t>
            </w:r>
          </w:p>
        </w:tc>
      </w:tr>
      <w:tr>
        <w:tc>
          <w:tcPr/>
          <w:p>
            <w:pPr>
              <w:pStyle w:val="Compact"/>
              <w:jc w:val="left"/>
            </w:pPr>
            <w:r>
              <w:t xml:space="preserve">Cicero 2011, PMID 20811398</w:t>
            </w:r>
          </w:p>
        </w:tc>
        <w:tc>
          <w:tcPr/>
          <w:p>
            <w:pPr>
              <w:pStyle w:val="Compact"/>
              <w:jc w:val="left"/>
            </w:pPr>
            <w:r>
              <w:t xml:space="preserve">18 estudos</w:t>
            </w:r>
          </w:p>
        </w:tc>
        <w:tc>
          <w:tcPr/>
          <w:p>
            <w:pPr>
              <w:pStyle w:val="Compact"/>
              <w:jc w:val="left"/>
            </w:pPr>
            <w:r>
              <w:t xml:space="preserve">−3,73 mmHg no total; Ásia −6,93 mmHg; Europa −1,17 mmHg (não significativo)</w:t>
            </w:r>
          </w:p>
        </w:tc>
      </w:tr>
      <w:tr>
        <w:tc>
          <w:tcPr/>
          <w:p>
            <w:pPr>
              <w:pStyle w:val="Compact"/>
              <w:jc w:val="left"/>
            </w:pPr>
            <w:r>
              <w:t xml:space="preserve">Turpeinen 2013, PMID 23305234</w:t>
            </w:r>
          </w:p>
        </w:tc>
        <w:tc>
          <w:tcPr/>
          <w:p>
            <w:pPr>
              <w:pStyle w:val="Compact"/>
              <w:jc w:val="left"/>
            </w:pPr>
            <w:r>
              <w:t xml:space="preserve">19 estudos, cerca de 1.500 pessoas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braços de estudo, 1.919 pessoas</w:t>
            </w:r>
          </w:p>
        </w:tc>
        <w:tc>
          <w:tcPr/>
          <w:p>
            <w:pPr>
              <w:pStyle w:val="Compact"/>
              <w:jc w:val="left"/>
            </w:pPr>
            <w:r>
              <w:t xml:space="preserve">−1,66 mmHg; na pressão de 24 horas −1,30 mmHg</w:t>
            </w:r>
          </w:p>
        </w:tc>
      </w:tr>
      <w:tr>
        <w:tc>
          <w:tcPr/>
          <w:p>
            <w:pPr>
              <w:pStyle w:val="Compact"/>
              <w:jc w:val="left"/>
            </w:pPr>
            <w:r>
              <w:t xml:space="preserve">Cicero 2013, PMID 23382495</w:t>
            </w:r>
          </w:p>
        </w:tc>
        <w:tc>
          <w:tcPr/>
          <w:p>
            <w:pPr>
              <w:pStyle w:val="Compact"/>
              <w:jc w:val="left"/>
            </w:pPr>
            <w:r>
              <w:t xml:space="preserve">14 estudos europeus, 1.306 pessoas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estudos</w:t>
            </w:r>
          </w:p>
        </w:tc>
        <w:tc>
          <w:tcPr/>
          <w:p>
            <w:pPr>
              <w:pStyle w:val="Compact"/>
              <w:jc w:val="left"/>
            </w:pPr>
            <w:r>
              <w:t xml:space="preserve">−2,95 mmHg; pressão de 24 horas não significativa</w:t>
            </w:r>
          </w:p>
        </w:tc>
      </w:tr>
      <w:tr>
        <w:tc>
          <w:tcPr/>
          <w:p>
            <w:pPr>
              <w:pStyle w:val="Compact"/>
              <w:jc w:val="left"/>
            </w:pPr>
            <w:r>
              <w:t xml:space="preserve">Chanson-Rolle 2015, PMID 26536628</w:t>
            </w:r>
          </w:p>
        </w:tc>
        <w:tc>
          <w:tcPr/>
          <w:p>
            <w:pPr>
              <w:pStyle w:val="Compact"/>
              <w:jc w:val="left"/>
            </w:pPr>
            <w:r>
              <w:t xml:space="preserve">18 estudos japoneses, 1.194 pessoas</w:t>
            </w:r>
          </w:p>
        </w:tc>
        <w:tc>
          <w:tcPr/>
          <w:p>
            <w:pPr>
              <w:pStyle w:val="Compact"/>
              <w:jc w:val="left"/>
            </w:pPr>
            <w:r>
              <w:t xml:space="preserve">−5,63 mmHg</w:t>
            </w:r>
          </w:p>
        </w:tc>
      </w:tr>
    </w:tbl>
    <w:p>
      <w:pPr>
        <w:pStyle w:val="BodyText"/>
      </w:pPr>
      <w:r>
        <w:t xml:space="preserve">Três padrões atravessam todas as análises:</w:t>
      </w:r>
    </w:p>
    <w:p>
      <w:pPr>
        <w:numPr>
          <w:ilvl w:val="0"/>
          <w:numId w:val="1298"/>
        </w:numPr>
        <w:pStyle w:val="Compact"/>
      </w:pPr>
      <w:r>
        <w:rPr>
          <w:bCs/>
          <w:b/>
        </w:rPr>
        <w:t xml:space="preserve">O efeito é pequeno.</w:t>
      </w:r>
      <w:r>
        <w:t xml:space="preserve"> </w:t>
      </w:r>
      <w:r>
        <w:t xml:space="preserve">Agrupado, fica geralmente entre 1 e 4 mmHg sistólicos – bem menos do que alcançam os medicamentos aprovados para a pressão arterial.</w:t>
      </w:r>
    </w:p>
    <w:p>
      <w:pPr>
        <w:numPr>
          <w:ilvl w:val="0"/>
          <w:numId w:val="1298"/>
        </w:numPr>
        <w:pStyle w:val="Compact"/>
      </w:pPr>
      <w:r>
        <w:rPr>
          <w:bCs/>
          <w:b/>
        </w:rPr>
        <w:t xml:space="preserve">Estudos asiáticos, sobretudo japoneses, mostram efeitos muito maiores que os europeus.</w:t>
      </w:r>
      <w:r>
        <w:t xml:space="preserve"> </w:t>
      </w:r>
      <w:r>
        <w:t xml:space="preserve">Se isso se deve a diferenças genéticas, à alimentação (por exemplo, maior consumo de sal) ou a diferenças metodológicas não está esclarecido.</w:t>
      </w:r>
    </w:p>
    <w:p>
      <w:pPr>
        <w:numPr>
          <w:ilvl w:val="0"/>
          <w:numId w:val="1298"/>
        </w:numPr>
        <w:pStyle w:val="Compact"/>
      </w:pPr>
      <w:r>
        <w:rPr>
          <w:bCs/>
          <w:b/>
        </w:rPr>
        <w:t xml:space="preserve">Indícios de viés de publicação.</w:t>
      </w:r>
      <w:r>
        <w:t xml:space="preserve"> </w:t>
      </w:r>
      <w:r>
        <w:t xml:space="preserve">A metanálise de Fekete encontrou tanto viés de publicação quanto um</w:t>
      </w:r>
      <w:r>
        <w:t xml:space="preserve"> </w:t>
      </w:r>
      <w:r>
        <w:t xml:space="preserve">“</w:t>
      </w:r>
      <w:r>
        <w:t xml:space="preserve">efeito de estudos pequenos</w:t>
      </w:r>
      <w:r>
        <w:t xml:space="preserve">”</w:t>
      </w:r>
      <w:r>
        <w:t xml:space="preserve">: estudos pequenos mostraram efeitos maiores. Após a correção, a redução sistólica encolheu, e a diastólica deixou de ser significativa. Na pressão arterial de 24 horas – o método de medição mais confiável –, o efeito não foi significativo</w:t>
      </w:r>
      <w:r>
        <w:rPr>
          <w:rStyle w:val="FootnoteReference"/>
        </w:rPr>
        <w:footnoteReference w:id="2385"/>
      </w:r>
      <w:r>
        <w:t xml:space="preserve">.</w:t>
      </w:r>
    </w:p>
    <w:p>
      <w:pPr>
        <w:pStyle w:val="FirstParagraph"/>
      </w:pPr>
      <w:r>
        <w:t xml:space="preserve">Falta um estudo que mostre que os lactotripeptídeos previnem infartos, AVCs ou mortes. Diante do efeito pequeno, também não se deve esperar um estudo assim.</w:t>
      </w:r>
    </w:p>
    <w:bookmarkEnd w:id="2386"/>
    <w:bookmarkEnd w:id="2387"/>
    <w:bookmarkStart w:id="2394" w:name="estudos-em-animais-e-em-laboratório-53"/>
    <w:p>
      <w:pPr>
        <w:pStyle w:val="Heading3"/>
      </w:pPr>
      <w:r>
        <w:t xml:space="preserve">Estudos em animais e em laboratório</w:t>
      </w:r>
    </w:p>
    <w:p>
      <w:pPr>
        <w:pStyle w:val="FirstParagraph"/>
      </w:pPr>
      <w:r>
        <w:t xml:space="preserve">Em ratos com hipertensão congênita (ratos SHR), VPP e IPP reduziram a pressão arterial de forma dependente da dose; em ratos com pressão normal, não</w:t>
      </w:r>
      <w:r>
        <w:rPr>
          <w:rStyle w:val="FootnoteReference"/>
        </w:rPr>
        <w:footnoteReference w:id="2388"/>
      </w:r>
      <w:r>
        <w:t xml:space="preserve">. Em culturas de células, VPP e IPP estimularam, a partir de concentrações acima de 100 nanomol por litro, a formação de óxido nítrico em células vasculares e, em aortas isoladas de ratos, provocaram vasodilatação</w:t>
      </w:r>
      <w:r>
        <w:rPr>
          <w:rStyle w:val="FootnoteReference"/>
        </w:rPr>
        <w:footnoteReference w:id="2389"/>
      </w:r>
      <w:r>
        <w:t xml:space="preserve">. Para comparação: no sangue humano, após a ingestão de uma bebida enriquecida, foram medidos menos de 1 nanomol por litro de IPP</w:t>
      </w:r>
      <w:r>
        <w:rPr>
          <w:rStyle w:val="FootnoteReference"/>
        </w:rPr>
        <w:footnoteReference w:id="2390"/>
      </w:r>
      <w:r>
        <w:t xml:space="preserve">. Análises de estrutura por raios X mostram que ambos os peptídeos se ligam preferencialmente a um dos dois sítios ativos da molécula de ECA</w:t>
      </w:r>
      <w:r>
        <w:rPr>
          <w:rStyle w:val="FootnoteReference"/>
        </w:rPr>
        <w:footnoteReference w:id="2391"/>
      </w:r>
      <w:r>
        <w:t xml:space="preserve">. Em ratos e coelhos, estudos de toxicidade – incluindo investigações sobre o desenvolvimento renal da prole, porque inibidores da ECA na gravidez podem prejudicar o feto – não encontraram efeitos colaterais nas doses mais altas testadas</w:t>
      </w:r>
      <w:r>
        <w:rPr>
          <w:rStyle w:val="FootnoteReference"/>
        </w:rPr>
        <w:footnoteReference w:id="2392"/>
      </w:r>
      <w:r>
        <w:t xml:space="preserve">. Um hidrolisado de proteína do leite contendo IPP não foi mutagênico em testes genéticos; a dose mais alta testada no experimento de 90 dias em ratos foi cerca de 141 vezes superior à ingestão máxima esperada</w:t>
      </w:r>
      <w:r>
        <w:rPr>
          <w:rStyle w:val="FootnoteReference"/>
        </w:rPr>
        <w:footnoteReference w:id="2393"/>
      </w:r>
      <w:r>
        <w:t xml:space="preserve">.</w:t>
      </w:r>
    </w:p>
    <w:bookmarkEnd w:id="2394"/>
    <w:bookmarkStart w:id="2395" w:name="riscos-e-efeitos-colaterais-53"/>
    <w:p>
      <w:pPr>
        <w:pStyle w:val="Heading3"/>
      </w:pPr>
      <w:r>
        <w:t xml:space="preserve">Riscos e efeitos colaterais</w:t>
      </w:r>
    </w:p>
    <w:p>
      <w:pPr>
        <w:pStyle w:val="FirstParagraph"/>
      </w:pPr>
      <w:r>
        <w:rPr>
          <w:bCs/>
          <w:b/>
        </w:rPr>
        <w:t xml:space="preserve">Comprovados:</w:t>
      </w:r>
      <w:r>
        <w:t xml:space="preserve"> </w:t>
      </w:r>
      <w:r>
        <w:t xml:space="preserve">nos estudos em humanos, não ocorreram mais efeitos colaterais com lactotripeptídeos do que com placebo (por exemplo, Jauhiainen 2005, PMID 16364832). Os peptídeos vêm da proteína do leite, consumida desde sempre; as quantidades nos produtos estão na faixa dos miligramas.</w:t>
      </w:r>
    </w:p>
    <w:p>
      <w:pPr>
        <w:pStyle w:val="BodyText"/>
      </w:pPr>
      <w:r>
        <w:rPr>
          <w:bCs/>
          <w:b/>
        </w:rPr>
        <w:t xml:space="preserve">Teóricos ou a considerar:</w:t>
      </w:r>
    </w:p>
    <w:p>
      <w:pPr>
        <w:numPr>
          <w:ilvl w:val="0"/>
          <w:numId w:val="1299"/>
        </w:numPr>
        <w:pStyle w:val="Compact"/>
      </w:pPr>
      <w:r>
        <w:rPr>
          <w:bCs/>
          <w:b/>
        </w:rPr>
        <w:t xml:space="preserve">Alergia ao leite:</w:t>
      </w:r>
      <w:r>
        <w:t xml:space="preserve"> </w:t>
      </w:r>
      <w:r>
        <w:t xml:space="preserve">produtos à base de leite ou caseína são inadequados em caso de alergia à proteína do leite de vaca.</w:t>
      </w:r>
    </w:p>
    <w:p>
      <w:pPr>
        <w:numPr>
          <w:ilvl w:val="0"/>
          <w:numId w:val="1299"/>
        </w:numPr>
        <w:pStyle w:val="Compact"/>
      </w:pPr>
      <w:r>
        <w:rPr>
          <w:bCs/>
          <w:b/>
        </w:rPr>
        <w:t xml:space="preserve">Combinação com medicamentos para a pressão arterial:</w:t>
      </w:r>
      <w:r>
        <w:t xml:space="preserve"> </w:t>
      </w:r>
      <w:r>
        <w:t xml:space="preserve">uma potencialização relevante é improvável diante do efeito fraco, mas não foi estudada sistematicamente.</w:t>
      </w:r>
    </w:p>
    <w:p>
      <w:pPr>
        <w:numPr>
          <w:ilvl w:val="0"/>
          <w:numId w:val="1299"/>
        </w:numPr>
        <w:pStyle w:val="Compact"/>
      </w:pPr>
      <w:r>
        <w:rPr>
          <w:bCs/>
          <w:b/>
        </w:rPr>
        <w:t xml:space="preserve">Gravidez:</w:t>
      </w:r>
      <w:r>
        <w:t xml:space="preserve"> </w:t>
      </w:r>
      <w:r>
        <w:t xml:space="preserve">inibidores da ECA são contraindicados na gravidez. Para os lactotripeptídeos, não foi encontrado em experimentos com animais nenhum dano correspondente; faltam dados em humanos.</w:t>
      </w:r>
    </w:p>
    <w:p>
      <w:pPr>
        <w:numPr>
          <w:ilvl w:val="0"/>
          <w:numId w:val="1299"/>
        </w:numPr>
        <w:pStyle w:val="Compact"/>
      </w:pPr>
      <w:r>
        <w:rPr>
          <w:bCs/>
          <w:b/>
        </w:rPr>
        <w:t xml:space="preserve">O risco mais importante:</w:t>
      </w:r>
      <w:r>
        <w:t xml:space="preserve"> </w:t>
      </w:r>
      <w:r>
        <w:t xml:space="preserve">quem trata uma hipertensão que requer tratamento com uma bebida láctea em vez de medidas eficazes abre mão da proteção contra infarto e AVC. Redução de peso, menos sal, atividade física e – quando necessário – medicamentos reduzem a pressão comprovadamente mais.</w:t>
      </w:r>
    </w:p>
    <w:bookmarkEnd w:id="2395"/>
    <w:bookmarkStart w:id="2396" w:name="situação-legal-53"/>
    <w:p>
      <w:pPr>
        <w:pStyle w:val="Heading3"/>
      </w:pPr>
      <w:r>
        <w:t xml:space="preserve">Situação legal</w:t>
      </w:r>
    </w:p>
    <w:p>
      <w:pPr>
        <w:numPr>
          <w:ilvl w:val="0"/>
          <w:numId w:val="1300"/>
        </w:numPr>
        <w:pStyle w:val="Compact"/>
      </w:pPr>
      <w:r>
        <w:rPr>
          <w:bCs/>
          <w:b/>
        </w:rPr>
        <w:t xml:space="preserve">UE / Áustria / Alemanha:</w:t>
      </w:r>
      <w:r>
        <w:t xml:space="preserve"> </w:t>
      </w:r>
      <w:r>
        <w:t xml:space="preserve">os lactotripeptídeos são ingredientes alimentares. Alegações de saúde sobre a pressão arterial</w:t>
      </w:r>
      <w:r>
        <w:t xml:space="preserve"> </w:t>
      </w:r>
      <w:r>
        <w:rPr>
          <w:bCs/>
          <w:b/>
        </w:rPr>
        <w:t xml:space="preserve">não estão autorizadas</w:t>
      </w:r>
      <w:r>
        <w:t xml:space="preserve"> </w:t>
      </w:r>
      <w:r>
        <w:t xml:space="preserve">segundo o Regulamento de Alegações de Saúde (Regulamento (CE) nº 1924/2006). A Autoridade Europeia para a Segurança dos Alimentos (EFSA) avaliou pedidos sobre lactotripeptídeos e a manutenção de uma pressão arterial normal e concluiu que uma relação de causa e efeito não está suficientemente comprovada. Foram decisivos, entre outros, os estudos europeus contraditórios. Os produtos, portanto, não podem ser promovidos na UE com</w:t>
      </w:r>
      <w:r>
        <w:t xml:space="preserve"> </w:t>
      </w:r>
      <w:r>
        <w:t xml:space="preserve">“</w:t>
      </w:r>
      <w:r>
        <w:t xml:space="preserve">reduz a pressão arterial</w:t>
      </w:r>
      <w:r>
        <w:t xml:space="preserve">”</w:t>
      </w:r>
      <w:r>
        <w:t xml:space="preserve"> </w:t>
      </w:r>
      <w:r>
        <w:t xml:space="preserve">ou</w:t>
      </w:r>
      <w:r>
        <w:t xml:space="preserve"> </w:t>
      </w:r>
      <w:r>
        <w:t xml:space="preserve">“</w:t>
      </w:r>
      <w:r>
        <w:t xml:space="preserve">contribui para uma pressão arterial normal</w:t>
      </w:r>
      <w:r>
        <w:t xml:space="preserve">”</w:t>
      </w:r>
      <w:r>
        <w:t xml:space="preserve">.</w:t>
      </w:r>
    </w:p>
    <w:p>
      <w:pPr>
        <w:numPr>
          <w:ilvl w:val="0"/>
          <w:numId w:val="1300"/>
        </w:numPr>
        <w:pStyle w:val="Compact"/>
      </w:pPr>
      <w:r>
        <w:rPr>
          <w:bCs/>
          <w:b/>
        </w:rPr>
        <w:t xml:space="preserve">Japão:</w:t>
      </w:r>
      <w:r>
        <w:t xml:space="preserve"> </w:t>
      </w:r>
      <w:r>
        <w:t xml:space="preserve">lá, bebidas desse tipo foram comercializadas como</w:t>
      </w:r>
      <w:r>
        <w:t xml:space="preserve"> </w:t>
      </w:r>
      <w:r>
        <w:t xml:space="preserve">“</w:t>
      </w:r>
      <w:r>
        <w:t xml:space="preserve">alimentos para uso específico de saúde</w:t>
      </w:r>
      <w:r>
        <w:t xml:space="preserve">”</w:t>
      </w:r>
      <w:r>
        <w:t xml:space="preserve"> </w:t>
      </w:r>
      <w:r>
        <w:t xml:space="preserve">(FOSHU), com uma alegação sobre pressão arterial autorizada pelas autoridades. Isso explica em parte por que grande parte dos estudos vem do Japão.</w:t>
      </w:r>
    </w:p>
    <w:p>
      <w:pPr>
        <w:numPr>
          <w:ilvl w:val="0"/>
          <w:numId w:val="1300"/>
        </w:numPr>
        <w:pStyle w:val="Compact"/>
      </w:pPr>
      <w:r>
        <w:rPr>
          <w:bCs/>
          <w:b/>
        </w:rPr>
        <w:t xml:space="preserve">EUA:</w:t>
      </w:r>
      <w:r>
        <w:t xml:space="preserve"> </w:t>
      </w:r>
      <w:r>
        <w:t xml:space="preserve">de venda livre como suplemento alimentar; alegações relacionadas a doenças não são permitidas.</w:t>
      </w:r>
    </w:p>
    <w:p>
      <w:pPr>
        <w:numPr>
          <w:ilvl w:val="0"/>
          <w:numId w:val="1300"/>
        </w:numPr>
        <w:pStyle w:val="Compact"/>
      </w:pPr>
      <w:r>
        <w:rPr>
          <w:bCs/>
          <w:b/>
        </w:rPr>
        <w:t xml:space="preserve">Esporte:</w:t>
      </w:r>
      <w:r>
        <w:t xml:space="preserve"> </w:t>
      </w:r>
      <w:r>
        <w:t xml:space="preserve">não constam na lista de proibições da WADA (situação em 2026, verificar atualização).</w:t>
      </w:r>
    </w:p>
    <w:bookmarkEnd w:id="2396"/>
    <w:bookmarkStart w:id="2398" w:name="estudos-em-andamento-e-perspectivas-53"/>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em andamento registrado sob o termo</w:t>
      </w:r>
      <w:r>
        <w:t xml:space="preserve"> </w:t>
      </w:r>
      <w:r>
        <w:t xml:space="preserve">“</w:t>
      </w:r>
      <w:r>
        <w:t xml:space="preserve">lactotripeptides</w:t>
      </w:r>
      <w:r>
        <w:t xml:space="preserve">”</w:t>
      </w:r>
      <w:r>
        <w:t xml:space="preserve">. Sob termos relacionados, encontra-se um estudo concluído sobre IPP e a função vascular na doença arterial coronariana, com 54 participantes</w:t>
      </w:r>
      <w:r>
        <w:rPr>
          <w:rStyle w:val="FootnoteReference"/>
        </w:rPr>
        <w:footnoteReference w:id="2397"/>
      </w:r>
      <w:r>
        <w:t xml:space="preserve">. A pesquisa sobre lactotripeptídeos diminuiu claramente desde cerca de 2015; os trabalhos novos investigam sobretudo, de forma geral, por que as pessoas respondem de modo diferente a peptídeos alimentares.</w:t>
      </w:r>
    </w:p>
    <w:p>
      <w:pPr>
        <w:pStyle w:val="BodyText"/>
      </w:pPr>
      <w:r>
        <w:rPr>
          <w:bCs/>
          <w:b/>
        </w:rPr>
        <w:t xml:space="preserve">Avaliação:</w:t>
      </w:r>
      <w:r>
        <w:t xml:space="preserve"> </w:t>
      </w:r>
      <w:r>
        <w:t xml:space="preserve">os lactotripeptídeos são um exemplo didático de como um mecanismo convincente em laboratório e estudos iniciais positivos podem encolher em investigações maiores e independentes. Um pequeno efeito sobre a pressão arterial é possível – sobretudo em populações de estudo asiáticas –, mas para a Europa não está comprovado de forma convincente. Não há renascimento à vista.</w:t>
      </w:r>
    </w:p>
    <w:bookmarkEnd w:id="2398"/>
    <w:bookmarkStart w:id="2399" w:name="conclusão-53"/>
    <w:p>
      <w:pPr>
        <w:pStyle w:val="Heading3"/>
      </w:pPr>
      <w:r>
        <w:t xml:space="preserve">Conclusão</w:t>
      </w:r>
    </w:p>
    <w:p>
      <w:pPr>
        <w:pStyle w:val="FirstParagraph"/>
      </w:pPr>
      <w:r>
        <w:t xml:space="preserve">Os lactotripeptídeos são dois pequenos peptídeos do leite que, em tubo de ensaio, inibem a enzima ECA, reguladora da pressão arterial. Em estudos iniciais japoneses e finlandeses, reduziram a pressão arterial; em vários estudos holandeses maiores, por outro lado, não, e uma inibição mensurável da ECA não pôde ser demonstrada em humanos. Metanálises resultam em uma redução da pressão sistólica de cerca de 1 a 4 mmHg, com indícios de viés de publicação e um efeito bem menor na Europa. A EFSA rejeitou uma alegação sobre pressão arterial. Eles são inofensivos, mas não substituem um tratamento da pressão arterial.</w:t>
      </w:r>
    </w:p>
    <w:bookmarkEnd w:id="2399"/>
    <w:bookmarkEnd w:id="2400"/>
    <w:bookmarkStart w:id="2451" w:name="carnosina"/>
    <w:p>
      <w:pPr>
        <w:pStyle w:val="Heading2"/>
      </w:pPr>
      <w:r>
        <w:t xml:space="preserve">Carnosina</w:t>
      </w:r>
    </w:p>
    <w:bookmarkStart w:id="2401" w:name="ficha-técnica-54"/>
    <w:p>
      <w:pPr>
        <w:pStyle w:val="Heading3"/>
      </w:pPr>
      <w:r>
        <w:t xml:space="preserve">Ficha técnica</w:t>
      </w:r>
    </w:p>
    <w:p>
      <w:pPr>
        <w:numPr>
          <w:ilvl w:val="0"/>
          <w:numId w:val="1301"/>
        </w:numPr>
        <w:pStyle w:val="Compact"/>
      </w:pPr>
      <w:r>
        <w:rPr>
          <w:bCs/>
          <w:b/>
        </w:rPr>
        <w:t xml:space="preserve">Tipo/estrutura:</w:t>
      </w:r>
      <w:r>
        <w:t xml:space="preserve"> </w:t>
      </w:r>
      <w:r>
        <w:t xml:space="preserve">dipeptídeo formado pelos aminoácidos beta-alanina e histidina (β-alanil-L-histidina). Substâncias aparentadas são a anserina (em aves e peixes) e a homocarnosina (no cérebro); juntas, são chamadas de dipeptídeos contendo histidina.</w:t>
      </w:r>
    </w:p>
    <w:p>
      <w:pPr>
        <w:numPr>
          <w:ilvl w:val="0"/>
          <w:numId w:val="1301"/>
        </w:numPr>
        <w:pStyle w:val="Compact"/>
      </w:pPr>
      <w:r>
        <w:rPr>
          <w:bCs/>
          <w:b/>
        </w:rPr>
        <w:t xml:space="preserve">Origem:</w:t>
      </w:r>
      <w:r>
        <w:t xml:space="preserve"> </w:t>
      </w:r>
      <w:r>
        <w:t xml:space="preserve">endógena, em alta concentração na musculatura esquelética, e também no coração e no cérebro. Pela alimentação, a carnosina é ingerida sobretudo com carne e peixe; alimentos vegetais praticamente não a contêm. Para suplementos alimentares, é produzida sinteticamente.</w:t>
      </w:r>
    </w:p>
    <w:p>
      <w:pPr>
        <w:numPr>
          <w:ilvl w:val="0"/>
          <w:numId w:val="1301"/>
        </w:numPr>
        <w:pStyle w:val="Compact"/>
      </w:pPr>
      <w:r>
        <w:rPr>
          <w:bCs/>
          <w:b/>
        </w:rPr>
        <w:t xml:space="preserve">Mecanismo de ação:</w:t>
      </w:r>
      <w:r>
        <w:t xml:space="preserve"> </w:t>
      </w:r>
      <w:r>
        <w:t xml:space="preserve">tampão contra a acidificação no músculo; em laboratório, além disso, captura de produtos reativos da degradação de açúcares e gorduras (antiglicação) e efeito antioxidante.</w:t>
      </w:r>
    </w:p>
    <w:p>
      <w:pPr>
        <w:numPr>
          <w:ilvl w:val="0"/>
          <w:numId w:val="1301"/>
        </w:numPr>
        <w:pStyle w:val="Compact"/>
      </w:pPr>
      <w:r>
        <w:rPr>
          <w:bCs/>
          <w:b/>
        </w:rPr>
        <w:t xml:space="preserve">Substâncias aparentadas:</w:t>
      </w:r>
      <w:r>
        <w:t xml:space="preserve"> </w:t>
      </w:r>
      <w:r>
        <w:t xml:space="preserve">beta-alanina (o precursor, suplemento esportivo difundido); zinco-carnosina (polaprezinco, no Japão um medicamento contra úlceras gástricas); N-acetilcarnosina (em colírios).</w:t>
      </w:r>
    </w:p>
    <w:p>
      <w:pPr>
        <w:numPr>
          <w:ilvl w:val="0"/>
          <w:numId w:val="1301"/>
        </w:numPr>
        <w:pStyle w:val="Compact"/>
      </w:pPr>
      <w:r>
        <w:rPr>
          <w:bCs/>
          <w:b/>
        </w:rPr>
        <w:t xml:space="preserve">Aprovação na UE:</w:t>
      </w:r>
      <w:r>
        <w:t xml:space="preserve"> </w:t>
      </w:r>
      <w:r>
        <w:t xml:space="preserve">nenhuma aprovação como medicamento para a carnosina; à venda como suplemento alimentar. Nenhuma alegação de saúde autorizada.</w:t>
      </w:r>
    </w:p>
    <w:p>
      <w:pPr>
        <w:numPr>
          <w:ilvl w:val="0"/>
          <w:numId w:val="1301"/>
        </w:numPr>
        <w:pStyle w:val="Compact"/>
      </w:pPr>
      <w:r>
        <w:rPr>
          <w:bCs/>
          <w:b/>
        </w:rPr>
        <w:t xml:space="preserve">Aprovação nos EUA:</w:t>
      </w:r>
      <w:r>
        <w:t xml:space="preserve"> </w:t>
      </w:r>
      <w:r>
        <w:t xml:space="preserve">nenhuma aprovação como medicamento; disponível como suplemento alimentar.</w:t>
      </w:r>
    </w:p>
    <w:p>
      <w:pPr>
        <w:numPr>
          <w:ilvl w:val="0"/>
          <w:numId w:val="1301"/>
        </w:numPr>
        <w:pStyle w:val="Compact"/>
      </w:pPr>
      <w:r>
        <w:rPr>
          <w:bCs/>
          <w:b/>
        </w:rPr>
        <w:t xml:space="preserve">WADA:</w:t>
      </w:r>
      <w:r>
        <w:t xml:space="preserve"> </w:t>
      </w:r>
      <w:r>
        <w:t xml:space="preserve">carnosina e beta-alanina não estão listadas.</w:t>
      </w:r>
    </w:p>
    <w:p>
      <w:pPr>
        <w:numPr>
          <w:ilvl w:val="0"/>
          <w:numId w:val="1301"/>
        </w:numPr>
        <w:pStyle w:val="Compact"/>
      </w:pPr>
      <w:r>
        <w:rPr>
          <w:bCs/>
          <w:b/>
        </w:rPr>
        <w:t xml:space="preserve">Nível de evidência:</w:t>
      </w:r>
      <w:r>
        <w:t xml:space="preserve"> </w:t>
      </w:r>
      <w:r>
        <w:rPr>
          <w:bCs/>
          <w:b/>
        </w:rPr>
        <w:t xml:space="preserve">B</w:t>
      </w:r>
      <w:r>
        <w:t xml:space="preserve"> </w:t>
      </w:r>
      <w:r>
        <w:t xml:space="preserve">– vários pequenos estudos randomizados, um estudo maior com quase 300 participantes; muitos resultados heterogêneos.</w:t>
      </w:r>
    </w:p>
    <w:bookmarkEnd w:id="2401"/>
    <w:bookmarkStart w:id="2410" w:name="como-deveria-agir-54"/>
    <w:p>
      <w:pPr>
        <w:pStyle w:val="Heading3"/>
      </w:pPr>
      <w:r>
        <w:t xml:space="preserve">Como deveria agir</w:t>
      </w:r>
    </w:p>
    <w:p>
      <w:pPr>
        <w:pStyle w:val="FirstParagraph"/>
      </w:pPr>
      <w:r>
        <w:t xml:space="preserve">Em esforços curtos e muito intensos – uma corrida de 400 metros ou uma regata de remo –, o músculo produz mais ácido do que consegue remover. A acidez aumenta, e o trabalho muscular diminui. A carnosina é, no músculo, um dos tampões que neutralizam esse ácido. Em 18 remadores belgas de elite, o teor de carnosina da musculatura da panturrilha esteve estreitamente relacionado à velocidade em distâncias de 100 a 6.000 metros</w:t>
      </w:r>
      <w:r>
        <w:rPr>
          <w:rStyle w:val="FootnoteReference"/>
        </w:rPr>
        <w:footnoteReference w:id="2402"/>
      </w:r>
      <w:r>
        <w:t xml:space="preserve">.</w:t>
      </w:r>
    </w:p>
    <w:p>
      <w:pPr>
        <w:pStyle w:val="BodyText"/>
      </w:pPr>
      <w:r>
        <w:t xml:space="preserve">Além disso, a carnosina tem em laboratório outras propriedades: captura moléculas reativas que surgem com glicemia alta ou na degradação de gorduras e que podem danificar proteínas (a chamada glicação e a peroxidação lipídica). Daí derivam as hipóteses de que a carnosina poderia ser útil no diabetes, em lesões vasculares e renais, no envelhecimento cerebral ou no envelhecimento da pele.</w:t>
      </w:r>
    </w:p>
    <w:bookmarkStart w:id="2405" w:name="o-problema-da-absorção-a-carnosinase"/>
    <w:p>
      <w:pPr>
        <w:pStyle w:val="Heading4"/>
      </w:pPr>
      <w:r>
        <w:t xml:space="preserve">O problema da absorção: a carnosinase</w:t>
      </w:r>
    </w:p>
    <w:p>
      <w:pPr>
        <w:pStyle w:val="FirstParagraph"/>
      </w:pPr>
      <w:r>
        <w:t xml:space="preserve">No sangue humano há uma enzima muito ativa, a carnosinase sérica (CN1), que cliva rapidamente a carnosina em beta-alanina e histidina. Os roedores praticamente não possuem essa enzima no sangue – um motivo importante pelo qual os resultados de experimentos em animais só são transferíveis de forma limitada. Já em 1991, um estudo mostrou que parte da carnosina ingerida é, sim, absorvida intacta pelo intestino (até 14% foram encontrados na urina), mas no sangue só era detectável quando a carnosinase era bloqueada no tubo de amostra. A quantidade na urina variava muito e era tanto menor quanto mais ativa fosse a carnosinase da pessoa</w:t>
      </w:r>
      <w:r>
        <w:rPr>
          <w:rStyle w:val="FootnoteReference"/>
        </w:rPr>
        <w:footnoteReference w:id="2403"/>
      </w:r>
      <w:r>
        <w:t xml:space="preserve">.</w:t>
      </w:r>
    </w:p>
    <w:p>
      <w:pPr>
        <w:pStyle w:val="BodyText"/>
      </w:pPr>
      <w:r>
        <w:t xml:space="preserve">No maior estudo até agora, com 2 g de carnosina por dia, os valores de carnosina nos glóbulos vermelhos aproximadamente dobraram após 6 e 12 semanas, e na urina aumentaram cerca de sete vezes</w:t>
      </w:r>
      <w:r>
        <w:rPr>
          <w:rStyle w:val="FootnoteReference"/>
        </w:rPr>
        <w:footnoteReference w:id="2404"/>
      </w:r>
      <w:r>
        <w:t xml:space="preserve">. A carnosina chega, portanto, ao corpo – mas quanto dela alcança o músculo, o cérebro ou o rim continua em grande parte em aberto.</w:t>
      </w:r>
    </w:p>
    <w:bookmarkEnd w:id="2405"/>
    <w:bookmarkStart w:id="2409" w:name="beta-alanina-o-desvio-pelo-precursor"/>
    <w:p>
      <w:pPr>
        <w:pStyle w:val="Heading4"/>
      </w:pPr>
      <w:r>
        <w:t xml:space="preserve">Beta-alanina: o desvio pelo precursor</w:t>
      </w:r>
    </w:p>
    <w:p>
      <w:pPr>
        <w:pStyle w:val="FirstParagraph"/>
      </w:pPr>
      <w:r>
        <w:t xml:space="preserve">Para o músculo, outro caminho se impôs. O próprio corpo produz carnosina na célula muscular a partir de beta-alanina e histidina; a beta-alanina é o componente escasso. Quando se ingere beta-alanina, o teor de carnosina no músculo aumenta claramente. Em um estudo inicial, quatro semanas de beta-alanina elevaram o teor de carnosina muscular em, estimadamente, 42 a 64%; quantidades isomolares de carnosina tiveram efeito semelhante</w:t>
      </w:r>
      <w:r>
        <w:rPr>
          <w:rStyle w:val="FootnoteReference"/>
        </w:rPr>
        <w:footnoteReference w:id="2406"/>
      </w:r>
      <w:r>
        <w:t xml:space="preserve">. Após a suspensão, foram necessárias 12 a 16 semanas para que o valor voltasse ao nível inicial</w:t>
      </w:r>
      <w:r>
        <w:rPr>
          <w:rStyle w:val="FootnoteReference"/>
        </w:rPr>
        <w:footnoteReference w:id="2407"/>
      </w:r>
      <w:r>
        <w:t xml:space="preserve">. Praticamente todas as pessoas respondem à beta-alanina</w:t>
      </w:r>
      <w:r>
        <w:rPr>
          <w:rStyle w:val="FootnoteReference"/>
        </w:rPr>
        <w:footnoteReference w:id="2408"/>
      </w:r>
      <w:r>
        <w:t xml:space="preserve">.</w:t>
      </w:r>
    </w:p>
    <w:p>
      <w:pPr>
        <w:pStyle w:val="BodyText"/>
      </w:pPr>
      <w:r>
        <w:t xml:space="preserve">A beta-alanina não é um peptídeo, mas um aminoácido isolado. Ela é tratada aqui apenas brevemente, porque aumenta o teor de carnosina muscular de forma mais confiável do que a própria carnosina e, por isso, desempenha papel muito maior no esporte.</w:t>
      </w:r>
    </w:p>
    <w:bookmarkEnd w:id="2409"/>
    <w:bookmarkEnd w:id="2410"/>
    <w:bookmarkStart w:id="2438" w:name="estudos-em-humanos-54"/>
    <w:p>
      <w:pPr>
        <w:pStyle w:val="Heading3"/>
      </w:pPr>
      <w:r>
        <w:t xml:space="preserve">Estudos em humanos</w:t>
      </w:r>
    </w:p>
    <w:p>
      <w:pPr>
        <w:pStyle w:val="FirstParagraph"/>
      </w:pPr>
      <w:r>
        <w:t xml:space="preserve">A consulta ao PubMed avaliada para este livro (carnosina no título, combinada com suplementação ou administração oral, data da consulta outubro de 2026) resultou em 57 estudos em humanos; no ClinicalTrials.gov constam 53 registros. Parte deles refere-se, na verdade, à beta-alanina ou à zinco-carnosina. Os estudos distribuem-se por muitos campos de aplicação pequenos.</w:t>
      </w:r>
    </w:p>
    <w:bookmarkStart w:id="2415" w:name="esporte-e-desempenho-físico"/>
    <w:p>
      <w:pPr>
        <w:pStyle w:val="Heading4"/>
      </w:pPr>
      <w:r>
        <w:t xml:space="preserve">Esporte e desempenho físico</w:t>
      </w:r>
    </w:p>
    <w:p>
      <w:pPr>
        <w:pStyle w:val="FirstParagraph"/>
      </w:pPr>
      <w:r>
        <w:t xml:space="preserve">Em atletas, os dados sobre</w:t>
      </w:r>
      <w:r>
        <w:t xml:space="preserve"> </w:t>
      </w:r>
      <w:r>
        <w:rPr>
          <w:bCs/>
          <w:b/>
        </w:rPr>
        <w:t xml:space="preserve">beta-alanina</w:t>
      </w:r>
      <w:r>
        <w:t xml:space="preserve"> </w:t>
      </w:r>
      <w:r>
        <w:t xml:space="preserve">são bem melhores do que sobre a carnosina. Uma metanálise de 40 estudos duplo-cegos controlados por placebo com 1.461 participantes encontrou um pequeno efeito geral (tamanho de efeito 0,18). Ele foi mais nítido em esforços de 0,5 a 10 minutos de duração e em testes de capacidade até a exaustão, e menor no desempenho em competição</w:t>
      </w:r>
      <w:r>
        <w:rPr>
          <w:rStyle w:val="FootnoteReference"/>
        </w:rPr>
        <w:footnoteReference w:id="2411"/>
      </w:r>
      <w:r>
        <w:t xml:space="preserve">. Um exemplo: em 15 velocistas, a beta-alanina aumentou o teor de carnosina nos músculos da panturrilha em 37 a 47% e atenuou a fadiga em séries repetidas de força, mas não melhorou o tempo nos 400 metros</w:t>
      </w:r>
      <w:r>
        <w:rPr>
          <w:rStyle w:val="FootnoteReference"/>
        </w:rPr>
        <w:footnoteReference w:id="2412"/>
      </w:r>
      <w:r>
        <w:t xml:space="preserve">. Também uma duplicação da carnosina muscular não melhorou o tempo de ciclistas ao longo de uma hora</w:t>
      </w:r>
      <w:r>
        <w:rPr>
          <w:rStyle w:val="FootnoteReference"/>
        </w:rPr>
        <w:footnoteReference w:id="2413"/>
      </w:r>
      <w:r>
        <w:t xml:space="preserve"> </w:t>
      </w:r>
      <w:r>
        <w:t xml:space="preserve">– o que é coerente, pois em esforços de resistência o tamponamento de ácido tem papel menor.</w:t>
      </w:r>
    </w:p>
    <w:p>
      <w:pPr>
        <w:pStyle w:val="BodyText"/>
      </w:pPr>
      <w:r>
        <w:t xml:space="preserve">Para a</w:t>
      </w:r>
      <w:r>
        <w:t xml:space="preserve"> </w:t>
      </w:r>
      <w:r>
        <w:rPr>
          <w:bCs/>
          <w:b/>
        </w:rPr>
        <w:t xml:space="preserve">própria carnosina</w:t>
      </w:r>
      <w:r>
        <w:t xml:space="preserve">, há poucos estudos de desempenho. No estudo NEAT (Nucleophilic Defense Against PM Toxicity, NCT03314987), 299 adultos receberam 2 g de carnosina ou placebo durante doze semanas. Na força de preensão, na velocidade de marcha e na maioria dos testes não houve diferenças; melhoras significativas apareceram apenas em alguns subgrupos (determinados grupos de idade e sexo) na elevação de panturrilha e no teste de degrau</w:t>
      </w:r>
      <w:r>
        <w:rPr>
          <w:rStyle w:val="FootnoteReference"/>
        </w:rPr>
        <w:footnoteReference w:id="2414"/>
      </w:r>
      <w:r>
        <w:t xml:space="preserve">. Achados em subgrupos como esses são suscetíveis a acertos ao acaso e precisam ser confirmados.</w:t>
      </w:r>
    </w:p>
    <w:bookmarkEnd w:id="2415"/>
    <w:bookmarkStart w:id="2419" w:name="diabetes-e-metabolismo"/>
    <w:p>
      <w:pPr>
        <w:pStyle w:val="Heading4"/>
      </w:pPr>
      <w:r>
        <w:t xml:space="preserve">Diabetes e metabolismo</w:t>
      </w:r>
    </w:p>
    <w:p>
      <w:pPr>
        <w:pStyle w:val="FirstParagraph"/>
      </w:pPr>
      <w:r>
        <w:t xml:space="preserve">Este é o campo médico mais intensamente estudado: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com sobrepeso sem diabetes, 2 g vs. placebo</w:t>
            </w:r>
          </w:p>
        </w:tc>
        <w:tc>
          <w:tcPr/>
          <w:p>
            <w:pPr>
              <w:pStyle w:val="Compact"/>
              <w:jc w:val="left"/>
            </w:pPr>
            <w:r>
              <w:t xml:space="preserve">12 semanas</w:t>
            </w:r>
          </w:p>
        </w:tc>
        <w:tc>
          <w:tcPr/>
          <w:p>
            <w:pPr>
              <w:pStyle w:val="Compact"/>
              <w:jc w:val="left"/>
            </w:pPr>
            <w:r>
              <w:t xml:space="preserve">Aumento da insulina de jejum e da resistência à insulina freado com carnosina (estudo-piloto)</w:t>
            </w:r>
          </w:p>
        </w:tc>
      </w:tr>
      <w:tr>
        <w:tc>
          <w:tcPr/>
          <w:p>
            <w:pPr>
              <w:pStyle w:val="Compact"/>
              <w:jc w:val="left"/>
            </w:pPr>
            <w:r>
              <w:t xml:space="preserve">Houjeghani 2018, PMID 29420997</w:t>
            </w:r>
          </w:p>
        </w:tc>
        <w:tc>
          <w:tcPr/>
          <w:p>
            <w:pPr>
              <w:pStyle w:val="Compact"/>
              <w:jc w:val="left"/>
            </w:pPr>
            <w:r>
              <w:t xml:space="preserve">54 pessoas com diabetes tipo 2, 1 g vs. placebo</w:t>
            </w:r>
          </w:p>
        </w:tc>
        <w:tc>
          <w:tcPr/>
          <w:p>
            <w:pPr>
              <w:pStyle w:val="Compact"/>
              <w:jc w:val="left"/>
            </w:pPr>
            <w:r>
              <w:t xml:space="preserve">12 semanas</w:t>
            </w:r>
          </w:p>
        </w:tc>
        <w:tc>
          <w:tcPr/>
          <w:p>
            <w:pPr>
              <w:pStyle w:val="Compact"/>
              <w:jc w:val="left"/>
            </w:pPr>
            <w:r>
              <w:t xml:space="preserve">Glicemia de jejum −13,1 mg/dl, HbA1c −0,6 ponto percentual vs. placebo</w:t>
            </w:r>
          </w:p>
        </w:tc>
      </w:tr>
      <w:tr>
        <w:tc>
          <w:tcPr/>
          <w:p>
            <w:pPr>
              <w:pStyle w:val="Compact"/>
              <w:jc w:val="left"/>
            </w:pPr>
            <w:r>
              <w:t xml:space="preserve">Hariharan 2024, PMID 38172006</w:t>
            </w:r>
          </w:p>
        </w:tc>
        <w:tc>
          <w:tcPr/>
          <w:p>
            <w:pPr>
              <w:pStyle w:val="Compact"/>
              <w:jc w:val="left"/>
            </w:pPr>
            <w:r>
              <w:t xml:space="preserve">43 adultos com pré-diabetes ou diabetes tipo 2, 2 g vs. placebo</w:t>
            </w:r>
          </w:p>
        </w:tc>
        <w:tc>
          <w:tcPr/>
          <w:p>
            <w:pPr>
              <w:pStyle w:val="Compact"/>
              <w:jc w:val="left"/>
            </w:pPr>
            <w:r>
              <w:t xml:space="preserve">14 semanas</w:t>
            </w:r>
          </w:p>
        </w:tc>
        <w:tc>
          <w:tcPr/>
          <w:p>
            <w:pPr>
              <w:pStyle w:val="Compact"/>
              <w:jc w:val="left"/>
            </w:pPr>
            <w:r>
              <w:t xml:space="preserve">Glicemia mais baixa 90 e 120 minutos após sobrecarga de glicose; insulina inalterada</w:t>
            </w:r>
          </w:p>
        </w:tc>
      </w:tr>
      <w:tr>
        <w:tc>
          <w:tcPr/>
          <w:p>
            <w:pPr>
              <w:pStyle w:val="Compact"/>
              <w:jc w:val="left"/>
            </w:pPr>
            <w:r>
              <w:t xml:space="preserve">Saadati 2023, PMID 38004228</w:t>
            </w:r>
          </w:p>
        </w:tc>
        <w:tc>
          <w:tcPr/>
          <w:p>
            <w:pPr>
              <w:pStyle w:val="Compact"/>
              <w:jc w:val="left"/>
            </w:pPr>
            <w:r>
              <w:t xml:space="preserve">49 adultos com pré-diabetes ou diabetes tipo 2 bem controlado, 2 g vs. placebo</w:t>
            </w:r>
          </w:p>
        </w:tc>
        <w:tc>
          <w:tcPr/>
          <w:p>
            <w:pPr>
              <w:pStyle w:val="Compact"/>
              <w:jc w:val="left"/>
            </w:pPr>
            <w:r>
              <w:t xml:space="preserve">14 semanas</w:t>
            </w:r>
          </w:p>
        </w:tc>
        <w:tc>
          <w:tcPr/>
          <w:p>
            <w:pPr>
              <w:pStyle w:val="Compact"/>
              <w:jc w:val="left"/>
            </w:pPr>
            <w:r>
              <w:t xml:space="preserve">Nenhum efeito sobre função vascular, rigidez vascular, lipídios sanguíneos, pressão arterial, valores hepáticos e renais</w:t>
            </w:r>
          </w:p>
        </w:tc>
      </w:tr>
      <w:tr>
        <w:tc>
          <w:tcPr/>
          <w:p>
            <w:pPr>
              <w:pStyle w:val="Compact"/>
              <w:jc w:val="left"/>
            </w:pPr>
            <w:r>
              <w:t xml:space="preserve">Elbarbary 2018, PMID 28744992</w:t>
            </w:r>
          </w:p>
        </w:tc>
        <w:tc>
          <w:tcPr/>
          <w:p>
            <w:pPr>
              <w:pStyle w:val="Compact"/>
              <w:jc w:val="left"/>
            </w:pPr>
            <w:r>
              <w:t xml:space="preserve">90 crianças e adolescentes com diabetes tipo 1 e lesão renal, 1 g vs. placebo</w:t>
            </w:r>
          </w:p>
        </w:tc>
        <w:tc>
          <w:tcPr/>
          <w:p>
            <w:pPr>
              <w:pStyle w:val="Compact"/>
              <w:jc w:val="left"/>
            </w:pPr>
            <w:r>
              <w:t xml:space="preserve">12 semanas</w:t>
            </w:r>
          </w:p>
        </w:tc>
        <w:tc>
          <w:tcPr/>
          <w:p>
            <w:pPr>
              <w:pStyle w:val="Compact"/>
              <w:jc w:val="left"/>
            </w:pPr>
            <w:r>
              <w:t xml:space="preserve">Albumina na urina, HbA1c e marcadores de oxidação melhorados</w:t>
            </w:r>
          </w:p>
        </w:tc>
      </w:tr>
    </w:tbl>
    <w:p>
      <w:pPr>
        <w:pStyle w:val="BodyText"/>
      </w:pPr>
      <w:r>
        <w:t xml:space="preserve">Várias metanálises reúnem esses estudos. Uma análise de quatro estudos com 184 participantes encontrou redução da HbA1c de 0,92 ponto percentual, mas nenhum efeito sobre glicemia de jejum, resistência à insulina ou lipídios sanguíneos</w:t>
      </w:r>
      <w:r>
        <w:rPr>
          <w:rStyle w:val="FootnoteReference"/>
        </w:rPr>
        <w:footnoteReference w:id="2416"/>
      </w:r>
      <w:r>
        <w:t xml:space="preserve">. Uma metanálise bayesiana, que considerou carnosina e beta-alanina em conjunto, estimou para humanos uma redução da HbA1c de 0,91 ponto percentual – com base em apenas quatro estudos em humanos</w:t>
      </w:r>
      <w:r>
        <w:rPr>
          <w:rStyle w:val="FootnoteReference"/>
        </w:rPr>
        <w:footnoteReference w:id="2417"/>
      </w:r>
      <w:r>
        <w:t xml:space="preserve">. Uma metanálise mais recente, com oito estudos e 377 participantes com pré-diabetes ou diabetes tipo 2, encontrou melhoras na glicemia de jejum e na HbA1c, mas não na insulina ou no peso corporal</w:t>
      </w:r>
      <w:r>
        <w:rPr>
          <w:rStyle w:val="FootnoteReference"/>
        </w:rPr>
        <w:footnoteReference w:id="2418"/>
      </w:r>
      <w:r>
        <w:t xml:space="preserve">.</w:t>
      </w:r>
    </w:p>
    <w:p>
      <w:pPr>
        <w:pStyle w:val="BodyText"/>
      </w:pPr>
      <w:r>
        <w:t xml:space="preserve">Os efeitos parecem consideráveis no papel, mas repousam sobre uma base muito estreita: poucos estudos, pequenos e curtos, muitas vezes de centros isolados, com resultados em parte contraditórios (compare os estudos de 14 semanas com desenho semelhante de Hariharan 2024 e Saadati 2023, dos quais um encontrou efeitos favoráveis sobre a glicemia e o outro nenhum efeito sobre vasos e valores metabólicos). Se a carnosina previne a longo prazo as complicações do diabetes nunca foi estudado.</w:t>
      </w:r>
    </w:p>
    <w:bookmarkEnd w:id="2419"/>
    <w:bookmarkStart w:id="2421" w:name="inflamação-e-estresse-oxidativo"/>
    <w:p>
      <w:pPr>
        <w:pStyle w:val="Heading4"/>
      </w:pPr>
      <w:r>
        <w:t xml:space="preserve">Inflamação e estresse oxidativo</w:t>
      </w:r>
    </w:p>
    <w:p>
      <w:pPr>
        <w:pStyle w:val="FirstParagraph"/>
      </w:pPr>
      <w:r>
        <w:t xml:space="preserve">Uma metanálise de nove estudos com 350 participantes encontrou, com carnosina ou dipeptídeos contendo histidina, valores mais baixos do marcador inflamatório PCR e do marcador de oxidação malondialdeído, mas nenhuma alteração em vários outros marcadores</w:t>
      </w:r>
      <w:r>
        <w:rPr>
          <w:rStyle w:val="FootnoteReference"/>
        </w:rPr>
        <w:footnoteReference w:id="2420"/>
      </w:r>
      <w:r>
        <w:t xml:space="preserve">. Valores laboratoriais, porém, são parâmetros substitutos – se estão associados a um benefício para a saúde continua em aberto.</w:t>
      </w:r>
    </w:p>
    <w:bookmarkEnd w:id="2421"/>
    <w:bookmarkStart w:id="2429" w:name="cérebro-memória-e-psique"/>
    <w:p>
      <w:pPr>
        <w:pStyle w:val="Heading4"/>
      </w:pPr>
      <w:r>
        <w:t xml:space="preserve">Cérebro, memória e psique</w:t>
      </w:r>
    </w:p>
    <w:p>
      <w:pPr>
        <w:numPr>
          <w:ilvl w:val="0"/>
          <w:numId w:val="1302"/>
        </w:numPr>
        <w:pStyle w:val="Compact"/>
      </w:pPr>
      <w:r>
        <w:rPr>
          <w:bCs/>
          <w:b/>
        </w:rPr>
        <w:t xml:space="preserve">Idosos:</w:t>
      </w:r>
      <w:r>
        <w:t xml:space="preserve"> </w:t>
      </w:r>
      <w:r>
        <w:t xml:space="preserve">em estudos japoneses de um mesmo grupo de trabalho, idosos receberam uma mistura de anserina e carnosina (3:1). Em 39 idosos saudáveis, a evocação tardia de conteúdos verbais foi mais bem preservada do que com placebo</w:t>
      </w:r>
      <w:r>
        <w:rPr>
          <w:rStyle w:val="FootnoteReference"/>
        </w:rPr>
        <w:footnoteReference w:id="2422"/>
      </w:r>
      <w:r>
        <w:t xml:space="preserve">. Em 54 pessoas com comprometimento cognitivo leve, um escore global de gravidade da demência foi mais favorável com a mistura; a maioria dos outros testes não diferiu</w:t>
      </w:r>
      <w:r>
        <w:rPr>
          <w:rStyle w:val="FootnoteReference"/>
        </w:rPr>
        <w:footnoteReference w:id="2423"/>
      </w:r>
      <w:r>
        <w:t xml:space="preserve">.</w:t>
      </w:r>
    </w:p>
    <w:p>
      <w:pPr>
        <w:numPr>
          <w:ilvl w:val="0"/>
          <w:numId w:val="1302"/>
        </w:numPr>
        <w:pStyle w:val="Compact"/>
      </w:pPr>
      <w:r>
        <w:rPr>
          <w:bCs/>
          <w:b/>
        </w:rPr>
        <w:t xml:space="preserve">Adultos mais jovens:</w:t>
      </w:r>
      <w:r>
        <w:t xml:space="preserve"> </w:t>
      </w:r>
      <w:r>
        <w:t xml:space="preserve">em uma análise posterior do estudo NEAT, a velocidade e a eficiência em testes cognitivos melhoraram apenas na faixa etária mais jovem (23–35 anos)</w:t>
      </w:r>
      <w:r>
        <w:rPr>
          <w:rStyle w:val="FootnoteReference"/>
        </w:rPr>
        <w:footnoteReference w:id="2424"/>
      </w:r>
      <w:r>
        <w:t xml:space="preserve">.</w:t>
      </w:r>
    </w:p>
    <w:p>
      <w:pPr>
        <w:numPr>
          <w:ilvl w:val="0"/>
          <w:numId w:val="1302"/>
        </w:numPr>
        <w:pStyle w:val="Compact"/>
      </w:pPr>
      <w:r>
        <w:rPr>
          <w:bCs/>
          <w:b/>
        </w:rPr>
        <w:t xml:space="preserve">Síntese:</w:t>
      </w:r>
      <w:r>
        <w:t xml:space="preserve"> </w:t>
      </w:r>
      <w:r>
        <w:t xml:space="preserve">uma metanálise de 2026 incluiu 13 estudos. A maioria dos testes cognitivos não mostrou diferença em relação ao placebo; efeitos agrupados favoráveis basearam-se em parte em três estudos do mesmo grupo de pesquisa. Os autores avaliam a força da evidência como baixa</w:t>
      </w:r>
      <w:r>
        <w:rPr>
          <w:rStyle w:val="FootnoteReference"/>
        </w:rPr>
        <w:footnoteReference w:id="2425"/>
      </w:r>
      <w:r>
        <w:t xml:space="preserve">. Outra metanálise encontrou redução de escores de depressão (confiabilidade moderada), mas ressalta estudos pequenos com risco de viés moderado a alto</w:t>
      </w:r>
      <w:r>
        <w:rPr>
          <w:rStyle w:val="FootnoteReference"/>
        </w:rPr>
        <w:footnoteReference w:id="2426"/>
      </w:r>
      <w:r>
        <w:t xml:space="preserve">.</w:t>
      </w:r>
    </w:p>
    <w:p>
      <w:pPr>
        <w:numPr>
          <w:ilvl w:val="0"/>
          <w:numId w:val="1302"/>
        </w:numPr>
        <w:pStyle w:val="Compact"/>
      </w:pPr>
      <w:r>
        <w:rPr>
          <w:bCs/>
          <w:b/>
        </w:rPr>
        <w:t xml:space="preserve">Autismo:</w:t>
      </w:r>
      <w:r>
        <w:t xml:space="preserve"> </w:t>
      </w:r>
      <w:r>
        <w:t xml:space="preserve">um estudo inicial com 31 crianças relatou melhoras em uma escala comportamental</w:t>
      </w:r>
      <w:r>
        <w:rPr>
          <w:rStyle w:val="FootnoteReference"/>
        </w:rPr>
        <w:footnoteReference w:id="2427"/>
      </w:r>
      <w:r>
        <w:t xml:space="preserve">. Um estudo randomizado posterior, com 63 crianças avaliáveis, não encontrou, por outro lado, diferença em nenhum desfecho</w:t>
      </w:r>
      <w:r>
        <w:rPr>
          <w:rStyle w:val="FootnoteReference"/>
        </w:rPr>
        <w:footnoteReference w:id="2428"/>
      </w:r>
      <w:r>
        <w:t xml:space="preserve">.</w:t>
      </w:r>
    </w:p>
    <w:bookmarkEnd w:id="2429"/>
    <w:bookmarkStart w:id="2434" w:name="outras-aplicações-4"/>
    <w:p>
      <w:pPr>
        <w:pStyle w:val="Heading4"/>
      </w:pPr>
      <w:r>
        <w:t xml:space="preserve">Outras aplicações</w:t>
      </w:r>
    </w:p>
    <w:p>
      <w:pPr>
        <w:numPr>
          <w:ilvl w:val="0"/>
          <w:numId w:val="1303"/>
        </w:numPr>
        <w:pStyle w:val="Compact"/>
      </w:pPr>
      <w:r>
        <w:rPr>
          <w:bCs/>
          <w:b/>
        </w:rPr>
        <w:t xml:space="preserve">Lesões nervosas por quimioterapia:</w:t>
      </w:r>
      <w:r>
        <w:t xml:space="preserve"> </w:t>
      </w:r>
      <w:r>
        <w:t xml:space="preserve">em um estudo-piloto randomizado com 65 pacientes com câncer colorretal, lesões nervosas de grau dois ocorreram com menos frequência sob quimioterapia com oxaliplatina mais carnosina (1 de 30 contra 19 de 31 sem carnosina)</w:t>
      </w:r>
      <w:r>
        <w:rPr>
          <w:rStyle w:val="FootnoteReference"/>
        </w:rPr>
        <w:footnoteReference w:id="2430"/>
      </w:r>
      <w:r>
        <w:t xml:space="preserve">. O estudo não era cego nem tinha placebo; ainda falta confirmação.</w:t>
      </w:r>
    </w:p>
    <w:p>
      <w:pPr>
        <w:numPr>
          <w:ilvl w:val="0"/>
          <w:numId w:val="1303"/>
        </w:numPr>
        <w:pStyle w:val="Compact"/>
      </w:pPr>
      <w:r>
        <w:rPr>
          <w:bCs/>
          <w:b/>
        </w:rPr>
        <w:t xml:space="preserve">Insuficiência cardíaca:</w:t>
      </w:r>
      <w:r>
        <w:t xml:space="preserve"> </w:t>
      </w:r>
      <w:r>
        <w:t xml:space="preserve">em 50 pacientes com insuficiência cardíaca grave, a distância de caminhada, o consumo máximo de oxigênio e a qualidade de vida melhoraram com carnosina em comparação com o tratamento padrão</w:t>
      </w:r>
      <w:r>
        <w:rPr>
          <w:rStyle w:val="FootnoteReference"/>
        </w:rPr>
        <w:footnoteReference w:id="2431"/>
      </w:r>
      <w:r>
        <w:t xml:space="preserve"> </w:t>
      </w:r>
      <w:r>
        <w:t xml:space="preserve">– também sem placebo.</w:t>
      </w:r>
    </w:p>
    <w:p>
      <w:pPr>
        <w:numPr>
          <w:ilvl w:val="0"/>
          <w:numId w:val="1303"/>
        </w:numPr>
        <w:pStyle w:val="Compact"/>
      </w:pPr>
      <w:r>
        <w:rPr>
          <w:bCs/>
          <w:b/>
        </w:rPr>
        <w:t xml:space="preserve">Síndrome da Guerra do Golfo:</w:t>
      </w:r>
      <w:r>
        <w:t xml:space="preserve"> </w:t>
      </w:r>
      <w:r>
        <w:t xml:space="preserve">em um pequeno estudo com 25 veteranos, um teste cognitivo melhorou; cansaço e dor permaneceram inalterados</w:t>
      </w:r>
      <w:r>
        <w:rPr>
          <w:rStyle w:val="FootnoteReference"/>
        </w:rPr>
        <w:footnoteReference w:id="2432"/>
      </w:r>
      <w:r>
        <w:t xml:space="preserve">.</w:t>
      </w:r>
    </w:p>
    <w:p>
      <w:pPr>
        <w:numPr>
          <w:ilvl w:val="0"/>
          <w:numId w:val="1303"/>
        </w:numPr>
        <w:pStyle w:val="Compact"/>
      </w:pPr>
      <w:r>
        <w:rPr>
          <w:bCs/>
          <w:b/>
        </w:rPr>
        <w:t xml:space="preserve">Pele:</w:t>
      </w:r>
      <w:r>
        <w:t xml:space="preserve"> </w:t>
      </w:r>
      <w:r>
        <w:t xml:space="preserve">um estudo com uma preparação de carnosina</w:t>
      </w:r>
      <w:r>
        <w:t xml:space="preserve"> </w:t>
      </w:r>
      <w:r>
        <w:t xml:space="preserve">“</w:t>
      </w:r>
      <w:r>
        <w:t xml:space="preserve">não hidrolisável</w:t>
      </w:r>
      <w:r>
        <w:t xml:space="preserve">”</w:t>
      </w:r>
      <w:r>
        <w:t xml:space="preserve"> </w:t>
      </w:r>
      <w:r>
        <w:t xml:space="preserve">relatou melhoras na pele; ele provém do inventor da formulação patenteada e mistura experimentos de laboratório com um ensaio clínico</w:t>
      </w:r>
      <w:r>
        <w:rPr>
          <w:rStyle w:val="FootnoteReference"/>
        </w:rPr>
        <w:footnoteReference w:id="2433"/>
      </w:r>
      <w:r>
        <w:t xml:space="preserve">.</w:t>
      </w:r>
    </w:p>
    <w:bookmarkEnd w:id="2434"/>
    <w:bookmarkStart w:id="2437" w:name="Xe634933bbf46c2f6e45bcf1dda1c4b79b07687d"/>
    <w:p>
      <w:pPr>
        <w:pStyle w:val="Heading4"/>
      </w:pPr>
      <w:r>
        <w:t xml:space="preserve">Substâncias aparentadas: zinco-carnosina e N-acetilcarnosina</w:t>
      </w:r>
    </w:p>
    <w:p>
      <w:pPr>
        <w:pStyle w:val="FirstParagraph"/>
      </w:pPr>
      <w:r>
        <w:t xml:space="preserve">A</w:t>
      </w:r>
      <w:r>
        <w:t xml:space="preserve"> </w:t>
      </w:r>
      <w:r>
        <w:rPr>
          <w:bCs/>
          <w:b/>
        </w:rPr>
        <w:t xml:space="preserve">zinco-carnosina (polaprezinco)</w:t>
      </w:r>
      <w:r>
        <w:t xml:space="preserve"> </w:t>
      </w:r>
      <w:r>
        <w:t xml:space="preserve">é um composto de zinco e carnosina usado no Japão como medicamento contra úlceras gástricas. Em um estudo multicêntrico com 224 pacientes, foi, após oito semanas, tão eficaz quanto o medicamento de comparação rebamipida (taxa de cicatrização de 81,5% contra 74,3%, diferença não significativa)</w:t>
      </w:r>
      <w:r>
        <w:rPr>
          <w:rStyle w:val="FootnoteReference"/>
        </w:rPr>
        <w:footnoteReference w:id="2435"/>
      </w:r>
      <w:r>
        <w:t xml:space="preserve">. Esse efeito provavelmente está fortemente ligado ao zinco e não pode ser transferido para a carnosina pura.</w:t>
      </w:r>
    </w:p>
    <w:p>
      <w:pPr>
        <w:pStyle w:val="BodyText"/>
      </w:pPr>
      <w:r>
        <w:rPr>
          <w:bCs/>
          <w:b/>
        </w:rPr>
        <w:t xml:space="preserve">Colírios de N-acetilcarnosina</w:t>
      </w:r>
      <w:r>
        <w:t xml:space="preserve"> </w:t>
      </w:r>
      <w:r>
        <w:t xml:space="preserve">são promovidos na internet contra a catarata. Uma revisão Cochrane encontrou apenas dois estudos possíveis, com 114 participantes, cuja metodologia não era rastreável, e concluiu que não há provas convincentes de que os colírios revertam a catarata ou impeçam sua progressão</w:t>
      </w:r>
      <w:r>
        <w:rPr>
          <w:rStyle w:val="FootnoteReference"/>
        </w:rPr>
        <w:footnoteReference w:id="2436"/>
      </w:r>
      <w:r>
        <w:t xml:space="preserve">. O único tratamento eficaz continua sendo a cirurgia.</w:t>
      </w:r>
    </w:p>
    <w:bookmarkEnd w:id="2437"/>
    <w:bookmarkEnd w:id="2438"/>
    <w:bookmarkStart w:id="2441" w:name="estudos-em-animais-e-em-laboratório-54"/>
    <w:p>
      <w:pPr>
        <w:pStyle w:val="Heading3"/>
      </w:pPr>
      <w:r>
        <w:t xml:space="preserve">Estudos em animais e em laboratório</w:t>
      </w:r>
    </w:p>
    <w:p>
      <w:pPr>
        <w:pStyle w:val="FirstParagraph"/>
      </w:pPr>
      <w:r>
        <w:t xml:space="preserve">Em culturas de células e em roedores, a carnosina age como antioxidante, inibe a glicação de proteínas e se liga a aldeídos reativos. Em camundongos e ratos, melhorou em muitos experimentos a glicemia, as lesões renais no diabetes, a cicatrização de feridas e a função vascular. A metanálise de Matthews 2021 incluiu, além de quatro estudos em humanos, 16 estudos em roedores e avaliou a confiabilidade dos dados em animais como muito baixa</w:t>
      </w:r>
      <w:r>
        <w:rPr>
          <w:rStyle w:val="FootnoteReference"/>
        </w:rPr>
        <w:footnoteReference w:id="2439"/>
      </w:r>
      <w:r>
        <w:t xml:space="preserve">.</w:t>
      </w:r>
    </w:p>
    <w:p>
      <w:pPr>
        <w:pStyle w:val="BodyText"/>
      </w:pPr>
      <w:r>
        <w:t xml:space="preserve">Permanece um problema fundamental de transferência: os roedores praticamente não possuem carnosinase no sangue. Em camundongos nos quais a enzima humana foi inserida por engenharia genética, o diabetes e as lesões renais foram mais graves</w:t>
      </w:r>
      <w:r>
        <w:rPr>
          <w:rStyle w:val="FootnoteReference"/>
        </w:rPr>
        <w:footnoteReference w:id="2440"/>
      </w:r>
      <w:r>
        <w:t xml:space="preserve">. Isso indica que, em humanos, a enzima poderia limitar consideravelmente o efeito da carnosina administrada.</w:t>
      </w:r>
    </w:p>
    <w:bookmarkEnd w:id="2441"/>
    <w:bookmarkStart w:id="2444" w:name="riscos-e-efeitos-colaterais-54"/>
    <w:p>
      <w:pPr>
        <w:pStyle w:val="Heading3"/>
      </w:pPr>
      <w:r>
        <w:t xml:space="preserve">Riscos e efeitos colaterais</w:t>
      </w:r>
    </w:p>
    <w:p>
      <w:pPr>
        <w:pStyle w:val="FirstParagraph"/>
      </w:pPr>
      <w:r>
        <w:rPr>
          <w:bCs/>
          <w:b/>
        </w:rPr>
        <w:t xml:space="preserve">Comprovados:</w:t>
      </w:r>
      <w:r>
        <w:t xml:space="preserve"> </w:t>
      </w:r>
      <w:r>
        <w:t xml:space="preserve">nos estudos até agora – com quantidades diárias de até 2 g durante até 14 semanas – não foram relatados efeitos colaterais relevantes. No estudo NEAT, com quase 300 participantes, não houve alterações das funções renal, hepática e cardíaca nem dos eletrólitos sanguíneos</w:t>
      </w:r>
      <w:r>
        <w:rPr>
          <w:rStyle w:val="FootnoteReference"/>
        </w:rPr>
        <w:footnoteReference w:id="2442"/>
      </w:r>
      <w:r>
        <w:t xml:space="preserve">.</w:t>
      </w:r>
    </w:p>
    <w:p>
      <w:pPr>
        <w:pStyle w:val="BodyText"/>
      </w:pPr>
      <w:r>
        <w:rPr>
          <w:bCs/>
          <w:b/>
        </w:rPr>
        <w:t xml:space="preserve">Beta-alanina:</w:t>
      </w:r>
      <w:r>
        <w:t xml:space="preserve"> </w:t>
      </w:r>
      <w:r>
        <w:t xml:space="preserve">o único efeito colateral relatado regularmente é um formigamento inofensivo, mas desagradável, da pele (parestesia), geralmente no rosto e nas mãos, pouco após a ingestão. Uma avaliação de risco com 101 estudos em humanos estimou a chance (odds) disso, com beta-alanina, cerca de nove vezes maior do que com placebo (odds ratio 8,9); as taxas de abandono não diferiram, e um pequeno aumento de um valor hepático permaneceu na faixa normal</w:t>
      </w:r>
      <w:r>
        <w:rPr>
          <w:rStyle w:val="FootnoteReference"/>
        </w:rPr>
        <w:footnoteReference w:id="2443"/>
      </w:r>
      <w:r>
        <w:t xml:space="preserve">.</w:t>
      </w:r>
    </w:p>
    <w:p>
      <w:pPr>
        <w:pStyle w:val="BodyText"/>
      </w:pPr>
      <w:r>
        <w:rPr>
          <w:bCs/>
          <w:b/>
        </w:rPr>
        <w:t xml:space="preserve">Teóricos ou incertos:</w:t>
      </w:r>
    </w:p>
    <w:p>
      <w:pPr>
        <w:numPr>
          <w:ilvl w:val="0"/>
          <w:numId w:val="1304"/>
        </w:numPr>
        <w:pStyle w:val="Compact"/>
      </w:pPr>
      <w:r>
        <w:t xml:space="preserve">Faltam dados de longo prazo de mais de um ano.</w:t>
      </w:r>
    </w:p>
    <w:p>
      <w:pPr>
        <w:numPr>
          <w:ilvl w:val="0"/>
          <w:numId w:val="1304"/>
        </w:numPr>
        <w:pStyle w:val="Compact"/>
      </w:pPr>
      <w:r>
        <w:t xml:space="preserve">Para gravidez, amamentação e crianças (exceto os pequenos estudos citados), não há dados de segurança.</w:t>
      </w:r>
    </w:p>
    <w:p>
      <w:pPr>
        <w:numPr>
          <w:ilvl w:val="0"/>
          <w:numId w:val="1304"/>
        </w:numPr>
        <w:pStyle w:val="Compact"/>
      </w:pPr>
      <w:r>
        <w:t xml:space="preserve">Com medicamentos para diabetes, é concebível uma potencialização da redução da glicemia, mas não comprovada; controles glicêmicos e consulta médica são recomendáveis.</w:t>
      </w:r>
    </w:p>
    <w:p>
      <w:pPr>
        <w:numPr>
          <w:ilvl w:val="0"/>
          <w:numId w:val="1304"/>
        </w:numPr>
        <w:pStyle w:val="Compact"/>
      </w:pPr>
      <w:r>
        <w:t xml:space="preserve">Como em todos os suplementos alimentares, a qualidade depende do fabricante.</w:t>
      </w:r>
    </w:p>
    <w:bookmarkEnd w:id="2444"/>
    <w:bookmarkStart w:id="2445" w:name="situação-legal-54"/>
    <w:p>
      <w:pPr>
        <w:pStyle w:val="Heading3"/>
      </w:pPr>
      <w:r>
        <w:t xml:space="preserve">Situação legal</w:t>
      </w:r>
    </w:p>
    <w:p>
      <w:pPr>
        <w:numPr>
          <w:ilvl w:val="0"/>
          <w:numId w:val="1305"/>
        </w:numPr>
        <w:pStyle w:val="Compact"/>
      </w:pPr>
      <w:r>
        <w:rPr>
          <w:bCs/>
          <w:b/>
        </w:rPr>
        <w:t xml:space="preserve">UE / Áustria / Alemanha:</w:t>
      </w:r>
      <w:r>
        <w:t xml:space="preserve"> </w:t>
      </w:r>
      <w:r>
        <w:t xml:space="preserve">a carnosina está à venda como suplemento alimentar. Para a carnosina, não há alegação de saúde autorizada segundo o Regulamento de Alegações de Saúde (Regulamento (CE) nº 1924/2006); alegações publicitárias como</w:t>
      </w:r>
      <w:r>
        <w:t xml:space="preserve"> </w:t>
      </w:r>
      <w:r>
        <w:t xml:space="preserve">“</w:t>
      </w:r>
      <w:r>
        <w:t xml:space="preserve">antienvelhecimento</w:t>
      </w:r>
      <w:r>
        <w:t xml:space="preserve">”</w:t>
      </w:r>
      <w:r>
        <w:t xml:space="preserve"> </w:t>
      </w:r>
      <w:r>
        <w:t xml:space="preserve">ou</w:t>
      </w:r>
      <w:r>
        <w:t xml:space="preserve"> </w:t>
      </w:r>
      <w:r>
        <w:t xml:space="preserve">“</w:t>
      </w:r>
      <w:r>
        <w:t xml:space="preserve">protege as células</w:t>
      </w:r>
      <w:r>
        <w:t xml:space="preserve">”</w:t>
      </w:r>
      <w:r>
        <w:t xml:space="preserve"> </w:t>
      </w:r>
      <w:r>
        <w:t xml:space="preserve">não são, portanto, permitidas. Se determinadas preparações devem ser classificadas como novos alimentos (novel food) pode variar de produto para produto – verificar atualização. A zinco-carnosina não está aprovada como medicamento na UE; para colírios de N-acetilcarnosina não há aprovação como medicamento contra a catarata.</w:t>
      </w:r>
    </w:p>
    <w:p>
      <w:pPr>
        <w:numPr>
          <w:ilvl w:val="0"/>
          <w:numId w:val="1305"/>
        </w:numPr>
        <w:pStyle w:val="Compact"/>
      </w:pPr>
      <w:r>
        <w:rPr>
          <w:bCs/>
          <w:b/>
        </w:rPr>
        <w:t xml:space="preserve">EUA:</w:t>
      </w:r>
      <w:r>
        <w:t xml:space="preserve"> </w:t>
      </w:r>
      <w:r>
        <w:t xml:space="preserve">disponível como suplemento alimentar, sem aprovação como medicamento.</w:t>
      </w:r>
    </w:p>
    <w:p>
      <w:pPr>
        <w:numPr>
          <w:ilvl w:val="0"/>
          <w:numId w:val="1305"/>
        </w:numPr>
        <w:pStyle w:val="Compact"/>
      </w:pPr>
      <w:r>
        <w:rPr>
          <w:bCs/>
          <w:b/>
        </w:rPr>
        <w:t xml:space="preserve">Japão:</w:t>
      </w:r>
      <w:r>
        <w:t xml:space="preserve"> </w:t>
      </w:r>
      <w:r>
        <w:t xml:space="preserve">o polaprezinco (zinco-carnosina) é um medicamento gástrico aprovado.</w:t>
      </w:r>
    </w:p>
    <w:p>
      <w:pPr>
        <w:numPr>
          <w:ilvl w:val="0"/>
          <w:numId w:val="1305"/>
        </w:numPr>
        <w:pStyle w:val="Compact"/>
      </w:pPr>
      <w:r>
        <w:rPr>
          <w:bCs/>
          <w:b/>
        </w:rPr>
        <w:t xml:space="preserve">Esporte:</w:t>
      </w:r>
      <w:r>
        <w:t xml:space="preserve"> </w:t>
      </w:r>
      <w:r>
        <w:t xml:space="preserve">nem a carnosina nem a beta-alanina constam na lista de proibições da WADA (situação em 2026, verificar atualização).</w:t>
      </w:r>
    </w:p>
    <w:bookmarkEnd w:id="2445"/>
    <w:bookmarkStart w:id="2449" w:name="estudos-em-andamento-e-perspectivas-54"/>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06"/>
        </w:numPr>
        <w:pStyle w:val="Compact"/>
      </w:pPr>
      <w:r>
        <w:rPr>
          <w:bCs/>
          <w:b/>
        </w:rPr>
        <w:t xml:space="preserve">Doença arterial periférica:</w:t>
      </w:r>
      <w:r>
        <w:t xml:space="preserve"> </w:t>
      </w:r>
      <w:r>
        <w:t xml:space="preserve">um estudo de fase 1/2 com 144 participantes previstos investiga a carnosina em distúrbios circulatórios das pernas</w:t>
      </w:r>
      <w:r>
        <w:rPr>
          <w:rStyle w:val="FootnoteReference"/>
        </w:rPr>
        <w:footnoteReference w:id="2446"/>
      </w:r>
      <w:r>
        <w:t xml:space="preserve">; estudos anteriores menores sobre o mesmo tema estão concluídos ou listados com status desconhecido.</w:t>
      </w:r>
    </w:p>
    <w:p>
      <w:pPr>
        <w:numPr>
          <w:ilvl w:val="0"/>
          <w:numId w:val="1306"/>
        </w:numPr>
        <w:pStyle w:val="Compact"/>
      </w:pPr>
      <w:r>
        <w:rPr>
          <w:bCs/>
          <w:b/>
        </w:rPr>
        <w:t xml:space="preserve">Geroterapia:</w:t>
      </w:r>
      <w:r>
        <w:t xml:space="preserve"> </w:t>
      </w:r>
      <w:r>
        <w:t xml:space="preserve">um pequeno estudo de fase 3 com 30 participantes testa combinações de substâncias para melhorar o tempo de vida saudável, entre elas a carnosina</w:t>
      </w:r>
      <w:r>
        <w:rPr>
          <w:rStyle w:val="FootnoteReference"/>
        </w:rPr>
        <w:footnoteReference w:id="2447"/>
      </w:r>
      <w:r>
        <w:t xml:space="preserve">.</w:t>
      </w:r>
    </w:p>
    <w:p>
      <w:pPr>
        <w:numPr>
          <w:ilvl w:val="0"/>
          <w:numId w:val="1306"/>
        </w:numPr>
        <w:pStyle w:val="Compact"/>
      </w:pPr>
      <w:r>
        <w:t xml:space="preserve">O estudo NEAT</w:t>
      </w:r>
      <w:r>
        <w:rPr>
          <w:rStyle w:val="FootnoteReference"/>
        </w:rPr>
        <w:footnoteReference w:id="2448"/>
      </w:r>
      <w:r>
        <w:t xml:space="preserve"> </w:t>
      </w:r>
      <w:r>
        <w:t xml:space="preserve">está concluído; outras análises sobre vasos e poluição do ar são possíveis.</w:t>
      </w:r>
    </w:p>
    <w:p>
      <w:pPr>
        <w:pStyle w:val="FirstParagraph"/>
      </w:pPr>
      <w:r>
        <w:rPr>
          <w:bCs/>
          <w:b/>
        </w:rPr>
        <w:t xml:space="preserve">Avaliação:</w:t>
      </w:r>
      <w:r>
        <w:t xml:space="preserve"> </w:t>
      </w:r>
      <w:r>
        <w:t xml:space="preserve">a carnosina é biologicamente interessante, mas os estudos em humanos são pequenos e heterogêneos. Para o esporte, o precursor beta-alanina é o caminho mais bem comprovado. Para diabetes e envelhecimento cerebral, seriam necessários estudos maiores e mais longos, com desfechos clínicos. Uma linha de pesquisa são derivados resistentes à carnosinase, que não são degradados imediatamente no sangue – mas eles ainda estão em fase de laboratório.</w:t>
      </w:r>
    </w:p>
    <w:bookmarkEnd w:id="2449"/>
    <w:bookmarkStart w:id="2450" w:name="conclusão-54"/>
    <w:p>
      <w:pPr>
        <w:pStyle w:val="Heading3"/>
      </w:pPr>
      <w:r>
        <w:t xml:space="preserve">Conclusão</w:t>
      </w:r>
    </w:p>
    <w:p>
      <w:pPr>
        <w:pStyle w:val="FirstParagraph"/>
      </w:pPr>
      <w:r>
        <w:t xml:space="preserve">A carnosina é um dipeptídeo endógeno que tampona ácido no músculo e, em laboratório, protege células contra produtos da degradação de açúcares e gorduras. Em humanos, é rapidamente degradada no sangue pela enzima carnosinase, razão pela qual os resultados em animais só são transferíveis de forma limitada. Pequenos estudos e metanálises indicam uma leve melhora da glicemia de longo prazo no diabetes e efeitos sobre marcadores inflamatórios; para desempenho, memória e envelhecimento da pele, os dados são fracos ou contraditórios. Para o desempenho esportivo, o precursor beta-alanina é mais bem estudado e está associado a pequenas vantagens em esforços curtos e intensos. Nas quantidades estudadas, a carnosina é considerada bem tolerada.</w:t>
      </w:r>
    </w:p>
    <w:bookmarkEnd w:id="2450"/>
    <w:bookmarkEnd w:id="2451"/>
    <w:bookmarkStart w:id="2479" w:name="ghk-cu-peptídeo-de-cobre"/>
    <w:p>
      <w:pPr>
        <w:pStyle w:val="Heading2"/>
      </w:pPr>
      <w:r>
        <w:t xml:space="preserve">GHK-Cu (peptídeo de cobre)</w:t>
      </w:r>
    </w:p>
    <w:bookmarkStart w:id="2453" w:name="ficha-técnica-55"/>
    <w:p>
      <w:pPr>
        <w:pStyle w:val="Heading3"/>
      </w:pPr>
      <w:r>
        <w:t xml:space="preserve">Ficha técnica</w:t>
      </w:r>
    </w:p>
    <w:p>
      <w:pPr>
        <w:numPr>
          <w:ilvl w:val="0"/>
          <w:numId w:val="1307"/>
        </w:numPr>
        <w:pStyle w:val="Compact"/>
      </w:pPr>
      <w:r>
        <w:rPr>
          <w:bCs/>
          <w:b/>
        </w:rPr>
        <w:t xml:space="preserve">Tipo/estrutura:</w:t>
      </w:r>
      <w:r>
        <w:t xml:space="preserve"> </w:t>
      </w:r>
      <w:r>
        <w:t xml:space="preserve">tripeptídeo de glicina, histidina e lisina (Gly-His-Lys, abreviado GHK), que se liga firmemente a um íon de cobre. Nas listas de ingredientes de cosméticos, aparece geralmente como</w:t>
      </w:r>
      <w:r>
        <w:t xml:space="preserve"> </w:t>
      </w:r>
      <w:r>
        <w:rPr>
          <w:iCs/>
          <w:i/>
        </w:rPr>
        <w:t xml:space="preserve">Copper Tripeptide-1</w:t>
      </w:r>
      <w:r>
        <w:t xml:space="preserve">. Uma forma aparentada sem cobre, mas com um resíduo de ácido graxo, é o palmitoil tripeptídeo-1 (Pal-GHK), componente do</w:t>
      </w:r>
      <w:r>
        <w:t xml:space="preserve"> </w:t>
      </w:r>
      <w:r>
        <w:t xml:space="preserve">“</w:t>
      </w:r>
      <w:r>
        <w:t xml:space="preserve">Matrixyl 3000</w:t>
      </w:r>
      <w:r>
        <w:t xml:space="preserve">”</w:t>
      </w:r>
      <w:r>
        <w:t xml:space="preserve">.</w:t>
      </w:r>
    </w:p>
    <w:p>
      <w:pPr>
        <w:numPr>
          <w:ilvl w:val="0"/>
          <w:numId w:val="1307"/>
        </w:numPr>
        <w:pStyle w:val="Compact"/>
      </w:pPr>
      <w:r>
        <w:rPr>
          <w:bCs/>
          <w:b/>
        </w:rPr>
        <w:t xml:space="preserve">Origem:</w:t>
      </w:r>
      <w:r>
        <w:t xml:space="preserve"> </w:t>
      </w:r>
      <w:r>
        <w:t xml:space="preserve">endógena. O GHK foi descoberto na década de 1970 no plasma sanguíneo humano</w:t>
      </w:r>
      <w:r>
        <w:rPr>
          <w:rStyle w:val="FootnoteReference"/>
        </w:rPr>
        <w:footnoteReference w:id="2452"/>
      </w:r>
      <w:r>
        <w:t xml:space="preserve"> </w:t>
      </w:r>
      <w:r>
        <w:t xml:space="preserve">e ocorre também na saliva e na urina. A sequência GHK faz parte do colágeno e poderia ser liberada na sua degradação. Para produtos, é fabricado sinteticamente.</w:t>
      </w:r>
    </w:p>
    <w:p>
      <w:pPr>
        <w:numPr>
          <w:ilvl w:val="0"/>
          <w:numId w:val="1307"/>
        </w:numPr>
        <w:pStyle w:val="Compact"/>
      </w:pPr>
      <w:r>
        <w:rPr>
          <w:bCs/>
          <w:b/>
        </w:rPr>
        <w:t xml:space="preserve">Mecanismo de ação:</w:t>
      </w:r>
      <w:r>
        <w:t xml:space="preserve"> </w:t>
      </w:r>
      <w:r>
        <w:t xml:space="preserve">deveria estimular a cicatrização de feridas e a remodelação do tecido conjuntivo, entre outros pelo transporte de cobre para as células e pela estimulação da formação de colágeno.</w:t>
      </w:r>
    </w:p>
    <w:p>
      <w:pPr>
        <w:numPr>
          <w:ilvl w:val="0"/>
          <w:numId w:val="1307"/>
        </w:numPr>
        <w:pStyle w:val="Compact"/>
      </w:pPr>
      <w:r>
        <w:rPr>
          <w:bCs/>
          <w:b/>
        </w:rPr>
        <w:t xml:space="preserve">Uso:</w:t>
      </w:r>
      <w:r>
        <w:t xml:space="preserve"> </w:t>
      </w:r>
      <w:r>
        <w:t xml:space="preserve">permitido como ingrediente em cosméticos (cremes, séruns, produtos capilares). Além disso, oferecido no mercado cinza como</w:t>
      </w:r>
      <w:r>
        <w:t xml:space="preserve"> </w:t>
      </w:r>
      <w:r>
        <w:t xml:space="preserve">“</w:t>
      </w:r>
      <w:r>
        <w:t xml:space="preserve">research peptide</w:t>
      </w:r>
      <w:r>
        <w:t xml:space="preserve">”</w:t>
      </w:r>
      <w:r>
        <w:t xml:space="preserve"> </w:t>
      </w:r>
      <w:r>
        <w:t xml:space="preserve">para injeção.</w:t>
      </w:r>
    </w:p>
    <w:p>
      <w:pPr>
        <w:numPr>
          <w:ilvl w:val="0"/>
          <w:numId w:val="1307"/>
        </w:numPr>
        <w:pStyle w:val="Compact"/>
      </w:pPr>
      <w:r>
        <w:rPr>
          <w:bCs/>
          <w:b/>
        </w:rPr>
        <w:t xml:space="preserve">Aprovação na UE:</w:t>
      </w:r>
      <w:r>
        <w:t xml:space="preserve"> </w:t>
      </w:r>
      <w:r>
        <w:t xml:space="preserve">nenhuma aprovação como medicamento. Utilizável como ingrediente cosmético.</w:t>
      </w:r>
    </w:p>
    <w:p>
      <w:pPr>
        <w:numPr>
          <w:ilvl w:val="0"/>
          <w:numId w:val="1307"/>
        </w:numPr>
        <w:pStyle w:val="Compact"/>
      </w:pPr>
      <w:r>
        <w:rPr>
          <w:bCs/>
          <w:b/>
        </w:rPr>
        <w:t xml:space="preserve">Aprovação nos EUA:</w:t>
      </w:r>
      <w:r>
        <w:t xml:space="preserve"> </w:t>
      </w:r>
      <w:r>
        <w:t xml:space="preserve">nenhuma aprovação como medicamento; à venda como ingrediente cosmético. Para a produção de preparações injetáveis em farmácias, há restrições (veja Situação legal).</w:t>
      </w:r>
    </w:p>
    <w:p>
      <w:pPr>
        <w:numPr>
          <w:ilvl w:val="0"/>
          <w:numId w:val="1307"/>
        </w:numPr>
        <w:pStyle w:val="Compact"/>
      </w:pPr>
      <w:r>
        <w:rPr>
          <w:bCs/>
          <w:b/>
        </w:rPr>
        <w:t xml:space="preserve">WADA:</w:t>
      </w:r>
      <w:r>
        <w:t xml:space="preserve"> </w:t>
      </w:r>
      <w:r>
        <w:t xml:space="preserve">não listado nominalmente. Na injeção, como princípio ativo não aprovado, pode aplicar-se a categoria S0 (</w:t>
      </w:r>
      <w:r>
        <w:t xml:space="preserve">“</w:t>
      </w:r>
      <w:r>
        <w:t xml:space="preserve">substâncias não aprovadas</w:t>
      </w:r>
      <w:r>
        <w:t xml:space="preserve">”</w:t>
      </w:r>
      <w:r>
        <w:t xml:space="preserve">).</w:t>
      </w:r>
    </w:p>
    <w:p>
      <w:pPr>
        <w:numPr>
          <w:ilvl w:val="0"/>
          <w:numId w:val="1307"/>
        </w:numPr>
        <w:pStyle w:val="Compact"/>
      </w:pPr>
      <w:r>
        <w:rPr>
          <w:bCs/>
          <w:b/>
        </w:rPr>
        <w:t xml:space="preserve">Nível de evidência:</w:t>
      </w:r>
      <w:r>
        <w:t xml:space="preserve"> </w:t>
      </w:r>
      <w:r>
        <w:rPr>
          <w:bCs/>
          <w:b/>
        </w:rPr>
        <w:t xml:space="preserve">C</w:t>
      </w:r>
      <w:r>
        <w:t xml:space="preserve"> </w:t>
      </w:r>
      <w:r>
        <w:t xml:space="preserve">– um estudo randomizado antigo sobre feridas e poucos estudos muito pequenos sobre a pele; para as aplicações promovidas hoje (cosméticos antienvelhecimento, injeções), não há dados controlados sólidos em humanos.</w:t>
      </w:r>
    </w:p>
    <w:bookmarkEnd w:id="2453"/>
    <w:bookmarkStart w:id="2460" w:name="como-deveria-agir-55"/>
    <w:p>
      <w:pPr>
        <w:pStyle w:val="Heading3"/>
      </w:pPr>
      <w:r>
        <w:t xml:space="preserve">Como deveria agir</w:t>
      </w:r>
    </w:p>
    <w:p>
      <w:pPr>
        <w:pStyle w:val="FirstParagraph"/>
      </w:pPr>
      <w:r>
        <w:t xml:space="preserve">O GHK se liga ao cobre com tanta firmeza que consegue transportar esse oligoelemento vital para dentro das células. O cobre é necessário a várias enzimas importantes para o tecido conjuntivo, como a lisil oxidase, que interliga as fibras de colágeno e de elastina. Um trabalho inicial já supunha em 1980 que o GHK exerce seu efeito sobre as células facilitando a captação de cobre</w:t>
      </w:r>
      <w:r>
        <w:rPr>
          <w:rStyle w:val="FootnoteReference"/>
        </w:rPr>
        <w:footnoteReference w:id="2454"/>
      </w:r>
      <w:r>
        <w:t xml:space="preserve">.</w:t>
      </w:r>
    </w:p>
    <w:p>
      <w:pPr>
        <w:pStyle w:val="BodyText"/>
      </w:pPr>
      <w:r>
        <w:t xml:space="preserve">Em culturas de células, o GHK-Cu estimulou a formação de colágeno pelos fibroblastos já em concentrações extremamente baixas; o máximo ficou em cerca de um nanomol por litro</w:t>
      </w:r>
      <w:r>
        <w:rPr>
          <w:rStyle w:val="FootnoteReference"/>
        </w:rPr>
        <w:footnoteReference w:id="2455"/>
      </w:r>
      <w:r>
        <w:t xml:space="preserve">. O descobridor do GHK, Loren Pickart, descreveu em várias revisões uma série de outros efeitos – sobre cicatrização de feridas, crescimento capilar, inflamação, crescimento nervoso e até sobre a atividade de milhares de genes</w:t>
      </w:r>
      <w:r>
        <w:rPr>
          <w:rStyle w:val="FootnoteReference"/>
        </w:rPr>
        <w:footnoteReference w:id="2456"/>
      </w:r>
      <w:r>
        <w:t xml:space="preserve">. Essas afirmações baseiam-se predominantemente em experimentos com células e animais e em dados de expressão gênica de bancos de dados, não em estudos em humanos. Além disso, muitas dessas revisões vêm do círculo das pessoas que também desenvolveram o GHK-Cu comercialmente – uma circunstância que você deve conhecer ao avaliá-las.</w:t>
      </w:r>
    </w:p>
    <w:bookmarkStart w:id="2459" w:name="o-peptídeo-atravessa-a-pele"/>
    <w:p>
      <w:pPr>
        <w:pStyle w:val="Heading4"/>
      </w:pPr>
      <w:r>
        <w:t xml:space="preserve">O peptídeo atravessa a pele?</w:t>
      </w:r>
    </w:p>
    <w:p>
      <w:pPr>
        <w:pStyle w:val="FirstParagraph"/>
      </w:pPr>
      <w:r>
        <w:t xml:space="preserve">Para o uso cosmético, é decisivo saber se o GHK-Cu supera a barreira cutânea. A camada córnea da pele é pouco permeável a moléculas hidrossolúveis e carregadas como o GHK. Uma revisão de 2025 conclui que, em experimentos com células, o GHK poderia sem dúvida ser considerado um princípio ativo antirrugas, mas que há surpreendentemente poucos estudos clínicos; a ligação ao cobre e apêndices de ácidos graxos melhoram a permeabilidade, e microagulhas e outros recursos estão sendo pesquisados</w:t>
      </w:r>
      <w:r>
        <w:rPr>
          <w:rStyle w:val="FootnoteReference"/>
        </w:rPr>
        <w:footnoteReference w:id="2457"/>
      </w:r>
      <w:r>
        <w:t xml:space="preserve">. Uma investigação em três voluntários encontrou o Pal-GHK, aparentado, após a aplicação em todas as camadas da camada córnea, porém apenas entre as células e em quantidade decrescente com a profundidade</w:t>
      </w:r>
      <w:r>
        <w:rPr>
          <w:rStyle w:val="FootnoteReference"/>
        </w:rPr>
        <w:footnoteReference w:id="2458"/>
      </w:r>
      <w:r>
        <w:t xml:space="preserve">. Se quantidades suficientes alcançam as camadas mais profundas da pele, onde o colágeno é formado, não está esclarecido.</w:t>
      </w:r>
    </w:p>
    <w:bookmarkEnd w:id="2459"/>
    <w:bookmarkEnd w:id="2460"/>
    <w:bookmarkStart w:id="2464" w:name="estudos-em-humanos-55"/>
    <w:p>
      <w:pPr>
        <w:pStyle w:val="Heading3"/>
      </w:pPr>
      <w:r>
        <w:t xml:space="preserve">Estudos em humanos</w:t>
      </w:r>
    </w:p>
    <w:p>
      <w:pPr>
        <w:pStyle w:val="FirstParagraph"/>
      </w:pPr>
      <w:r>
        <w:t xml:space="preserve">A consulta ao PubMed avaliada para este livro (GHK-Cu, tripeptídeo de cobre ou peptídeo de cobre GHK no título ou no resumo, data da consulta outubro de 2026) resultou em apenas</w:t>
      </w:r>
      <w:r>
        <w:t xml:space="preserve"> </w:t>
      </w:r>
      <w:r>
        <w:rPr>
          <w:bCs/>
          <w:b/>
        </w:rPr>
        <w:t xml:space="preserve">um</w:t>
      </w:r>
      <w:r>
        <w:t xml:space="preserve"> </w:t>
      </w:r>
      <w:r>
        <w:t xml:space="preserve">estudo em humanos. No ClinicalTrials.gov, a busca resultou em 25 registros, mas quase todos se referem a outros compostos de cobre (como o cobre-64 radioativo para exames de imagem). Apenas um registro confiável investiga de fato GHK ou GHK-Cu; outro registro sobre um gel de GHK-Cu para feridas vem de um patrocinador cujos registros, segundo nossa verificação, são aparentemente entradas fictícias de exemplo ou de teste, e por isso não é considerado aqui. Uma busca ampliada encontrou adicionalmente o estudo antigo sobre feridas citado abaixo, bem como relatos de casos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Pessoas com úlceras de pé diabético, multicêntrico, randomizado, avaliação cega, gel de GHK-Cu vs. gel veículo</w:t>
            </w:r>
          </w:p>
        </w:tc>
        <w:tc>
          <w:tcPr/>
          <w:p>
            <w:pPr>
              <w:pStyle w:val="Compact"/>
              <w:jc w:val="left"/>
            </w:pPr>
            <w:r>
              <w:t xml:space="preserve">sem informação no resumo</w:t>
            </w:r>
          </w:p>
        </w:tc>
        <w:tc>
          <w:tcPr/>
          <w:p>
            <w:pPr>
              <w:pStyle w:val="Compact"/>
              <w:jc w:val="left"/>
            </w:pPr>
            <w:r>
              <w:t xml:space="preserve">Redução mediana da área da ferida 98,5% vs. 60,8%; infecções 7% vs. 34%</w:t>
            </w:r>
          </w:p>
        </w:tc>
      </w:tr>
      <w:tr>
        <w:tc>
          <w:tcPr/>
          <w:p>
            <w:pPr>
              <w:pStyle w:val="Compact"/>
              <w:jc w:val="left"/>
            </w:pPr>
            <w:r>
              <w:t xml:space="preserve">Miller 2006, PMID 16847171</w:t>
            </w:r>
          </w:p>
        </w:tc>
        <w:tc>
          <w:tcPr/>
          <w:p>
            <w:pPr>
              <w:pStyle w:val="Compact"/>
              <w:jc w:val="left"/>
            </w:pPr>
            <w:r>
              <w:t xml:space="preserve">Cuidados com a pele após tratamento com laser de CO₂, randomizado, 13 avaliáveis</w:t>
            </w:r>
          </w:p>
        </w:tc>
        <w:tc>
          <w:tcPr/>
          <w:p>
            <w:pPr>
              <w:pStyle w:val="Compact"/>
              <w:jc w:val="left"/>
            </w:pPr>
            <w:r>
              <w:t xml:space="preserve">12 semanas</w:t>
            </w:r>
          </w:p>
        </w:tc>
        <w:tc>
          <w:tcPr/>
          <w:p>
            <w:pPr>
              <w:pStyle w:val="Compact"/>
              <w:jc w:val="left"/>
            </w:pPr>
            <w:r>
              <w:t xml:space="preserve">Nenhuma diferença em vermelhidão, rugas ou qualidade da pele segundo medição e avaliação cega; maior satisfação no questionário</w:t>
            </w:r>
          </w:p>
        </w:tc>
      </w:tr>
      <w:tr>
        <w:tc>
          <w:tcPr/>
          <w:p>
            <w:pPr>
              <w:pStyle w:val="Compact"/>
              <w:jc w:val="left"/>
            </w:pPr>
            <w:r>
              <w:t xml:space="preserve">Byun 2016, PMID 27064823</w:t>
            </w:r>
          </w:p>
        </w:tc>
        <w:tc>
          <w:tcPr/>
          <w:p>
            <w:pPr>
              <w:pStyle w:val="Compact"/>
              <w:jc w:val="left"/>
            </w:pPr>
            <w:r>
              <w:t xml:space="preserve">1 homem, mistura de GHK-Cu, ácido hialurônico, extrato vegetal, ácido tranexâmico e betaglucana com aparelho pulverizador</w:t>
            </w:r>
          </w:p>
        </w:tc>
        <w:tc>
          <w:tcPr/>
          <w:p>
            <w:pPr>
              <w:pStyle w:val="Compact"/>
              <w:jc w:val="left"/>
            </w:pPr>
            <w:r>
              <w:t xml:space="preserve">12 semanas</w:t>
            </w:r>
          </w:p>
        </w:tc>
        <w:tc>
          <w:tcPr/>
          <w:p>
            <w:pPr>
              <w:pStyle w:val="Compact"/>
              <w:jc w:val="left"/>
            </w:pPr>
            <w:r>
              <w:t xml:space="preserve">Menos rugas ao redor dos olhos; mais colágeno em amostras de pele (caso isolado, produto combinado)</w:t>
            </w:r>
          </w:p>
        </w:tc>
      </w:tr>
    </w:tbl>
    <w:p>
      <w:pPr>
        <w:pStyle w:val="BodyText"/>
      </w:pPr>
      <w:r>
        <w:rPr>
          <w:bCs/>
          <w:b/>
        </w:rPr>
        <w:t xml:space="preserve">O estudo sobre feridas de 1994</w:t>
      </w:r>
      <w:r>
        <w:t xml:space="preserve"> </w:t>
      </w:r>
      <w:r>
        <w:t xml:space="preserve">é o único estudo controlado que melhorou um desfecho clinicamente relevante. A preparação (desenvolvida com o nome Iamin), porém, não obteve aprovação como medicamento. O resumo não informa nem o número de participantes nem a duração do estudo; estudos posteriores de confirmação não são encontrados no PubMed.</w:t>
      </w:r>
    </w:p>
    <w:p>
      <w:pPr>
        <w:pStyle w:val="BodyText"/>
      </w:pPr>
      <w:r>
        <w:rPr>
          <w:bCs/>
          <w:b/>
        </w:rPr>
        <w:t xml:space="preserve">O estudo com laser de 2006</w:t>
      </w:r>
      <w:r>
        <w:t xml:space="preserve"> </w:t>
      </w:r>
      <w:r>
        <w:t xml:space="preserve">é o único estudo randomizado com questão cosmética registrado no PubMed. Com apenas 13 pacientes avaliáveis, era pequeno demais para detectar diferenças com segurança – e objetivamente não encontrou nenhuma.</w:t>
      </w:r>
    </w:p>
    <w:p>
      <w:pPr>
        <w:pStyle w:val="BodyText"/>
      </w:pPr>
      <w:r>
        <w:rPr>
          <w:bCs/>
          <w:b/>
        </w:rPr>
        <w:t xml:space="preserve">Estudos cosméticos:</w:t>
      </w:r>
      <w:r>
        <w:t xml:space="preserve"> </w:t>
      </w:r>
      <w:r>
        <w:t xml:space="preserve">em livros técnicos e materiais publicitários, citam-se estudos segundo os quais cremes de GHK-Cu teriam melhorado rugas, densidade da pele e elasticidade. Esses estudos, em sua maioria, não foram publicados em revistas indexadas no PubMed ou estão disponíveis apenas como trabalhos de congresso e relatórios de fabricantes, e não puderam ser verificados no original para este livro. Uma metanálise de 2026 sobre peptídeos orais e tópicos contra o envelhecimento da pele constatou que o benefício nas rugas foi sustentado sobretudo por peptídeos ingeridos</w:t>
      </w:r>
      <w:r>
        <w:t xml:space="preserve"> </w:t>
      </w:r>
      <w:r>
        <w:rPr>
          <w:iCs/>
          <w:i/>
        </w:rPr>
        <w:t xml:space="preserve">por via oral</w:t>
      </w:r>
      <w:r>
        <w:t xml:space="preserve">; o resumo não apresenta resultados específicos para o GHK-Cu</w:t>
      </w:r>
      <w:r>
        <w:rPr>
          <w:rStyle w:val="FootnoteReference"/>
        </w:rPr>
        <w:footnoteReference w:id="2461"/>
      </w:r>
      <w:r>
        <w:t xml:space="preserve">.</w:t>
      </w:r>
    </w:p>
    <w:p>
      <w:pPr>
        <w:pStyle w:val="BodyText"/>
      </w:pPr>
      <w:r>
        <w:rPr>
          <w:bCs/>
          <w:b/>
        </w:rPr>
        <w:t xml:space="preserve">Injeções:</w:t>
      </w:r>
      <w:r>
        <w:t xml:space="preserve"> </w:t>
      </w:r>
      <w:r>
        <w:t xml:space="preserve">para o GHK-Cu injetado, não há um único estudo controlado publicado em humanos. Uma revisão para ortopedia e medicina esportiva registra que não há dados clínicos para o uso em doenças do aparelho locomotor e que dose, frequência e duração de um tratamento são desconhecidas</w:t>
      </w:r>
      <w:r>
        <w:rPr>
          <w:rStyle w:val="FootnoteReference"/>
        </w:rPr>
        <w:footnoteReference w:id="2462"/>
      </w:r>
      <w:r>
        <w:t xml:space="preserve">. Outra revisão sobre peptídeos não aprovados na medicina esportiva conclui que faltam dados sólidos de segurança em humanos e que há potencial de dano</w:t>
      </w:r>
      <w:r>
        <w:rPr>
          <w:rStyle w:val="FootnoteReference"/>
        </w:rPr>
        <w:footnoteReference w:id="2463"/>
      </w:r>
      <w:r>
        <w:t xml:space="preserve">.</w:t>
      </w:r>
    </w:p>
    <w:bookmarkEnd w:id="2464"/>
    <w:bookmarkStart w:id="2471" w:name="estudos-em-animais-e-em-laboratório-55"/>
    <w:p>
      <w:pPr>
        <w:pStyle w:val="Heading3"/>
      </w:pPr>
      <w:r>
        <w:t xml:space="preserve">Estudos em animais e em laboratório</w:t>
      </w:r>
    </w:p>
    <w:p>
      <w:pPr>
        <w:pStyle w:val="FirstParagraph"/>
      </w:pPr>
      <w:r>
        <w:t xml:space="preserve">A literatura pré-clínica é extensa:</w:t>
      </w:r>
    </w:p>
    <w:p>
      <w:pPr>
        <w:numPr>
          <w:ilvl w:val="0"/>
          <w:numId w:val="1308"/>
        </w:numPr>
        <w:pStyle w:val="Compact"/>
      </w:pPr>
      <w:r>
        <w:rPr>
          <w:bCs/>
          <w:b/>
        </w:rPr>
        <w:t xml:space="preserve">Cultura de células:</w:t>
      </w:r>
      <w:r>
        <w:t xml:space="preserve"> </w:t>
      </w:r>
      <w:r>
        <w:t xml:space="preserve">aumento da formação de colágeno em fibroblastos</w:t>
      </w:r>
      <w:r>
        <w:rPr>
          <w:rStyle w:val="FootnoteReference"/>
        </w:rPr>
        <w:footnoteReference w:id="2465"/>
      </w:r>
      <w:r>
        <w:t xml:space="preserve">; influência sobre enzimas que formam e degradam o tecido conjuntivo.</w:t>
      </w:r>
    </w:p>
    <w:p>
      <w:pPr>
        <w:numPr>
          <w:ilvl w:val="0"/>
          <w:numId w:val="1308"/>
        </w:numPr>
        <w:pStyle w:val="Compact"/>
      </w:pPr>
      <w:r>
        <w:rPr>
          <w:bCs/>
          <w:b/>
        </w:rPr>
        <w:t xml:space="preserve">Cicatrização de feridas em animais:</w:t>
      </w:r>
      <w:r>
        <w:t xml:space="preserve"> </w:t>
      </w:r>
      <w:r>
        <w:t xml:space="preserve">em ratos com feridas mal irrigadas, a área da ferida diminuiu após 13 dias 64,5% com gel de GHK-Cu, 45,6% com o gel veículo e 28,2% sem tratamento</w:t>
      </w:r>
      <w:r>
        <w:rPr>
          <w:rStyle w:val="FootnoteReference"/>
        </w:rPr>
        <w:footnoteReference w:id="2466"/>
      </w:r>
      <w:r>
        <w:t xml:space="preserve">. Em camundongos, lipossomos contendo GHK-Cu favoreceram a formação de novos vasos em pele escaldada e encurtaram o tempo de cicatrização</w:t>
      </w:r>
      <w:r>
        <w:rPr>
          <w:rStyle w:val="FootnoteReference"/>
        </w:rPr>
        <w:footnoteReference w:id="2467"/>
      </w:r>
      <w:r>
        <w:t xml:space="preserve">.</w:t>
      </w:r>
    </w:p>
    <w:p>
      <w:pPr>
        <w:numPr>
          <w:ilvl w:val="0"/>
          <w:numId w:val="1308"/>
        </w:numPr>
        <w:pStyle w:val="Compact"/>
      </w:pPr>
      <w:r>
        <w:rPr>
          <w:bCs/>
          <w:b/>
        </w:rPr>
        <w:t xml:space="preserve">Outros órgãos (em animais):</w:t>
      </w:r>
      <w:r>
        <w:t xml:space="preserve"> </w:t>
      </w:r>
      <w:r>
        <w:t xml:space="preserve">em camundongos, o GHK-Cu injetado na cavidade abdominal atenuou uma fibrose pulmonar induzida experimentalmente</w:t>
      </w:r>
      <w:r>
        <w:rPr>
          <w:rStyle w:val="FootnoteReference"/>
        </w:rPr>
        <w:footnoteReference w:id="2468"/>
      </w:r>
      <w:r>
        <w:t xml:space="preserve">; outros estudos em camundongos descrevem efeitos em lesões pulmonares, inflamação intestinal e fraqueza muscular após fumaça de cigarro. Em ratos, melhorou a cicatrização após reconstrução do ligamento cruzado apenas temporariamente</w:t>
      </w:r>
      <w:r>
        <w:rPr>
          <w:rStyle w:val="FootnoteReference"/>
        </w:rPr>
        <w:footnoteReference w:id="2469"/>
      </w:r>
      <w:r>
        <w:t xml:space="preserve">.</w:t>
      </w:r>
    </w:p>
    <w:p>
      <w:pPr>
        <w:numPr>
          <w:ilvl w:val="0"/>
          <w:numId w:val="1308"/>
        </w:numPr>
        <w:pStyle w:val="Compact"/>
      </w:pPr>
      <w:r>
        <w:rPr>
          <w:bCs/>
          <w:b/>
        </w:rPr>
        <w:t xml:space="preserve">Cérebro (em camundongos):</w:t>
      </w:r>
      <w:r>
        <w:t xml:space="preserve"> </w:t>
      </w:r>
      <w:r>
        <w:t xml:space="preserve">uma pré-publicação de 2026, ainda não revisada por pares, descreveu em camundongos idosos melhor desempenho de aprendizagem após oito semanas de administração nasal; após breve administração na cavidade abdominal, apenas temporariamente e apenas nos machos</w:t>
      </w:r>
      <w:r>
        <w:rPr>
          <w:rStyle w:val="FootnoteReference"/>
        </w:rPr>
        <w:footnoteReference w:id="2470"/>
      </w:r>
      <w:r>
        <w:t xml:space="preserve">.</w:t>
      </w:r>
    </w:p>
    <w:p>
      <w:pPr>
        <w:pStyle w:val="FirstParagraph"/>
      </w:pPr>
      <w:r>
        <w:t xml:space="preserve">Esses achados mostram uma atividade biológica, mas não podem ser transferidos sem mais para humanos – muito menos para cremes cosméticos com permeabilidade cutânea incerta.</w:t>
      </w:r>
    </w:p>
    <w:bookmarkEnd w:id="2471"/>
    <w:bookmarkStart w:id="2474" w:name="riscos-e-efeitos-colaterais-55"/>
    <w:p>
      <w:pPr>
        <w:pStyle w:val="Heading3"/>
      </w:pPr>
      <w:r>
        <w:t xml:space="preserve">Riscos e efeitos colaterais</w:t>
      </w:r>
    </w:p>
    <w:p>
      <w:pPr>
        <w:pStyle w:val="FirstParagraph"/>
      </w:pPr>
      <w:r>
        <w:rPr>
          <w:bCs/>
          <w:b/>
        </w:rPr>
        <w:t xml:space="preserve">Uso cosmético (comprovado ou provável):</w:t>
      </w:r>
      <w:r>
        <w:t xml:space="preserve"> </w:t>
      </w:r>
      <w:r>
        <w:t xml:space="preserve">o GHK-Cu é usado há décadas em cosméticos; nos poucos estudos, não foram relatados efeitos colaterais relevantes. Como com qualquer ingrediente cosmético, irritações cutâneas e alergias de contato são possíveis. Séruns contendo cobre podem ser ou não quimicamente compatíveis com outros ativos (como vitamina C ou ácidos) – isso é uma questão de formulação.</w:t>
      </w:r>
    </w:p>
    <w:p>
      <w:pPr>
        <w:pStyle w:val="BodyText"/>
      </w:pPr>
      <w:r>
        <w:rPr>
          <w:bCs/>
          <w:b/>
        </w:rPr>
        <w:t xml:space="preserve">Injeção (teórico, mas a ser levado a sério):</w:t>
      </w:r>
    </w:p>
    <w:p>
      <w:pPr>
        <w:numPr>
          <w:ilvl w:val="0"/>
          <w:numId w:val="1309"/>
        </w:numPr>
        <w:pStyle w:val="Compact"/>
      </w:pPr>
      <w:r>
        <w:rPr>
          <w:bCs/>
          <w:b/>
        </w:rPr>
        <w:t xml:space="preserve">Nenhum dado de segurança:</w:t>
      </w:r>
      <w:r>
        <w:t xml:space="preserve"> </w:t>
      </w:r>
      <w:r>
        <w:t xml:space="preserve">não há dados sistemáticos sobre tolerabilidade, dose ou consequências de longo prazo em humanos.</w:t>
      </w:r>
    </w:p>
    <w:p>
      <w:pPr>
        <w:numPr>
          <w:ilvl w:val="0"/>
          <w:numId w:val="1309"/>
        </w:numPr>
        <w:pStyle w:val="Compact"/>
      </w:pPr>
      <w:r>
        <w:rPr>
          <w:bCs/>
          <w:b/>
        </w:rPr>
        <w:t xml:space="preserve">Efeitos celulares heterogêneos:</w:t>
      </w:r>
      <w:r>
        <w:t xml:space="preserve"> </w:t>
      </w:r>
      <w:r>
        <w:t xml:space="preserve">já os primeiros trabalhos de laboratório descreveram que o GHK pode, conforme o sistema celular, favorecer o crescimento, mas também ter efeito tóxico</w:t>
      </w:r>
      <w:r>
        <w:rPr>
          <w:rStyle w:val="FootnoteReference"/>
        </w:rPr>
        <w:footnoteReference w:id="2472"/>
      </w:r>
      <w:r>
        <w:t xml:space="preserve">.</w:t>
      </w:r>
    </w:p>
    <w:p>
      <w:pPr>
        <w:numPr>
          <w:ilvl w:val="0"/>
          <w:numId w:val="1309"/>
        </w:numPr>
        <w:pStyle w:val="Compact"/>
      </w:pPr>
      <w:r>
        <w:rPr>
          <w:bCs/>
          <w:b/>
        </w:rPr>
        <w:t xml:space="preserve">Carga de cobre:</w:t>
      </w:r>
      <w:r>
        <w:t xml:space="preserve"> </w:t>
      </w:r>
      <w:r>
        <w:t xml:space="preserve">o cobre é tóxico em quantidades maiores. Quanto cobre permanece no corpo com injeções repetidas não foi estudado. Estariam especialmente em risco pessoas com doença de Wilson, uma doença congênita de acúmulo de cobre.</w:t>
      </w:r>
    </w:p>
    <w:p>
      <w:pPr>
        <w:numPr>
          <w:ilvl w:val="0"/>
          <w:numId w:val="1309"/>
        </w:numPr>
        <w:pStyle w:val="Compact"/>
      </w:pPr>
      <w:r>
        <w:rPr>
          <w:bCs/>
          <w:b/>
        </w:rPr>
        <w:t xml:space="preserve">Sinais de crescimento:</w:t>
      </w:r>
      <w:r>
        <w:t xml:space="preserve"> </w:t>
      </w:r>
      <w:r>
        <w:t xml:space="preserve">em experimentos com animais, o GHK-Cu favorece a formação de novos vasos sanguíneos (angiogênese). Se isso representa um risco em tumores existentes é desconhecido (risco teórico).</w:t>
      </w:r>
    </w:p>
    <w:p>
      <w:pPr>
        <w:numPr>
          <w:ilvl w:val="0"/>
          <w:numId w:val="1309"/>
        </w:numPr>
        <w:pStyle w:val="Compact"/>
      </w:pPr>
      <w:r>
        <w:rPr>
          <w:bCs/>
          <w:b/>
        </w:rPr>
        <w:t xml:space="preserve">Qualidade do mercado cinza:</w:t>
      </w:r>
      <w:r>
        <w:t xml:space="preserve"> </w:t>
      </w:r>
      <w:r>
        <w:t xml:space="preserve">os</w:t>
      </w:r>
      <w:r>
        <w:t xml:space="preserve"> </w:t>
      </w:r>
      <w:r>
        <w:t xml:space="preserve">“</w:t>
      </w:r>
      <w:r>
        <w:t xml:space="preserve">research peptides</w:t>
      </w:r>
      <w:r>
        <w:t xml:space="preserve">”</w:t>
      </w:r>
      <w:r>
        <w:t xml:space="preserve"> </w:t>
      </w:r>
      <w:r>
        <w:t xml:space="preserve">são produzidos sem controle de qualidade farmacêutico. Contaminações, quantidades erradas ou contaminação bacteriana são possíveis; injeções de produtos não estéreis podem levar a abscessos e infecções. Uma revisão descreve esses riscos para peptídeos injetáveis de</w:t>
      </w:r>
      <w:r>
        <w:t xml:space="preserve"> </w:t>
      </w:r>
      <w:r>
        <w:t xml:space="preserve">“</w:t>
      </w:r>
      <w:r>
        <w:t xml:space="preserve">biohacking</w:t>
      </w:r>
      <w:r>
        <w:t xml:space="preserve">”</w:t>
      </w:r>
      <w:r>
        <w:t xml:space="preserve"> </w:t>
      </w:r>
      <w:r>
        <w:t xml:space="preserve">em geral</w:t>
      </w:r>
      <w:r>
        <w:rPr>
          <w:rStyle w:val="FootnoteReference"/>
        </w:rPr>
        <w:footnoteReference w:id="2473"/>
      </w:r>
      <w:r>
        <w:t xml:space="preserve">. A Parte IV trata do tema em detalhes.</w:t>
      </w:r>
    </w:p>
    <w:bookmarkEnd w:id="2474"/>
    <w:bookmarkStart w:id="2475" w:name="situação-legal-55"/>
    <w:p>
      <w:pPr>
        <w:pStyle w:val="Heading3"/>
      </w:pPr>
      <w:r>
        <w:t xml:space="preserve">Situação legal</w:t>
      </w:r>
    </w:p>
    <w:p>
      <w:pPr>
        <w:numPr>
          <w:ilvl w:val="0"/>
          <w:numId w:val="1310"/>
        </w:numPr>
        <w:pStyle w:val="Compact"/>
      </w:pPr>
      <w:r>
        <w:rPr>
          <w:bCs/>
          <w:b/>
        </w:rPr>
        <w:t xml:space="preserve">UE / Áustria / Alemanha:</w:t>
      </w:r>
      <w:r>
        <w:t xml:space="preserve"> </w:t>
      </w:r>
      <w:r>
        <w:t xml:space="preserve">o GHK-Cu (Copper Tripeptide-1) pode ser usado como ingrediente em cosméticos; aplica-se o Regulamento Europeu de Cosméticos (Regulamento (CE) nº 1223/2009). Cosméticos só podem destinar-se à aplicação na pele e em seus anexos e não podem reivindicar efeitos medicamentosos; as alegações publicitárias devem ser comprováveis, segundo o Regulamento (UE) nº 655/2013. Um GHK-Cu destinado à injeção não é um cosmético, mas um medicamento não aprovado. Sua venda para uso em humanos não é permitida; rótulos como</w:t>
      </w:r>
      <w:r>
        <w:t xml:space="preserve"> </w:t>
      </w:r>
      <w:r>
        <w:t xml:space="preserve">“</w:t>
      </w:r>
      <w:r>
        <w:t xml:space="preserve">apenas para fins de pesquisa</w:t>
      </w:r>
      <w:r>
        <w:t xml:space="preserve">”</w:t>
      </w:r>
      <w:r>
        <w:t xml:space="preserve"> </w:t>
      </w:r>
      <w:r>
        <w:t xml:space="preserve">não mudam nada nisso.</w:t>
      </w:r>
    </w:p>
    <w:p>
      <w:pPr>
        <w:numPr>
          <w:ilvl w:val="0"/>
          <w:numId w:val="1310"/>
        </w:numPr>
        <w:pStyle w:val="Compact"/>
      </w:pPr>
      <w:r>
        <w:rPr>
          <w:bCs/>
          <w:b/>
        </w:rPr>
        <w:t xml:space="preserve">EUA:</w:t>
      </w:r>
      <w:r>
        <w:t xml:space="preserve"> </w:t>
      </w:r>
      <w:r>
        <w:t xml:space="preserve">permitido em cosméticos. A FDA, segundo nosso conhecimento, incluiu em 2023 o GHK-Cu para injeção em uma lista de princípios ativos para os quais vê preocupações de segurança significativas na manipulação em farmácias (compounding); a classificação de vários peptídeos tem sido rediscutida desde então.</w:t>
      </w:r>
    </w:p>
    <w:p>
      <w:pPr>
        <w:numPr>
          <w:ilvl w:val="0"/>
          <w:numId w:val="1310"/>
        </w:numPr>
        <w:pStyle w:val="Compact"/>
      </w:pPr>
      <w:r>
        <w:rPr>
          <w:bCs/>
          <w:b/>
        </w:rPr>
        <w:t xml:space="preserve">Esporte:</w:t>
      </w:r>
      <w:r>
        <w:t xml:space="preserve"> </w:t>
      </w:r>
      <w:r>
        <w:t xml:space="preserve">o GHK-Cu não consta nominalmente na lista da WADA. Cremes cosméticos são considerados não problemáticos. O GHK-Cu injetado, como substância não aprovada, poderia enquadrar-se na categoria S0; em caso de dúvida, atletas devem consultar a agência nacional antidoping (situação em 2026, verificar atualização).</w:t>
      </w:r>
    </w:p>
    <w:bookmarkEnd w:id="2475"/>
    <w:bookmarkStart w:id="2477" w:name="estudos-em-andamento-e-perspectivas-55"/>
    <w:p>
      <w:pPr>
        <w:pStyle w:val="Heading3"/>
      </w:pPr>
      <w:r>
        <w:t xml:space="preserve">Estudos em andamento e perspectivas</w:t>
      </w:r>
    </w:p>
    <w:p>
      <w:pPr>
        <w:pStyle w:val="FirstParagraph"/>
      </w:pPr>
      <w:r>
        <w:rPr>
          <w:bCs/>
          <w:b/>
        </w:rPr>
        <w:t xml:space="preserve">Confirmado (estudos registrados, situação em outubro de 2026):</w:t>
      </w:r>
    </w:p>
    <w:p>
      <w:pPr>
        <w:numPr>
          <w:ilvl w:val="0"/>
          <w:numId w:val="1311"/>
        </w:numPr>
        <w:pStyle w:val="Compact"/>
      </w:pPr>
      <w:r>
        <w:rPr>
          <w:bCs/>
          <w:b/>
        </w:rPr>
        <w:t xml:space="preserve">Adesivo:</w:t>
      </w:r>
      <w:r>
        <w:t xml:space="preserve"> </w:t>
      </w:r>
      <w:r>
        <w:t xml:space="preserve">um estudo com 100 pessoas saudáveis previstas pretende investigar se um adesivo (X39) altera os níveis sanguíneos de GHK e GHK-Cu; início previsto para 2027</w:t>
      </w:r>
      <w:r>
        <w:rPr>
          <w:rStyle w:val="FootnoteReference"/>
        </w:rPr>
        <w:footnoteReference w:id="2476"/>
      </w:r>
      <w:r>
        <w:t xml:space="preserve">. O patrocinador é uma empresa que comercializa o adesivo.</w:t>
      </w:r>
    </w:p>
    <w:p>
      <w:pPr>
        <w:pStyle w:val="FirstParagraph"/>
      </w:pPr>
      <w:r>
        <w:rPr>
          <w:bCs/>
          <w:b/>
        </w:rPr>
        <w:t xml:space="preserve">Avaliação:</w:t>
      </w:r>
      <w:r>
        <w:t xml:space="preserve"> </w:t>
      </w:r>
      <w:r>
        <w:t xml:space="preserve">no momento, não se vê nenhum estudo sério e registrado com um desfecho medicamente relevante – por exemplo, a cicatrização de feridas, de onde vêm os únicos dados controlados positivos em humanos. Para o uso cosmético, seriam necessários estudos independentes, suficientemente grandes e controlados por placebo, com um creme sem outros princípios ativos. Para injeções, nenhum estudo sério está à vista; o interesse é alimentado sobretudo nas redes sociais e no mercado cinza.</w:t>
      </w:r>
    </w:p>
    <w:bookmarkEnd w:id="2477"/>
    <w:bookmarkStart w:id="2478" w:name="conclusão-55"/>
    <w:p>
      <w:pPr>
        <w:pStyle w:val="Heading3"/>
      </w:pPr>
      <w:r>
        <w:t xml:space="preserve">Conclusão</w:t>
      </w:r>
    </w:p>
    <w:p>
      <w:pPr>
        <w:pStyle w:val="FirstParagraph"/>
      </w:pPr>
      <w:r>
        <w:t xml:space="preserve">O GHK-Cu é um peptídeo de cobre endógeno que, em laboratório, estimula a formação de colágeno e, em experimentos com animais, acelera a cicatrização de feridas. Em humanos, há apenas um estudo randomizado antigo sobre úlceras de pé diabético com resultado positivo e um minúsculo estudo cosmético sem efeito mensurável. Se o GHK-Cu dos cremes chega à pele em quantidade suficiente não está esclarecido; as alegações publicitárias apoiam-se sobretudo em dados de laboratório e em estudos de fabricantes não verificados de forma independente. Como ingrediente cosmético, é legal e considerado bem tolerado. Injeções de GHK-Cu do mercado cinza não foram estudadas nem aprovadas e trazem riscos evitáveis.</w:t>
      </w:r>
    </w:p>
    <w:bookmarkEnd w:id="2478"/>
    <w:bookmarkEnd w:id="2479"/>
    <w:bookmarkStart w:id="2498" w:name="palmitoil-pentapeptídeo-4-matrixyl"/>
    <w:p>
      <w:pPr>
        <w:pStyle w:val="Heading2"/>
      </w:pPr>
      <w:r>
        <w:t xml:space="preserve">Palmitoil pentapeptídeo-4 (Matrixyl)</w:t>
      </w:r>
    </w:p>
    <w:bookmarkStart w:id="2480" w:name="ficha-técnica-56"/>
    <w:p>
      <w:pPr>
        <w:pStyle w:val="Heading3"/>
      </w:pPr>
      <w:r>
        <w:t xml:space="preserve">Ficha técnica</w:t>
      </w:r>
    </w:p>
    <w:p>
      <w:pPr>
        <w:numPr>
          <w:ilvl w:val="0"/>
          <w:numId w:val="1312"/>
        </w:numPr>
        <w:pStyle w:val="Compact"/>
      </w:pPr>
      <w:r>
        <w:rPr>
          <w:bCs/>
          <w:b/>
        </w:rPr>
        <w:t xml:space="preserve">Tipo/estrutura:</w:t>
      </w:r>
      <w:r>
        <w:t xml:space="preserve"> </w:t>
      </w:r>
      <w:r>
        <w:t xml:space="preserve">pentapeptídeo de lisina, treonina, treonina, lisina e serina (KTTKS), ao qual está acoplado um ácido palmítico (um ácido graxo com 16 átomos de carbono). Abreviação Pal-KTTKS; antes listado como palmitoil pentapeptídeo-3. Nome comercial da matéria-prima: Matrixyl.</w:t>
      </w:r>
    </w:p>
    <w:p>
      <w:pPr>
        <w:numPr>
          <w:ilvl w:val="0"/>
          <w:numId w:val="1312"/>
        </w:numPr>
        <w:pStyle w:val="Compact"/>
      </w:pPr>
      <w:r>
        <w:rPr>
          <w:bCs/>
          <w:b/>
        </w:rPr>
        <w:t xml:space="preserve">Origem:</w:t>
      </w:r>
      <w:r>
        <w:t xml:space="preserve"> </w:t>
      </w:r>
      <w:r>
        <w:t xml:space="preserve">sintética. A sequência KTTKS vem da molécula precursora do colágeno tipo I (pró-colágeno). O apêndice de ácido graxo deveria melhorar a penetração na pele.</w:t>
      </w:r>
    </w:p>
    <w:p>
      <w:pPr>
        <w:numPr>
          <w:ilvl w:val="0"/>
          <w:numId w:val="1312"/>
        </w:numPr>
        <w:pStyle w:val="Compact"/>
      </w:pPr>
      <w:r>
        <w:rPr>
          <w:bCs/>
          <w:b/>
        </w:rPr>
        <w:t xml:space="preserve">Mecanismo de ação:</w:t>
      </w:r>
      <w:r>
        <w:t xml:space="preserve"> </w:t>
      </w:r>
      <w:r>
        <w:t xml:space="preserve">deveria, como</w:t>
      </w:r>
      <w:r>
        <w:t xml:space="preserve"> </w:t>
      </w:r>
      <w:r>
        <w:t xml:space="preserve">“</w:t>
      </w:r>
      <w:r>
        <w:t xml:space="preserve">matriquina</w:t>
      </w:r>
      <w:r>
        <w:t xml:space="preserve">”</w:t>
      </w:r>
      <w:r>
        <w:t xml:space="preserve"> </w:t>
      </w:r>
      <w:r>
        <w:t xml:space="preserve">– um fragmento da matriz do tecido conjuntivo com efeito sinalizador –, estimular os fibroblastos da pele a formar colágeno e outros componentes da matriz.</w:t>
      </w:r>
    </w:p>
    <w:p>
      <w:pPr>
        <w:numPr>
          <w:ilvl w:val="0"/>
          <w:numId w:val="1312"/>
        </w:numPr>
        <w:pStyle w:val="Compact"/>
      </w:pPr>
      <w:r>
        <w:rPr>
          <w:bCs/>
          <w:b/>
        </w:rPr>
        <w:t xml:space="preserve">Delimitação:</w:t>
      </w:r>
      <w:r>
        <w:t xml:space="preserve"> </w:t>
      </w:r>
      <w:r>
        <w:t xml:space="preserve">o</w:t>
      </w:r>
      <w:r>
        <w:t xml:space="preserve"> </w:t>
      </w:r>
      <w:r>
        <w:t xml:space="preserve">“</w:t>
      </w:r>
      <w:r>
        <w:t xml:space="preserve">Matrixyl 3000</w:t>
      </w:r>
      <w:r>
        <w:t xml:space="preserve">”</w:t>
      </w:r>
      <w:r>
        <w:t xml:space="preserve"> </w:t>
      </w:r>
      <w:r>
        <w:t xml:space="preserve">é outro produto, uma combinação de palmitoil tripeptídeo-1 (Pal-GHK, veja o capítulo GHK-Cu) e palmitoil tetrapeptídeo-7.</w:t>
      </w:r>
    </w:p>
    <w:p>
      <w:pPr>
        <w:numPr>
          <w:ilvl w:val="0"/>
          <w:numId w:val="1312"/>
        </w:numPr>
        <w:pStyle w:val="Compact"/>
      </w:pPr>
      <w:r>
        <w:rPr>
          <w:bCs/>
          <w:b/>
        </w:rPr>
        <w:t xml:space="preserve">Aprovação na UE:</w:t>
      </w:r>
      <w:r>
        <w:t xml:space="preserve"> </w:t>
      </w:r>
      <w:r>
        <w:t xml:space="preserve">não é medicamento; ingrediente cosmético.</w:t>
      </w:r>
    </w:p>
    <w:p>
      <w:pPr>
        <w:numPr>
          <w:ilvl w:val="0"/>
          <w:numId w:val="1312"/>
        </w:numPr>
        <w:pStyle w:val="Compact"/>
      </w:pPr>
      <w:r>
        <w:rPr>
          <w:bCs/>
          <w:b/>
        </w:rPr>
        <w:t xml:space="preserve">Aprovação nos EUA:</w:t>
      </w:r>
      <w:r>
        <w:t xml:space="preserve"> </w:t>
      </w:r>
      <w:r>
        <w:t xml:space="preserve">não é medicamento; ingrediente cosmético.</w:t>
      </w:r>
    </w:p>
    <w:p>
      <w:pPr>
        <w:numPr>
          <w:ilvl w:val="0"/>
          <w:numId w:val="1312"/>
        </w:numPr>
        <w:pStyle w:val="Compact"/>
      </w:pPr>
      <w:r>
        <w:rPr>
          <w:bCs/>
          <w:b/>
        </w:rPr>
        <w:t xml:space="preserve">WADA:</w:t>
      </w:r>
      <w:r>
        <w:t xml:space="preserve"> </w:t>
      </w:r>
      <w:r>
        <w:t xml:space="preserve">não listado; como componente de cosméticos, sem relevância para o direito esportivo.</w:t>
      </w:r>
    </w:p>
    <w:p>
      <w:pPr>
        <w:numPr>
          <w:ilvl w:val="0"/>
          <w:numId w:val="1312"/>
        </w:numPr>
        <w:pStyle w:val="Compact"/>
      </w:pPr>
      <w:r>
        <w:rPr>
          <w:bCs/>
          <w:b/>
        </w:rPr>
        <w:t xml:space="preserve">Nível de evidência:</w:t>
      </w:r>
      <w:r>
        <w:t xml:space="preserve"> </w:t>
      </w:r>
      <w:r>
        <w:rPr>
          <w:bCs/>
          <w:b/>
        </w:rPr>
        <w:t xml:space="preserve">B</w:t>
      </w:r>
      <w:r>
        <w:t xml:space="preserve"> </w:t>
      </w:r>
      <w:r>
        <w:t xml:space="preserve">(fraco) – um estudo randomizado de hemiface maior, de 2005, e um estudo randomizado muito pequeno; nenhum estudo independente de confirmação.</w:t>
      </w:r>
    </w:p>
    <w:bookmarkEnd w:id="2480"/>
    <w:bookmarkStart w:id="2484" w:name="como-deveria-agir-56"/>
    <w:p>
      <w:pPr>
        <w:pStyle w:val="Heading3"/>
      </w:pPr>
      <w:r>
        <w:t xml:space="preserve">Como deveria agir</w:t>
      </w:r>
    </w:p>
    <w:p>
      <w:pPr>
        <w:pStyle w:val="FirstParagraph"/>
      </w:pPr>
      <w:r>
        <w:t xml:space="preserve">Quando o tecido conjuntivo é lesionado, enzimas decompõem o colágeno e outros componentes da matriz em fragmentos. Alguns desses fragmentos funcionam como sinal: indicam às células do tecido conjuntivo que há necessidade de reparo. Esses fragmentos sinalizadores são chamados matriquinas.</w:t>
      </w:r>
    </w:p>
    <w:p>
      <w:pPr>
        <w:pStyle w:val="BodyText"/>
      </w:pPr>
      <w:r>
        <w:t xml:space="preserve">Em 1993, um grupo de trabalho descreveu que o pentapeptídeo KTTKS – um pequeno trecho da extremidade do pró-colágeno tipo I – aumenta fortemente, em culturas de fibroblastos, a formação de colágeno tipo I e tipo III e de fibronectina. O KTTKS foi a menor sequência que ainda desencadeava esse efeito</w:t>
      </w:r>
      <w:r>
        <w:rPr>
          <w:rStyle w:val="FootnoteReference"/>
        </w:rPr>
        <w:footnoteReference w:id="2481"/>
      </w:r>
      <w:r>
        <w:t xml:space="preserve">. A indústria cosmética adotou a ideia: um peptídeo que sinaliza à pele</w:t>
      </w:r>
      <w:r>
        <w:t xml:space="preserve"> </w:t>
      </w:r>
      <w:r>
        <w:t xml:space="preserve">“</w:t>
      </w:r>
      <w:r>
        <w:t xml:space="preserve">necessidade de reparo</w:t>
      </w:r>
      <w:r>
        <w:t xml:space="preserve">”</w:t>
      </w:r>
      <w:r>
        <w:t xml:space="preserve"> </w:t>
      </w:r>
      <w:r>
        <w:t xml:space="preserve">poderia impulsionar a formação de colágeno, que diminui com a idade.</w:t>
      </w:r>
    </w:p>
    <w:p>
      <w:pPr>
        <w:pStyle w:val="BodyText"/>
      </w:pPr>
      <w:r>
        <w:t xml:space="preserve">O KTTKS puro, porém, quase não penetra na pele. Com o acoplamento de um ácido graxo (palmitoilação), a molécula torna-se mais lipossolúvel. Em cultura de células, o Pal-KTTKS estimulou a formação de colágeno por fibroblastos da pele e da córnea de forma dependente da concentração; o efeito ocorreu perto da concentração a partir da qual as moléculas se agregam em nanoestruturas em forma de fita</w:t>
      </w:r>
      <w:r>
        <w:rPr>
          <w:rStyle w:val="FootnoteReference"/>
        </w:rPr>
        <w:footnoteReference w:id="2482"/>
      </w:r>
      <w:r>
        <w:t xml:space="preserve">.</w:t>
      </w:r>
    </w:p>
    <w:p>
      <w:pPr>
        <w:pStyle w:val="BodyText"/>
      </w:pPr>
      <w:r>
        <w:t xml:space="preserve">Fica em aberto quanto Pal-KTTKS de um creme alcança de fato a derme, onde estão os fibroblastos. Para o Pal-GHK, aparentado, uma investigação em voluntários mostrou que, após a aplicação, ele se distribui apenas entre as células da camada córnea e diminui com a profundidade</w:t>
      </w:r>
      <w:r>
        <w:rPr>
          <w:rStyle w:val="FootnoteReference"/>
        </w:rPr>
        <w:footnoteReference w:id="2483"/>
      </w:r>
      <w:r>
        <w:t xml:space="preserve">. Para o próprio Pal-KTTKS, faltam medições comparáveis em humanos na literatura avaliada.</w:t>
      </w:r>
    </w:p>
    <w:bookmarkEnd w:id="2484"/>
    <w:bookmarkStart w:id="2487" w:name="estudos-em-humanos-56"/>
    <w:p>
      <w:pPr>
        <w:pStyle w:val="Heading3"/>
      </w:pPr>
      <w:r>
        <w:t xml:space="preserve">Estudos em humanos</w:t>
      </w:r>
    </w:p>
    <w:p>
      <w:pPr>
        <w:pStyle w:val="FirstParagraph"/>
      </w:pPr>
      <w:r>
        <w:t xml:space="preserve">A consulta ao PubMed avaliada para este livro (palmitoil pentapeptídeo ou Matrixyl no título ou no resumo, data da consulta outubro de 2026) resultou em apenas</w:t>
      </w:r>
      <w:r>
        <w:t xml:space="preserve"> </w:t>
      </w:r>
      <w:r>
        <w:rPr>
          <w:bCs/>
          <w:b/>
        </w:rPr>
        <w:t xml:space="preserve">um</w:t>
      </w:r>
      <w:r>
        <w:t xml:space="preserve"> </w:t>
      </w:r>
      <w:r>
        <w:t xml:space="preserve">trabalho classificado como estudo em humanos; no ClinicalTrials.gov, não há registro. Na revisão manual, foram encontrados mais dois estudos controlados, além de estudos com produtos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mulheres de pele clara (35–55 anos), hidratante com Pal-KTTKS em um lado do rosto vs. o mesmo creme sem princípio ativo no outro, duplo-cego</w:t>
            </w:r>
          </w:p>
        </w:tc>
        <w:tc>
          <w:tcPr/>
          <w:p>
            <w:pPr>
              <w:pStyle w:val="Compact"/>
              <w:jc w:val="left"/>
            </w:pPr>
            <w:r>
              <w:t xml:space="preserve">12 semanas</w:t>
            </w:r>
          </w:p>
        </w:tc>
        <w:tc>
          <w:tcPr/>
          <w:p>
            <w:pPr>
              <w:pStyle w:val="Compact"/>
              <w:jc w:val="left"/>
            </w:pPr>
            <w:r>
              <w:t xml:space="preserve">Redução significativa de rugas e linhas finas em relação ao lado de controle, medida por análise de imagem e por especialistas; bem tolerado</w:t>
            </w:r>
          </w:p>
        </w:tc>
      </w:tr>
      <w:tr>
        <w:tc>
          <w:tcPr/>
          <w:p>
            <w:pPr>
              <w:pStyle w:val="Compact"/>
              <w:jc w:val="left"/>
            </w:pPr>
            <w:r>
              <w:t xml:space="preserve">Aruan 2023, PMID 36909866</w:t>
            </w:r>
          </w:p>
        </w:tc>
        <w:tc>
          <w:tcPr/>
          <w:p>
            <w:pPr>
              <w:pStyle w:val="Compact"/>
              <w:jc w:val="left"/>
            </w:pPr>
            <w:r>
              <w:t xml:space="preserve">21 mulheres indonésias (26–55 anos), creme com palmitoil pentapeptídeo-4 vs. acetil hexapeptídeo-3 vs. placebo, duplo-cego</w:t>
            </w:r>
          </w:p>
        </w:tc>
        <w:tc>
          <w:tcPr/>
          <w:p>
            <w:pPr>
              <w:pStyle w:val="Compact"/>
              <w:jc w:val="left"/>
            </w:pPr>
            <w:r>
              <w:t xml:space="preserve">8 semanas</w:t>
            </w:r>
          </w:p>
        </w:tc>
        <w:tc>
          <w:tcPr/>
          <w:p>
            <w:pPr>
              <w:pStyle w:val="Compact"/>
              <w:jc w:val="left"/>
            </w:pPr>
            <w:r>
              <w:t xml:space="preserve">Melhoras</w:t>
            </w:r>
            <w:r>
              <w:t xml:space="preserve"> </w:t>
            </w:r>
            <w:r>
              <w:t xml:space="preserve">“</w:t>
            </w:r>
            <w:r>
              <w:t xml:space="preserve">em algumas participantes</w:t>
            </w:r>
            <w:r>
              <w:t xml:space="preserve">”</w:t>
            </w:r>
            <w:r>
              <w:t xml:space="preserve">; o palmitoil pentapeptídeo-4 saiu-se melhor que os grupos de comparação; nenhum tamanho de efeito sólido no resumo</w:t>
            </w:r>
          </w:p>
        </w:tc>
      </w:tr>
      <w:tr>
        <w:tc>
          <w:tcPr/>
          <w:p>
            <w:pPr>
              <w:pStyle w:val="Compact"/>
              <w:jc w:val="left"/>
            </w:pPr>
            <w:r>
              <w:t xml:space="preserve">Röper 2004, PMID 15127162</w:t>
            </w:r>
          </w:p>
        </w:tc>
        <w:tc>
          <w:tcPr/>
          <w:p>
            <w:pPr>
              <w:pStyle w:val="Compact"/>
              <w:jc w:val="left"/>
            </w:pPr>
            <w:r>
              <w:t xml:space="preserve">20 mulheres com câncer de mama em radioterapia, creme com Matrixyl e outros princípios ativos vs. loção de dexpantenol</w:t>
            </w:r>
          </w:p>
        </w:tc>
        <w:tc>
          <w:tcPr/>
          <w:p>
            <w:pPr>
              <w:pStyle w:val="Compact"/>
              <w:jc w:val="left"/>
            </w:pPr>
            <w:r>
              <w:t xml:space="preserve">Duração da terapia</w:t>
            </w:r>
          </w:p>
        </w:tc>
        <w:tc>
          <w:tcPr/>
          <w:p>
            <w:pPr>
              <w:pStyle w:val="Compact"/>
              <w:jc w:val="left"/>
            </w:pPr>
            <w:r>
              <w:t xml:space="preserve">Nenhuma vantagem nas reações cutâneas; coceira mais frequente, uma suspeita de reação alérgica apenas no grupo Matrixyl</w:t>
            </w:r>
          </w:p>
        </w:tc>
      </w:tr>
    </w:tbl>
    <w:p>
      <w:pPr>
        <w:pStyle w:val="BodyText"/>
      </w:pPr>
      <w:r>
        <w:rPr>
          <w:bCs/>
          <w:b/>
        </w:rPr>
        <w:t xml:space="preserve">Robinson 2005</w:t>
      </w:r>
      <w:r>
        <w:t xml:space="preserve"> </w:t>
      </w:r>
      <w:r>
        <w:t xml:space="preserve">é o estudo central. O desenho de hemiface é inteligente, porque cada participante é seu próprio controle. A concentração no produto foi de 3 ppm (partes por milhão). Limitações: o resumo não informa tamanhos de efeito; o estudo foi publicado em uma revista especializada em cosmética e desde então não foi repetido por partes independentes. Foram estudadas exclusivamente mulheres de pele clara com fotoenvelhecimento; se os resultados se aplicam a outros tipos de pele está em aberto.</w:t>
      </w:r>
    </w:p>
    <w:p>
      <w:pPr>
        <w:pStyle w:val="BodyText"/>
      </w:pPr>
      <w:r>
        <w:rPr>
          <w:bCs/>
          <w:b/>
        </w:rPr>
        <w:t xml:space="preserve">Aruan 2023</w:t>
      </w:r>
      <w:r>
        <w:t xml:space="preserve">, com 21 participantes em três grupos, era pequeno demais para conclusões confiáveis; os próprios autores o descrevem como ponto de partida para estudos maiores.</w:t>
      </w:r>
    </w:p>
    <w:p>
      <w:pPr>
        <w:pStyle w:val="BodyText"/>
      </w:pPr>
      <w:r>
        <w:rPr>
          <w:bCs/>
          <w:b/>
        </w:rPr>
        <w:t xml:space="preserve">Röper 2004</w:t>
      </w:r>
      <w:r>
        <w:t xml:space="preserve"> </w:t>
      </w:r>
      <w:r>
        <w:t xml:space="preserve">testou um produto combinado em um contexto médico e não encontrou benefício.</w:t>
      </w:r>
    </w:p>
    <w:p>
      <w:pPr>
        <w:pStyle w:val="BodyText"/>
      </w:pPr>
      <w:r>
        <w:rPr>
          <w:bCs/>
          <w:b/>
        </w:rPr>
        <w:t xml:space="preserve">Produtos combinados:</w:t>
      </w:r>
      <w:r>
        <w:t xml:space="preserve"> </w:t>
      </w:r>
      <w:r>
        <w:t xml:space="preserve">em dois estudos de hemiface com 42 e 35 mulheres, produtos de cuidado que continham Pal-KTTKS junto com niacinamida, outro peptídeo, carnosina e, em parte, propionato de retinila melhoraram a suavidade da pele ao redor dos olhos em comparação com pele não tratada</w:t>
      </w:r>
      <w:r>
        <w:rPr>
          <w:rStyle w:val="FootnoteReference"/>
        </w:rPr>
        <w:footnoteReference w:id="2485"/>
      </w:r>
      <w:r>
        <w:t xml:space="preserve">. Como vários princípios ativos foram testados ao mesmo tempo e comparados com</w:t>
      </w:r>
      <w:r>
        <w:t xml:space="preserve"> </w:t>
      </w:r>
      <w:r>
        <w:t xml:space="preserve">“</w:t>
      </w:r>
      <w:r>
        <w:t xml:space="preserve">nenhum tratamento</w:t>
      </w:r>
      <w:r>
        <w:t xml:space="preserve">”</w:t>
      </w:r>
      <w:r>
        <w:t xml:space="preserve">, o efeito não pode ser atribuído ao peptídeo.</w:t>
      </w:r>
    </w:p>
    <w:p>
      <w:pPr>
        <w:pStyle w:val="BodyText"/>
      </w:pPr>
      <w:r>
        <w:rPr>
          <w:bCs/>
          <w:b/>
        </w:rPr>
        <w:t xml:space="preserve">Metanálise:</w:t>
      </w:r>
      <w:r>
        <w:t xml:space="preserve"> </w:t>
      </w:r>
      <w:r>
        <w:t xml:space="preserve">uma metanálise sobre peptídeos orais e tópicos contra o envelhecimento da pele (19 estudos, 1.341 participantes) encontrou um efeito geral modesto sobre as rugas, sustentado sobretudo por peptídeos ingeridos por via oral</w:t>
      </w:r>
      <w:r>
        <w:rPr>
          <w:rStyle w:val="FootnoteReference"/>
        </w:rPr>
        <w:footnoteReference w:id="2486"/>
      </w:r>
      <w:r>
        <w:t xml:space="preserve">. Para peptídeos de uso tópico como o Pal-KTTKS, isso não resulta em comprovação própria.</w:t>
      </w:r>
    </w:p>
    <w:bookmarkEnd w:id="2487"/>
    <w:bookmarkStart w:id="2491" w:name="estudos-em-animais-e-em-laboratório-56"/>
    <w:p>
      <w:pPr>
        <w:pStyle w:val="Heading3"/>
      </w:pPr>
      <w:r>
        <w:t xml:space="preserve">Estudos em animais e em laboratório</w:t>
      </w:r>
    </w:p>
    <w:p>
      <w:pPr>
        <w:numPr>
          <w:ilvl w:val="0"/>
          <w:numId w:val="1313"/>
        </w:numPr>
        <w:pStyle w:val="Compact"/>
      </w:pPr>
      <w:r>
        <w:rPr>
          <w:bCs/>
          <w:b/>
        </w:rPr>
        <w:t xml:space="preserve">Cultura de células:</w:t>
      </w:r>
      <w:r>
        <w:t xml:space="preserve"> </w:t>
      </w:r>
      <w:r>
        <w:t xml:space="preserve">KTTKS e Pal-KTTKS aumentam a formação de colágeno e fibronectina em fibroblastos</w:t>
      </w:r>
      <w:r>
        <w:rPr>
          <w:rStyle w:val="FootnoteReference"/>
        </w:rPr>
        <w:footnoteReference w:id="2488"/>
      </w:r>
      <w:r>
        <w:t xml:space="preserve">. Em outro estudo com células, o Pal-KTTKS em baixa concentração reduziu a transformação de fibroblastos em miofibroblastos formadores de cicatriz; em concentração mais alta, o efeito não foi significativo</w:t>
      </w:r>
      <w:r>
        <w:rPr>
          <w:rStyle w:val="FootnoteReference"/>
        </w:rPr>
        <w:footnoteReference w:id="2489"/>
      </w:r>
      <w:r>
        <w:t xml:space="preserve">.</w:t>
      </w:r>
    </w:p>
    <w:p>
      <w:pPr>
        <w:numPr>
          <w:ilvl w:val="0"/>
          <w:numId w:val="1313"/>
        </w:numPr>
        <w:pStyle w:val="Compact"/>
      </w:pPr>
      <w:r>
        <w:rPr>
          <w:bCs/>
          <w:b/>
        </w:rPr>
        <w:t xml:space="preserve">Experimentos em animais:</w:t>
      </w:r>
      <w:r>
        <w:t xml:space="preserve"> </w:t>
      </w:r>
      <w:r>
        <w:t xml:space="preserve">em animais de laboratório, adesivos e cremes com Matrixyl melhoraram a cicatrização de feridas cutâneas em comparação com controles não tratados</w:t>
      </w:r>
      <w:r>
        <w:rPr>
          <w:rStyle w:val="FootnoteReference"/>
        </w:rPr>
        <w:footnoteReference w:id="2490"/>
      </w:r>
      <w:r>
        <w:t xml:space="preserve">.</w:t>
      </w:r>
    </w:p>
    <w:p>
      <w:pPr>
        <w:numPr>
          <w:ilvl w:val="0"/>
          <w:numId w:val="1313"/>
        </w:numPr>
        <w:pStyle w:val="Compact"/>
      </w:pPr>
      <w:r>
        <w:rPr>
          <w:bCs/>
          <w:b/>
        </w:rPr>
        <w:t xml:space="preserve">Novas variantes:</w:t>
      </w:r>
      <w:r>
        <w:t xml:space="preserve"> </w:t>
      </w:r>
      <w:r>
        <w:t xml:space="preserve">grupos de pesquisa acoplam o KTTKS a outras moléculas para criar variantes antibacterianas ou mais estimulantes de colágeno – até agora exclusivamente em laboratório.</w:t>
      </w:r>
    </w:p>
    <w:bookmarkEnd w:id="2491"/>
    <w:bookmarkStart w:id="2494" w:name="riscos-e-efeitos-colaterais-56"/>
    <w:p>
      <w:pPr>
        <w:pStyle w:val="Heading3"/>
      </w:pPr>
      <w:r>
        <w:t xml:space="preserve">Riscos e efeitos colaterais</w:t>
      </w:r>
    </w:p>
    <w:p>
      <w:pPr>
        <w:pStyle w:val="FirstParagraph"/>
      </w:pPr>
      <w:r>
        <w:rPr>
          <w:bCs/>
          <w:b/>
        </w:rPr>
        <w:t xml:space="preserve">Comprovados:</w:t>
      </w:r>
      <w:r>
        <w:t xml:space="preserve"> </w:t>
      </w:r>
      <w:r>
        <w:t xml:space="preserve">no estudo de Robinson, o peptídeo foi bem tolerado. No estudo com radioterapia, a coceira ocorreu com mais frequência com o produto combinado contendo Matrixyl, e uma suspeita de reação alérgica apenas com esse produto</w:t>
      </w:r>
      <w:r>
        <w:rPr>
          <w:rStyle w:val="FootnoteReference"/>
        </w:rPr>
        <w:footnoteReference w:id="2492"/>
      </w:r>
      <w:r>
        <w:t xml:space="preserve">; qual componente foi o responsável não está claro.</w:t>
      </w:r>
    </w:p>
    <w:p>
      <w:pPr>
        <w:pStyle w:val="BodyText"/>
      </w:pPr>
      <w:r>
        <w:rPr>
          <w:bCs/>
          <w:b/>
        </w:rPr>
        <w:t xml:space="preserve">Em geral:</w:t>
      </w:r>
      <w:r>
        <w:t xml:space="preserve"> </w:t>
      </w:r>
      <w:r>
        <w:t xml:space="preserve">como com qualquer componente cosmético, irritações e alergias de contato são possíveis, mas parecem raras. Um trabalho da indústria cosmética, que avaliou peptídeos com ferramentas de bioinformática quanto ao potencial tóxico e alergênico, encontrou para o palmitoil pentapeptídeo-4 semelhanças com proteínas do tecido conjuntivo da pele, mas nenhum indício de estruturas de toxinas ou alérgenos</w:t>
      </w:r>
      <w:r>
        <w:rPr>
          <w:rStyle w:val="FootnoteReference"/>
        </w:rPr>
        <w:footnoteReference w:id="2493"/>
      </w:r>
      <w:r>
        <w:t xml:space="preserve">. Análises computacionais desse tipo não substituem a observação clínica.</w:t>
      </w:r>
    </w:p>
    <w:p>
      <w:pPr>
        <w:pStyle w:val="BodyText"/>
      </w:pPr>
      <w:r>
        <w:rPr>
          <w:bCs/>
          <w:b/>
        </w:rPr>
        <w:t xml:space="preserve">Teórico:</w:t>
      </w:r>
      <w:r>
        <w:t xml:space="preserve"> </w:t>
      </w:r>
      <w:r>
        <w:t xml:space="preserve">um sinalizador que de fato estimule os fibroblastos a formar colágeno poderia ser indesejável em caso de tendência a cicatrizes hipertróficas. Não há relatos de caso sobre isso; a baixa permeabilidade cutânea fala contra um efeito relevante.</w:t>
      </w:r>
    </w:p>
    <w:bookmarkEnd w:id="2494"/>
    <w:bookmarkStart w:id="2495" w:name="situação-legal-56"/>
    <w:p>
      <w:pPr>
        <w:pStyle w:val="Heading3"/>
      </w:pPr>
      <w:r>
        <w:t xml:space="preserve">Situação legal</w:t>
      </w:r>
    </w:p>
    <w:p>
      <w:pPr>
        <w:numPr>
          <w:ilvl w:val="0"/>
          <w:numId w:val="1314"/>
        </w:numPr>
        <w:pStyle w:val="Compact"/>
      </w:pPr>
      <w:r>
        <w:rPr>
          <w:bCs/>
          <w:b/>
        </w:rPr>
        <w:t xml:space="preserve">UE / Áustria / Alemanha:</w:t>
      </w:r>
      <w:r>
        <w:t xml:space="preserve"> </w:t>
      </w:r>
      <w:r>
        <w:t xml:space="preserve">o palmitoil pentapeptídeo-4 é um ingrediente cosmético permitido segundo o Regulamento Europeu de Cosméticos (Regulamento (CE) nº 1223/2009). Os cosméticos não são avaliados oficialmente quanto à eficácia antes da venda; o fabricante deve elaborar uma avaliação de segurança e poder comprovar as alegações publicitárias segundo o Regulamento (UE) nº 655/2013. Afirmações como</w:t>
      </w:r>
      <w:r>
        <w:t xml:space="preserve"> </w:t>
      </w:r>
      <w:r>
        <w:t xml:space="preserve">“</w:t>
      </w:r>
      <w:r>
        <w:t xml:space="preserve">age como um preenchimento de rugas</w:t>
      </w:r>
      <w:r>
        <w:t xml:space="preserve">”</w:t>
      </w:r>
      <w:r>
        <w:t xml:space="preserve"> </w:t>
      </w:r>
      <w:r>
        <w:t xml:space="preserve">ou</w:t>
      </w:r>
      <w:r>
        <w:t xml:space="preserve"> </w:t>
      </w:r>
      <w:r>
        <w:t xml:space="preserve">“</w:t>
      </w:r>
      <w:r>
        <w:t xml:space="preserve">reconstrói o colágeno</w:t>
      </w:r>
      <w:r>
        <w:t xml:space="preserve">”</w:t>
      </w:r>
      <w:r>
        <w:t xml:space="preserve"> </w:t>
      </w:r>
      <w:r>
        <w:t xml:space="preserve">são, por isso, juridicamente delicadas se não forem respaldadas por estudos com o produto.</w:t>
      </w:r>
    </w:p>
    <w:p>
      <w:pPr>
        <w:numPr>
          <w:ilvl w:val="0"/>
          <w:numId w:val="1314"/>
        </w:numPr>
        <w:pStyle w:val="Compact"/>
      </w:pPr>
      <w:r>
        <w:rPr>
          <w:bCs/>
          <w:b/>
        </w:rPr>
        <w:t xml:space="preserve">EUA:</w:t>
      </w:r>
      <w:r>
        <w:t xml:space="preserve"> </w:t>
      </w:r>
      <w:r>
        <w:t xml:space="preserve">ingrediente cosmético sem avaliação prévia pela FDA. Alegações publicitárias que prometem uma alteração da estrutura da pele podem tornar juridicamente um produto um medicamento.</w:t>
      </w:r>
    </w:p>
    <w:p>
      <w:pPr>
        <w:numPr>
          <w:ilvl w:val="0"/>
          <w:numId w:val="1314"/>
        </w:numPr>
        <w:pStyle w:val="Compact"/>
      </w:pPr>
      <w:r>
        <w:rPr>
          <w:bCs/>
          <w:b/>
        </w:rPr>
        <w:t xml:space="preserve">Esporte:</w:t>
      </w:r>
      <w:r>
        <w:t xml:space="preserve"> </w:t>
      </w:r>
      <w:r>
        <w:t xml:space="preserve">sem relevância (situação em 2026, verificar atualização).</w:t>
      </w:r>
    </w:p>
    <w:bookmarkEnd w:id="2495"/>
    <w:bookmarkStart w:id="2496" w:name="estudos-em-andamento-e-perspectivas-56"/>
    <w:p>
      <w:pPr>
        <w:pStyle w:val="Heading3"/>
      </w:pPr>
      <w:r>
        <w:t xml:space="preserve">Estudos em andamento e perspectivas</w:t>
      </w:r>
    </w:p>
    <w:p>
      <w:pPr>
        <w:pStyle w:val="FirstParagraph"/>
      </w:pPr>
      <w:r>
        <w:rPr>
          <w:bCs/>
          <w:b/>
        </w:rPr>
        <w:t xml:space="preserve">Confirmado:</w:t>
      </w:r>
      <w:r>
        <w:t xml:space="preserve"> </w:t>
      </w:r>
      <w:r>
        <w:t xml:space="preserve">no ClinicalTrials.gov, não há estudo registrado sob</w:t>
      </w:r>
      <w:r>
        <w:t xml:space="preserve"> </w:t>
      </w:r>
      <w:r>
        <w:t xml:space="preserve">“</w:t>
      </w:r>
      <w:r>
        <w:t xml:space="preserve">palmitoyl pentapeptide</w:t>
      </w:r>
      <w:r>
        <w:t xml:space="preserve">”</w:t>
      </w:r>
      <w:r>
        <w:t xml:space="preserve"> </w:t>
      </w:r>
      <w:r>
        <w:t xml:space="preserve">(situação em outubro de 2026). Estudos de eficácia cosmética em regra não são registrados, mas encomendados pelos fabricantes e publicados apenas parcialmente.</w:t>
      </w:r>
    </w:p>
    <w:p>
      <w:pPr>
        <w:pStyle w:val="BodyText"/>
      </w:pPr>
      <w:r>
        <w:rPr>
          <w:bCs/>
          <w:b/>
        </w:rPr>
        <w:t xml:space="preserve">Avaliação:</w:t>
      </w:r>
      <w:r>
        <w:t xml:space="preserve"> </w:t>
      </w:r>
      <w:r>
        <w:t xml:space="preserve">o Matrixyl é um dos</w:t>
      </w:r>
      <w:r>
        <w:t xml:space="preserve"> </w:t>
      </w:r>
      <w:r>
        <w:t xml:space="preserve">“</w:t>
      </w:r>
      <w:r>
        <w:t xml:space="preserve">peptídeos antienvelhecimento</w:t>
      </w:r>
      <w:r>
        <w:t xml:space="preserve">”</w:t>
      </w:r>
      <w:r>
        <w:t xml:space="preserve"> </w:t>
      </w:r>
      <w:r>
        <w:t xml:space="preserve">mais antigos e mais usados em cosméticos. Sua base científica – um trabalho com cultura de células de 1993 e um estudo de hemiface de 2005 – é surpreendentemente estreita para um produto tão difundido. Novos desenvolvimentos visam a uma melhor penetração cutânea (microagulhas, nanoestruturas) e a combinações com outros peptídeos. Sem estudos independentes e suficientemente grandes com o princípio ativo isolado, pouco mudará no estado do conhecimento.</w:t>
      </w:r>
    </w:p>
    <w:bookmarkEnd w:id="2496"/>
    <w:bookmarkStart w:id="2497" w:name="conclusão-56"/>
    <w:p>
      <w:pPr>
        <w:pStyle w:val="Heading3"/>
      </w:pPr>
      <w:r>
        <w:t xml:space="preserve">Conclusão</w:t>
      </w:r>
    </w:p>
    <w:p>
      <w:pPr>
        <w:pStyle w:val="FirstParagraph"/>
      </w:pPr>
      <w:r>
        <w:t xml:space="preserve">O palmitoil pentapeptídeo-4 é um fragmento do precursor do colágeno acoplado a um ácido graxo que, em laboratório, estimula os fibroblastos a formar colágeno. Em humanos, a eficácia apoia-se sobretudo em um estudo de hemiface com 93 mulheres, de 2005, que mostrou redução de linhas finas, e em um estudo muito pequeno de 2023. Quanto princípio ativo chega de fato à pele mais profunda não está esclarecido. Como ingrediente cosmético, é considerado bem tolerado. Quem usa produtos com Matrixyl deve esperar um efeito pequeno e cosmético – não um substituto para a proteção UV ou para princípios ativos testados medicamente, como os retinoides.</w:t>
      </w:r>
    </w:p>
    <w:bookmarkEnd w:id="2497"/>
    <w:bookmarkEnd w:id="2498"/>
    <w:bookmarkStart w:id="2522" w:name="acetil-hexapeptídeo-8-argireline"/>
    <w:p>
      <w:pPr>
        <w:pStyle w:val="Heading2"/>
      </w:pPr>
      <w:r>
        <w:t xml:space="preserve">Acetil hexapeptídeo-8 (Argireline)</w:t>
      </w:r>
    </w:p>
    <w:bookmarkStart w:id="2499" w:name="ficha-técnica-57"/>
    <w:p>
      <w:pPr>
        <w:pStyle w:val="Heading3"/>
      </w:pPr>
      <w:r>
        <w:t xml:space="preserve">Ficha técnica</w:t>
      </w:r>
    </w:p>
    <w:p>
      <w:pPr>
        <w:numPr>
          <w:ilvl w:val="0"/>
          <w:numId w:val="1315"/>
        </w:numPr>
        <w:pStyle w:val="Compact"/>
      </w:pPr>
      <w:r>
        <w:rPr>
          <w:bCs/>
          <w:b/>
        </w:rPr>
        <w:t xml:space="preserve">Tipo/estrutura:</w:t>
      </w:r>
      <w:r>
        <w:t xml:space="preserve"> </w:t>
      </w:r>
      <w:r>
        <w:t xml:space="preserve">hexapeptídeo com a sequência glutamato-glutamato-metionina-glutamina-arginina-arginina (Ac-EEMQRR-NH₂), acetilado no início e amidado no final. Antes chamado de acetil hexapeptídeo-3; nome comercial da matéria-prima: Argireline.</w:t>
      </w:r>
    </w:p>
    <w:p>
      <w:pPr>
        <w:numPr>
          <w:ilvl w:val="0"/>
          <w:numId w:val="1315"/>
        </w:numPr>
        <w:pStyle w:val="Compact"/>
      </w:pPr>
      <w:r>
        <w:rPr>
          <w:bCs/>
          <w:b/>
        </w:rPr>
        <w:t xml:space="preserve">Origem:</w:t>
      </w:r>
      <w:r>
        <w:t xml:space="preserve"> </w:t>
      </w:r>
      <w:r>
        <w:t xml:space="preserve">sintética, projetada deliberadamente no início dos anos 2000. A sequência imita o trecho inicial da proteína neuronal SNAP-25.</w:t>
      </w:r>
    </w:p>
    <w:p>
      <w:pPr>
        <w:numPr>
          <w:ilvl w:val="0"/>
          <w:numId w:val="1315"/>
        </w:numPr>
        <w:pStyle w:val="Compact"/>
      </w:pPr>
      <w:r>
        <w:rPr>
          <w:bCs/>
          <w:b/>
        </w:rPr>
        <w:t xml:space="preserve">Mecanismo de ação:</w:t>
      </w:r>
      <w:r>
        <w:t xml:space="preserve"> </w:t>
      </w:r>
      <w:r>
        <w:t xml:space="preserve">deveria atenuar a liberação do mensageiro acetilcolina na junção entre nervo e músculo e, assim, suavizar rugas de expressão – um ponto de ataque semelhante ao da toxina botulínica, apenas muito mais fraco. Daí o termo publicitário</w:t>
      </w:r>
      <w:r>
        <w:t xml:space="preserve"> </w:t>
      </w:r>
      <w:r>
        <w:t xml:space="preserve">“</w:t>
      </w:r>
      <w:r>
        <w:t xml:space="preserve">Botox em tubo</w:t>
      </w:r>
      <w:r>
        <w:t xml:space="preserve">”</w:t>
      </w:r>
      <w:r>
        <w:t xml:space="preserve">.</w:t>
      </w:r>
    </w:p>
    <w:p>
      <w:pPr>
        <w:numPr>
          <w:ilvl w:val="0"/>
          <w:numId w:val="1315"/>
        </w:numPr>
        <w:pStyle w:val="Compact"/>
      </w:pPr>
      <w:r>
        <w:rPr>
          <w:bCs/>
          <w:b/>
        </w:rPr>
        <w:t xml:space="preserve">Aprovação na UE:</w:t>
      </w:r>
      <w:r>
        <w:t xml:space="preserve"> </w:t>
      </w:r>
      <w:r>
        <w:t xml:space="preserve">não é medicamento; ingrediente cosmético.</w:t>
      </w:r>
    </w:p>
    <w:p>
      <w:pPr>
        <w:numPr>
          <w:ilvl w:val="0"/>
          <w:numId w:val="1315"/>
        </w:numPr>
        <w:pStyle w:val="Compact"/>
      </w:pPr>
      <w:r>
        <w:rPr>
          <w:bCs/>
          <w:b/>
        </w:rPr>
        <w:t xml:space="preserve">Aprovação nos EUA:</w:t>
      </w:r>
      <w:r>
        <w:t xml:space="preserve"> </w:t>
      </w:r>
      <w:r>
        <w:t xml:space="preserve">não é medicamento; ingrediente cosmético.</w:t>
      </w:r>
    </w:p>
    <w:p>
      <w:pPr>
        <w:numPr>
          <w:ilvl w:val="0"/>
          <w:numId w:val="1315"/>
        </w:numPr>
        <w:pStyle w:val="Compact"/>
      </w:pPr>
      <w:r>
        <w:rPr>
          <w:bCs/>
          <w:b/>
        </w:rPr>
        <w:t xml:space="preserve">WADA:</w:t>
      </w:r>
      <w:r>
        <w:t xml:space="preserve"> </w:t>
      </w:r>
      <w:r>
        <w:t xml:space="preserve">não listado.</w:t>
      </w:r>
    </w:p>
    <w:p>
      <w:pPr>
        <w:numPr>
          <w:ilvl w:val="0"/>
          <w:numId w:val="1315"/>
        </w:numPr>
        <w:pStyle w:val="Compact"/>
      </w:pPr>
      <w:r>
        <w:rPr>
          <w:bCs/>
          <w:b/>
        </w:rPr>
        <w:t xml:space="preserve">Nível de evidência:</w:t>
      </w:r>
      <w:r>
        <w:t xml:space="preserve"> </w:t>
      </w:r>
      <w:r>
        <w:rPr>
          <w:bCs/>
          <w:b/>
        </w:rPr>
        <w:t xml:space="preserve">B</w:t>
      </w:r>
      <w:r>
        <w:t xml:space="preserve"> </w:t>
      </w:r>
      <w:r>
        <w:t xml:space="preserve">(fraco) – alguns pequenos estudos randomizados, com durações predominantemente curtas e resultados heterogêneos.</w:t>
      </w:r>
    </w:p>
    <w:bookmarkEnd w:id="2499"/>
    <w:bookmarkStart w:id="2503" w:name="como-deveria-agir-57"/>
    <w:p>
      <w:pPr>
        <w:pStyle w:val="Heading3"/>
      </w:pPr>
      <w:r>
        <w:t xml:space="preserve">Como deveria agir</w:t>
      </w:r>
    </w:p>
    <w:p>
      <w:pPr>
        <w:pStyle w:val="FirstParagraph"/>
      </w:pPr>
      <w:r>
        <w:t xml:space="preserve">Para que um músculo se contraia, um neurônio precisa liberar o mensageiro acetilcolina. Para isso, pequenas vesículas cheias do mensageiro fundem-se com a membrana celular. Essa fusão é mediada por um complexo proteico, o complexo SNARE, do qual participa, entre outras, a proteína SNAP-25. A toxina botulínica tipo A corta a SNAP-25 e assim paralisa a liberação do mensageiro por meses – o músculo relaxa, e a ruga sobre ele se suaviza.</w:t>
      </w:r>
    </w:p>
    <w:p>
      <w:pPr>
        <w:pStyle w:val="BodyText"/>
      </w:pPr>
      <w:r>
        <w:t xml:space="preserve">O Argireline foi projetado como imitação do trecho inicial da SNAP-25. A ideia: o peptídeo curto compete com a verdadeira SNAP-25 por seu lugar no complexo SNARE e perturba sua formação. Na primeira descrição, o Argireline inibiu, em experimentos com células, a liberação de mensageiros com</w:t>
      </w:r>
      <w:r>
        <w:t xml:space="preserve"> </w:t>
      </w:r>
      <w:r>
        <w:rPr>
          <w:iCs/>
          <w:i/>
        </w:rPr>
        <w:t xml:space="preserve">potência</w:t>
      </w:r>
      <w:r>
        <w:t xml:space="preserve"> </w:t>
      </w:r>
      <w:r>
        <w:t xml:space="preserve">semelhante à da toxina botulínica A, mas, como era de esperar, alcançou uma</w:t>
      </w:r>
      <w:r>
        <w:t xml:space="preserve"> </w:t>
      </w:r>
      <w:r>
        <w:rPr>
          <w:iCs/>
          <w:i/>
        </w:rPr>
        <w:t xml:space="preserve">eficácia</w:t>
      </w:r>
      <w:r>
        <w:t xml:space="preserve"> </w:t>
      </w:r>
      <w:r>
        <w:t xml:space="preserve">muito menor – ou seja, um efeito máximo bem menor</w:t>
      </w:r>
      <w:r>
        <w:rPr>
          <w:rStyle w:val="FootnoteReference"/>
        </w:rPr>
        <w:footnoteReference w:id="2500"/>
      </w:r>
      <w:r>
        <w:t xml:space="preserve">.</w:t>
      </w:r>
    </w:p>
    <w:p>
      <w:pPr>
        <w:pStyle w:val="BodyText"/>
      </w:pPr>
      <w:r>
        <w:t xml:space="preserve">O porém decisivo: para agir, o Argireline de um creme teria de atravessar epiderme e derme até as terminações nervosas dos músculos faciais. A molécula é hidrossolúvel, eletricamente carregada e, para a pele, relativamente grande. Em um experimento de laboratório com pele de doadores de corpo, após 24 horas a maior parte permaneceu na superfície da pele; 0,22% do peptídeo aplicado foi encontrado na camada córnea, 0,01% na epiderme, e na derme e abaixo dela nada foi detectável</w:t>
      </w:r>
      <w:r>
        <w:rPr>
          <w:rStyle w:val="FootnoteReference"/>
        </w:rPr>
        <w:footnoteReference w:id="2501"/>
      </w:r>
      <w:r>
        <w:t xml:space="preserve">. Uma revisão de 2025 registra que continua incerto se o peptídeo chega sequer à junção neuromuscular</w:t>
      </w:r>
      <w:r>
        <w:rPr>
          <w:rStyle w:val="FootnoteReference"/>
        </w:rPr>
        <w:footnoteReference w:id="2502"/>
      </w:r>
      <w:r>
        <w:t xml:space="preserve">.</w:t>
      </w:r>
    </w:p>
    <w:p>
      <w:pPr>
        <w:pStyle w:val="BodyText"/>
      </w:pPr>
      <w:r>
        <w:t xml:space="preserve">Isso não exclui efeitos sobre a pele – por exemplo sobre a hidratação ou por meio de terminações nervosas nas camadas superiores da pele –, mas torna pouco provável o</w:t>
      </w:r>
      <w:r>
        <w:t xml:space="preserve"> </w:t>
      </w:r>
      <w:r>
        <w:t xml:space="preserve">“</w:t>
      </w:r>
      <w:r>
        <w:t xml:space="preserve">mecanismo Botox</w:t>
      </w:r>
      <w:r>
        <w:t xml:space="preserve">”</w:t>
      </w:r>
      <w:r>
        <w:t xml:space="preserve"> </w:t>
      </w:r>
      <w:r>
        <w:t xml:space="preserve">anunciado quando o produto é aplicado sobre a pele.</w:t>
      </w:r>
    </w:p>
    <w:bookmarkEnd w:id="2503"/>
    <w:bookmarkStart w:id="2510" w:name="estudos-em-humanos-57"/>
    <w:p>
      <w:pPr>
        <w:pStyle w:val="Heading3"/>
      </w:pPr>
      <w:r>
        <w:t xml:space="preserve">Estudos em humanos</w:t>
      </w:r>
    </w:p>
    <w:p>
      <w:pPr>
        <w:pStyle w:val="FirstParagraph"/>
      </w:pPr>
      <w:r>
        <w:t xml:space="preserve">A consulta ao PubMed avaliada para este livro (acetil hexapeptídeo ou Argireline no título ou no resumo, data da consulta outubro de 2026) resultou em três trabalhos classificados como estudos em humanos; no ClinicalTrials.gov, constam sete registros. Na revisão, foram encontrados alguns outros estudos pequenos.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mulheres saudáveis, emulsão com 10% de Argireline (informações escassas no resumo)</w:t>
            </w:r>
          </w:p>
        </w:tc>
        <w:tc>
          <w:tcPr/>
          <w:p>
            <w:pPr>
              <w:pStyle w:val="Compact"/>
              <w:jc w:val="left"/>
            </w:pPr>
            <w:r>
              <w:t xml:space="preserve">30 dias</w:t>
            </w:r>
          </w:p>
        </w:tc>
        <w:tc>
          <w:tcPr/>
          <w:p>
            <w:pPr>
              <w:pStyle w:val="Compact"/>
              <w:jc w:val="left"/>
            </w:pPr>
            <w:r>
              <w:t xml:space="preserve">Profundidade das rugas reduzida em até 30%</w:t>
            </w:r>
          </w:p>
        </w:tc>
      </w:tr>
      <w:tr>
        <w:tc>
          <w:tcPr/>
          <w:p>
            <w:pPr>
              <w:pStyle w:val="Compact"/>
              <w:jc w:val="left"/>
            </w:pPr>
            <w:r>
              <w:t xml:space="preserve">Wang 2013, PMID 23417317</w:t>
            </w:r>
          </w:p>
        </w:tc>
        <w:tc>
          <w:tcPr/>
          <w:p>
            <w:pPr>
              <w:pStyle w:val="Compact"/>
              <w:jc w:val="left"/>
            </w:pPr>
            <w:r>
              <w:t xml:space="preserve">60 adultos chineses com rugas ao redor dos olhos, Argireline vs. placebo na proporção 3:1</w:t>
            </w:r>
          </w:p>
        </w:tc>
        <w:tc>
          <w:tcPr/>
          <w:p>
            <w:pPr>
              <w:pStyle w:val="Compact"/>
              <w:jc w:val="left"/>
            </w:pPr>
            <w:r>
              <w:t xml:space="preserve">4 semanas</w:t>
            </w:r>
          </w:p>
        </w:tc>
        <w:tc>
          <w:tcPr/>
          <w:p>
            <w:pPr>
              <w:pStyle w:val="Compact"/>
              <w:jc w:val="left"/>
            </w:pPr>
            <w:r>
              <w:t xml:space="preserve">“</w:t>
            </w:r>
            <w:r>
              <w:t xml:space="preserve">Eficácia geral</w:t>
            </w:r>
            <w:r>
              <w:t xml:space="preserve">”</w:t>
            </w:r>
            <w:r>
              <w:t xml:space="preserve"> </w:t>
            </w:r>
            <w:r>
              <w:t xml:space="preserve">subjetiva 48,9% vs. 0%; valores de aspereza em moldes da pele diminuídos</w:t>
            </w:r>
          </w:p>
        </w:tc>
      </w:tr>
      <w:tr>
        <w:tc>
          <w:tcPr/>
          <w:p>
            <w:pPr>
              <w:pStyle w:val="Compact"/>
              <w:jc w:val="left"/>
            </w:pPr>
            <w:r>
              <w:t xml:space="preserve">Raikou 2017, PMID 28150423</w:t>
            </w:r>
          </w:p>
        </w:tc>
        <w:tc>
          <w:tcPr/>
          <w:p>
            <w:pPr>
              <w:pStyle w:val="Compact"/>
              <w:jc w:val="left"/>
            </w:pPr>
            <w:r>
              <w:t xml:space="preserve">24 pessoas saudáveis, quatro grupos: Argireline, tripeptídeo-10 citrulina, ambos ou nenhum</w:t>
            </w:r>
          </w:p>
        </w:tc>
        <w:tc>
          <w:tcPr/>
          <w:p>
            <w:pPr>
              <w:pStyle w:val="Compact"/>
              <w:jc w:val="left"/>
            </w:pPr>
            <w:r>
              <w:t xml:space="preserve">60 dias</w:t>
            </w:r>
          </w:p>
        </w:tc>
        <w:tc>
          <w:tcPr/>
          <w:p>
            <w:pPr>
              <w:pStyle w:val="Compact"/>
              <w:jc w:val="left"/>
            </w:pPr>
            <w:r>
              <w:t xml:space="preserve">Alguns parâmetros de rugas e perda de água da pele melhores com Argireline</w:t>
            </w:r>
          </w:p>
        </w:tc>
      </w:tr>
      <w:tr>
        <w:tc>
          <w:tcPr/>
          <w:p>
            <w:pPr>
              <w:pStyle w:val="Compact"/>
              <w:jc w:val="left"/>
            </w:pPr>
            <w:r>
              <w:t xml:space="preserve">Henseler 2023, PMID 38024099</w:t>
            </w:r>
          </w:p>
        </w:tc>
        <w:tc>
          <w:tcPr/>
          <w:p>
            <w:pPr>
              <w:pStyle w:val="Compact"/>
              <w:jc w:val="left"/>
            </w:pPr>
            <w:r>
              <w:t xml:space="preserve">19 mulheres, comparação de hemiface: sérum de ácido hialurônico com vs. sem Argireline, duplo-cego</w:t>
            </w:r>
          </w:p>
        </w:tc>
        <w:tc>
          <w:tcPr/>
          <w:p>
            <w:pPr>
              <w:pStyle w:val="Compact"/>
              <w:jc w:val="left"/>
            </w:pPr>
            <w:r>
              <w:t xml:space="preserve">4 semanas</w:t>
            </w:r>
          </w:p>
        </w:tc>
        <w:tc>
          <w:tcPr/>
          <w:p>
            <w:pPr>
              <w:pStyle w:val="Compact"/>
              <w:jc w:val="left"/>
            </w:pPr>
            <w:r>
              <w:t xml:space="preserve">Nenhuma diferença significativa entre os lados do rosto</w:t>
            </w:r>
          </w:p>
        </w:tc>
      </w:tr>
      <w:tr>
        <w:tc>
          <w:tcPr/>
          <w:p>
            <w:pPr>
              <w:pStyle w:val="Compact"/>
              <w:jc w:val="left"/>
            </w:pPr>
            <w:r>
              <w:t xml:space="preserve">Aruan 2023, PMID 36909866</w:t>
            </w:r>
          </w:p>
        </w:tc>
        <w:tc>
          <w:tcPr/>
          <w:p>
            <w:pPr>
              <w:pStyle w:val="Compact"/>
              <w:jc w:val="left"/>
            </w:pPr>
            <w:r>
              <w:t xml:space="preserve">21 mulheres, acetil hexapeptídeo-3 vs. palmitoil pentapeptídeo-4 vs. placebo</w:t>
            </w:r>
          </w:p>
        </w:tc>
        <w:tc>
          <w:tcPr/>
          <w:p>
            <w:pPr>
              <w:pStyle w:val="Compact"/>
              <w:jc w:val="left"/>
            </w:pPr>
            <w:r>
              <w:t xml:space="preserve">8 semanas</w:t>
            </w:r>
          </w:p>
        </w:tc>
        <w:tc>
          <w:tcPr/>
          <w:p>
            <w:pPr>
              <w:pStyle w:val="Compact"/>
              <w:jc w:val="left"/>
            </w:pPr>
            <w:r>
              <w:t xml:space="preserve">O palmitoil pentapeptídeo-4 saiu-se melhor que o Argireline e o placebo</w:t>
            </w:r>
          </w:p>
        </w:tc>
      </w:tr>
    </w:tbl>
    <w:p>
      <w:pPr>
        <w:pStyle w:val="BodyText"/>
      </w:pPr>
      <w:r>
        <w:rPr>
          <w:bCs/>
          <w:b/>
        </w:rPr>
        <w:t xml:space="preserve">Contextualização dos estudos positivos:</w:t>
      </w:r>
    </w:p>
    <w:p>
      <w:pPr>
        <w:numPr>
          <w:ilvl w:val="0"/>
          <w:numId w:val="1316"/>
        </w:numPr>
        <w:pStyle w:val="Compact"/>
      </w:pPr>
      <w:r>
        <w:t xml:space="preserve">A primeira descrição, de 2002, vem dos desenvolvedores e não informa no resumo nem o número de participantes nem um grupo de controle. Ela testou uma concentração de 10% – muito acima do que uma avaliação de segurança dos EUA considerou mais tarde suficientemente estudado (veja Riscos).</w:t>
      </w:r>
    </w:p>
    <w:p>
      <w:pPr>
        <w:numPr>
          <w:ilvl w:val="0"/>
          <w:numId w:val="1316"/>
        </w:numPr>
        <w:pStyle w:val="Compact"/>
      </w:pPr>
      <w:r>
        <w:t xml:space="preserve">O estudo chinês (Wang 2013) é o maior. Os grupos tinham tamanhos desiguais (cerca de 45 contra 15), a avaliação principal foi subjetiva, e os mesmos dados clínicos aparecem, junto com experimentos em camundongos, em outra publicação do mesmo grupo</w:t>
      </w:r>
      <w:r>
        <w:rPr>
          <w:rStyle w:val="FootnoteReference"/>
        </w:rPr>
        <w:footnoteReference w:id="2504"/>
      </w:r>
      <w:r>
        <w:t xml:space="preserve">. Nas comparações com o valor inicial, apenas o grupo Argireline mostrou valores de aspereza decrescentes – uma comparação estatística direta entre os grupos não é relatada no resumo.</w:t>
      </w:r>
    </w:p>
    <w:p>
      <w:pPr>
        <w:numPr>
          <w:ilvl w:val="0"/>
          <w:numId w:val="1316"/>
        </w:numPr>
        <w:pStyle w:val="Compact"/>
      </w:pPr>
      <w:r>
        <w:t xml:space="preserve">O estudo de Raikou tinha apenas seis participantes por grupo e uma grande quantidade de comparações isoladas; algumas diferenças foram significativas, outras não.</w:t>
      </w:r>
    </w:p>
    <w:p>
      <w:pPr>
        <w:pStyle w:val="FirstParagraph"/>
      </w:pPr>
      <w:r>
        <w:rPr>
          <w:bCs/>
          <w:b/>
        </w:rPr>
        <w:t xml:space="preserve">O estudo negativo:</w:t>
      </w:r>
      <w:r>
        <w:t xml:space="preserve"> </w:t>
      </w:r>
      <w:r>
        <w:t xml:space="preserve">um estudo de hemiface duplo-cego de uma clínica de cirurgia plástica, com medição objetiva por câmera (Henseler 2023), não encontrou diferença entre o lado do rosto com e sem Argireline. Os responsáveis concluíram que um efeito não foi demonstrado e que o Argireline não deve ser classificado como alternativa à toxina botulínica. Com 19 participantes, porém, também esse estudo era pequeno.</w:t>
      </w:r>
    </w:p>
    <w:bookmarkStart w:id="2509" w:name="outras-aplicações-5"/>
    <w:p>
      <w:pPr>
        <w:pStyle w:val="Heading4"/>
      </w:pPr>
      <w:r>
        <w:t xml:space="preserve">Outras aplicações</w:t>
      </w:r>
    </w:p>
    <w:p>
      <w:pPr>
        <w:numPr>
          <w:ilvl w:val="0"/>
          <w:numId w:val="1317"/>
        </w:numPr>
        <w:pStyle w:val="Compact"/>
      </w:pPr>
      <w:r>
        <w:rPr>
          <w:bCs/>
          <w:b/>
        </w:rPr>
        <w:t xml:space="preserve">Espasmo palpebral (blefaroespasmo):</w:t>
      </w:r>
      <w:r>
        <w:t xml:space="preserve"> </w:t>
      </w:r>
      <w:r>
        <w:t xml:space="preserve">nessa doença neurológica, os músculos das pálpebras contraem-se involuntariamente; o tratamento padrão é a injeção de toxina botulínica a cada três meses. Em um estudo-piloto com 24 pacientes, um creme de Argireline deveria prolongar a duração do efeito da injeção. Houve uma tendência não significativa (3,7 contra 3,0 meses até o retorno dos sintomas) e nenhum efeito colateral relevante (Lungu 2013, PMID 23146065; registrado como NCT00942851). Um estudo seguinte foi interrompido após oito participantes</w:t>
      </w:r>
      <w:r>
        <w:rPr>
          <w:rStyle w:val="FootnoteReference"/>
        </w:rPr>
        <w:footnoteReference w:id="2505"/>
      </w:r>
      <w:r>
        <w:t xml:space="preserve">.</w:t>
      </w:r>
    </w:p>
    <w:p>
      <w:pPr>
        <w:numPr>
          <w:ilvl w:val="0"/>
          <w:numId w:val="1317"/>
        </w:numPr>
        <w:pStyle w:val="Compact"/>
      </w:pPr>
      <w:r>
        <w:rPr>
          <w:bCs/>
          <w:b/>
        </w:rPr>
        <w:t xml:space="preserve">Adesivo de microagulhas:</w:t>
      </w:r>
      <w:r>
        <w:t xml:space="preserve"> </w:t>
      </w:r>
      <w:r>
        <w:t xml:space="preserve">em um estudo coreano de hemiface com 52 mulheres, um adesivo de microagulhas de ácido hialurônico com Argireline melhorou as rugas mais do que o adesivo sozinho</w:t>
      </w:r>
      <w:r>
        <w:rPr>
          <w:rStyle w:val="FootnoteReference"/>
        </w:rPr>
        <w:footnoteReference w:id="2506"/>
      </w:r>
      <w:r>
        <w:t xml:space="preserve">. Aqui o peptídeo é levado à pele por agulhas minúsculas – o resultado não é transferível para cremes comuns.</w:t>
      </w:r>
    </w:p>
    <w:p>
      <w:pPr>
        <w:numPr>
          <w:ilvl w:val="0"/>
          <w:numId w:val="1317"/>
        </w:numPr>
        <w:pStyle w:val="Compact"/>
      </w:pPr>
      <w:r>
        <w:rPr>
          <w:bCs/>
          <w:b/>
        </w:rPr>
        <w:t xml:space="preserve">Produtos combinados:</w:t>
      </w:r>
      <w:r>
        <w:t xml:space="preserve"> </w:t>
      </w:r>
      <w:r>
        <w:t xml:space="preserve">muitos estudos testam séruns que contêm Argireline junto com retinol, ácido hialurônico ou outros peptídeos. Seu resultado não pode ser atribuído ao peptídeo isolado.</w:t>
      </w:r>
    </w:p>
    <w:p>
      <w:pPr>
        <w:numPr>
          <w:ilvl w:val="0"/>
          <w:numId w:val="1317"/>
        </w:numPr>
        <w:pStyle w:val="Compact"/>
      </w:pPr>
      <w:r>
        <w:rPr>
          <w:bCs/>
          <w:b/>
        </w:rPr>
        <w:t xml:space="preserve">Estudos registrados muito pequenos:</w:t>
      </w:r>
      <w:r>
        <w:t xml:space="preserve"> </w:t>
      </w:r>
      <w:r>
        <w:t xml:space="preserve">no ClinicalTrials.gov, estão listados, entre outros, um estudo concluído sobre pele oleosa com 14 participantes</w:t>
      </w:r>
      <w:r>
        <w:rPr>
          <w:rStyle w:val="FootnoteReference"/>
        </w:rPr>
        <w:footnoteReference w:id="2507"/>
      </w:r>
      <w:r>
        <w:t xml:space="preserve"> </w:t>
      </w:r>
      <w:r>
        <w:t xml:space="preserve">e um estudo descrito como fase 3 sobre rugas ao redor dos olhos com 70 participantes</w:t>
      </w:r>
      <w:r>
        <w:rPr>
          <w:rStyle w:val="FootnoteReference"/>
        </w:rPr>
        <w:footnoteReference w:id="2508"/>
      </w:r>
      <w:r>
        <w:t xml:space="preserve">; se este último corresponde ao estudo chinês citado acima não pôde ser esclarecido com segurança.</w:t>
      </w:r>
    </w:p>
    <w:bookmarkEnd w:id="2509"/>
    <w:bookmarkEnd w:id="2510"/>
    <w:bookmarkStart w:id="2515" w:name="estudos-em-animais-e-em-laboratório-57"/>
    <w:p>
      <w:pPr>
        <w:pStyle w:val="Heading3"/>
      </w:pPr>
      <w:r>
        <w:t xml:space="preserve">Estudos em animais e em laboratório</w:t>
      </w:r>
    </w:p>
    <w:p>
      <w:pPr>
        <w:numPr>
          <w:ilvl w:val="0"/>
          <w:numId w:val="1318"/>
        </w:numPr>
        <w:pStyle w:val="Compact"/>
      </w:pPr>
      <w:r>
        <w:rPr>
          <w:bCs/>
          <w:b/>
        </w:rPr>
        <w:t xml:space="preserve">Experimentos com células:</w:t>
      </w:r>
      <w:r>
        <w:t xml:space="preserve"> </w:t>
      </w:r>
      <w:r>
        <w:t xml:space="preserve">inibição da liberação de mensageiros e perturbação da formação do complexo SNARE</w:t>
      </w:r>
      <w:r>
        <w:rPr>
          <w:rStyle w:val="FootnoteReference"/>
        </w:rPr>
        <w:footnoteReference w:id="2511"/>
      </w:r>
      <w:r>
        <w:t xml:space="preserve">. Em culturas de fibroblastos da pele humana e de outras linhagens celulares, o Argireline inibiu a proliferação celular de forma dependente da dose, mas apenas em concentrações 18 a 10.000 vezes mais altas do que as da substância de comparação doxorrubicina, um medicamento contra o câncer</w:t>
      </w:r>
      <w:r>
        <w:rPr>
          <w:rStyle w:val="FootnoteReference"/>
        </w:rPr>
        <w:footnoteReference w:id="2512"/>
      </w:r>
      <w:r>
        <w:t xml:space="preserve">.</w:t>
      </w:r>
    </w:p>
    <w:p>
      <w:pPr>
        <w:numPr>
          <w:ilvl w:val="0"/>
          <w:numId w:val="1318"/>
        </w:numPr>
        <w:pStyle w:val="Compact"/>
      </w:pPr>
      <w:r>
        <w:rPr>
          <w:bCs/>
          <w:b/>
        </w:rPr>
        <w:t xml:space="preserve">Experimentos em animais:</w:t>
      </w:r>
      <w:r>
        <w:t xml:space="preserve"> </w:t>
      </w:r>
      <w:r>
        <w:t xml:space="preserve">em camundongos com envelhecimento acelerado artificialmente (por D-galactose), a proporção de fibras de colágeno tipo I na pele aumentou com Argireline</w:t>
      </w:r>
      <w:r>
        <w:rPr>
          <w:rStyle w:val="FootnoteReference"/>
        </w:rPr>
        <w:footnoteReference w:id="2513"/>
      </w:r>
      <w:r>
        <w:t xml:space="preserve">.</w:t>
      </w:r>
    </w:p>
    <w:p>
      <w:pPr>
        <w:numPr>
          <w:ilvl w:val="0"/>
          <w:numId w:val="1318"/>
        </w:numPr>
        <w:pStyle w:val="Compact"/>
      </w:pPr>
      <w:r>
        <w:rPr>
          <w:bCs/>
          <w:b/>
        </w:rPr>
        <w:t xml:space="preserve">Permeabilidade cutânea:</w:t>
      </w:r>
      <w:r>
        <w:t xml:space="preserve"> </w:t>
      </w:r>
      <w:r>
        <w:t xml:space="preserve">além do estudo com pele de doadores de corpo</w:t>
      </w:r>
      <w:r>
        <w:rPr>
          <w:rStyle w:val="FootnoteReference"/>
        </w:rPr>
        <w:footnoteReference w:id="2514"/>
      </w:r>
      <w:r>
        <w:t xml:space="preserve">, numerosos trabalhos de laboratório investigam emulsões, microagulhas, iontoforese e modificações químicas para levar mais princípio ativo à pele.</w:t>
      </w:r>
    </w:p>
    <w:bookmarkEnd w:id="2515"/>
    <w:bookmarkStart w:id="2518" w:name="riscos-e-efeitos-colaterais-57"/>
    <w:p>
      <w:pPr>
        <w:pStyle w:val="Heading3"/>
      </w:pPr>
      <w:r>
        <w:t xml:space="preserve">Riscos e efeitos colaterais</w:t>
      </w:r>
    </w:p>
    <w:p>
      <w:pPr>
        <w:pStyle w:val="FirstParagraph"/>
      </w:pPr>
      <w:r>
        <w:rPr>
          <w:bCs/>
          <w:b/>
        </w:rPr>
        <w:t xml:space="preserve">Como creme (comprovado):</w:t>
      </w:r>
      <w:r>
        <w:t xml:space="preserve"> </w:t>
      </w:r>
      <w:r>
        <w:t xml:space="preserve">nos estudos, não foram observados efeitos colaterais relevantes; irritações cutâneas e alergias são possíveis, como com qualquer componente cosmético. O painel independente de especialistas dos EUA para a segurança de ingredientes cosméticos (Cosmetic Ingredient Review) concluiu em 2025 que o acetil hexapeptídeo-8 é seguro nas concentrações atualmente usuais, de até 0,005%. Para concentrações maiores, os dados disponíveis não bastaram para uma conclusão sobre segurança</w:t>
      </w:r>
      <w:r>
        <w:rPr>
          <w:rStyle w:val="FootnoteReference"/>
        </w:rPr>
        <w:footnoteReference w:id="2516"/>
      </w:r>
      <w:r>
        <w:t xml:space="preserve">.</w:t>
      </w:r>
    </w:p>
    <w:p>
      <w:pPr>
        <w:pStyle w:val="BodyText"/>
      </w:pPr>
      <w:r>
        <w:rPr>
          <w:bCs/>
          <w:b/>
        </w:rPr>
        <w:t xml:space="preserve">Como injeção:</w:t>
      </w:r>
      <w:r>
        <w:t xml:space="preserve"> </w:t>
      </w:r>
      <w:r>
        <w:t xml:space="preserve">o Argireline às vezes também é injetado na pele, por exemplo em clínicas de estética ou por meio de produtos do mercado cinza. Para isso, não há aprovação nem estudos. Um relato de caso descreve uma mulher de 45 anos que, após injeções de Argireline na testa e nas têmporas, apresentou vermelhidão, nódulos e abscessos; a causa foi uma infecção pela bactéria de difícil tratamento</w:t>
      </w:r>
      <w:r>
        <w:t xml:space="preserve"> </w:t>
      </w:r>
      <w:r>
        <w:rPr>
          <w:iCs/>
          <w:i/>
        </w:rPr>
        <w:t xml:space="preserve">Mycobacterium abscessus</w:t>
      </w:r>
      <w:r>
        <w:t xml:space="preserve">, que exigiu cinco meses de antibioticoterapia</w:t>
      </w:r>
      <w:r>
        <w:rPr>
          <w:rStyle w:val="FootnoteReference"/>
        </w:rPr>
        <w:footnoteReference w:id="2517"/>
      </w:r>
      <w:r>
        <w:t xml:space="preserve">. O risco aqui está menos no próprio peptídeo do que em produtos e procedimentos não estéreis.</w:t>
      </w:r>
    </w:p>
    <w:p>
      <w:pPr>
        <w:pStyle w:val="BodyText"/>
      </w:pPr>
      <w:r>
        <w:rPr>
          <w:bCs/>
          <w:b/>
        </w:rPr>
        <w:t xml:space="preserve">Teórico:</w:t>
      </w:r>
      <w:r>
        <w:t xml:space="preserve"> </w:t>
      </w:r>
      <w:r>
        <w:t xml:space="preserve">se o Argireline chegasse em quantidade relevante às junções neuromusculares, seriam concebíveis – como com a toxina botulínica – fraquezas musculares indesejadas. No uso tópico, não há indícios disso.</w:t>
      </w:r>
    </w:p>
    <w:bookmarkEnd w:id="2518"/>
    <w:bookmarkStart w:id="2519" w:name="situação-legal-57"/>
    <w:p>
      <w:pPr>
        <w:pStyle w:val="Heading3"/>
      </w:pPr>
      <w:r>
        <w:t xml:space="preserve">Situação legal</w:t>
      </w:r>
    </w:p>
    <w:p>
      <w:pPr>
        <w:numPr>
          <w:ilvl w:val="0"/>
          <w:numId w:val="1319"/>
        </w:numPr>
        <w:pStyle w:val="Compact"/>
      </w:pPr>
      <w:r>
        <w:rPr>
          <w:bCs/>
          <w:b/>
        </w:rPr>
        <w:t xml:space="preserve">UE / Áustria / Alemanha:</w:t>
      </w:r>
      <w:r>
        <w:t xml:space="preserve"> </w:t>
      </w:r>
      <w:r>
        <w:t xml:space="preserve">o acetil hexapeptídeo-8 é um ingrediente cosmético permitido segundo o Regulamento Europeu de Cosméticos (Regulamento (CE) nº 1223/2009). As alegações publicitárias devem ser comprováveis segundo o Regulamento (UE) nº 655/2013. Comparações com a toxina botulínica (</w:t>
      </w:r>
      <w:r>
        <w:t xml:space="preserve">“</w:t>
      </w:r>
      <w:r>
        <w:t xml:space="preserve">como Botox</w:t>
      </w:r>
      <w:r>
        <w:t xml:space="preserve">”</w:t>
      </w:r>
      <w:r>
        <w:t xml:space="preserve">) são enganosas se sugerem um efeito comparável. Uma injeção não é um uso cosmético; um produto destinado à injeção seria um medicamento ou dispositivo médico não aprovado e não pode ser comercializado dessa forma.</w:t>
      </w:r>
    </w:p>
    <w:p>
      <w:pPr>
        <w:numPr>
          <w:ilvl w:val="0"/>
          <w:numId w:val="1319"/>
        </w:numPr>
        <w:pStyle w:val="Compact"/>
      </w:pPr>
      <w:r>
        <w:rPr>
          <w:bCs/>
          <w:b/>
        </w:rPr>
        <w:t xml:space="preserve">EUA:</w:t>
      </w:r>
      <w:r>
        <w:t xml:space="preserve"> </w:t>
      </w:r>
      <w:r>
        <w:t xml:space="preserve">ingrediente cosmético sem avaliação prévia pela FDA; alegações que prometem um efeito sobre os músculos podem tornar juridicamente um produto um medicamento.</w:t>
      </w:r>
    </w:p>
    <w:p>
      <w:pPr>
        <w:numPr>
          <w:ilvl w:val="0"/>
          <w:numId w:val="1319"/>
        </w:numPr>
        <w:pStyle w:val="Compact"/>
      </w:pPr>
      <w:r>
        <w:rPr>
          <w:bCs/>
          <w:b/>
        </w:rPr>
        <w:t xml:space="preserve">Esporte:</w:t>
      </w:r>
      <w:r>
        <w:t xml:space="preserve"> </w:t>
      </w:r>
      <w:r>
        <w:t xml:space="preserve">sem relevância (situação em 2026, verificar atualização).</w:t>
      </w:r>
    </w:p>
    <w:bookmarkEnd w:id="2519"/>
    <w:bookmarkStart w:id="2520" w:name="estudos-em-andamento-e-perspectivas-57"/>
    <w:p>
      <w:pPr>
        <w:pStyle w:val="Heading3"/>
      </w:pPr>
      <w:r>
        <w:t xml:space="preserve">Estudos em andamento e perspectivas</w:t>
      </w:r>
    </w:p>
    <w:p>
      <w:pPr>
        <w:pStyle w:val="FirstParagraph"/>
      </w:pPr>
      <w:r>
        <w:rPr>
          <w:bCs/>
          <w:b/>
        </w:rPr>
        <w:t xml:space="preserve">Confirmado:</w:t>
      </w:r>
      <w:r>
        <w:t xml:space="preserve"> </w:t>
      </w:r>
      <w:r>
        <w:t xml:space="preserve">no ClinicalTrials.gov, não consta (situação em outubro de 2026) nenhum estudo em andamento com o acetil hexapeptídeo-8 como princípio ativo isolado; os registros listados estão concluídos ou interrompidos. Estudos de eficácia cosmética raramente são registrados.</w:t>
      </w:r>
    </w:p>
    <w:p>
      <w:pPr>
        <w:pStyle w:val="BodyText"/>
      </w:pPr>
      <w:r>
        <w:rPr>
          <w:bCs/>
          <w:b/>
        </w:rPr>
        <w:t xml:space="preserve">Avaliação:</w:t>
      </w:r>
      <w:r>
        <w:t xml:space="preserve"> </w:t>
      </w:r>
      <w:r>
        <w:t xml:space="preserve">o Argireline é um exemplo de peptídeo projetado racionalmente, cujo achado laboratorial é convincente, mas cujo caminho até o local de ação permanece sem solução. A pesquisa concentra-se, por isso, em sistemas de transporte como microagulhas e nanocarreadores. Se estes alcançam um efeito visível para as usuárias e os usuários e que vá além do de um bom hidratante é algo que estudos maiores e independentes precisam mostrar. Uma verdadeira alternativa à toxina botulínica não é esperada, segundo o conhecimento atual.</w:t>
      </w:r>
    </w:p>
    <w:bookmarkEnd w:id="2520"/>
    <w:bookmarkStart w:id="2521" w:name="conclusão-57"/>
    <w:p>
      <w:pPr>
        <w:pStyle w:val="Heading3"/>
      </w:pPr>
      <w:r>
        <w:t xml:space="preserve">Conclusão</w:t>
      </w:r>
    </w:p>
    <w:p>
      <w:pPr>
        <w:pStyle w:val="FirstParagraph"/>
      </w:pPr>
      <w:r>
        <w:t xml:space="preserve">O acetil hexapeptídeo-8 é um peptídeo sintético que, em laboratório, inibe a liberação de mensageiros nos neurônios de forma semelhante à toxina botulínica, mas muito mais fraca. A partir de cremes, quase não penetra na pele; em um experimento de laboratório, permaneceu quase totalmente nas camadas superficiais. Estudos pequenos e curtos – em parte dos desenvolvedores, em parte com produtos combinados – relatam menos rugas finas; um estudo de hemiface cego, com medição objetiva, por outro lado, não encontrou diferença. Como creme, é considerado seguro nas concentrações usuais; injeções não foram estudadas nem aprovadas e podem levar a infecções graves. O termo publicitário</w:t>
      </w:r>
      <w:r>
        <w:t xml:space="preserve"> </w:t>
      </w:r>
      <w:r>
        <w:t xml:space="preserve">“</w:t>
      </w:r>
      <w:r>
        <w:t xml:space="preserve">Botox em tubo</w:t>
      </w:r>
      <w:r>
        <w:t xml:space="preserve">”</w:t>
      </w:r>
      <w:r>
        <w:t xml:space="preserve"> </w:t>
      </w:r>
      <w:r>
        <w:t xml:space="preserve">não é respaldado pelos dados.</w:t>
      </w:r>
    </w:p>
    <w:bookmarkEnd w:id="2521"/>
    <w:bookmarkEnd w:id="2522"/>
    <w:bookmarkEnd w:id="2523"/>
    <w:bookmarkStart w:id="2602" w:name="parte-iii-a-grande-comparação"/>
    <w:p>
      <w:pPr>
        <w:pStyle w:val="Heading1"/>
      </w:pPr>
      <w:r>
        <w:t xml:space="preserve">Parte III – A grande comparação</w:t>
      </w:r>
    </w:p>
    <w:p>
      <w:pPr>
        <w:pStyle w:val="FirstParagraph"/>
      </w:pPr>
      <w:r>
        <w:t xml:space="preserve">Na Parte II, cada peptídeo foi analisado individualmente. Esta parte coloca os resultados lado a lado e responde a três perguntas: quão bem um peptídeo foi estudado em comparação com os outros? Como os medicamentos para emagrecer e para diabetes se saem uns contra os outros? E o que resta das promessas da internet quando se aceitam apenas estudos em humanos?</w:t>
      </w:r>
    </w:p>
    <w:p>
      <w:pPr>
        <w:pStyle w:val="BodyText"/>
      </w:pPr>
      <w:r>
        <w:t xml:space="preserve">As tabelas são condensações. As fontes e as limitações de cada número estão nos capítulos da Parte II. Todas as informações sobre aprovação e status de doping refletem a situação em 2026 e devem ser verificadas quanto à atualização.</w:t>
      </w:r>
    </w:p>
    <w:bookmarkStart w:id="2536" w:name="todos-os-peptídeos-em-um-relance"/>
    <w:p>
      <w:pPr>
        <w:pStyle w:val="Heading2"/>
      </w:pPr>
      <w:r>
        <w:t xml:space="preserve">Todos os peptídeos em um relance</w:t>
      </w:r>
    </w:p>
    <w:bookmarkStart w:id="2524" w:name="como-ler-as-tabelas"/>
    <w:p>
      <w:pPr>
        <w:pStyle w:val="Heading3"/>
      </w:pPr>
      <w:r>
        <w:t xml:space="preserve">Como ler as tabelas</w:t>
      </w:r>
    </w:p>
    <w:p>
      <w:pPr>
        <w:pStyle w:val="FirstParagraph"/>
      </w:pPr>
      <w:r>
        <w:t xml:space="preserve">Para cada grupo da Parte II seguem-se duas tabelas: a primeira com nível de evidência, aprovação e dimensão do conjunto de estudos; a segunda com o resultado de estudo mais importante e o principal risco.</w:t>
      </w:r>
    </w:p>
    <w:p>
      <w:pPr>
        <w:pStyle w:val="BodyText"/>
      </w:pPr>
      <w:r>
        <w:rPr>
          <w:bCs/>
          <w:b/>
        </w:rPr>
        <w:t xml:space="preserve">Nível de evidência</w:t>
      </w:r>
      <w:r>
        <w:t xml:space="preserve"> </w:t>
      </w:r>
      <w:r>
        <w:t xml:space="preserve">(como na Parte II):</w:t>
      </w:r>
    </w:p>
    <w:p>
      <w:pPr>
        <w:numPr>
          <w:ilvl w:val="0"/>
          <w:numId w:val="1320"/>
        </w:numPr>
        <w:pStyle w:val="Compact"/>
      </w:pPr>
      <w:r>
        <w:rPr>
          <w:bCs/>
          <w:b/>
        </w:rPr>
        <w:t xml:space="preserve">A</w:t>
      </w:r>
      <w:r>
        <w:t xml:space="preserve">: vários grandes estudos randomizados em humanos, geralmente com aprovação</w:t>
      </w:r>
    </w:p>
    <w:p>
      <w:pPr>
        <w:numPr>
          <w:ilvl w:val="0"/>
          <w:numId w:val="1320"/>
        </w:numPr>
        <w:pStyle w:val="Compact"/>
      </w:pPr>
      <w:r>
        <w:rPr>
          <w:bCs/>
          <w:b/>
        </w:rPr>
        <w:t xml:space="preserve">B</w:t>
      </w:r>
      <w:r>
        <w:t xml:space="preserve">: estudos randomizados isolados em humanos</w:t>
      </w:r>
    </w:p>
    <w:p>
      <w:pPr>
        <w:numPr>
          <w:ilvl w:val="0"/>
          <w:numId w:val="1320"/>
        </w:numPr>
        <w:pStyle w:val="Compact"/>
      </w:pPr>
      <w:r>
        <w:rPr>
          <w:bCs/>
          <w:b/>
        </w:rPr>
        <w:t xml:space="preserve">C</w:t>
      </w:r>
      <w:r>
        <w:t xml:space="preserve">: apenas estudos em humanos pequenos ou não controlados</w:t>
      </w:r>
    </w:p>
    <w:p>
      <w:pPr>
        <w:numPr>
          <w:ilvl w:val="0"/>
          <w:numId w:val="1320"/>
        </w:numPr>
        <w:pStyle w:val="Compact"/>
      </w:pPr>
      <w:r>
        <w:rPr>
          <w:bCs/>
          <w:b/>
        </w:rPr>
        <w:t xml:space="preserve">D</w:t>
      </w:r>
      <w:r>
        <w:t xml:space="preserve">: apenas estudos em animais e em laboratório</w:t>
      </w:r>
    </w:p>
    <w:p>
      <w:pPr>
        <w:pStyle w:val="FirstParagraph"/>
      </w:pPr>
      <w:r>
        <w:t xml:space="preserve">O nível descreve</w:t>
      </w:r>
      <w:r>
        <w:t xml:space="preserve"> </w:t>
      </w:r>
      <w:r>
        <w:rPr>
          <w:iCs/>
          <w:i/>
        </w:rPr>
        <w:t xml:space="preserve">quão bem</w:t>
      </w:r>
      <w:r>
        <w:t xml:space="preserve"> </w:t>
      </w:r>
      <w:r>
        <w:t xml:space="preserve">algo foi estudado, não</w:t>
      </w:r>
      <w:r>
        <w:t xml:space="preserve"> </w:t>
      </w:r>
      <w:r>
        <w:rPr>
          <w:iCs/>
          <w:i/>
        </w:rPr>
        <w:t xml:space="preserve">se</w:t>
      </w:r>
      <w:r>
        <w:t xml:space="preserve"> </w:t>
      </w:r>
      <w:r>
        <w:t xml:space="preserve">funciona – e vale apenas para a aplicação estudada.</w:t>
      </w:r>
    </w:p>
    <w:p>
      <w:pPr>
        <w:pStyle w:val="BodyText"/>
      </w:pPr>
      <w:r>
        <w:rPr>
          <w:bCs/>
          <w:b/>
        </w:rPr>
        <w:t xml:space="preserve">Estudos em humanos / registros:</w:t>
      </w:r>
      <w:r>
        <w:t xml:space="preserve"> </w:t>
      </w:r>
      <w:r>
        <w:t xml:space="preserve">os números vêm da consulta automatizada feita para este livro (outubro de 2026, metodologia no anexo): publicações classificadas como estudos em humanos no PubMed e registros no registro de estudos ClinicalTrials.gov. Eles mostram apenas a ordem de grandeza, dependem muito do termo de busca e contêm em parte resultados de outras áreas, enquanto trabalhos mais antigos com outros nomes podem faltar. Onde um número induz claramente ao erro, ele está marcado com</w:t>
      </w:r>
      <w:r>
        <w:t xml:space="preserve"> </w:t>
      </w:r>
      <w:r>
        <w:t xml:space="preserve">“</w:t>
      </w:r>
      <w:r>
        <w:t xml:space="preserve">(nota)</w:t>
      </w:r>
      <w:r>
        <w:t xml:space="preserve">”</w:t>
      </w:r>
      <w:r>
        <w:t xml:space="preserve"> </w:t>
      </w:r>
      <w:r>
        <w:t xml:space="preserve">e explicado abaixo da tabela. Registros de um patrocinador cujas entradas, ao serem verificadas, se revelaram aparentemente fictícias, de exemplo ou de teste, não foram contados.</w:t>
      </w:r>
    </w:p>
    <w:bookmarkEnd w:id="2524"/>
    <w:bookmarkStart w:id="2525"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sim / sim (também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sim / sim (injeção e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não / não (só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 (nota)</w:t>
            </w:r>
          </w:p>
        </w:tc>
      </w:tr>
      <w:tr>
        <w:tc>
          <w:tcPr/>
          <w:p>
            <w:pPr>
              <w:pStyle w:val="Compact"/>
              <w:jc w:val="left"/>
            </w:pPr>
            <w:r>
              <w:t xml:space="preserve">Maridebarte cafraglutida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28</w:t>
            </w:r>
          </w:p>
        </w:tc>
      </w:tr>
      <w:tr>
        <w:tc>
          <w:tcPr/>
          <w:p>
            <w:pPr>
              <w:pStyle w:val="Compact"/>
              <w:jc w:val="left"/>
            </w:pPr>
            <w:r>
              <w:t xml:space="preserve">Pranlintida</w:t>
            </w:r>
          </w:p>
        </w:tc>
        <w:tc>
          <w:tcPr/>
          <w:p>
            <w:pPr>
              <w:pStyle w:val="Compact"/>
              <w:jc w:val="left"/>
            </w:pPr>
            <w:r>
              <w:t xml:space="preserve">A</w:t>
            </w:r>
          </w:p>
        </w:tc>
        <w:tc>
          <w:tcPr/>
          <w:p>
            <w:pPr>
              <w:pStyle w:val="Compact"/>
              <w:jc w:val="left"/>
            </w:pPr>
            <w:r>
              <w:t xml:space="preserve">não / sim</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sim / sim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Orforglipron (não é peptídeo)</w:t>
            </w:r>
          </w:p>
        </w:tc>
        <w:tc>
          <w:tcPr/>
          <w:p>
            <w:pPr>
              <w:pStyle w:val="Compact"/>
              <w:jc w:val="left"/>
            </w:pPr>
            <w:r>
              <w:t xml:space="preserve">A</w:t>
            </w:r>
          </w:p>
        </w:tc>
        <w:tc>
          <w:tcPr/>
          <w:p>
            <w:pPr>
              <w:pStyle w:val="Compact"/>
              <w:jc w:val="left"/>
            </w:pPr>
            <w:r>
              <w:t xml:space="preserve">não / pedido apresentado (verificar)</w:t>
            </w:r>
          </w:p>
        </w:tc>
        <w:tc>
          <w:tcPr/>
          <w:p>
            <w:pPr>
              <w:pStyle w:val="Compact"/>
              <w:jc w:val="left"/>
            </w:pPr>
            <w:r>
              <w:t xml:space="preserve">20 / 53</w:t>
            </w:r>
          </w:p>
        </w:tc>
      </w:tr>
    </w:tbl>
    <w:p>
      <w:pPr>
        <w:pStyle w:val="BodyText"/>
      </w:pPr>
      <w:r>
        <w:t xml:space="preserve">Nota sobre a tabela: para a</w:t>
      </w:r>
      <w:r>
        <w:t xml:space="preserve"> </w:t>
      </w:r>
      <w:r>
        <w:rPr>
          <w:bCs/>
          <w:b/>
        </w:rPr>
        <w:t xml:space="preserve">amicretina</w:t>
      </w:r>
      <w:r>
        <w:t xml:space="preserve">, a busca nos registros encontrou apenas uma entrada; com o nome zenagamtida e o código de desenvolvimento, há cerca de 30 estudos registrados, entre eles o programa de fase 3 iniciado em 2026. Para a</w:t>
      </w:r>
      <w:r>
        <w:t xml:space="preserve"> </w:t>
      </w:r>
      <w:r>
        <w:rPr>
          <w:bCs/>
          <w:b/>
        </w:rPr>
        <w:t xml:space="preserve">mazdutida</w:t>
      </w:r>
      <w:r>
        <w:t xml:space="preserve">, os estudos vêm quase só da China; para o</w:t>
      </w:r>
      <w:r>
        <w:t xml:space="preserve"> </w:t>
      </w:r>
      <w:r>
        <w:rPr>
          <w:bCs/>
          <w:b/>
        </w:rPr>
        <w:t xml:space="preserve">orforglipron</w:t>
      </w:r>
      <w:r>
        <w:t xml:space="preserve">, a aprovação estava pendente no fechamento desta edição.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Exenatida</w:t>
            </w:r>
          </w:p>
        </w:tc>
        <w:tc>
          <w:tcPr/>
          <w:p>
            <w:pPr>
              <w:pStyle w:val="Compact"/>
              <w:jc w:val="left"/>
            </w:pPr>
            <w:r>
              <w:t xml:space="preserve">EXSCEL: risco cardiovascular não aumentado, mas também não reduzido significativamente (HR 0,91; PMID 28910237)</w:t>
            </w:r>
          </w:p>
        </w:tc>
        <w:tc>
          <w:tcPr/>
          <w:p>
            <w:pPr>
              <w:pStyle w:val="Compact"/>
              <w:jc w:val="left"/>
            </w:pPr>
            <w:r>
              <w:t xml:space="preserve">Náusea, nódulos, anticorpos</w:t>
            </w:r>
          </w:p>
        </w:tc>
      </w:tr>
      <w:tr>
        <w:tc>
          <w:tcPr/>
          <w:p>
            <w:pPr>
              <w:pStyle w:val="Compact"/>
              <w:jc w:val="left"/>
            </w:pPr>
            <w:r>
              <w:t xml:space="preserve">Liraglutida</w:t>
            </w:r>
          </w:p>
        </w:tc>
        <w:tc>
          <w:tcPr/>
          <w:p>
            <w:pPr>
              <w:pStyle w:val="Compact"/>
              <w:jc w:val="left"/>
            </w:pPr>
            <w:r>
              <w:t xml:space="preserve">LEADER: 13% menos eventos cardiovasculares (PMID 27295427); SCALE: −8,4 vs. −2,8 kg (PMID 26132939)</w:t>
            </w:r>
          </w:p>
        </w:tc>
        <w:tc>
          <w:tcPr/>
          <w:p>
            <w:pPr>
              <w:pStyle w:val="Compact"/>
              <w:jc w:val="left"/>
            </w:pPr>
            <w:r>
              <w:t xml:space="preserve">Queixas gastrointestinais, vesícula biliar</w:t>
            </w:r>
          </w:p>
        </w:tc>
      </w:tr>
      <w:tr>
        <w:tc>
          <w:tcPr/>
          <w:p>
            <w:pPr>
              <w:pStyle w:val="Compact"/>
              <w:jc w:val="left"/>
            </w:pPr>
            <w:r>
              <w:t xml:space="preserve">Dulaglutida</w:t>
            </w:r>
          </w:p>
        </w:tc>
        <w:tc>
          <w:tcPr/>
          <w:p>
            <w:pPr>
              <w:pStyle w:val="Compact"/>
              <w:jc w:val="left"/>
            </w:pPr>
            <w:r>
              <w:t xml:space="preserve">REWIND: 12% menos eventos cardiovasculares graves em 9.901 participantes (PMID 31189511)</w:t>
            </w:r>
          </w:p>
        </w:tc>
        <w:tc>
          <w:tcPr/>
          <w:p>
            <w:pPr>
              <w:pStyle w:val="Compact"/>
              <w:jc w:val="left"/>
            </w:pPr>
            <w:r>
              <w:t xml:space="preserve">Gastrointestinal; hipoglicemia em combinação</w:t>
            </w:r>
          </w:p>
        </w:tc>
      </w:tr>
      <w:tr>
        <w:tc>
          <w:tcPr/>
          <w:p>
            <w:pPr>
              <w:pStyle w:val="Compact"/>
              <w:jc w:val="left"/>
            </w:pPr>
            <w:r>
              <w:t xml:space="preserve">Semaglutida</w:t>
            </w:r>
          </w:p>
        </w:tc>
        <w:tc>
          <w:tcPr/>
          <w:p>
            <w:pPr>
              <w:pStyle w:val="Compact"/>
              <w:jc w:val="left"/>
            </w:pPr>
            <w:r>
              <w:t xml:space="preserve">STEP 1: −14,9% vs. −2,4% (PMID 33567185); SELECT: 20% menos eventos cardiovasculares (PMID 37952131)</w:t>
            </w:r>
          </w:p>
        </w:tc>
        <w:tc>
          <w:tcPr/>
          <w:p>
            <w:pPr>
              <w:pStyle w:val="Compact"/>
              <w:jc w:val="left"/>
            </w:pPr>
            <w:r>
              <w:t xml:space="preserve">Gastrointestinal, vesícula biliar, sinal raro de NAION, falsificações</w:t>
            </w:r>
          </w:p>
        </w:tc>
      </w:tr>
      <w:tr>
        <w:tc>
          <w:tcPr/>
          <w:p>
            <w:pPr>
              <w:pStyle w:val="Compact"/>
              <w:jc w:val="left"/>
            </w:pPr>
            <w:r>
              <w:t xml:space="preserve">Tirzepatida</w:t>
            </w:r>
          </w:p>
        </w:tc>
        <w:tc>
          <w:tcPr/>
          <w:p>
            <w:pPr>
              <w:pStyle w:val="Compact"/>
              <w:jc w:val="left"/>
            </w:pPr>
            <w:r>
              <w:t xml:space="preserve">SURMOUNT-5: −20,2% vs. −13,7% com semaglutida (PMID 40353578)</w:t>
            </w:r>
          </w:p>
        </w:tc>
        <w:tc>
          <w:tcPr/>
          <w:p>
            <w:pPr>
              <w:pStyle w:val="Compact"/>
              <w:jc w:val="left"/>
            </w:pPr>
            <w:r>
              <w:t xml:space="preserve">Gastrointestinal, vias biliares; reganho de peso após a suspensão</w:t>
            </w:r>
          </w:p>
        </w:tc>
      </w:tr>
      <w:tr>
        <w:tc>
          <w:tcPr/>
          <w:p>
            <w:pPr>
              <w:pStyle w:val="Compact"/>
              <w:jc w:val="left"/>
            </w:pPr>
            <w:r>
              <w:t xml:space="preserve">Retatrutida</w:t>
            </w:r>
          </w:p>
        </w:tc>
        <w:tc>
          <w:tcPr/>
          <w:p>
            <w:pPr>
              <w:pStyle w:val="Compact"/>
              <w:jc w:val="left"/>
            </w:pPr>
            <w:r>
              <w:t xml:space="preserve">TRIUMPH-1: até −25,0% vs. −3,9% após 80 semanas (PMID 42814954)</w:t>
            </w:r>
          </w:p>
        </w:tc>
        <w:tc>
          <w:tcPr/>
          <w:p>
            <w:pPr>
              <w:pStyle w:val="Compact"/>
              <w:jc w:val="left"/>
            </w:pPr>
            <w:r>
              <w:t xml:space="preserve">Gastrointestinal, disestesias cutâneas, mais abandonos com dose alta</w:t>
            </w:r>
          </w:p>
        </w:tc>
      </w:tr>
      <w:tr>
        <w:tc>
          <w:tcPr/>
          <w:p>
            <w:pPr>
              <w:pStyle w:val="Compact"/>
              <w:jc w:val="left"/>
            </w:pPr>
            <w:r>
              <w:t xml:space="preserve">Survodutida</w:t>
            </w:r>
          </w:p>
        </w:tc>
        <w:tc>
          <w:tcPr/>
          <w:p>
            <w:pPr>
              <w:pStyle w:val="Compact"/>
              <w:jc w:val="left"/>
            </w:pPr>
            <w:r>
              <w:t xml:space="preserve">SYNCHRONIZE-1: até −13,0% vs. −5,4% após 76 semanas (PMID 42253238)</w:t>
            </w:r>
          </w:p>
        </w:tc>
        <w:tc>
          <w:tcPr/>
          <w:p>
            <w:pPr>
              <w:pStyle w:val="Compact"/>
              <w:jc w:val="left"/>
            </w:pPr>
            <w:r>
              <w:t xml:space="preserve">Queixas gastrointestinais muito frequentes</w:t>
            </w:r>
          </w:p>
        </w:tc>
      </w:tr>
      <w:tr>
        <w:tc>
          <w:tcPr/>
          <w:p>
            <w:pPr>
              <w:pStyle w:val="Compact"/>
              <w:jc w:val="left"/>
            </w:pPr>
            <w:r>
              <w:t xml:space="preserve">Mazdutida</w:t>
            </w:r>
          </w:p>
        </w:tc>
        <w:tc>
          <w:tcPr/>
          <w:p>
            <w:pPr>
              <w:pStyle w:val="Compact"/>
              <w:jc w:val="left"/>
            </w:pPr>
            <w:r>
              <w:t xml:space="preserve">GLORY-1: até −14,0% vs. +0,3% após 48 semanas (PMID 40421736)</w:t>
            </w:r>
          </w:p>
        </w:tc>
        <w:tc>
          <w:tcPr/>
          <w:p>
            <w:pPr>
              <w:pStyle w:val="Compact"/>
              <w:jc w:val="left"/>
            </w:pPr>
            <w:r>
              <w:t xml:space="preserve">Gastrointestinal, sobretudo vômitos</w:t>
            </w:r>
          </w:p>
        </w:tc>
      </w:tr>
      <w:tr>
        <w:tc>
          <w:tcPr/>
          <w:p>
            <w:pPr>
              <w:pStyle w:val="Compact"/>
              <w:jc w:val="left"/>
            </w:pPr>
            <w:r>
              <w:t xml:space="preserve">Cagrilintida / CagriSema</w:t>
            </w:r>
          </w:p>
        </w:tc>
        <w:tc>
          <w:tcPr/>
          <w:p>
            <w:pPr>
              <w:pStyle w:val="Compact"/>
              <w:jc w:val="left"/>
            </w:pPr>
            <w:r>
              <w:t xml:space="preserve">REDEFINE 1: −20,4% vs. −3,0% após 68 semanas (PMID 40544433)</w:t>
            </w:r>
          </w:p>
        </w:tc>
        <w:tc>
          <w:tcPr/>
          <w:p>
            <w:pPr>
              <w:pStyle w:val="Compact"/>
              <w:jc w:val="left"/>
            </w:pPr>
            <w:r>
              <w:t xml:space="preserve">Queixas gastrointestinais em cerca de 80%</w:t>
            </w:r>
          </w:p>
        </w:tc>
      </w:tr>
      <w:tr>
        <w:tc>
          <w:tcPr/>
          <w:p>
            <w:pPr>
              <w:pStyle w:val="Compact"/>
              <w:jc w:val="left"/>
            </w:pPr>
            <w:r>
              <w:t xml:space="preserve">Amicretina</w:t>
            </w:r>
          </w:p>
        </w:tc>
        <w:tc>
          <w:tcPr/>
          <w:p>
            <w:pPr>
              <w:pStyle w:val="Compact"/>
              <w:jc w:val="left"/>
            </w:pPr>
            <w:r>
              <w:t xml:space="preserve">Fase 1b/2a: até −24,3% vs. −1,1% após 36 semanas (PMID 40550231)</w:t>
            </w:r>
          </w:p>
        </w:tc>
        <w:tc>
          <w:tcPr/>
          <w:p>
            <w:pPr>
              <w:pStyle w:val="Compact"/>
              <w:jc w:val="left"/>
            </w:pPr>
            <w:r>
              <w:t xml:space="preserve">Gastrointestinal; consequências de longo prazo desconhecidas</w:t>
            </w:r>
          </w:p>
        </w:tc>
      </w:tr>
      <w:tr>
        <w:tc>
          <w:tcPr/>
          <w:p>
            <w:pPr>
              <w:pStyle w:val="Compact"/>
              <w:jc w:val="left"/>
            </w:pPr>
            <w:r>
              <w:t xml:space="preserve">Maridebarte cafraglutida</w:t>
            </w:r>
          </w:p>
        </w:tc>
        <w:tc>
          <w:tcPr/>
          <w:p>
            <w:pPr>
              <w:pStyle w:val="Compact"/>
              <w:jc w:val="left"/>
            </w:pPr>
            <w:r>
              <w:t xml:space="preserve">Fase 2: −12,3 a −16,2% vs. −2,5% após 52 semanas (PMID 40549887)</w:t>
            </w:r>
          </w:p>
        </w:tc>
        <w:tc>
          <w:tcPr/>
          <w:p>
            <w:pPr>
              <w:pStyle w:val="Compact"/>
              <w:jc w:val="left"/>
            </w:pPr>
            <w:r>
              <w:t xml:space="preserve">Gastrointestinal; duração de ação muito longa</w:t>
            </w:r>
          </w:p>
        </w:tc>
      </w:tr>
      <w:tr>
        <w:tc>
          <w:tcPr/>
          <w:p>
            <w:pPr>
              <w:pStyle w:val="Compact"/>
              <w:jc w:val="left"/>
            </w:pPr>
            <w:r>
              <w:t xml:space="preserve">Pranlintida</w:t>
            </w:r>
          </w:p>
        </w:tc>
        <w:tc>
          <w:tcPr/>
          <w:p>
            <w:pPr>
              <w:pStyle w:val="Compact"/>
              <w:jc w:val="left"/>
            </w:pPr>
            <w:r>
              <w:t xml:space="preserve">HbA1c −0,62 ponto percentual, peso −1,4 kg (PMID 12610038)</w:t>
            </w:r>
          </w:p>
        </w:tc>
        <w:tc>
          <w:tcPr/>
          <w:p>
            <w:pPr>
              <w:pStyle w:val="Compact"/>
              <w:jc w:val="left"/>
            </w:pPr>
            <w:r>
              <w:t xml:space="preserve">Hipoglicemia grave com insulina, náusea</w:t>
            </w:r>
          </w:p>
        </w:tc>
      </w:tr>
      <w:tr>
        <w:tc>
          <w:tcPr/>
          <w:p>
            <w:pPr>
              <w:pStyle w:val="Compact"/>
              <w:jc w:val="left"/>
            </w:pPr>
            <w:r>
              <w:t xml:space="preserve">Setmelanotida</w:t>
            </w:r>
          </w:p>
        </w:tc>
        <w:tc>
          <w:tcPr/>
          <w:p>
            <w:pPr>
              <w:pStyle w:val="Compact"/>
              <w:jc w:val="left"/>
            </w:pPr>
            <w:r>
              <w:t xml:space="preserve">TRANSCEND: IMC −16,5% vs. +3,3% na obesidade hipotalâmica (PMID 42418774)</w:t>
            </w:r>
          </w:p>
        </w:tc>
        <w:tc>
          <w:tcPr/>
          <w:p>
            <w:pPr>
              <w:pStyle w:val="Compact"/>
              <w:jc w:val="left"/>
            </w:pPr>
            <w:r>
              <w:t xml:space="preserve">Locais de injeção, escurecimento da pele, náusea</w:t>
            </w:r>
          </w:p>
        </w:tc>
      </w:tr>
      <w:tr>
        <w:tc>
          <w:tcPr/>
          <w:p>
            <w:pPr>
              <w:pStyle w:val="Compact"/>
              <w:jc w:val="left"/>
            </w:pPr>
            <w:r>
              <w:t xml:space="preserve">AOD-9604</w:t>
            </w:r>
          </w:p>
        </w:tc>
        <w:tc>
          <w:tcPr/>
          <w:p>
            <w:pPr>
              <w:pStyle w:val="Compact"/>
              <w:jc w:val="left"/>
            </w:pPr>
            <w:r>
              <w:t xml:space="preserve">Apenas dados em animais: em camundongos, menor ganho de peso (PMID 11673763)</w:t>
            </w:r>
          </w:p>
        </w:tc>
        <w:tc>
          <w:tcPr/>
          <w:p>
            <w:pPr>
              <w:pStyle w:val="Compact"/>
              <w:jc w:val="left"/>
            </w:pPr>
            <w:r>
              <w:t xml:space="preserve">Efeito em humanos desconhecido</w:t>
            </w:r>
          </w:p>
        </w:tc>
      </w:tr>
      <w:tr>
        <w:tc>
          <w:tcPr/>
          <w:p>
            <w:pPr>
              <w:pStyle w:val="Compact"/>
              <w:jc w:val="left"/>
            </w:pPr>
            <w:r>
              <w:t xml:space="preserve">Orforglipron</w:t>
            </w:r>
          </w:p>
        </w:tc>
        <w:tc>
          <w:tcPr/>
          <w:p>
            <w:pPr>
              <w:pStyle w:val="Compact"/>
              <w:jc w:val="left"/>
            </w:pPr>
            <w:r>
              <w:t xml:space="preserve">ATTAIN-1: até −11,2% vs. −2,1% como comprimido (PMID 40960239)</w:t>
            </w:r>
          </w:p>
        </w:tc>
        <w:tc>
          <w:tcPr/>
          <w:p>
            <w:pPr>
              <w:pStyle w:val="Compact"/>
              <w:jc w:val="left"/>
            </w:pPr>
            <w:r>
              <w:t xml:space="preserve">Gastrointestinal, um pouco mais de abandonos que o comprimido de semaglutida</w:t>
            </w:r>
          </w:p>
        </w:tc>
      </w:tr>
    </w:tbl>
    <w:bookmarkEnd w:id="2525"/>
    <w:bookmarkStart w:id="2526" w:name="Xfeb52c57cdc560ca5027076d83a94f6dbe97e96"/>
    <w:p>
      <w:pPr>
        <w:pStyle w:val="Heading3"/>
      </w:pPr>
      <w:r>
        <w:t xml:space="preserve">B. Cura, regeneração e sistema imunológico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0 / 4 (nota)</w:t>
            </w:r>
          </w:p>
        </w:tc>
      </w:tr>
      <w:tr>
        <w:tc>
          <w:tcPr/>
          <w:p>
            <w:pPr>
              <w:pStyle w:val="Compact"/>
              <w:jc w:val="left"/>
            </w:pPr>
            <w:r>
              <w:t xml:space="preserve">TB-500 / timosina beta-4</w:t>
            </w:r>
          </w:p>
        </w:tc>
        <w:tc>
          <w:tcPr/>
          <w:p>
            <w:pPr>
              <w:pStyle w:val="Compact"/>
              <w:jc w:val="left"/>
            </w:pPr>
            <w:r>
              <w:t xml:space="preserve">B (Tβ4) / D (TB-500)</w:t>
            </w:r>
          </w:p>
        </w:tc>
        <w:tc>
          <w:tcPr/>
          <w:p>
            <w:pPr>
              <w:pStyle w:val="Compact"/>
              <w:jc w:val="left"/>
            </w:pPr>
            <w:r>
              <w:t xml:space="preserve">não / não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não / não (aprovada na China, entre outros)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não / não (aprovada na Rússia)</w:t>
            </w:r>
          </w:p>
        </w:tc>
        <w:tc>
          <w:tcPr/>
          <w:p>
            <w:pPr>
              <w:pStyle w:val="Compact"/>
              <w:jc w:val="left"/>
            </w:pPr>
            <w:r>
              <w:t xml:space="preserve">17 / 0</w:t>
            </w:r>
          </w:p>
        </w:tc>
      </w:tr>
    </w:tbl>
    <w:p>
      <w:pPr>
        <w:pStyle w:val="BodyText"/>
      </w:pPr>
      <w:r>
        <w:t xml:space="preserve">Notas sobre a tabela: para o</w:t>
      </w:r>
      <w:r>
        <w:t xml:space="preserve"> </w:t>
      </w:r>
      <w:r>
        <w:rPr>
          <w:bCs/>
          <w:b/>
        </w:rPr>
        <w:t xml:space="preserve">BPC-157</w:t>
      </w:r>
      <w:r>
        <w:t xml:space="preserve">, nenhuma publicação cumpriu os critérios de filtro da busca automática; na realidade, há três pequenas investigações não controladas com cerca de 30 pessoas no total. Para o</w:t>
      </w:r>
      <w:r>
        <w:t xml:space="preserve"> </w:t>
      </w:r>
      <w:r>
        <w:rPr>
          <w:bCs/>
          <w:b/>
        </w:rPr>
        <w:t xml:space="preserve">TB-500</w:t>
      </w:r>
      <w:r>
        <w:t xml:space="preserve">, os resultados referem-se à proteína inteira timosina beta-4 (apenas seis deles como princípio ativo); nenhum investiga o TB-500. Para o</w:t>
      </w:r>
      <w:r>
        <w:t xml:space="preserve"> </w:t>
      </w:r>
      <w:r>
        <w:rPr>
          <w:bCs/>
          <w:b/>
        </w:rPr>
        <w:t xml:space="preserve">LL-37</w:t>
      </w:r>
      <w:r>
        <w:t xml:space="preserve">, a maioria dos resultados mede o LL-37 apenas como valor laboratorial, por exemplo em estudos de vitamina D; estudos em que o próprio LL-37 foi administrado são apenas cinco no PubMed e dois no registro. Para a</w:t>
      </w:r>
      <w:r>
        <w:t xml:space="preserve"> </w:t>
      </w:r>
      <w:r>
        <w:rPr>
          <w:bCs/>
          <w:b/>
        </w:rPr>
        <w:t xml:space="preserve">larazotida</w:t>
      </w:r>
      <w:r>
        <w:t xml:space="preserve">, a busca encontrou 29 registros, dos quais 19 se referem a outro medicamento com o mesmo código de desenvolvimento anterior; a tabela indica o número corrigido.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BPC-157</w:t>
            </w:r>
          </w:p>
        </w:tc>
        <w:tc>
          <w:tcPr/>
          <w:p>
            <w:pPr>
              <w:pStyle w:val="Compact"/>
              <w:jc w:val="left"/>
            </w:pPr>
            <w:r>
              <w:t xml:space="preserve">Três investigações-piloto não controladas, evidência muito baixa segundo revisão (PMID 42885452)</w:t>
            </w:r>
          </w:p>
        </w:tc>
        <w:tc>
          <w:tcPr/>
          <w:p>
            <w:pPr>
              <w:pStyle w:val="Compact"/>
              <w:jc w:val="left"/>
            </w:pPr>
            <w:r>
              <w:t xml:space="preserve">segurança de longo prazo desconhecida, qualidade do mercado cinza</w:t>
            </w:r>
          </w:p>
        </w:tc>
      </w:tr>
      <w:tr>
        <w:tc>
          <w:tcPr/>
          <w:p>
            <w:pPr>
              <w:pStyle w:val="Compact"/>
              <w:jc w:val="left"/>
            </w:pPr>
            <w:r>
              <w:t xml:space="preserve">TB-500 / timosina beta-4</w:t>
            </w:r>
          </w:p>
        </w:tc>
        <w:tc>
          <w:tcPr/>
          <w:p>
            <w:pPr>
              <w:pStyle w:val="Compact"/>
              <w:jc w:val="left"/>
            </w:pPr>
            <w:r>
              <w:t xml:space="preserve">Tβ4 após infarto: tamanho do infarto não significativamente menor (PMID 41229390); TB-500 não testado</w:t>
            </w:r>
          </w:p>
        </w:tc>
        <w:tc>
          <w:tcPr/>
          <w:p>
            <w:pPr>
              <w:pStyle w:val="Compact"/>
              <w:jc w:val="left"/>
            </w:pPr>
            <w:r>
              <w:t xml:space="preserve">conteúdo incerto, teoricamente estímulo tumoral</w:t>
            </w:r>
          </w:p>
        </w:tc>
      </w:tr>
      <w:tr>
        <w:tc>
          <w:tcPr/>
          <w:p>
            <w:pPr>
              <w:pStyle w:val="Compact"/>
              <w:jc w:val="left"/>
            </w:pPr>
            <w:r>
              <w:t xml:space="preserve">Timosina alfa 1</w:t>
            </w:r>
          </w:p>
        </w:tc>
        <w:tc>
          <w:tcPr/>
          <w:p>
            <w:pPr>
              <w:pStyle w:val="Compact"/>
              <w:jc w:val="left"/>
            </w:pPr>
            <w:r>
              <w:t xml:space="preserve">TESTS na sepse: mortalidade em 28 dias 23,4% vs. 24,1%, nenhuma diferença (PMID 39814420)</w:t>
            </w:r>
          </w:p>
        </w:tc>
        <w:tc>
          <w:tcPr/>
          <w:p>
            <w:pPr>
              <w:pStyle w:val="Compact"/>
              <w:jc w:val="left"/>
            </w:pPr>
            <w:r>
              <w:t xml:space="preserve">possíveis desvantagens em subgrupos; mercado cinza</w:t>
            </w:r>
          </w:p>
        </w:tc>
      </w:tr>
      <w:tr>
        <w:tc>
          <w:tcPr/>
          <w:p>
            <w:pPr>
              <w:pStyle w:val="Compact"/>
              <w:jc w:val="left"/>
            </w:pPr>
            <w:r>
              <w:t xml:space="preserve">KPV</w:t>
            </w:r>
          </w:p>
        </w:tc>
        <w:tc>
          <w:tcPr/>
          <w:p>
            <w:pPr>
              <w:pStyle w:val="Compact"/>
              <w:jc w:val="left"/>
            </w:pPr>
            <w:r>
              <w:t xml:space="preserve">Apenas dados em animais: menos inflamação intestinal em camundongos (PMID 18061177)</w:t>
            </w:r>
          </w:p>
        </w:tc>
        <w:tc>
          <w:tcPr/>
          <w:p>
            <w:pPr>
              <w:pStyle w:val="Compact"/>
              <w:jc w:val="left"/>
            </w:pPr>
            <w:r>
              <w:t xml:space="preserve">perfil em humanos totalmente desconhecido</w:t>
            </w:r>
          </w:p>
        </w:tc>
      </w:tr>
      <w:tr>
        <w:tc>
          <w:tcPr/>
          <w:p>
            <w:pPr>
              <w:pStyle w:val="Compact"/>
              <w:jc w:val="left"/>
            </w:pPr>
            <w:r>
              <w:t xml:space="preserve">LL-37</w:t>
            </w:r>
          </w:p>
        </w:tc>
        <w:tc>
          <w:tcPr/>
          <w:p>
            <w:pPr>
              <w:pStyle w:val="Compact"/>
              <w:jc w:val="left"/>
            </w:pPr>
            <w:r>
              <w:t xml:space="preserve">HEAL LL-37: úlceras de perna não cicatrizaram melhor que com placebo (PMID 34687253)</w:t>
            </w:r>
          </w:p>
        </w:tc>
        <w:tc>
          <w:tcPr/>
          <w:p>
            <w:pPr>
              <w:pStyle w:val="Compact"/>
              <w:jc w:val="left"/>
            </w:pPr>
            <w:r>
              <w:t xml:space="preserve">reações inflamatórias e autoimunes</w:t>
            </w:r>
          </w:p>
        </w:tc>
      </w:tr>
      <w:tr>
        <w:tc>
          <w:tcPr/>
          <w:p>
            <w:pPr>
              <w:pStyle w:val="Compact"/>
              <w:jc w:val="left"/>
            </w:pPr>
            <w:r>
              <w:t xml:space="preserve">ARA-290</w:t>
            </w:r>
          </w:p>
        </w:tc>
        <w:tc>
          <w:tcPr/>
          <w:p>
            <w:pPr>
              <w:pStyle w:val="Compact"/>
              <w:jc w:val="left"/>
            </w:pPr>
            <w:r>
              <w:t xml:space="preserve">Fase 2b: fibras nervosas aumentadas apenas com uma de três doses (PMID 28475703)</w:t>
            </w:r>
          </w:p>
        </w:tc>
        <w:tc>
          <w:tcPr/>
          <w:p>
            <w:pPr>
              <w:pStyle w:val="Compact"/>
              <w:jc w:val="left"/>
            </w:pPr>
            <w:r>
              <w:t xml:space="preserve">quase nenhum dado além de doze semanas</w:t>
            </w:r>
          </w:p>
        </w:tc>
      </w:tr>
      <w:tr>
        <w:tc>
          <w:tcPr/>
          <w:p>
            <w:pPr>
              <w:pStyle w:val="Compact"/>
              <w:jc w:val="left"/>
            </w:pPr>
            <w:r>
              <w:t xml:space="preserve">Larazotida</w:t>
            </w:r>
          </w:p>
        </w:tc>
        <w:tc>
          <w:tcPr/>
          <w:p>
            <w:pPr>
              <w:pStyle w:val="Compact"/>
              <w:jc w:val="left"/>
            </w:pPr>
            <w:r>
              <w:t xml:space="preserve">Apenas a menor de três doses foi melhor que placebo (PMID 25683116); fase 3 interrompida</w:t>
            </w:r>
          </w:p>
        </w:tc>
        <w:tc>
          <w:tcPr/>
          <w:p>
            <w:pPr>
              <w:pStyle w:val="Compact"/>
              <w:jc w:val="left"/>
            </w:pPr>
            <w:r>
              <w:t xml:space="preserve">dieta sem glúten relaxada</w:t>
            </w:r>
          </w:p>
        </w:tc>
      </w:tr>
      <w:tr>
        <w:tc>
          <w:tcPr/>
          <w:p>
            <w:pPr>
              <w:pStyle w:val="Compact"/>
              <w:jc w:val="left"/>
            </w:pPr>
            <w:r>
              <w:t xml:space="preserve">Timalina</w:t>
            </w:r>
          </w:p>
        </w:tc>
        <w:tc>
          <w:tcPr/>
          <w:p>
            <w:pPr>
              <w:pStyle w:val="Compact"/>
              <w:jc w:val="left"/>
            </w:pPr>
            <w:r>
              <w:t xml:space="preserve">Observação russo-ucraniana: menor mortalidade, alocação incerta (PMID 14523363)</w:t>
            </w:r>
          </w:p>
        </w:tc>
        <w:tc>
          <w:tcPr/>
          <w:p>
            <w:pPr>
              <w:pStyle w:val="Compact"/>
              <w:jc w:val="left"/>
            </w:pPr>
            <w:r>
              <w:t xml:space="preserve">extrato animal, riscos de lote</w:t>
            </w:r>
          </w:p>
        </w:tc>
      </w:tr>
    </w:tbl>
    <w:bookmarkEnd w:id="2526"/>
    <w:bookmarkStart w:id="2527" w:name="c.-eixo-do-hormônio-do-crescimento"/>
    <w:p>
      <w:pPr>
        <w:pStyle w:val="Heading3"/>
      </w:pPr>
      <w:r>
        <w:t xml:space="preserve">C. Eixo do hormônio do crescimento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não / antes sim, retirada do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não / sim (lipodistrofia associada ao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não / não (Japão: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sim / sim (só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sim / sim</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Ibutamoreno (não é peptídeo)</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19 / 8</w:t>
            </w:r>
          </w:p>
        </w:tc>
      </w:tr>
    </w:tbl>
    <w:p>
      <w:pPr>
        <w:pStyle w:val="BodyText"/>
      </w:pPr>
      <w:r>
        <w:t xml:space="preserve">Notas sobre a tabela: para a</w:t>
      </w:r>
      <w:r>
        <w:t xml:space="preserve"> </w:t>
      </w:r>
      <w:r>
        <w:rPr>
          <w:bCs/>
          <w:b/>
        </w:rPr>
        <w:t xml:space="preserve">sermorelina</w:t>
      </w:r>
      <w:r>
        <w:t xml:space="preserve">, a busca pelo nome não encontra nenhum estudo em humanos, porque a maioria dos trabalhos foi publicada como</w:t>
      </w:r>
      <w:r>
        <w:t xml:space="preserve"> </w:t>
      </w:r>
      <w:r>
        <w:t xml:space="preserve">“</w:t>
      </w:r>
      <w:r>
        <w:t xml:space="preserve">GHRH(1-29)</w:t>
      </w:r>
      <w:r>
        <w:t xml:space="preserve">”</w:t>
      </w:r>
      <w:r>
        <w:t xml:space="preserve"> </w:t>
      </w:r>
      <w:r>
        <w:t xml:space="preserve">ou</w:t>
      </w:r>
      <w:r>
        <w:t xml:space="preserve"> </w:t>
      </w:r>
      <w:r>
        <w:t xml:space="preserve">“</w:t>
      </w:r>
      <w:r>
        <w:t xml:space="preserve">GRF 1-29</w:t>
      </w:r>
      <w:r>
        <w:t xml:space="preserve">”</w:t>
      </w:r>
      <w:r>
        <w:t xml:space="preserve">; com busca direcionada, são várias dezenas de pequenos estudos, a maioria anterior a 2000. Muitos dos 27 resultados nos registros, por outro lado, referem-se à tesamorelina ou a testes de GHRH em geral. Para</w:t>
      </w:r>
      <w:r>
        <w:t xml:space="preserve"> </w:t>
      </w:r>
      <w:r>
        <w:rPr>
          <w:bCs/>
          <w:b/>
        </w:rPr>
        <w:t xml:space="preserve">GHRP-2, GHRP-6 e hexarelina</w:t>
      </w:r>
      <w:r>
        <w:t xml:space="preserve">, quase todos os trabalhos usam a substância apenas como substância de teste única para pesquisar o controle hormonal; nada dizem sobre um benefício.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Sermorelina</w:t>
            </w:r>
          </w:p>
        </w:tc>
        <w:tc>
          <w:tcPr/>
          <w:p>
            <w:pPr>
              <w:pStyle w:val="Compact"/>
              <w:jc w:val="left"/>
            </w:pPr>
            <w:r>
              <w:t xml:space="preserve">110 crianças com deficiência de GH: crescimento de 4,1 para 7,2 cm/ano (PMID 8772599)</w:t>
            </w:r>
          </w:p>
        </w:tc>
        <w:tc>
          <w:tcPr/>
          <w:p>
            <w:pPr>
              <w:pStyle w:val="Compact"/>
              <w:jc w:val="left"/>
            </w:pPr>
            <w:r>
              <w:t xml:space="preserve">Rubor; consequências de longo prazo em adultos não esclarecidas</w:t>
            </w:r>
          </w:p>
        </w:tc>
      </w:tr>
      <w:tr>
        <w:tc>
          <w:tcPr/>
          <w:p>
            <w:pPr>
              <w:pStyle w:val="Compact"/>
              <w:jc w:val="left"/>
            </w:pPr>
            <w:r>
              <w:t xml:space="preserve">Tesamorelina</w:t>
            </w:r>
          </w:p>
        </w:tc>
        <w:tc>
          <w:tcPr/>
          <w:p>
            <w:pPr>
              <w:pStyle w:val="Compact"/>
              <w:jc w:val="left"/>
            </w:pPr>
            <w:r>
              <w:t xml:space="preserve">Dois estudos de fase 3 com 806 pessoas: gordura abdominal visceral −15,4% em relação ao placebo (PMID 20554713)</w:t>
            </w:r>
          </w:p>
        </w:tc>
        <w:tc>
          <w:tcPr/>
          <w:p>
            <w:pPr>
              <w:pStyle w:val="Compact"/>
              <w:jc w:val="left"/>
            </w:pPr>
            <w:r>
              <w:t xml:space="preserve">Dores articulares, retenção de líquidos, glicemia</w:t>
            </w:r>
          </w:p>
        </w:tc>
      </w:tr>
      <w:tr>
        <w:tc>
          <w:tcPr/>
          <w:p>
            <w:pPr>
              <w:pStyle w:val="Compact"/>
              <w:jc w:val="left"/>
            </w:pPr>
            <w:r>
              <w:t xml:space="preserve">CJC-1295</w:t>
            </w:r>
          </w:p>
        </w:tc>
        <w:tc>
          <w:tcPr/>
          <w:p>
            <w:pPr>
              <w:pStyle w:val="Compact"/>
              <w:jc w:val="left"/>
            </w:pPr>
            <w:r>
              <w:t xml:space="preserve">Injeção única: GH aumentado 2 a 10 vezes, IGF-1 1,5 a 3 vezes (PMID 16352683)</w:t>
            </w:r>
          </w:p>
        </w:tc>
        <w:tc>
          <w:tcPr/>
          <w:p>
            <w:pPr>
              <w:pStyle w:val="Compact"/>
              <w:jc w:val="left"/>
            </w:pPr>
            <w:r>
              <w:t xml:space="preserve">Estimulação contínua não pesquisada, conteúdo incerto</w:t>
            </w:r>
          </w:p>
        </w:tc>
      </w:tr>
      <w:tr>
        <w:tc>
          <w:tcPr/>
          <w:p>
            <w:pPr>
              <w:pStyle w:val="Compact"/>
              <w:jc w:val="left"/>
            </w:pPr>
            <w:r>
              <w:t xml:space="preserve">Ipamorelina</w:t>
            </w:r>
          </w:p>
        </w:tc>
        <w:tc>
          <w:tcPr/>
          <w:p>
            <w:pPr>
              <w:pStyle w:val="Compact"/>
              <w:jc w:val="left"/>
            </w:pPr>
            <w:r>
              <w:t xml:space="preserve">Fase 2 após cirurgia intestinal: nenhum benefício significativo (PMID 25331030)</w:t>
            </w:r>
          </w:p>
        </w:tc>
        <w:tc>
          <w:tcPr/>
          <w:p>
            <w:pPr>
              <w:pStyle w:val="Compact"/>
              <w:jc w:val="left"/>
            </w:pPr>
            <w:r>
              <w:t xml:space="preserve">nenhum dado sobre uso contínuo; moléculas modificadas</w:t>
            </w:r>
          </w:p>
        </w:tc>
      </w:tr>
      <w:tr>
        <w:tc>
          <w:tcPr/>
          <w:p>
            <w:pPr>
              <w:pStyle w:val="Compact"/>
              <w:jc w:val="left"/>
            </w:pPr>
            <w:r>
              <w:t xml:space="preserve">GHRP-2</w:t>
            </w:r>
          </w:p>
        </w:tc>
        <w:tc>
          <w:tcPr/>
          <w:p>
            <w:pPr>
              <w:pStyle w:val="Compact"/>
              <w:jc w:val="left"/>
            </w:pPr>
            <w:r>
              <w:t xml:space="preserve">Como teste, separou de forma confiável deficiência de GH de pessoas saudáveis (PMID 17609397)</w:t>
            </w:r>
          </w:p>
        </w:tc>
        <w:tc>
          <w:tcPr/>
          <w:p>
            <w:pPr>
              <w:pStyle w:val="Compact"/>
              <w:jc w:val="left"/>
            </w:pPr>
            <w:r>
              <w:t xml:space="preserve">Fome intensa, aumento de hormônios do estresse</w:t>
            </w:r>
          </w:p>
        </w:tc>
      </w:tr>
      <w:tr>
        <w:tc>
          <w:tcPr/>
          <w:p>
            <w:pPr>
              <w:pStyle w:val="Compact"/>
              <w:jc w:val="left"/>
            </w:pPr>
            <w:r>
              <w:t xml:space="preserve">GHRP-6</w:t>
            </w:r>
          </w:p>
        </w:tc>
        <w:tc>
          <w:tcPr/>
          <w:p>
            <w:pPr>
              <w:pStyle w:val="Compact"/>
              <w:jc w:val="left"/>
            </w:pPr>
            <w:r>
              <w:t xml:space="preserve">Teste combinado detectou de forma confiável a deficiência de GH (PMID 11030292)</w:t>
            </w:r>
          </w:p>
        </w:tc>
        <w:tc>
          <w:tcPr/>
          <w:p>
            <w:pPr>
              <w:pStyle w:val="Compact"/>
              <w:jc w:val="left"/>
            </w:pPr>
            <w:r>
              <w:t xml:space="preserve">Rubor, aumentos hormonais, fome</w:t>
            </w:r>
          </w:p>
        </w:tc>
      </w:tr>
      <w:tr>
        <w:tc>
          <w:tcPr/>
          <w:p>
            <w:pPr>
              <w:pStyle w:val="Compact"/>
              <w:jc w:val="left"/>
            </w:pPr>
            <w:r>
              <w:t xml:space="preserve">Hexarelina</w:t>
            </w:r>
          </w:p>
        </w:tc>
        <w:tc>
          <w:tcPr/>
          <w:p>
            <w:pPr>
              <w:pStyle w:val="Compact"/>
              <w:jc w:val="left"/>
            </w:pPr>
            <w:r>
              <w:t xml:space="preserve">Perda de efeito ao longo de 16 semanas, composição corporal inalterada (PMID 9589671)</w:t>
            </w:r>
          </w:p>
        </w:tc>
        <w:tc>
          <w:tcPr/>
          <w:p>
            <w:pPr>
              <w:pStyle w:val="Compact"/>
              <w:jc w:val="left"/>
            </w:pPr>
            <w:r>
              <w:t xml:space="preserve">Hormônios do estresse, prolactina, perda de efeito</w:t>
            </w:r>
          </w:p>
        </w:tc>
      </w:tr>
      <w:tr>
        <w:tc>
          <w:tcPr/>
          <w:p>
            <w:pPr>
              <w:pStyle w:val="Compact"/>
              <w:jc w:val="left"/>
            </w:pPr>
            <w:r>
              <w:t xml:space="preserve">Macimorelina</w:t>
            </w:r>
          </w:p>
        </w:tc>
        <w:tc>
          <w:tcPr/>
          <w:p>
            <w:pPr>
              <w:pStyle w:val="Compact"/>
              <w:jc w:val="left"/>
            </w:pPr>
            <w:r>
              <w:t xml:space="preserve">Teste com 87% de sensibilidade e 96% de especificidade em relação ao teste de insulina (PMID 29860473)</w:t>
            </w:r>
          </w:p>
        </w:tc>
        <w:tc>
          <w:tcPr/>
          <w:p>
            <w:pPr>
              <w:pStyle w:val="Compact"/>
              <w:jc w:val="left"/>
            </w:pPr>
            <w:r>
              <w:t xml:space="preserve">Prolongamento do QT em superdosagem</w:t>
            </w:r>
          </w:p>
        </w:tc>
      </w:tr>
      <w:tr>
        <w:tc>
          <w:tcPr/>
          <w:p>
            <w:pPr>
              <w:pStyle w:val="Compact"/>
              <w:jc w:val="left"/>
            </w:pPr>
            <w:r>
              <w:t xml:space="preserve">Mecasermina (IGF-1)</w:t>
            </w:r>
          </w:p>
        </w:tc>
        <w:tc>
          <w:tcPr/>
          <w:p>
            <w:pPr>
              <w:pStyle w:val="Compact"/>
              <w:jc w:val="left"/>
            </w:pPr>
            <w:r>
              <w:t xml:space="preserve">76 crianças com resistência ao GH: crescimento de 2,8 para 8,0 cm/ano (PMID 17192294)</w:t>
            </w:r>
          </w:p>
        </w:tc>
        <w:tc>
          <w:tcPr/>
          <w:p>
            <w:pPr>
              <w:pStyle w:val="Compact"/>
              <w:jc w:val="left"/>
            </w:pPr>
            <w:r>
              <w:t xml:space="preserve">Hipoglicemia; advertência sobre neoplasias</w:t>
            </w:r>
          </w:p>
        </w:tc>
      </w:tr>
      <w:tr>
        <w:tc>
          <w:tcPr/>
          <w:p>
            <w:pPr>
              <w:pStyle w:val="Compact"/>
              <w:jc w:val="left"/>
            </w:pPr>
            <w:r>
              <w:t xml:space="preserve">IGF-1 LR3</w:t>
            </w:r>
          </w:p>
        </w:tc>
        <w:tc>
          <w:tcPr/>
          <w:p>
            <w:pPr>
              <w:pStyle w:val="Compact"/>
              <w:jc w:val="left"/>
            </w:pPr>
            <w:r>
              <w:t xml:space="preserve">Nenhum estudo em humanos; no frasco do mercado negro, uma variante de laboratório (PMID 20675162)</w:t>
            </w:r>
          </w:p>
        </w:tc>
        <w:tc>
          <w:tcPr/>
          <w:p>
            <w:pPr>
              <w:pStyle w:val="Compact"/>
              <w:jc w:val="left"/>
            </w:pPr>
            <w:r>
              <w:t xml:space="preserve">Hipoglicemia, sinais de crescimento (teórico)</w:t>
            </w:r>
          </w:p>
        </w:tc>
      </w:tr>
      <w:tr>
        <w:tc>
          <w:tcPr/>
          <w:p>
            <w:pPr>
              <w:pStyle w:val="Compact"/>
              <w:jc w:val="left"/>
            </w:pPr>
            <w:r>
              <w:t xml:space="preserve">Ibutamoreno</w:t>
            </w:r>
          </w:p>
        </w:tc>
        <w:tc>
          <w:tcPr/>
          <w:p>
            <w:pPr>
              <w:pStyle w:val="Compact"/>
              <w:jc w:val="left"/>
            </w:pPr>
            <w:r>
              <w:t xml:space="preserve">65 idosos: massa magra +1,1 kg, força e função inalteradas (PMID 18981485)</w:t>
            </w:r>
          </w:p>
        </w:tc>
        <w:tc>
          <w:tcPr/>
          <w:p>
            <w:pPr>
              <w:pStyle w:val="Compact"/>
              <w:jc w:val="left"/>
            </w:pPr>
            <w:r>
              <w:t xml:space="preserve">Sinal de insuficiência cardíaca, glicemia mais alta</w:t>
            </w:r>
          </w:p>
        </w:tc>
      </w:tr>
    </w:tbl>
    <w:bookmarkEnd w:id="2527"/>
    <w:bookmarkStart w:id="2528" w:name="d.-cérebro-sono-e-longevidade"/>
    <w:p>
      <w:pPr>
        <w:pStyle w:val="Heading3"/>
      </w:pPr>
      <w:r>
        <w:t xml:space="preserve">D. Cérebro, sono e longevidade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não / não (registrado na Rússia)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(Áustria, entre outros) / não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não / sim, acelerada (só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não / não</w:t>
            </w:r>
          </w:p>
        </w:tc>
        <w:tc>
          <w:tcPr/>
          <w:p>
            <w:pPr>
              <w:pStyle w:val="Compact"/>
              <w:jc w:val="left"/>
            </w:pPr>
            <w:r>
              <w:t xml:space="preserve">0 / 0</w:t>
            </w:r>
          </w:p>
        </w:tc>
      </w:tr>
      <w:tr>
        <w:tc>
          <w:tcPr/>
          <w:p>
            <w:pPr>
              <w:pStyle w:val="Compact"/>
              <w:jc w:val="left"/>
            </w:pPr>
            <w:r>
              <w:t xml:space="preserve">Glutationa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161 / 273 (nota)</w:t>
            </w:r>
          </w:p>
        </w:tc>
      </w:tr>
    </w:tbl>
    <w:p>
      <w:pPr>
        <w:pStyle w:val="BodyText"/>
      </w:pPr>
      <w:r>
        <w:t xml:space="preserve">Notas sobre a tabela: para</w:t>
      </w:r>
      <w:r>
        <w:t xml:space="preserve"> </w:t>
      </w:r>
      <w:r>
        <w:rPr>
          <w:bCs/>
          <w:b/>
        </w:rPr>
        <w:t xml:space="preserve">Selank</w:t>
      </w:r>
      <w:r>
        <w:t xml:space="preserve"> </w:t>
      </w:r>
      <w:r>
        <w:t xml:space="preserve">e</w:t>
      </w:r>
      <w:r>
        <w:t xml:space="preserve"> </w:t>
      </w:r>
      <w:r>
        <w:rPr>
          <w:bCs/>
          <w:b/>
        </w:rPr>
        <w:t xml:space="preserve">DSIP</w:t>
      </w:r>
      <w:r>
        <w:t xml:space="preserve">, os resultados nos registros referem-se a outros procedimentos ou temas; não há estudo registrado com o peptídeo. O único registro sobre o</w:t>
      </w:r>
      <w:r>
        <w:t xml:space="preserve"> </w:t>
      </w:r>
      <w:r>
        <w:rPr>
          <w:bCs/>
          <w:b/>
        </w:rPr>
        <w:t xml:space="preserve">Epitalon</w:t>
      </w:r>
      <w:r>
        <w:t xml:space="preserve"> </w:t>
      </w:r>
      <w:r>
        <w:t xml:space="preserve">é um estudo não controlado com um sérum para a pele, no qual o Epitalon é um de cinco componentes. Para</w:t>
      </w:r>
      <w:r>
        <w:t xml:space="preserve"> </w:t>
      </w:r>
      <w:r>
        <w:rPr>
          <w:bCs/>
          <w:b/>
        </w:rPr>
        <w:t xml:space="preserve">MOTS-c</w:t>
      </w:r>
      <w:r>
        <w:t xml:space="preserve"> </w:t>
      </w:r>
      <w:r>
        <w:t xml:space="preserve">e</w:t>
      </w:r>
      <w:r>
        <w:t xml:space="preserve"> </w:t>
      </w:r>
      <w:r>
        <w:rPr>
          <w:bCs/>
          <w:b/>
        </w:rPr>
        <w:t xml:space="preserve">humanina</w:t>
      </w:r>
      <w:r>
        <w:t xml:space="preserve">, em nenhuma das publicações o peptídeo foi administrado; elas medem níveis endógenos. Para a</w:t>
      </w:r>
      <w:r>
        <w:t xml:space="preserve"> </w:t>
      </w:r>
      <w:r>
        <w:rPr>
          <w:bCs/>
          <w:b/>
        </w:rPr>
        <w:t xml:space="preserve">glutationa</w:t>
      </w:r>
      <w:r>
        <w:t xml:space="preserve">, muitos resultados medem a glutationa apenas como valor laboratorial ou referem-se à enzima glutationa-S-transferase; estudos com administração de glutationa são uma minoria de algumas dezenas.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Semax</w:t>
            </w:r>
          </w:p>
        </w:tc>
        <w:tc>
          <w:tcPr/>
          <w:p>
            <w:pPr>
              <w:pStyle w:val="Compact"/>
              <w:jc w:val="left"/>
            </w:pPr>
            <w:r>
              <w:t xml:space="preserve">Estudo aberto após AVC: BDNF mais alto, melhora mais rápida (PMID 29798983)</w:t>
            </w:r>
          </w:p>
        </w:tc>
        <w:tc>
          <w:tcPr/>
          <w:p>
            <w:pPr>
              <w:pStyle w:val="Compact"/>
              <w:jc w:val="left"/>
            </w:pPr>
            <w:r>
              <w:t xml:space="preserve">nenhum dado sistemático de segurança</w:t>
            </w:r>
          </w:p>
        </w:tc>
      </w:tr>
      <w:tr>
        <w:tc>
          <w:tcPr/>
          <w:p>
            <w:pPr>
              <w:pStyle w:val="Compact"/>
              <w:jc w:val="left"/>
            </w:pPr>
            <w:r>
              <w:t xml:space="preserve">Selank</w:t>
            </w:r>
          </w:p>
        </w:tc>
        <w:tc>
          <w:tcPr/>
          <w:p>
            <w:pPr>
              <w:pStyle w:val="Compact"/>
              <w:jc w:val="left"/>
            </w:pPr>
            <w:r>
              <w:t xml:space="preserve">Efeito ansiolítico semelhante ao medazepam, sem grupo placebo (PMID 18454096)</w:t>
            </w:r>
          </w:p>
        </w:tc>
        <w:tc>
          <w:tcPr/>
          <w:p>
            <w:pPr>
              <w:pStyle w:val="Compact"/>
              <w:jc w:val="left"/>
            </w:pPr>
            <w:r>
              <w:t xml:space="preserve">nenhum dado de longo prazo; mercado cinza</w:t>
            </w:r>
          </w:p>
        </w:tc>
      </w:tr>
      <w:tr>
        <w:tc>
          <w:tcPr/>
          <w:p>
            <w:pPr>
              <w:pStyle w:val="Compact"/>
              <w:jc w:val="left"/>
            </w:pPr>
            <w:r>
              <w:t xml:space="preserve">Cerebrolisina</w:t>
            </w:r>
          </w:p>
        </w:tc>
        <w:tc>
          <w:tcPr/>
          <w:p>
            <w:pPr>
              <w:pStyle w:val="Compact"/>
              <w:jc w:val="left"/>
            </w:pPr>
            <w:r>
              <w:t xml:space="preserve">CASTA, com 1.070 pessoas: desfecho principal não atingido (PMID 22282884)</w:t>
            </w:r>
          </w:p>
        </w:tc>
        <w:tc>
          <w:tcPr/>
          <w:p>
            <w:pPr>
              <w:pStyle w:val="Compact"/>
              <w:jc w:val="left"/>
            </w:pPr>
            <w:r>
              <w:t xml:space="preserve">possível sinal de efeitos colaterais graves (Cochrane)</w:t>
            </w:r>
          </w:p>
        </w:tc>
      </w:tr>
      <w:tr>
        <w:tc>
          <w:tcPr/>
          <w:p>
            <w:pPr>
              <w:pStyle w:val="Compact"/>
              <w:jc w:val="left"/>
            </w:pPr>
            <w:r>
              <w:t xml:space="preserve">Dihexa</w:t>
            </w:r>
          </w:p>
        </w:tc>
        <w:tc>
          <w:tcPr/>
          <w:p>
            <w:pPr>
              <w:pStyle w:val="Compact"/>
              <w:jc w:val="left"/>
            </w:pPr>
            <w:r>
              <w:t xml:space="preserve">Apenas dados em animais; um estudo central em ratos foi retratado em 2025 (PMID 25187433, retratação PMID 40312093)</w:t>
            </w:r>
          </w:p>
        </w:tc>
        <w:tc>
          <w:tcPr/>
          <w:p>
            <w:pPr>
              <w:pStyle w:val="Compact"/>
              <w:jc w:val="left"/>
            </w:pPr>
            <w:r>
              <w:t xml:space="preserve">nenhum dado em humanos; risco teórico de câncer</w:t>
            </w:r>
          </w:p>
        </w:tc>
      </w:tr>
      <w:tr>
        <w:tc>
          <w:tcPr/>
          <w:p>
            <w:pPr>
              <w:pStyle w:val="Compact"/>
              <w:jc w:val="left"/>
            </w:pPr>
            <w:r>
              <w:t xml:space="preserve">DSIP</w:t>
            </w:r>
          </w:p>
        </w:tc>
        <w:tc>
          <w:tcPr/>
          <w:p>
            <w:pPr>
              <w:pStyle w:val="Compact"/>
              <w:jc w:val="left"/>
            </w:pPr>
            <w:r>
              <w:t xml:space="preserve">16 pessoas com insônia: apenas efeitos fracos (PMID 1299794)</w:t>
            </w:r>
          </w:p>
        </w:tc>
        <w:tc>
          <w:tcPr/>
          <w:p>
            <w:pPr>
              <w:pStyle w:val="Compact"/>
              <w:jc w:val="left"/>
            </w:pPr>
            <w:r>
              <w:t xml:space="preserve">nenhum dado sistemático de segurança</w:t>
            </w:r>
          </w:p>
        </w:tc>
      </w:tr>
      <w:tr>
        <w:tc>
          <w:tcPr/>
          <w:p>
            <w:pPr>
              <w:pStyle w:val="Compact"/>
              <w:jc w:val="left"/>
            </w:pPr>
            <w:r>
              <w:t xml:space="preserve">Epitalon</w:t>
            </w:r>
          </w:p>
        </w:tc>
        <w:tc>
          <w:tcPr/>
          <w:p>
            <w:pPr>
              <w:pStyle w:val="Compact"/>
              <w:jc w:val="left"/>
            </w:pPr>
            <w:r>
              <w:t xml:space="preserve">Em camundongos, nenhuma vida média mais longa (PMID 14501183)</w:t>
            </w:r>
          </w:p>
        </w:tc>
        <w:tc>
          <w:tcPr/>
          <w:p>
            <w:pPr>
              <w:pStyle w:val="Compact"/>
              <w:jc w:val="left"/>
            </w:pPr>
            <w:r>
              <w:t xml:space="preserve">nenhum dado em humanos; questão da telomerase</w:t>
            </w:r>
          </w:p>
        </w:tc>
      </w:tr>
      <w:tr>
        <w:tc>
          <w:tcPr/>
          <w:p>
            <w:pPr>
              <w:pStyle w:val="Compact"/>
              <w:jc w:val="left"/>
            </w:pPr>
            <w:r>
              <w:t xml:space="preserve">Pinealon</w:t>
            </w:r>
          </w:p>
        </w:tc>
        <w:tc>
          <w:tcPr/>
          <w:p>
            <w:pPr>
              <w:pStyle w:val="Compact"/>
              <w:jc w:val="left"/>
            </w:pPr>
            <w:r>
              <w:t xml:space="preserve">32 idosos, não controlado; também inibição da hematopoese (PMID 26390612)</w:t>
            </w:r>
          </w:p>
        </w:tc>
        <w:tc>
          <w:tcPr/>
          <w:p>
            <w:pPr>
              <w:pStyle w:val="Compact"/>
              <w:jc w:val="left"/>
            </w:pPr>
            <w:r>
              <w:t xml:space="preserve">nenhum dado sistemático de segurança</w:t>
            </w:r>
          </w:p>
        </w:tc>
      </w:tr>
      <w:tr>
        <w:tc>
          <w:tcPr/>
          <w:p>
            <w:pPr>
              <w:pStyle w:val="Compact"/>
              <w:jc w:val="left"/>
            </w:pPr>
            <w:r>
              <w:t xml:space="preserve">MOTS-c</w:t>
            </w:r>
          </w:p>
        </w:tc>
        <w:tc>
          <w:tcPr/>
          <w:p>
            <w:pPr>
              <w:pStyle w:val="Compact"/>
              <w:jc w:val="left"/>
            </w:pPr>
            <w:r>
              <w:t xml:space="preserve">Apenas dados em animais sobre a administração: em camundongos, menos sobrepeso (PMID 25738459)</w:t>
            </w:r>
          </w:p>
        </w:tc>
        <w:tc>
          <w:tcPr/>
          <w:p>
            <w:pPr>
              <w:pStyle w:val="Compact"/>
              <w:jc w:val="left"/>
            </w:pPr>
            <w:r>
              <w:t xml:space="preserve">nenhum dado sobre administração em humanos</w:t>
            </w:r>
          </w:p>
        </w:tc>
      </w:tr>
      <w:tr>
        <w:tc>
          <w:tcPr/>
          <w:p>
            <w:pPr>
              <w:pStyle w:val="Compact"/>
              <w:jc w:val="left"/>
            </w:pPr>
            <w:r>
              <w:t xml:space="preserve">Humanina</w:t>
            </w:r>
          </w:p>
        </w:tc>
        <w:tc>
          <w:tcPr/>
          <w:p>
            <w:pPr>
              <w:pStyle w:val="Compact"/>
              <w:jc w:val="left"/>
            </w:pPr>
            <w:r>
              <w:t xml:space="preserve">Apenas medições de níveis em humanos (PMID 32575074)</w:t>
            </w:r>
          </w:p>
        </w:tc>
        <w:tc>
          <w:tcPr/>
          <w:p>
            <w:pPr>
              <w:pStyle w:val="Compact"/>
              <w:jc w:val="left"/>
            </w:pPr>
            <w:r>
              <w:t xml:space="preserve">em camundongos, maior crescimento de câncer de mama (PMID 32444831)</w:t>
            </w:r>
          </w:p>
        </w:tc>
      </w:tr>
      <w:tr>
        <w:tc>
          <w:tcPr/>
          <w:p>
            <w:pPr>
              <w:pStyle w:val="Compact"/>
              <w:jc w:val="left"/>
            </w:pPr>
            <w:r>
              <w:t xml:space="preserve">SS-31 (elamipretida)</w:t>
            </w:r>
          </w:p>
        </w:tc>
        <w:tc>
          <w:tcPr/>
          <w:p>
            <w:pPr>
              <w:pStyle w:val="Compact"/>
              <w:jc w:val="left"/>
            </w:pPr>
            <w:r>
              <w:t xml:space="preserve">MMPOWER-3, com 218 pessoas: nenhum benefício na miopatia (PMID 37268435)</w:t>
            </w:r>
          </w:p>
        </w:tc>
        <w:tc>
          <w:tcPr/>
          <w:p>
            <w:pPr>
              <w:pStyle w:val="Compact"/>
              <w:jc w:val="left"/>
            </w:pPr>
            <w:r>
              <w:t xml:space="preserve">Locais de injeção; produto do mercado cinza não idêntico</w:t>
            </w:r>
          </w:p>
        </w:tc>
      </w:tr>
      <w:tr>
        <w:tc>
          <w:tcPr/>
          <w:p>
            <w:pPr>
              <w:pStyle w:val="Compact"/>
              <w:jc w:val="left"/>
            </w:pPr>
            <w:r>
              <w:t xml:space="preserve">FOXO4-DRI</w:t>
            </w:r>
          </w:p>
        </w:tc>
        <w:tc>
          <w:tcPr/>
          <w:p>
            <w:pPr>
              <w:pStyle w:val="Compact"/>
              <w:jc w:val="left"/>
            </w:pPr>
            <w:r>
              <w:t xml:space="preserve">Apenas dados em animais: melhor condição física em camundongos envelhecidos (PMID 28340339)</w:t>
            </w:r>
          </w:p>
        </w:tc>
        <w:tc>
          <w:tcPr/>
          <w:p>
            <w:pPr>
              <w:pStyle w:val="Compact"/>
              <w:jc w:val="left"/>
            </w:pPr>
            <w:r>
              <w:t xml:space="preserve">nenhum dado em humanos; interferência no p53</w:t>
            </w:r>
          </w:p>
        </w:tc>
      </w:tr>
      <w:tr>
        <w:tc>
          <w:tcPr/>
          <w:p>
            <w:pPr>
              <w:pStyle w:val="Compact"/>
              <w:jc w:val="left"/>
            </w:pPr>
            <w:r>
              <w:t xml:space="preserve">Glutationa</w:t>
            </w:r>
          </w:p>
        </w:tc>
        <w:tc>
          <w:tcPr/>
          <w:p>
            <w:pPr>
              <w:pStyle w:val="Compact"/>
              <w:jc w:val="left"/>
            </w:pPr>
            <w:r>
              <w:t xml:space="preserve">Fase 3 com 185 pessoas: nenhuma proteção contra lesões nervosas por quimioterapia (PMID 24619793)</w:t>
            </w:r>
          </w:p>
        </w:tc>
        <w:tc>
          <w:tcPr/>
          <w:p>
            <w:pPr>
              <w:pStyle w:val="Compact"/>
              <w:jc w:val="left"/>
            </w:pPr>
            <w:r>
              <w:t xml:space="preserve">Infusões para clareamento da pele: alertas das autoridades</w:t>
            </w:r>
          </w:p>
        </w:tc>
      </w:tr>
    </w:tbl>
    <w:bookmarkEnd w:id="2528"/>
    <w:bookmarkStart w:id="2529" w:name="e.-hormônios-sexualidade-e-pigmentação"/>
    <w:p>
      <w:pPr>
        <w:pStyle w:val="Heading3"/>
      </w:pPr>
      <w:r>
        <w:t xml:space="preserve">E. Hormônios, sexualidade e pigmentação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não / sim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não / não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sim / sim (Scenesse, só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não / não</w:t>
            </w:r>
          </w:p>
        </w:tc>
        <w:tc>
          <w:tcPr/>
          <w:p>
            <w:pPr>
              <w:pStyle w:val="Compact"/>
              <w:jc w:val="left"/>
            </w:pPr>
            <w:r>
              <w:t xml:space="preserve">37 / 36</w:t>
            </w:r>
          </w:p>
        </w:tc>
      </w:tr>
      <w:tr>
        <w:tc>
          <w:tcPr/>
          <w:p>
            <w:pPr>
              <w:pStyle w:val="Compact"/>
              <w:jc w:val="left"/>
            </w:pPr>
            <w:r>
              <w:t xml:space="preserve">Ocitocina (spray nasal)</w:t>
            </w:r>
          </w:p>
        </w:tc>
        <w:tc>
          <w:tcPr/>
          <w:p>
            <w:pPr>
              <w:pStyle w:val="Compact"/>
              <w:jc w:val="left"/>
            </w:pPr>
            <w:r>
              <w:t xml:space="preserve">B</w:t>
            </w:r>
          </w:p>
        </w:tc>
        <w:tc>
          <w:tcPr/>
          <w:p>
            <w:pPr>
              <w:pStyle w:val="Compact"/>
              <w:jc w:val="left"/>
            </w:pPr>
            <w:r>
              <w:t xml:space="preserve">só obstetrícia / só obstetrícia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em alguns Estados / não</w:t>
            </w:r>
          </w:p>
        </w:tc>
        <w:tc>
          <w:tcPr/>
          <w:p>
            <w:pPr>
              <w:pStyle w:val="Compact"/>
              <w:jc w:val="left"/>
            </w:pPr>
            <w:r>
              <w:t xml:space="preserve">9 / 1.000 (nota)</w:t>
            </w:r>
          </w:p>
        </w:tc>
      </w:tr>
    </w:tbl>
    <w:p>
      <w:pPr>
        <w:pStyle w:val="BodyText"/>
      </w:pPr>
      <w:r>
        <w:t xml:space="preserve">Notas sobre a tabela: para o</w:t>
      </w:r>
      <w:r>
        <w:t xml:space="preserve"> </w:t>
      </w:r>
      <w:r>
        <w:rPr>
          <w:bCs/>
          <w:b/>
        </w:rPr>
        <w:t xml:space="preserve">melanotan II</w:t>
      </w:r>
      <w:r>
        <w:t xml:space="preserve">, quatro dos oito resultados do PubMed referem-se ao melanotan I (a futura afamelanotida); o único registro revelou-se não confiável. Para a</w:t>
      </w:r>
      <w:r>
        <w:t xml:space="preserve"> </w:t>
      </w:r>
      <w:r>
        <w:rPr>
          <w:bCs/>
          <w:b/>
        </w:rPr>
        <w:t xml:space="preserve">afamelanotida</w:t>
      </w:r>
      <w:r>
        <w:t xml:space="preserve">, faltam na contagem estudos mais antigos com os nomes melanotan I ou NDP-MSH. Para a</w:t>
      </w:r>
      <w:r>
        <w:t xml:space="preserve"> </w:t>
      </w:r>
      <w:r>
        <w:rPr>
          <w:bCs/>
          <w:b/>
        </w:rPr>
        <w:t xml:space="preserve">ocitocina</w:t>
      </w:r>
      <w:r>
        <w:t xml:space="preserve">, apenas o uso como infusão ou injeção na obstetrícia está aprovado, não o spray nasal. Os números da</w:t>
      </w:r>
      <w:r>
        <w:t xml:space="preserve"> </w:t>
      </w:r>
      <w:r>
        <w:rPr>
          <w:bCs/>
          <w:b/>
        </w:rPr>
        <w:t xml:space="preserve">gonadorelina</w:t>
      </w:r>
      <w:r>
        <w:t xml:space="preserve"> </w:t>
      </w:r>
      <w:r>
        <w:t xml:space="preserve">são inúteis: a busca nos registros atingiu seu limite máximo de 1.000 resultados, porque o registro inclui o termo genérico</w:t>
      </w:r>
      <w:r>
        <w:t xml:space="preserve"> </w:t>
      </w:r>
      <w:r>
        <w:t xml:space="preserve">“</w:t>
      </w:r>
      <w:r>
        <w:t xml:space="preserve">Gonadotropin-Releasing Hormone</w:t>
      </w:r>
      <w:r>
        <w:t xml:space="preserve">”</w:t>
      </w:r>
      <w:r>
        <w:t xml:space="preserve">; quase todos os resultados referem-se a análogos de GnRH, por exemplo no câncer de próstata, e apenas cerca de dez ao hormônio idêntico ao endógeno. O número do PubMed é baixo demais, porque a maioria dos estudos escreve</w:t>
      </w:r>
      <w:r>
        <w:t xml:space="preserve"> </w:t>
      </w:r>
      <w:r>
        <w:t xml:space="preserve">“</w:t>
      </w:r>
      <w:r>
        <w:t xml:space="preserve">GnRH</w:t>
      </w:r>
      <w:r>
        <w:t xml:space="preserve">”</w:t>
      </w:r>
      <w:r>
        <w:t xml:space="preserve"> </w:t>
      </w:r>
      <w:r>
        <w:t xml:space="preserve">ou</w:t>
      </w:r>
      <w:r>
        <w:t xml:space="preserve"> </w:t>
      </w:r>
      <w:r>
        <w:t xml:space="preserve">“</w:t>
      </w:r>
      <w:r>
        <w:t xml:space="preserve">LHRH</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Bremelanotida (PT-141)</w:t>
            </w:r>
          </w:p>
        </w:tc>
        <w:tc>
          <w:tcPr/>
          <w:p>
            <w:pPr>
              <w:pStyle w:val="Compact"/>
              <w:jc w:val="left"/>
            </w:pPr>
            <w:r>
              <w:t xml:space="preserve">RECONNECT, 1.267 mulheres: apenas pequena vantagem em relação ao placebo (PMID 31599840)</w:t>
            </w:r>
          </w:p>
        </w:tc>
        <w:tc>
          <w:tcPr/>
          <w:p>
            <w:pPr>
              <w:pStyle w:val="Compact"/>
              <w:jc w:val="left"/>
            </w:pPr>
            <w:r>
              <w:t xml:space="preserve">Náusea em cerca de 40%, aumento breve da pressão arterial</w:t>
            </w:r>
          </w:p>
        </w:tc>
      </w:tr>
      <w:tr>
        <w:tc>
          <w:tcPr/>
          <w:p>
            <w:pPr>
              <w:pStyle w:val="Compact"/>
              <w:jc w:val="left"/>
            </w:pPr>
            <w:r>
              <w:t xml:space="preserve">Melanotan II</w:t>
            </w:r>
          </w:p>
        </w:tc>
        <w:tc>
          <w:tcPr/>
          <w:p>
            <w:pPr>
              <w:pStyle w:val="Compact"/>
              <w:jc w:val="left"/>
            </w:pPr>
            <w:r>
              <w:t xml:space="preserve">Pequenos estudos cruzados: ereções em 17 de 20 homens, náusea frequente (PMID 11035391)</w:t>
            </w:r>
          </w:p>
        </w:tc>
        <w:tc>
          <w:tcPr/>
          <w:p>
            <w:pPr>
              <w:pStyle w:val="Compact"/>
              <w:jc w:val="left"/>
            </w:pPr>
            <w:r>
              <w:t xml:space="preserve">Alterações de pintas, relatos de caso de melanoma, priapismo</w:t>
            </w:r>
          </w:p>
        </w:tc>
      </w:tr>
      <w:tr>
        <w:tc>
          <w:tcPr/>
          <w:p>
            <w:pPr>
              <w:pStyle w:val="Compact"/>
              <w:jc w:val="left"/>
            </w:pPr>
            <w:r>
              <w:t xml:space="preserve">Afamelanotida</w:t>
            </w:r>
          </w:p>
        </w:tc>
        <w:tc>
          <w:tcPr/>
          <w:p>
            <w:pPr>
              <w:pStyle w:val="Compact"/>
              <w:jc w:val="left"/>
            </w:pPr>
            <w:r>
              <w:t xml:space="preserve">Dois ECRs: tempo sem dor sob a luz do sol mais longo na EPP (PMID 26132941)</w:t>
            </w:r>
          </w:p>
        </w:tc>
        <w:tc>
          <w:tcPr/>
          <w:p>
            <w:pPr>
              <w:pStyle w:val="Compact"/>
              <w:jc w:val="left"/>
            </w:pPr>
            <w:r>
              <w:t xml:space="preserve">Náusea, dor de cabeça; controles da pele necessários</w:t>
            </w:r>
          </w:p>
        </w:tc>
      </w:tr>
      <w:tr>
        <w:tc>
          <w:tcPr/>
          <w:p>
            <w:pPr>
              <w:pStyle w:val="Compact"/>
              <w:jc w:val="left"/>
            </w:pPr>
            <w:r>
              <w:t xml:space="preserve">Kisspeptina</w:t>
            </w:r>
          </w:p>
        </w:tc>
        <w:tc>
          <w:tcPr/>
          <w:p>
            <w:pPr>
              <w:pStyle w:val="Compact"/>
              <w:jc w:val="left"/>
            </w:pPr>
            <w:r>
              <w:t xml:space="preserve">60 mulheres com risco de SHO: maturação dos óvulos em 95%, nenhuma SHO grave (PMID 26192876)</w:t>
            </w:r>
          </w:p>
        </w:tc>
        <w:tc>
          <w:tcPr/>
          <w:p>
            <w:pPr>
              <w:pStyle w:val="Compact"/>
              <w:jc w:val="left"/>
            </w:pPr>
            <w:r>
              <w:t xml:space="preserve">Habituação até a supressão do eixo hormonal</w:t>
            </w:r>
          </w:p>
        </w:tc>
      </w:tr>
      <w:tr>
        <w:tc>
          <w:tcPr/>
          <w:p>
            <w:pPr>
              <w:pStyle w:val="Compact"/>
              <w:jc w:val="left"/>
            </w:pPr>
            <w:r>
              <w:t xml:space="preserve">Ocitocina (spray nasal)</w:t>
            </w:r>
          </w:p>
        </w:tc>
        <w:tc>
          <w:tcPr/>
          <w:p>
            <w:pPr>
              <w:pStyle w:val="Compact"/>
              <w:jc w:val="left"/>
            </w:pPr>
            <w:r>
              <w:t xml:space="preserve">SOARS-B, 290 crianças com autismo: nenhuma diferença em relação ao placebo (PMID 34644471)</w:t>
            </w:r>
          </w:p>
        </w:tc>
        <w:tc>
          <w:tcPr/>
          <w:p>
            <w:pPr>
              <w:pStyle w:val="Compact"/>
              <w:jc w:val="left"/>
            </w:pPr>
            <w:r>
              <w:t xml:space="preserve">Retenção de água em doses altas, indução de contrações</w:t>
            </w:r>
          </w:p>
        </w:tc>
      </w:tr>
      <w:tr>
        <w:tc>
          <w:tcPr/>
          <w:p>
            <w:pPr>
              <w:pStyle w:val="Compact"/>
              <w:jc w:val="left"/>
            </w:pPr>
            <w:r>
              <w:t xml:space="preserve">Gonadorelina</w:t>
            </w:r>
          </w:p>
        </w:tc>
        <w:tc>
          <w:tcPr/>
          <w:p>
            <w:pPr>
              <w:pStyle w:val="Compact"/>
              <w:jc w:val="left"/>
            </w:pPr>
            <w:r>
              <w:t xml:space="preserve">Administração pulsátil: ovulação em 91% e 96% de 109 mulheres (PMID 2122733)</w:t>
            </w:r>
          </w:p>
        </w:tc>
        <w:tc>
          <w:tcPr/>
          <w:p>
            <w:pPr>
              <w:pStyle w:val="Compact"/>
              <w:jc w:val="left"/>
            </w:pPr>
            <w:r>
              <w:t xml:space="preserve">com ritmo errado, supressão do eixo hormonal</w:t>
            </w:r>
          </w:p>
        </w:tc>
      </w:tr>
    </w:tbl>
    <w:bookmarkEnd w:id="2529"/>
    <w:bookmarkStart w:id="2530" w:name="f.-colágeno-nutrição-e-cosmética"/>
    <w:p>
      <w:pPr>
        <w:pStyle w:val="Heading3"/>
      </w:pPr>
      <w:r>
        <w:t xml:space="preserve">F. Colágeno, nutrição e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Evidência</w:t>
            </w:r>
          </w:p>
        </w:tc>
        <w:tc>
          <w:tcPr/>
          <w:p>
            <w:pPr>
              <w:pStyle w:val="Compact"/>
              <w:jc w:val="left"/>
            </w:pPr>
            <w:r>
              <w:t xml:space="preserve">Aprovação UE / EUA</w:t>
            </w:r>
          </w:p>
        </w:tc>
        <w:tc>
          <w:tcPr/>
          <w:p>
            <w:pPr>
              <w:pStyle w:val="Compact"/>
              <w:jc w:val="left"/>
            </w:pPr>
            <w:r>
              <w:t xml:space="preserve">Estudos em humanos / registros</w:t>
            </w:r>
          </w:p>
        </w:tc>
      </w:tr>
      <w:tr>
        <w:tc>
          <w:tcPr/>
          <w:p>
            <w:pPr>
              <w:pStyle w:val="Compact"/>
              <w:jc w:val="left"/>
            </w:pPr>
            <w:r>
              <w:t xml:space="preserve">Peptídeos de colágeno</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101 / 237 (nota)</w:t>
            </w:r>
          </w:p>
        </w:tc>
      </w:tr>
      <w:tr>
        <w:tc>
          <w:tcPr/>
          <w:p>
            <w:pPr>
              <w:pStyle w:val="Compact"/>
              <w:jc w:val="left"/>
            </w:pPr>
            <w:r>
              <w:t xml:space="preserve">Lactotripeptídeos</w:t>
            </w:r>
          </w:p>
        </w:tc>
        <w:tc>
          <w:tcPr/>
          <w:p>
            <w:pPr>
              <w:pStyle w:val="Compact"/>
              <w:jc w:val="left"/>
            </w:pPr>
            <w:r>
              <w:t xml:space="preserve">B</w:t>
            </w:r>
          </w:p>
        </w:tc>
        <w:tc>
          <w:tcPr/>
          <w:p>
            <w:pPr>
              <w:pStyle w:val="Compact"/>
              <w:jc w:val="left"/>
            </w:pPr>
            <w:r>
              <w:t xml:space="preserve">alimento / suplemento alimentar</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suplemento alimentar / suplemento alimentar</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pentapeptídeo-4</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hexapeptídeo-8</w:t>
            </w:r>
          </w:p>
        </w:tc>
        <w:tc>
          <w:tcPr/>
          <w:p>
            <w:pPr>
              <w:pStyle w:val="Compact"/>
              <w:jc w:val="left"/>
            </w:pPr>
            <w:r>
              <w:t xml:space="preserve">B (fraco)</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sobre a tabela: para os</w:t>
      </w:r>
      <w:r>
        <w:t xml:space="preserve"> </w:t>
      </w:r>
      <w:r>
        <w:rPr>
          <w:bCs/>
          <w:b/>
        </w:rPr>
        <w:t xml:space="preserve">peptídeos de colágeno</w:t>
      </w:r>
      <w:r>
        <w:t xml:space="preserve">, uma parte considerável dos resultados nos registros refere-se a outros temas, como implantes de colágeno na odontologia ou o medicamento contra o câncer endostatina. Para o</w:t>
      </w:r>
      <w:r>
        <w:t xml:space="preserve"> </w:t>
      </w:r>
      <w:r>
        <w:rPr>
          <w:bCs/>
          <w:b/>
        </w:rPr>
        <w:t xml:space="preserve">GHK-Cu</w:t>
      </w:r>
      <w:r>
        <w:t xml:space="preserve">, quase todos os resultados nos registros referem-se a outros compostos de cobre, por exemplo o cobre-64 radioativo para exames de imagem; apenas um registro confiável investiga de fato o GHK. Para nenhuma substância deste grupo há um slogan publicitário relacionado à saúde autorizado na UE; para os lactotripeptídeos, a Autoridade Europeia para a Segurança dos Alimentos (EFSA) rejeitou a alegação sobre pressão arterial solicitada.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Resultado principal</w:t>
            </w:r>
          </w:p>
        </w:tc>
        <w:tc>
          <w:tcPr/>
          <w:p>
            <w:pPr>
              <w:pStyle w:val="Compact"/>
              <w:jc w:val="left"/>
            </w:pPr>
            <w:r>
              <w:t xml:space="preserve">Principal risco</w:t>
            </w:r>
          </w:p>
        </w:tc>
      </w:tr>
      <w:tr>
        <w:tc>
          <w:tcPr/>
          <w:p>
            <w:pPr>
              <w:pStyle w:val="Compact"/>
              <w:jc w:val="left"/>
            </w:pPr>
            <w:r>
              <w:t xml:space="preserve">Peptídeos de colágeno</w:t>
            </w:r>
          </w:p>
        </w:tc>
        <w:tc>
          <w:tcPr/>
          <w:p>
            <w:pPr>
              <w:pStyle w:val="Compact"/>
              <w:jc w:val="left"/>
            </w:pPr>
            <w:r>
              <w:t xml:space="preserve">Artrose: efeitos pequenos a moderados (PMID 38218227); benefício para a pele não confirmado em estudos independentes (PMID 40324552)</w:t>
            </w:r>
          </w:p>
        </w:tc>
        <w:tc>
          <w:tcPr/>
          <w:p>
            <w:pPr>
              <w:pStyle w:val="Compact"/>
              <w:jc w:val="left"/>
            </w:pPr>
            <w:r>
              <w:t xml:space="preserve">Substituição de medidas eficazes; oxalato em caso de tendência a cálculos renais</w:t>
            </w:r>
          </w:p>
        </w:tc>
      </w:tr>
      <w:tr>
        <w:tc>
          <w:tcPr/>
          <w:p>
            <w:pPr>
              <w:pStyle w:val="Compact"/>
              <w:jc w:val="left"/>
            </w:pPr>
            <w:r>
              <w:t xml:space="preserve">Lactotripeptídeos</w:t>
            </w:r>
          </w:p>
        </w:tc>
        <w:tc>
          <w:tcPr/>
          <w:p>
            <w:pPr>
              <w:pStyle w:val="Compact"/>
              <w:jc w:val="left"/>
            </w:pPr>
            <w:r>
              <w:t xml:space="preserve">Metanálise, 30 ECRs: sistólica −2,95 mmHg, com viés de publicação (PMID 25608938)</w:t>
            </w:r>
          </w:p>
        </w:tc>
        <w:tc>
          <w:tcPr/>
          <w:p>
            <w:pPr>
              <w:pStyle w:val="Compact"/>
              <w:jc w:val="left"/>
            </w:pPr>
            <w:r>
              <w:t xml:space="preserve">Substituição de um tratamento eficaz da pressão arterial</w:t>
            </w:r>
          </w:p>
        </w:tc>
      </w:tr>
      <w:tr>
        <w:tc>
          <w:tcPr/>
          <w:p>
            <w:pPr>
              <w:pStyle w:val="Compact"/>
              <w:jc w:val="left"/>
            </w:pPr>
            <w:r>
              <w:t xml:space="preserve">Carnosina</w:t>
            </w:r>
          </w:p>
        </w:tc>
        <w:tc>
          <w:tcPr/>
          <w:p>
            <w:pPr>
              <w:pStyle w:val="Compact"/>
              <w:jc w:val="left"/>
            </w:pPr>
            <w:r>
              <w:t xml:space="preserve">Metanálise, 8 ECRs: valores de glicemia e HbA1c um pouco mais baixos (PMID 40999397)</w:t>
            </w:r>
          </w:p>
        </w:tc>
        <w:tc>
          <w:tcPr/>
          <w:p>
            <w:pPr>
              <w:pStyle w:val="Compact"/>
              <w:jc w:val="left"/>
            </w:pPr>
            <w:r>
              <w:t xml:space="preserve">nenhum relevante; faltam dados de longo prazo</w:t>
            </w:r>
          </w:p>
        </w:tc>
      </w:tr>
      <w:tr>
        <w:tc>
          <w:tcPr/>
          <w:p>
            <w:pPr>
              <w:pStyle w:val="Compact"/>
              <w:jc w:val="left"/>
            </w:pPr>
            <w:r>
              <w:t xml:space="preserve">GHK-Cu</w:t>
            </w:r>
          </w:p>
        </w:tc>
        <w:tc>
          <w:tcPr/>
          <w:p>
            <w:pPr>
              <w:pStyle w:val="Compact"/>
              <w:jc w:val="left"/>
            </w:pPr>
            <w:r>
              <w:t xml:space="preserve">Úlceras de pé: área da ferida, mediana −98,5% vs. −60,8% (PMID 17147644)</w:t>
            </w:r>
          </w:p>
        </w:tc>
        <w:tc>
          <w:tcPr/>
          <w:p>
            <w:pPr>
              <w:pStyle w:val="Compact"/>
              <w:jc w:val="left"/>
            </w:pPr>
            <w:r>
              <w:t xml:space="preserve">Injeções de produto do mercado cinza não testadas</w:t>
            </w:r>
          </w:p>
        </w:tc>
      </w:tr>
      <w:tr>
        <w:tc>
          <w:tcPr/>
          <w:p>
            <w:pPr>
              <w:pStyle w:val="Compact"/>
              <w:jc w:val="left"/>
            </w:pPr>
            <w:r>
              <w:t xml:space="preserve">Palmitoil pentapeptídeo-4</w:t>
            </w:r>
          </w:p>
        </w:tc>
        <w:tc>
          <w:tcPr/>
          <w:p>
            <w:pPr>
              <w:pStyle w:val="Compact"/>
              <w:jc w:val="left"/>
            </w:pPr>
            <w:r>
              <w:t xml:space="preserve">93 mulheres, estudo de hemiface: menos rugas após 12 semanas (PMID 18492182)</w:t>
            </w:r>
          </w:p>
        </w:tc>
        <w:tc>
          <w:tcPr/>
          <w:p>
            <w:pPr>
              <w:pStyle w:val="Compact"/>
              <w:jc w:val="left"/>
            </w:pPr>
            <w:r>
              <w:t xml:space="preserve">raramente irritação cutânea</w:t>
            </w:r>
          </w:p>
        </w:tc>
      </w:tr>
      <w:tr>
        <w:tc>
          <w:tcPr/>
          <w:p>
            <w:pPr>
              <w:pStyle w:val="Compact"/>
              <w:jc w:val="left"/>
            </w:pPr>
            <w:r>
              <w:t xml:space="preserve">Acetil hexapeptídeo-8</w:t>
            </w:r>
          </w:p>
        </w:tc>
        <w:tc>
          <w:tcPr/>
          <w:p>
            <w:pPr>
              <w:pStyle w:val="Compact"/>
              <w:jc w:val="left"/>
            </w:pPr>
            <w:r>
              <w:t xml:space="preserve">19 mulheres, estudo de hemiface: nenhuma diferença após 4 semanas (PMID 38024099)</w:t>
            </w:r>
          </w:p>
        </w:tc>
        <w:tc>
          <w:tcPr/>
          <w:p>
            <w:pPr>
              <w:pStyle w:val="Compact"/>
              <w:jc w:val="left"/>
            </w:pPr>
            <w:r>
              <w:t xml:space="preserve">Injeções não aprovadas, relato de caso de infecção</w:t>
            </w:r>
          </w:p>
        </w:tc>
      </w:tr>
    </w:tbl>
    <w:bookmarkEnd w:id="2530"/>
    <w:bookmarkStart w:id="2534" w:name="X388aed0c41a412e52c0ccbf22d0382d7650d01c"/>
    <w:p>
      <w:pPr>
        <w:pStyle w:val="Heading3"/>
      </w:pPr>
      <w:r>
        <w:t xml:space="preserve">Análise: quão bem estudados são os peptídeos no conjunto?</w:t>
      </w:r>
    </w:p>
    <w:bookmarkStart w:id="2531" w:name="distribuição-dos-níveis-de-evidência"/>
    <w:p>
      <w:pPr>
        <w:pStyle w:val="Heading4"/>
      </w:pPr>
      <w:r>
        <w:t xml:space="preserve">Distribuição dos níveis de evidência</w:t>
      </w:r>
    </w:p>
    <w:p>
      <w:pPr>
        <w:pStyle w:val="FirstParagraph"/>
      </w:pPr>
      <w:r>
        <w:t xml:space="preserve">As 58 entradas deste livro – 56 peptídeos e duas substâncias de comparação que não são peptídeos (orforglipron e ibutamoreno) – distribuem-se da seguinte forma: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 de evidência</w:t>
            </w:r>
          </w:p>
        </w:tc>
        <w:tc>
          <w:tcPr/>
          <w:p>
            <w:pPr>
              <w:pStyle w:val="Compact"/>
              <w:jc w:val="left"/>
            </w:pPr>
            <w:r>
              <w:t xml:space="preserve">Número</w:t>
            </w:r>
          </w:p>
        </w:tc>
        <w:tc>
          <w:tcPr/>
          <w:p>
            <w:pPr>
              <w:pStyle w:val="Compact"/>
              <w:jc w:val="left"/>
            </w:pPr>
            <w:r>
              <w:t xml:space="preserve">Proporção</w:t>
            </w:r>
          </w:p>
        </w:tc>
        <w:tc>
          <w:tcPr/>
          <w:p>
            <w:pPr>
              <w:pStyle w:val="Compact"/>
              <w:jc w:val="left"/>
            </w:pPr>
            <w:r>
              <w:t xml:space="preserve">Exemplos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Retatrutida, timosina alfa 1, glutationa, peptídeos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o TB-500 está incluído na contagem com o nível B referente à timosina beta-4; para o fragmento TB-500 isolado, vale o nível D.</w:t>
      </w:r>
    </w:p>
    <w:p>
      <w:pPr>
        <w:pStyle w:val="BodyText"/>
      </w:pPr>
      <w:r>
        <w:t xml:space="preserve">Três padrões:</w:t>
      </w:r>
    </w:p>
    <w:p>
      <w:pPr>
        <w:numPr>
          <w:ilvl w:val="0"/>
          <w:numId w:val="1321"/>
        </w:numPr>
        <w:pStyle w:val="Compact"/>
      </w:pPr>
      <w:r>
        <w:rPr>
          <w:bCs/>
          <w:b/>
        </w:rPr>
        <w:t xml:space="preserve">Quase só alcançam o nível A princípios ativos que passaram por um programa regular de aprovação de um fabricante de medicamentos.</w:t>
      </w:r>
      <w:r>
        <w:t xml:space="preserve"> </w:t>
      </w:r>
      <w:r>
        <w:t xml:space="preserve">Nove das 14 entradas com nível A vêm do grupo A (metabolismo e peso). As demais são tesamorelina, macimorelina e mecasermina, do eixo do hormônio do crescimento, além de bremelanotida e afamelanotida. Nenhuma das substâncias descritas no grupo B (cura) e no grupo D (cérebro e longevidade) alcança o nível A.</w:t>
      </w:r>
    </w:p>
    <w:p>
      <w:pPr>
        <w:numPr>
          <w:ilvl w:val="0"/>
          <w:numId w:val="1321"/>
        </w:numPr>
        <w:pStyle w:val="Compact"/>
      </w:pPr>
      <w:r>
        <w:rPr>
          <w:bCs/>
          <w:b/>
        </w:rPr>
        <w:t xml:space="preserve">Nível B muitas vezes significa</w:t>
      </w:r>
      <w:r>
        <w:rPr>
          <w:bCs/>
          <w:b/>
        </w:rPr>
        <w:t xml:space="preserve"> </w:t>
      </w:r>
      <w:r>
        <w:rPr>
          <w:bCs/>
          <w:b/>
        </w:rPr>
        <w:t xml:space="preserve">“</w:t>
      </w:r>
      <w:r>
        <w:rPr>
          <w:bCs/>
          <w:b/>
        </w:rPr>
        <w:t xml:space="preserve">testado e não confirmado</w:t>
      </w:r>
      <w:r>
        <w:rPr>
          <w:bCs/>
          <w:b/>
        </w:rPr>
        <w:t xml:space="preserve">”</w:t>
      </w:r>
      <w:r>
        <w:rPr>
          <w:bCs/>
          <w:b/>
        </w:rPr>
        <w:t xml:space="preserve">.</w:t>
      </w:r>
      <w:r>
        <w:t xml:space="preserve"> </w:t>
      </w:r>
      <w:r>
        <w:t xml:space="preserve">Em muitas das 25 entradas, o maior estudo randomizado não atingiu seu objetivo principal: timosina alfa 1 na sepse, LL-37 em úlceras de perna, ipamorelina após cirurgias intestinais, elamipretida na miopatia, ocitocina no autismo, glutationa contra lesões nervosas por quimioterapia.</w:t>
      </w:r>
    </w:p>
    <w:p>
      <w:pPr>
        <w:numPr>
          <w:ilvl w:val="0"/>
          <w:numId w:val="1321"/>
        </w:numPr>
        <w:pStyle w:val="Compact"/>
      </w:pPr>
      <w:r>
        <w:rPr>
          <w:bCs/>
          <w:b/>
        </w:rPr>
        <w:t xml:space="preserve">Um terço tem nível C ou D.</w:t>
      </w:r>
      <w:r>
        <w:t xml:space="preserve"> </w:t>
      </w:r>
      <w:r>
        <w:t xml:space="preserve">19 de 58 entradas baseiam-se em estudos em humanos pequenos e não controlados ou apenas em experimentos com animais e em laboratório – entre elas muitas das substâncias mais promovidas na internet.</w:t>
      </w:r>
    </w:p>
    <w:p>
      <w:pPr>
        <w:pStyle w:val="FirstParagraph"/>
      </w:pPr>
      <w:r>
        <w:t xml:space="preserve">Por grupo:</w:t>
      </w:r>
    </w:p>
    <w:p>
      <w:pPr>
        <w:numPr>
          <w:ilvl w:val="0"/>
          <w:numId w:val="1322"/>
        </w:numPr>
        <w:pStyle w:val="Compact"/>
      </w:pPr>
      <w:r>
        <w:t xml:space="preserve">A. Metabolismo e peso (15 entradas): 9 × A, 5 × B, 1 × D</w:t>
      </w:r>
    </w:p>
    <w:p>
      <w:pPr>
        <w:numPr>
          <w:ilvl w:val="0"/>
          <w:numId w:val="1322"/>
        </w:numPr>
        <w:pStyle w:val="Compact"/>
      </w:pPr>
      <w:r>
        <w:t xml:space="preserve">B. Cura e sistema imunológico (8): 5 × B, 2 × C, 1 × D</w:t>
      </w:r>
    </w:p>
    <w:p>
      <w:pPr>
        <w:numPr>
          <w:ilvl w:val="0"/>
          <w:numId w:val="1322"/>
        </w:numPr>
        <w:pStyle w:val="Compact"/>
      </w:pPr>
      <w:r>
        <w:t xml:space="preserve">C. Eixo do hormônio do crescimento (11): 3 × A, 4 × B, 3 × C, 1 × D</w:t>
      </w:r>
    </w:p>
    <w:p>
      <w:pPr>
        <w:numPr>
          <w:ilvl w:val="0"/>
          <w:numId w:val="1322"/>
        </w:numPr>
        <w:pStyle w:val="Compact"/>
      </w:pPr>
      <w:r>
        <w:t xml:space="preserve">D. Cérebro e longevidade (12): 3 × B, 5 × C, 4 × D</w:t>
      </w:r>
    </w:p>
    <w:p>
      <w:pPr>
        <w:numPr>
          <w:ilvl w:val="0"/>
          <w:numId w:val="1322"/>
        </w:numPr>
        <w:pStyle w:val="Compact"/>
      </w:pPr>
      <w:r>
        <w:t xml:space="preserve">E. Hormônios e pigmentação (6): 2 × A, 3 × B, 1 × C</w:t>
      </w:r>
    </w:p>
    <w:p>
      <w:pPr>
        <w:numPr>
          <w:ilvl w:val="0"/>
          <w:numId w:val="1322"/>
        </w:numPr>
        <w:pStyle w:val="Compact"/>
      </w:pPr>
      <w:r>
        <w:t xml:space="preserve">F. Colágeno e cosmética (6): 5 × B, 1 × C</w:t>
      </w:r>
    </w:p>
    <w:p>
      <w:pPr>
        <w:pStyle w:val="FirstParagraph"/>
      </w:pPr>
      <w:r>
        <w:t xml:space="preserve">O grupo D tem os dados mais fracos: quatro de seus doze peptídeos nunca foram administrados em um estudo publicado em humanos, e outros cinco apenas em estudos pequenos, geralmente não randomizados.</w:t>
      </w:r>
    </w:p>
    <w:bookmarkEnd w:id="2531"/>
    <w:bookmarkStart w:id="2532" w:name="aprovado-ou-não"/>
    <w:p>
      <w:pPr>
        <w:pStyle w:val="Heading4"/>
      </w:pPr>
      <w:r>
        <w:t xml:space="preserve">Aprovado ou não?</w:t>
      </w:r>
    </w:p>
    <w:p>
      <w:pPr>
        <w:pStyle w:val="FirstParagraph"/>
      </w:pPr>
      <w:r>
        <w:t xml:space="preserve">“</w:t>
      </w:r>
      <w:r>
        <w:t xml:space="preserve">Aprovado</w:t>
      </w:r>
      <w:r>
        <w:t xml:space="preserve">”</w:t>
      </w:r>
      <w:r>
        <w:t xml:space="preserve"> </w:t>
      </w:r>
      <w:r>
        <w:t xml:space="preserve">significa neste livro: uma agência reguladora de medicamentos avaliou eficácia, segurança e qualidade de fabricação para uma aplicação determinada. As 58 entradas podem ser divididas, segundo esse critério, em cinco grupos (situação em outubro de 2026, verificar atualização):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Número</w:t>
            </w:r>
          </w:p>
        </w:tc>
        <w:tc>
          <w:tcPr/>
          <w:p>
            <w:pPr>
              <w:pStyle w:val="Compact"/>
              <w:jc w:val="left"/>
            </w:pPr>
            <w:r>
              <w:t xml:space="preserve">Peptídeos</w:t>
            </w:r>
          </w:p>
        </w:tc>
      </w:tr>
      <w:tr>
        <w:tc>
          <w:tcPr/>
          <w:p>
            <w:pPr>
              <w:pStyle w:val="Compact"/>
              <w:jc w:val="left"/>
            </w:pPr>
            <w:r>
              <w:t xml:space="preserve">Aprovado como medicamento na UE e/ou nos EUA</w:t>
            </w:r>
          </w:p>
        </w:tc>
        <w:tc>
          <w:tcPr/>
          <w:p>
            <w:pPr>
              <w:pStyle w:val="Compact"/>
              <w:jc w:val="left"/>
            </w:pPr>
            <w:r>
              <w:t xml:space="preserve">14</w:t>
            </w:r>
          </w:p>
        </w:tc>
        <w:tc>
          <w:tcPr/>
          <w:p>
            <w:pPr>
              <w:pStyle w:val="Compact"/>
              <w:jc w:val="left"/>
            </w:pPr>
            <w:r>
              <w:t xml:space="preserve">Exenatida, liraglutida, dulaglutida, semaglutida, tirzepatida, setmelanotida, pranlintida, tesamorelina, macimorelina, mecasermina, afamelanotida, bremelanotida, SS-31, ocitocina (só obstetrícia)</w:t>
            </w:r>
          </w:p>
        </w:tc>
      </w:tr>
      <w:tr>
        <w:tc>
          <w:tcPr/>
          <w:p>
            <w:pPr>
              <w:pStyle w:val="Compact"/>
              <w:jc w:val="left"/>
            </w:pPr>
            <w:r>
              <w:t xml:space="preserve">Aprovado apenas nacionalmente em alguns Estados da UE ou apenas fora da UE e dos EUA</w:t>
            </w:r>
          </w:p>
        </w:tc>
        <w:tc>
          <w:tcPr/>
          <w:p>
            <w:pPr>
              <w:pStyle w:val="Compact"/>
              <w:jc w:val="left"/>
            </w:pPr>
            <w:r>
              <w:t xml:space="preserve">8</w:t>
            </w:r>
          </w:p>
        </w:tc>
        <w:tc>
          <w:tcPr/>
          <w:p>
            <w:pPr>
              <w:pStyle w:val="Compact"/>
              <w:jc w:val="left"/>
            </w:pPr>
            <w:r>
              <w:t xml:space="preserve">Cerebrolisina, gonadorelina, mazdutida (China), timosina alfa 1 (China, entre outros), timalina, Semax, Selank (Rússia), GHRP-2 (Japão, agente diagnóstico)</w:t>
            </w:r>
          </w:p>
        </w:tc>
      </w:tr>
      <w:tr>
        <w:tc>
          <w:tcPr/>
          <w:p>
            <w:pPr>
              <w:pStyle w:val="Compact"/>
              <w:jc w:val="left"/>
            </w:pPr>
            <w:r>
              <w:t xml:space="preserve">Antes aprovado nos EUA, hoje fora do mercado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 como alimento, suplemento alimentar ou cosmético, sem aprovação como medicamento</w:t>
            </w:r>
          </w:p>
        </w:tc>
        <w:tc>
          <w:tcPr/>
          <w:p>
            <w:pPr>
              <w:pStyle w:val="Compact"/>
              <w:jc w:val="left"/>
            </w:pPr>
            <w:r>
              <w:t xml:space="preserve">7</w:t>
            </w:r>
          </w:p>
        </w:tc>
        <w:tc>
          <w:tcPr/>
          <w:p>
            <w:pPr>
              <w:pStyle w:val="Compact"/>
              <w:jc w:val="left"/>
            </w:pPr>
            <w:r>
              <w:t xml:space="preserve">Peptídeos de colágeno, lactotripeptídeos, carnosina, glutationa, GHK-Cu, palmitoil pentapeptídeo-4, acetil hexapeptídeo-8</w:t>
            </w:r>
          </w:p>
        </w:tc>
      </w:tr>
      <w:tr>
        <w:tc>
          <w:tcPr/>
          <w:p>
            <w:pPr>
              <w:pStyle w:val="Compact"/>
              <w:jc w:val="left"/>
            </w:pPr>
            <w:r>
              <w:t xml:space="preserve">Não aprovado em lugar nenhum</w:t>
            </w:r>
          </w:p>
        </w:tc>
        <w:tc>
          <w:tcPr/>
          <w:p>
            <w:pPr>
              <w:pStyle w:val="Compact"/>
              <w:jc w:val="left"/>
            </w:pPr>
            <w:r>
              <w:t xml:space="preserve">28</w:t>
            </w:r>
          </w:p>
        </w:tc>
        <w:tc>
          <w:tcPr/>
          <w:p>
            <w:pPr>
              <w:pStyle w:val="Compact"/>
              <w:jc w:val="left"/>
            </w:pPr>
            <w:r>
              <w:t xml:space="preserve">entre eles retatrutida, CagriSema, BPC-157, TB-500, CJC-1295, ipamorelina, Epitalon, MOTS-c, melanotan II, IGF-1 LR3, orforglipron (pedido apresentado) e ibutamoreno</w:t>
            </w:r>
          </w:p>
        </w:tc>
      </w:tr>
    </w:tbl>
    <w:p>
      <w:pPr>
        <w:pStyle w:val="BodyText"/>
      </w:pPr>
      <w:r>
        <w:t xml:space="preserve">Apenas cerca de um quarto das entradas está aprovado como medicamento na UE ou nos EUA – geralmente para aplicações estritamente delimitadas: afamelanotida para uma rara intolerância à luz (protoporfiria eritropoética, EPP), não para bronzear; elamipretida apenas para a síndrome de Barth; ocitocina apenas para a obstetrícia, não como spray nasal; tesamorelina apenas para um distúrbio de distribuição de gordura no HIV. Diante da afirmação</w:t>
      </w:r>
      <w:r>
        <w:t xml:space="preserve"> </w:t>
      </w:r>
      <w:r>
        <w:t xml:space="preserve">“</w:t>
      </w:r>
      <w:r>
        <w:t xml:space="preserve">aprovado</w:t>
      </w:r>
      <w:r>
        <w:t xml:space="preserve">”</w:t>
      </w:r>
      <w:r>
        <w:t xml:space="preserve">, vale sempre perguntar: onde, para quê e em que forma?</w:t>
      </w:r>
    </w:p>
    <w:p>
      <w:pPr>
        <w:pStyle w:val="BodyText"/>
      </w:pPr>
      <w:r>
        <w:t xml:space="preserve">As 28 entradas não aprovadas em lugar nenhum dividem-se em dois grupos. Retatrutida, survodutida, CagriSema, amicretina, maridebarte cafraglutida e orforglipron estão em desenvolvimento regular, com estudos de fase 3; uma aprovação é provável para eles, mas não garantida (avaliação). Substâncias como BPC-157, TB-500, CJC-1295, AOD-9604, Epitalon, MOTS-c, Dihexa ou IGF-1 LR3, por outro lado, não têm caminho reconhecível para aprovação e são vendidas predominantemente como</w:t>
      </w:r>
      <w:r>
        <w:t xml:space="preserve"> </w:t>
      </w:r>
      <w:r>
        <w:t xml:space="preserve">“</w:t>
      </w:r>
      <w:r>
        <w:t xml:space="preserve">research peptides</w:t>
      </w:r>
      <w:r>
        <w:t xml:space="preserve">”</w:t>
      </w:r>
      <w:r>
        <w:t xml:space="preserve">. Ofertas do mercado cinza do primeiro grupo não devem ser equiparadas aos medicamentos testados.</w:t>
      </w:r>
    </w:p>
    <w:bookmarkEnd w:id="2532"/>
    <w:bookmarkStart w:id="2533" w:name="status-de-doping-segundo-a-wada"/>
    <w:p>
      <w:pPr>
        <w:pStyle w:val="Heading4"/>
      </w:pPr>
      <w:r>
        <w:t xml:space="preserve">Status de doping segundo a WADA</w:t>
      </w:r>
    </w:p>
    <w:p>
      <w:pPr>
        <w:pStyle w:val="FirstParagraph"/>
      </w:pPr>
      <w:r>
        <w:t xml:space="preserve">Para o esporte de competição, vale a lista de proibições da Agência Mundial Antidopagem (WADA). As classes mais importantes:</w:t>
      </w:r>
    </w:p>
    <w:p>
      <w:pPr>
        <w:numPr>
          <w:ilvl w:val="0"/>
          <w:numId w:val="1323"/>
        </w:numPr>
        <w:pStyle w:val="Compact"/>
      </w:pPr>
      <w:r>
        <w:rPr>
          <w:bCs/>
          <w:b/>
        </w:rPr>
        <w:t xml:space="preserve">S0</w:t>
      </w:r>
      <w:r>
        <w:t xml:space="preserve"> </w:t>
      </w:r>
      <w:r>
        <w:t xml:space="preserve">– substâncias não aprovadas: todas as substâncias sem aprovação como medicamento para humanos, mesmo sem menção nominal.</w:t>
      </w:r>
    </w:p>
    <w:p>
      <w:pPr>
        <w:numPr>
          <w:ilvl w:val="0"/>
          <w:numId w:val="1323"/>
        </w:numPr>
        <w:pStyle w:val="Compact"/>
      </w:pPr>
      <w:r>
        <w:rPr>
          <w:bCs/>
          <w:b/>
        </w:rPr>
        <w:t xml:space="preserve">S2</w:t>
      </w:r>
      <w:r>
        <w:t xml:space="preserve"> </w:t>
      </w:r>
      <w:r>
        <w:t xml:space="preserve">– hormônios peptídicos, fatores de crescimento e substâncias relacionadas, entre eles o hormônio do crescimento, seus fatores liberadores e fragmentos, o IGF-1, a timosina beta-4 e, em homens, os fatores liberadores do hormônio luteinizante (LH).</w:t>
      </w:r>
    </w:p>
    <w:p>
      <w:pPr>
        <w:numPr>
          <w:ilvl w:val="0"/>
          <w:numId w:val="1323"/>
        </w:numPr>
        <w:pStyle w:val="Compact"/>
      </w:pPr>
      <w:r>
        <w:rPr>
          <w:bCs/>
          <w:b/>
        </w:rPr>
        <w:t xml:space="preserve">S4</w:t>
      </w:r>
      <w:r>
        <w:t xml:space="preserve"> </w:t>
      </w:r>
      <w:r>
        <w:t xml:space="preserve">– moduladores hormonais e metabólicos, entre eles ativadores da enzima AMPK.</w:t>
      </w:r>
    </w:p>
    <w:p>
      <w:pPr>
        <w:numPr>
          <w:ilvl w:val="0"/>
          <w:numId w:val="1323"/>
        </w:numPr>
        <w:pStyle w:val="Compact"/>
      </w:pPr>
      <w:r>
        <w:rPr>
          <w:bCs/>
          <w:b/>
        </w:rPr>
        <w:t xml:space="preserve">M2</w:t>
      </w:r>
      <w:r>
        <w:t xml:space="preserve"> </w:t>
      </w:r>
      <w:r>
        <w:t xml:space="preserve">– métodos proibidos, entre eles infusões de mais de 100 ml em doze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Peptídeos</w:t>
            </w:r>
          </w:p>
        </w:tc>
        <w:tc>
          <w:tcPr/>
          <w:p>
            <w:pPr>
              <w:pStyle w:val="Compact"/>
              <w:jc w:val="left"/>
            </w:pPr>
            <w:r>
              <w:t xml:space="preserve">Status na WADA</w:t>
            </w:r>
          </w:p>
        </w:tc>
      </w:tr>
      <w:tr>
        <w:tc>
          <w:tcPr/>
          <w:p>
            <w:pPr>
              <w:pStyle w:val="Compact"/>
              <w:jc w:val="left"/>
            </w:pPr>
            <w:r>
              <w:t xml:space="preserve">AOD-9604, TB-500 / timosina beta-4, ARA-290, sermorelina, tesamorelina, CJC-1295, ipamorelina, GHRP-2, GHRP-6, hexarelina, macimorelina, mecasermina, IGF-1 LR3, ibutamoreno</w:t>
            </w:r>
          </w:p>
        </w:tc>
        <w:tc>
          <w:tcPr/>
          <w:p>
            <w:pPr>
              <w:pStyle w:val="Compact"/>
              <w:jc w:val="left"/>
            </w:pPr>
            <w:r>
              <w:t xml:space="preserve">proibidos, S2</w:t>
            </w:r>
          </w:p>
        </w:tc>
      </w:tr>
      <w:tr>
        <w:tc>
          <w:tcPr/>
          <w:p>
            <w:pPr>
              <w:pStyle w:val="Compact"/>
              <w:jc w:val="left"/>
            </w:pPr>
            <w:r>
              <w:t xml:space="preserve">Gonadorelina; kisspeptina</w:t>
            </w:r>
          </w:p>
        </w:tc>
        <w:tc>
          <w:tcPr/>
          <w:p>
            <w:pPr>
              <w:pStyle w:val="Compact"/>
              <w:jc w:val="left"/>
            </w:pPr>
            <w:r>
              <w:t xml:space="preserve">proibidas para homens, S2; kisspeptina, como princípio ativo não aprovado, adicionalmente S0</w:t>
            </w:r>
          </w:p>
        </w:tc>
      </w:tr>
      <w:tr>
        <w:tc>
          <w:tcPr/>
          <w:p>
            <w:pPr>
              <w:pStyle w:val="Compact"/>
              <w:jc w:val="left"/>
            </w:pPr>
            <w:r>
              <w:t xml:space="preserve">MOTS-c</w:t>
            </w:r>
          </w:p>
        </w:tc>
        <w:tc>
          <w:tcPr/>
          <w:p>
            <w:pPr>
              <w:pStyle w:val="Compact"/>
              <w:jc w:val="left"/>
            </w:pPr>
            <w:r>
              <w:t xml:space="preserve">proibido, S4 (ativador de AMPK)</w:t>
            </w:r>
          </w:p>
        </w:tc>
      </w:tr>
      <w:tr>
        <w:tc>
          <w:tcPr/>
          <w:p>
            <w:pPr>
              <w:pStyle w:val="Compact"/>
              <w:jc w:val="left"/>
            </w:pPr>
            <w:r>
              <w:t xml:space="preserve">Retatrutida, survodutida, CagriSema, amicretina, maridebarte cafraglutida, BPC-157, melanotan II</w:t>
            </w:r>
          </w:p>
        </w:tc>
        <w:tc>
          <w:tcPr/>
          <w:p>
            <w:pPr>
              <w:pStyle w:val="Compact"/>
              <w:jc w:val="left"/>
            </w:pPr>
            <w:r>
              <w:t xml:space="preserve">proibidos, S0</w:t>
            </w:r>
          </w:p>
        </w:tc>
      </w:tr>
      <w:tr>
        <w:tc>
          <w:tcPr/>
          <w:p>
            <w:pPr>
              <w:pStyle w:val="Compact"/>
              <w:jc w:val="left"/>
            </w:pPr>
            <w:r>
              <w:t xml:space="preserve">KPV, LL-37, Dihexa, Epitalon, Pinealon, humanina, FOXO4-DRI, orforglipron (até a aprovação)</w:t>
            </w:r>
          </w:p>
        </w:tc>
        <w:tc>
          <w:tcPr/>
          <w:p>
            <w:pPr>
              <w:pStyle w:val="Compact"/>
              <w:jc w:val="left"/>
            </w:pPr>
            <w:r>
              <w:t xml:space="preserve">não citados nominalmente; como substâncias não aprovadas, provavelmente S0</w:t>
            </w:r>
          </w:p>
        </w:tc>
      </w:tr>
      <w:tr>
        <w:tc>
          <w:tcPr/>
          <w:p>
            <w:pPr>
              <w:pStyle w:val="Compact"/>
              <w:jc w:val="left"/>
            </w:pPr>
            <w:r>
              <w:t xml:space="preserve">Mazdutida</w:t>
            </w:r>
          </w:p>
        </w:tc>
        <w:tc>
          <w:tcPr/>
          <w:p>
            <w:pPr>
              <w:pStyle w:val="Compact"/>
              <w:jc w:val="left"/>
            </w:pPr>
            <w:r>
              <w:t xml:space="preserve">não citada nominalmente; status S0 incerto devido à aprovação na China</w:t>
            </w:r>
          </w:p>
        </w:tc>
      </w:tr>
      <w:tr>
        <w:tc>
          <w:tcPr/>
          <w:p>
            <w:pPr>
              <w:pStyle w:val="Compact"/>
              <w:jc w:val="left"/>
            </w:pPr>
            <w:r>
              <w:t xml:space="preserve">GHK-Cu</w:t>
            </w:r>
          </w:p>
        </w:tc>
        <w:tc>
          <w:tcPr/>
          <w:p>
            <w:pPr>
              <w:pStyle w:val="Compact"/>
              <w:jc w:val="left"/>
            </w:pPr>
            <w:r>
              <w:t xml:space="preserve">como cosmético, não proibido; injeção possivelmente S0</w:t>
            </w:r>
          </w:p>
        </w:tc>
      </w:tr>
      <w:tr>
        <w:tc>
          <w:tcPr/>
          <w:p>
            <w:pPr>
              <w:pStyle w:val="Compact"/>
              <w:jc w:val="left"/>
            </w:pPr>
            <w:r>
              <w:t xml:space="preserve">Glutationa</w:t>
            </w:r>
          </w:p>
        </w:tc>
        <w:tc>
          <w:tcPr/>
          <w:p>
            <w:pPr>
              <w:pStyle w:val="Compact"/>
              <w:jc w:val="left"/>
            </w:pPr>
            <w:r>
              <w:t xml:space="preserve">substância não proibida; infusões de mais de 100 ml em doze horas proibidas (M2)</w:t>
            </w:r>
          </w:p>
        </w:tc>
      </w:tr>
      <w:tr>
        <w:tc>
          <w:tcPr/>
          <w:p>
            <w:pPr>
              <w:pStyle w:val="Compact"/>
              <w:jc w:val="left"/>
            </w:pPr>
            <w:r>
              <w:t xml:space="preserve">Semax, Selank, DSIP, SS-31, bremelanotida</w:t>
            </w:r>
          </w:p>
        </w:tc>
        <w:tc>
          <w:tcPr/>
          <w:p>
            <w:pPr>
              <w:pStyle w:val="Compact"/>
              <w:jc w:val="left"/>
            </w:pPr>
            <w:r>
              <w:t xml:space="preserve">não citados nominalmente; classificação não inequívoca</w:t>
            </w:r>
          </w:p>
        </w:tc>
      </w:tr>
      <w:tr>
        <w:tc>
          <w:tcPr/>
          <w:p>
            <w:pPr>
              <w:pStyle w:val="Compact"/>
              <w:jc w:val="left"/>
            </w:pPr>
            <w:r>
              <w:t xml:space="preserve">Exenatida, liraglutida, dulaglutida, semaglutida, tirzepatida, pranlintida, setmelanotida, timosina alfa 1, larazotida, timalina, cerebrolisina, afamelanotida, ocitocina, peptídeos de colágeno, lactotripeptídeos, carnosina, palmitoil pentapeptídeo-4, acetil hexapeptídeo-8</w:t>
            </w:r>
          </w:p>
        </w:tc>
        <w:tc>
          <w:tcPr/>
          <w:p>
            <w:pPr>
              <w:pStyle w:val="Compact"/>
              <w:jc w:val="left"/>
            </w:pPr>
            <w:r>
              <w:t xml:space="preserve">não listados</w:t>
            </w:r>
          </w:p>
        </w:tc>
      </w:tr>
    </w:tbl>
    <w:p>
      <w:pPr>
        <w:pStyle w:val="BodyText"/>
      </w:pPr>
      <w:r>
        <w:t xml:space="preserve">A lista não é exaustiva: o S0 abrange toda substância sem aprovação, e o S2 também</w:t>
      </w:r>
      <w:r>
        <w:t xml:space="preserve"> </w:t>
      </w:r>
      <w:r>
        <w:t xml:space="preserve">“</w:t>
      </w:r>
      <w:r>
        <w:t xml:space="preserve">substâncias relacionadas</w:t>
      </w:r>
      <w:r>
        <w:t xml:space="preserve">”</w:t>
      </w:r>
      <w:r>
        <w:t xml:space="preserve"> </w:t>
      </w:r>
      <w:r>
        <w:t xml:space="preserve">com efeito semelhante. Não citado nominalmente, portanto, não significa permitido. Justamente as substâncias do eixo do hormônio do crescimento, populares no treino de força, bem como BPC-157 e TB-500, são expressamente proibidas. Em caso de dúvida, as agências nacionais antidopagem dão informações.</w:t>
      </w:r>
    </w:p>
    <w:bookmarkEnd w:id="2533"/>
    <w:bookmarkEnd w:id="2534"/>
    <w:bookmarkStart w:id="2535" w:name="o-que-a-visão-geral-mostra"/>
    <w:p>
      <w:pPr>
        <w:pStyle w:val="Heading3"/>
      </w:pPr>
      <w:r>
        <w:t xml:space="preserve">O que a visão geral mostra</w:t>
      </w:r>
    </w:p>
    <w:p>
      <w:pPr>
        <w:pStyle w:val="FirstParagraph"/>
      </w:pPr>
      <w:r>
        <w:t xml:space="preserve">Os peptídeos bem estudados são quase exclusivamente medicamentos aprovados, provenientes de grandes estudos registrados previamente. A maioria dos peptídeos populares na internet tem nível de evidência C ou D, não está aprovada em lugar nenhum e é frequentemente proibida no esporte. Entre esses extremos estão substâncias que foram seriamente estudadas em humanos, mas cujos estudos não confirmaram o benefício esperado. Os dois capítulos seguintes aprofundam isso para os medicamentos GLP-1 e para os peptídeos mais populares da internet.</w:t>
      </w:r>
    </w:p>
    <w:bookmarkEnd w:id="2535"/>
    <w:bookmarkEnd w:id="2536"/>
    <w:bookmarkStart w:id="2578" w:name="glp-1-cia.-em-comparação-direta"/>
    <w:p>
      <w:pPr>
        <w:pStyle w:val="Heading2"/>
      </w:pPr>
      <w:r>
        <w:t xml:space="preserve">GLP-1 &amp; cia. em comparação direta</w:t>
      </w:r>
    </w:p>
    <w:p>
      <w:pPr>
        <w:pStyle w:val="FirstParagraph"/>
      </w:pPr>
      <w:r>
        <w:t xml:space="preserve">Nenhum outro grupo deste livro foi tão bem estudado quanto os medicamentos à base de incretinas: agonistas do receptor de GLP-1 como liraglutida e semaglutida, o agonista duplo tirzepatida e uma série de sucessores que atuam adicionalmente no receptor de glucagon ou de amilina. Para eles existem programas de aprovação com dezenas de milhares de participantes, grandes estudos cardiovasculares e, cada vez mais, também estudos de comparação direta. Este capítulo coloca lado a lado os resultados mais importantes. Todos os números vêm dos capítulos da Parte II, grupo A, e dos estudos ali citados; lá você também encontra as limitações de cada estudo individual.</w:t>
      </w:r>
    </w:p>
    <w:p>
      <w:pPr>
        <w:pStyle w:val="BodyText"/>
      </w:pPr>
      <w:r>
        <w:t xml:space="preserve">Este capítulo não é um guia de decisão para um tratamento. Qual medicamento é adequado em cada caso depende de doenças associadas, tolerabilidade, aprovação, cobertura dos custos e disponibilidade, e essa decisão cabe ao médico. Determinantes são a respectiva bula profissional e o acompanhamento médico.</w:t>
      </w:r>
    </w:p>
    <w:bookmarkStart w:id="2537" w:name="X8480cbe912d29b1ed7fb617f43ebfc63f92abf5"/>
    <w:p>
      <w:pPr>
        <w:pStyle w:val="Heading3"/>
      </w:pPr>
      <w:r>
        <w:t xml:space="preserve">Antes de tudo: por que não se pode simplesmente colocar estudos lado a lado</w:t>
      </w:r>
    </w:p>
    <w:p>
      <w:pPr>
        <w:pStyle w:val="FirstParagraph"/>
      </w:pPr>
      <w:r>
        <w:t xml:space="preserve">As tabelas deste capítulo convidam a comparar números de estudos diferentes – por exemplo, 20,9% de perda de peso com tirzepatida contra 14,9% com semaglutida. Essas comparações cruzadas (</w:t>
      </w:r>
      <w:r>
        <w:t xml:space="preserve">“</w:t>
      </w:r>
      <w:r>
        <w:t xml:space="preserve">cross-trial comparisons</w:t>
      </w:r>
      <w:r>
        <w:t xml:space="preserve">”</w:t>
      </w:r>
      <w:r>
        <w:t xml:space="preserve">) só são admissíveis com ressalvas. Os motivos:</w:t>
      </w:r>
    </w:p>
    <w:p>
      <w:pPr>
        <w:numPr>
          <w:ilvl w:val="0"/>
          <w:numId w:val="1324"/>
        </w:numPr>
        <w:pStyle w:val="Compact"/>
      </w:pPr>
      <w:r>
        <w:rPr>
          <w:bCs/>
          <w:b/>
        </w:rPr>
        <w:t xml:space="preserve">Participantes diferentes:</w:t>
      </w:r>
      <w:r>
        <w:t xml:space="preserve"> </w:t>
      </w:r>
      <w:r>
        <w:t xml:space="preserve">pessoas com diabetes tipo 2 perdem, com todos os medicamentos à base de incretinas, bem menos peso do que pessoas sem diabetes. Estudos na China ou no Japão incluem pessoas com peso inicial mais baixo do que estudos na América do Norte e na Europa.</w:t>
      </w:r>
    </w:p>
    <w:p>
      <w:pPr>
        <w:numPr>
          <w:ilvl w:val="0"/>
          <w:numId w:val="1324"/>
        </w:numPr>
        <w:pStyle w:val="Compact"/>
      </w:pPr>
      <w:r>
        <w:rPr>
          <w:bCs/>
          <w:b/>
        </w:rPr>
        <w:t xml:space="preserve">Duração diferente:</w:t>
      </w:r>
      <w:r>
        <w:t xml:space="preserve"> </w:t>
      </w:r>
      <w:r>
        <w:t xml:space="preserve">uma perda de peso após 48 semanas não é o mesmo que após 80 semanas; muitas curvas só se estabilizam tarde.</w:t>
      </w:r>
    </w:p>
    <w:p>
      <w:pPr>
        <w:numPr>
          <w:ilvl w:val="0"/>
          <w:numId w:val="1324"/>
        </w:numPr>
        <w:pStyle w:val="Compact"/>
      </w:pPr>
      <w:r>
        <w:rPr>
          <w:bCs/>
          <w:b/>
        </w:rPr>
        <w:t xml:space="preserve">Análise diferente:</w:t>
      </w:r>
      <w:r>
        <w:t xml:space="preserve"> </w:t>
      </w:r>
      <w:r>
        <w:t xml:space="preserve">alguns estudos analisam todos os participantes, mesmo que tenham interrompido o tratamento (o chamado estimador de estratégia de tratamento ou</w:t>
      </w:r>
      <w:r>
        <w:t xml:space="preserve"> </w:t>
      </w:r>
      <w:r>
        <w:t xml:space="preserve">“</w:t>
      </w:r>
      <w:r>
        <w:t xml:space="preserve">treatment policy</w:t>
      </w:r>
      <w:r>
        <w:t xml:space="preserve">”</w:t>
      </w:r>
      <w:r>
        <w:t xml:space="preserve">). Outros calculam como se todos tivessem tomado o medicamento conforme planejado. A segunda variante fornece números mais favoráveis.</w:t>
      </w:r>
    </w:p>
    <w:p>
      <w:pPr>
        <w:numPr>
          <w:ilvl w:val="0"/>
          <w:numId w:val="1324"/>
        </w:numPr>
        <w:pStyle w:val="Compact"/>
      </w:pPr>
      <w:r>
        <w:rPr>
          <w:bCs/>
          <w:b/>
        </w:rPr>
        <w:t xml:space="preserve">Grupos placebo diferentes:</w:t>
      </w:r>
      <w:r>
        <w:t xml:space="preserve"> </w:t>
      </w:r>
      <w:r>
        <w:t xml:space="preserve">com placebo, os participantes perderam, dependendo do estudo, entre nada e mais de 5% do peso, conforme a intensidade do aconselhamento nutricional e de atividade física que acompanhava o tratamento.</w:t>
      </w:r>
    </w:p>
    <w:p>
      <w:pPr>
        <w:numPr>
          <w:ilvl w:val="0"/>
          <w:numId w:val="1324"/>
        </w:numPr>
        <w:pStyle w:val="Compact"/>
      </w:pPr>
      <w:r>
        <w:rPr>
          <w:bCs/>
          <w:b/>
        </w:rPr>
        <w:t xml:space="preserve">Fases diferentes:</w:t>
      </w:r>
      <w:r>
        <w:t xml:space="preserve"> </w:t>
      </w:r>
      <w:r>
        <w:t xml:space="preserve">resultados de pequenos estudos de fase 2 costumam ser mais favoráveis do que os grandes estudos de fase 3 posteriores.</w:t>
      </w:r>
    </w:p>
    <w:p>
      <w:pPr>
        <w:pStyle w:val="FirstParagraph"/>
      </w:pPr>
      <w:r>
        <w:t xml:space="preserve">Uma comparação só é robusta quando duas substâncias foram atribuídas aleatoriamente no</w:t>
      </w:r>
      <w:r>
        <w:t xml:space="preserve"> </w:t>
      </w:r>
      <w:r>
        <w:rPr>
          <w:iCs/>
          <w:i/>
        </w:rPr>
        <w:t xml:space="preserve">mesmo</w:t>
      </w:r>
      <w:r>
        <w:t xml:space="preserve"> </w:t>
      </w:r>
      <w:r>
        <w:t xml:space="preserve">estudo. Essas comparações diretas estão reunidas no final deste capítulo. As demais tabelas mostram ordens de grandeza, não um ranking.</w:t>
      </w:r>
    </w:p>
    <w:bookmarkEnd w:id="2537"/>
    <w:bookmarkStart w:id="2544" w:name="perda-de-peso-nos-estudos-de-aprovação"/>
    <w:p>
      <w:pPr>
        <w:pStyle w:val="Heading3"/>
      </w:pPr>
      <w:r>
        <w:t xml:space="preserve">Perda de peso nos estudos de aprovação</w:t>
      </w:r>
    </w:p>
    <w:p>
      <w:pPr>
        <w:pStyle w:val="FirstParagraph"/>
      </w:pPr>
      <w:r>
        <w:t xml:space="preserve">A tabela a seguir mostra, para cada substância, o estudo controlado por placebo mais importante em adultos com sobrepeso ou obesidade</w:t>
      </w:r>
      <w:r>
        <w:t xml:space="preserve"> </w:t>
      </w:r>
      <w:r>
        <w:rPr>
          <w:iCs/>
          <w:i/>
        </w:rPr>
        <w:t xml:space="preserve">sem</w:t>
      </w:r>
      <w:r>
        <w:t xml:space="preserve"> </w:t>
      </w:r>
      <w:r>
        <w:t xml:space="preserve">diabetes. Indica-se a variação média do peso corporal na dose mais alta testada em comparação com placebo. Exenatida, dulaglutida e pranlintida não estão aprovadas para redução de peso e, por isso, não aparecem.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vs.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vs. −2,4%</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vs. −3,9%</w:t>
            </w:r>
          </w:p>
        </w:tc>
      </w:tr>
      <w:tr>
        <w:tc>
          <w:tcPr/>
          <w:p>
            <w:pPr>
              <w:pStyle w:val="Compact"/>
              <w:jc w:val="left"/>
            </w:pPr>
            <w:r>
              <w:t xml:space="preserve">Semaglutida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vs. −2,4%</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vs. −3,0%</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vs. −3,9%</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vs. −5,4%</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vs. +0,3%</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vs. −2,5%</w:t>
            </w:r>
          </w:p>
        </w:tc>
      </w:tr>
      <w:tr>
        <w:tc>
          <w:tcPr/>
          <w:p>
            <w:pPr>
              <w:pStyle w:val="Compact"/>
              <w:jc w:val="left"/>
            </w:pPr>
            <w:r>
              <w:t xml:space="preserve">Amicretina (injeção)</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até −24,3% vs. −1,1%</w:t>
            </w:r>
          </w:p>
        </w:tc>
      </w:tr>
      <w:tr>
        <w:tc>
          <w:tcPr/>
          <w:p>
            <w:pPr>
              <w:pStyle w:val="Compact"/>
              <w:jc w:val="left"/>
            </w:pPr>
            <w:r>
              <w:t xml:space="preserve">Orforglipron 36 mg (comprimido, não é peptídeo)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vs. −2,1%</w:t>
            </w:r>
          </w:p>
        </w:tc>
      </w:tr>
    </w:tbl>
    <w:p>
      <w:pPr>
        <w:pStyle w:val="BodyText"/>
      </w:pPr>
      <w:r>
        <w:t xml:space="preserve">Para situar cada linha:</w:t>
      </w:r>
    </w:p>
    <w:p>
      <w:pPr>
        <w:numPr>
          <w:ilvl w:val="0"/>
          <w:numId w:val="1325"/>
        </w:numPr>
        <w:pStyle w:val="Compact"/>
      </w:pPr>
      <w:r>
        <w:rPr>
          <w:bCs/>
          <w:b/>
        </w:rPr>
        <w:t xml:space="preserve">Liraglutida</w:t>
      </w:r>
      <w:r>
        <w:t xml:space="preserve"> </w:t>
      </w:r>
      <w:r>
        <w:t xml:space="preserve">é a única substância cujo estudo de aprovação informa a perda em quilogramas como resultado principal; com um peso inicial de 106,2 kg, isso corresponde a cerca de 8%. No estudo de comparação direta STEP 8, foram −6,4% (ver abaixo).</w:t>
      </w:r>
    </w:p>
    <w:p>
      <w:pPr>
        <w:numPr>
          <w:ilvl w:val="0"/>
          <w:numId w:val="1325"/>
        </w:numPr>
        <w:pStyle w:val="Compact"/>
      </w:pPr>
      <w:r>
        <w:rPr>
          <w:bCs/>
          <w:b/>
        </w:rPr>
        <w:t xml:space="preserve">Retatrutida, CagriSema, survodutida, maridebarte cafraglutida e amicretina</w:t>
      </w:r>
      <w:r>
        <w:t xml:space="preserve"> </w:t>
      </w:r>
      <w:r>
        <w:t xml:space="preserve">não estão aprovadas (situação em outubro de 2026). Para maridebarte cafraglutida e amicretina há apenas dados de fase 2; o estudo da amicretina incluiu 125 pessoas, e o valor se refere à dose mais alta de um estudo de determinação de dose.</w:t>
      </w:r>
    </w:p>
    <w:p>
      <w:pPr>
        <w:numPr>
          <w:ilvl w:val="0"/>
          <w:numId w:val="1325"/>
        </w:numPr>
        <w:pStyle w:val="Compact"/>
      </w:pPr>
      <w:r>
        <w:rPr>
          <w:bCs/>
          <w:b/>
        </w:rPr>
        <w:t xml:space="preserve">Mazdutida</w:t>
      </w:r>
      <w:r>
        <w:t xml:space="preserve"> </w:t>
      </w:r>
      <w:r>
        <w:t xml:space="preserve">está aprovada apenas na China. O GLORY-1 incluiu, segundo critérios chineses, pessoas a partir de um IMC de 28 (ou 24 com doença associada); o peso inicial médio era de 87,2 kg. No GLORY-2, com uma dose mais alta, foram −16,65% contra −1,50% após 60 semanas</w:t>
      </w:r>
      <w:r>
        <w:rPr>
          <w:rStyle w:val="FootnoteReference"/>
        </w:rPr>
        <w:footnoteReference w:id="2538"/>
      </w:r>
      <w:r>
        <w:t xml:space="preserve">.</w:t>
      </w:r>
    </w:p>
    <w:p>
      <w:pPr>
        <w:numPr>
          <w:ilvl w:val="0"/>
          <w:numId w:val="1325"/>
        </w:numPr>
        <w:pStyle w:val="Compact"/>
      </w:pPr>
      <w:r>
        <w:rPr>
          <w:bCs/>
          <w:b/>
        </w:rPr>
        <w:t xml:space="preserve">Survodutida</w:t>
      </w:r>
      <w:r>
        <w:t xml:space="preserve"> </w:t>
      </w:r>
      <w:r>
        <w:t xml:space="preserve">chama a atenção pela alta perda no grupo placebo, de 5,4%; a análise principal considerou expressamente também interrupções e titulações prolongadas.</w:t>
      </w:r>
    </w:p>
    <w:p>
      <w:pPr>
        <w:pStyle w:val="FirstParagraph"/>
      </w:pPr>
      <w:r>
        <w:t xml:space="preserve">Nota-se uma escala: agonistas puros de GLP-1 alcançam em média cerca de 8 a 15%, a dose mais alta de semaglutida quase 19%, combinações com GIP ou amilina cerca de 20%, o agonista triplo retatrutida 25%. Essa ordem é sustentada pelas comparações diretas SURMOUNT-5, STEP 8 e REDEFINE 5; para a retatrutida, a comparação direta com a tirzepatida ainda está pendente</w:t>
      </w:r>
      <w:r>
        <w:rPr>
          <w:rStyle w:val="FootnoteReference"/>
        </w:rPr>
        <w:footnoteReference w:id="2539"/>
      </w:r>
      <w:r>
        <w:t xml:space="preserve">.</w:t>
      </w:r>
    </w:p>
    <w:bookmarkStart w:id="2540" w:name="X990dae4da74a6dac4f6543899137df87fc6c13c"/>
    <w:p>
      <w:pPr>
        <w:pStyle w:val="Heading4"/>
      </w:pPr>
      <w:r>
        <w:t xml:space="preserve">Com diabetes tipo 2, a perda de peso é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Perda de peso vs.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vs. −2,0%</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vs. −3,4%</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vs. −3,4%</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vs. −5,1%</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vs. −2,5%</w:t>
            </w:r>
          </w:p>
        </w:tc>
      </w:tr>
    </w:tbl>
    <w:p>
      <w:pPr>
        <w:pStyle w:val="BodyText"/>
      </w:pPr>
      <w:r>
        <w:t xml:space="preserve">Em todas as substâncias, o valor com diabetes é bem mais baixo do que sem, geralmente de um quarto a um terço. Esse padrão é tão constante que comparar um estudo em diabetes com um estudo em obesidade sem diabetes sempre leva a conclusões erradas.</w:t>
      </w:r>
    </w:p>
    <w:bookmarkEnd w:id="2540"/>
    <w:bookmarkStart w:id="2543" w:name="após-a-suspensão"/>
    <w:p>
      <w:pPr>
        <w:pStyle w:val="Heading4"/>
      </w:pPr>
      <w:r>
        <w:t xml:space="preserve">Após a suspensão</w:t>
      </w:r>
    </w:p>
    <w:p>
      <w:pPr>
        <w:pStyle w:val="FirstParagraph"/>
      </w:pPr>
      <w:r>
        <w:t xml:space="preserve">Dois estudos investigaram especificamente o que acontece após a suspensão. No STEP 4, todos os participantes receberam primeiro 20 semanas de semaglutida; depois, o grupo que passou para placebo recuperou 6,9% do peso em 48 semanas, enquanto o grupo com semaglutida perdeu mais 7,9%</w:t>
      </w:r>
      <w:r>
        <w:rPr>
          <w:rStyle w:val="FootnoteReference"/>
        </w:rPr>
        <w:footnoteReference w:id="2541"/>
      </w:r>
      <w:r>
        <w:t xml:space="preserve">. No SURMOUNT-4, o grupo placebo, após 36 semanas de tirzepatida, recuperou 14,0% do peso nas 52 semanas seguintes</w:t>
      </w:r>
      <w:r>
        <w:rPr>
          <w:rStyle w:val="FootnoteReference"/>
        </w:rPr>
        <w:footnoteReference w:id="2542"/>
      </w:r>
      <w:r>
        <w:t xml:space="preserve">. Para ambas as substâncias vale: o efeito só se mantém enquanto se trata. Para as substâncias mais novas, ainda não há dados publicados sobre isso.</w:t>
      </w:r>
    </w:p>
    <w:bookmarkEnd w:id="2543"/>
    <w:bookmarkEnd w:id="2544"/>
    <w:bookmarkStart w:id="2546" w:name="glicemia-hba1c"/>
    <w:p>
      <w:pPr>
        <w:pStyle w:val="Heading3"/>
      </w:pPr>
      <w:r>
        <w:t xml:space="preserve">Glicemia: HbA1c</w:t>
      </w:r>
    </w:p>
    <w:p>
      <w:pPr>
        <w:pStyle w:val="FirstParagraph"/>
      </w:pPr>
      <w:r>
        <w:t xml:space="preserve">O valor de HbA1c (</w:t>
      </w:r>
      <w:r>
        <w:t xml:space="preserve">“</w:t>
      </w:r>
      <w:r>
        <w:t xml:space="preserve">glicemia de longo prazo</w:t>
      </w:r>
      <w:r>
        <w:t xml:space="preserve">”</w:t>
      </w:r>
      <w:r>
        <w:t xml:space="preserve">) indica que proporção do pigmento vermelho do sangue está ligada a açúcar e reflete a glicemia média dos últimos dois a três meses. Uma redução de um ponto percentual é considerada clinicamente relevante. O quanto o valor cai depende muito do valor inicial: quem começa com 9% pode perder mais do que alguém com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Variação da HbA1c (pontos percentuais)</w:t>
            </w:r>
          </w:p>
        </w:tc>
      </w:tr>
      <w:tr>
        <w:tc>
          <w:tcPr/>
          <w:p>
            <w:pPr>
              <w:pStyle w:val="Compact"/>
              <w:jc w:val="left"/>
            </w:pPr>
            <w:r>
              <w:t xml:space="preserve">Exenatida duas vezes ao dia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vs. +0,08 (placebo)</w:t>
            </w:r>
          </w:p>
        </w:tc>
      </w:tr>
      <w:tr>
        <w:tc>
          <w:tcPr/>
          <w:p>
            <w:pPr>
              <w:pStyle w:val="Compact"/>
              <w:jc w:val="left"/>
            </w:pPr>
            <w:r>
              <w:t xml:space="preserve">Pranlintida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(além da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vs.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vs.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vs.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vs.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vs.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vs.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vs. −0,1 (placebo)</w:t>
            </w:r>
          </w:p>
        </w:tc>
      </w:tr>
      <w:tr>
        <w:tc>
          <w:tcPr/>
          <w:p>
            <w:pPr>
              <w:pStyle w:val="Compact"/>
              <w:jc w:val="left"/>
            </w:pPr>
            <w:r>
              <w:t xml:space="preserve">Maridebarte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vs. −0,41 (placebo)</w:t>
            </w:r>
          </w:p>
        </w:tc>
      </w:tr>
    </w:tbl>
    <w:p>
      <w:pPr>
        <w:pStyle w:val="BodyText"/>
      </w:pPr>
      <w:r>
        <w:t xml:space="preserve">As substâncias mais antigas, exenatida e pranlintida, reduzem a HbA1c em menos de um ponto percentual, os agonistas semanais de GLP-1 em cerca de 1,5 ponto, a tirzepatida e os agonistas múltiplos mais novos em cerca de 2 pontos. Na glicemia, as diferenças entre as substâncias mais novas são menores do que no peso. O REIMAGINE 2 mostra isso de forma especialmente clara: ali, o CagriSema reduziu a HbA1c apenas 0,16 ponto percentual a mais do que a semaglutida 2,4 mg isolada (−1,91 vs. −1,75; Buse 2026, PMID 42251859). O acréscimo de amilina atua, portanto, sobretudo no peso.</w:t>
      </w:r>
    </w:p>
    <w:p>
      <w:pPr>
        <w:pStyle w:val="BodyText"/>
      </w:pPr>
      <w:r>
        <w:t xml:space="preserve">Uma diferença importante diz respeito à hipoglicemia. Como o GLP-1 só aumenta a secreção de insulina quando a glicemia está elevada, hipoglicemias são raras com esses medicamentos isoladamente. Elas se tornam mais frequentes quando insulina ou sulfonilureias são usadas ao mesmo tempo. Na pranlintida, que só é usada em associação à insulina prandial, a hipoglicemia grave é o risco mais importante</w:t>
      </w:r>
      <w:r>
        <w:rPr>
          <w:rStyle w:val="FootnoteReference"/>
        </w:rPr>
        <w:footnoteReference w:id="2545"/>
      </w:r>
      <w:r>
        <w:t xml:space="preserve">.</w:t>
      </w:r>
    </w:p>
    <w:bookmarkEnd w:id="2546"/>
    <w:bookmarkStart w:id="2554" w:name="estudos-de-desfechos-cardiovasculares"/>
    <w:p>
      <w:pPr>
        <w:pStyle w:val="Heading3"/>
      </w:pPr>
      <w:r>
        <w:t xml:space="preserve">Estudos de desfechos cardiovasculares</w:t>
      </w:r>
    </w:p>
    <w:p>
      <w:pPr>
        <w:pStyle w:val="FirstParagraph"/>
      </w:pPr>
      <w:r>
        <w:t xml:space="preserve">Estudos de desfechos não medem valores laboratoriais, mas eventos que importam para os pacientes: morte cardiovascular, infarto do miocárdio e AVC, agrupados como</w:t>
      </w:r>
      <w:r>
        <w:t xml:space="preserve"> </w:t>
      </w:r>
      <w:r>
        <w:t xml:space="preserve">“</w:t>
      </w:r>
      <w:r>
        <w:t xml:space="preserve">MACE</w:t>
      </w:r>
      <w:r>
        <w:t xml:space="preserve">”</w:t>
      </w:r>
      <w:r>
        <w:t xml:space="preserve"> </w:t>
      </w:r>
      <w:r>
        <w:t xml:space="preserve">(major adverse cardiovascular events). A razão de risco (hazard ratio, HR) indica quão alto foi o risco em comparação com o grupo controle; 0,80 significa um risco relativo 20%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(substância)</w:t>
            </w:r>
          </w:p>
        </w:tc>
        <w:tc>
          <w:tcPr/>
          <w:p>
            <w:pPr>
              <w:pStyle w:val="Compact"/>
              <w:jc w:val="left"/>
            </w:pPr>
            <w:r>
              <w:t xml:space="preserve">Participantes</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com diabetes tipo 2 e alto risco</w:t>
            </w:r>
          </w:p>
        </w:tc>
        <w:tc>
          <w:tcPr/>
          <w:p>
            <w:pPr>
              <w:pStyle w:val="Compact"/>
              <w:jc w:val="left"/>
            </w:pPr>
            <w:r>
              <w:t xml:space="preserve">mediana de 3,8 anos</w:t>
            </w:r>
          </w:p>
        </w:tc>
        <w:tc>
          <w:tcPr/>
          <w:p>
            <w:pPr>
              <w:pStyle w:val="Compact"/>
              <w:jc w:val="left"/>
            </w:pPr>
            <w:r>
              <w:t xml:space="preserve">13,0% vs. 14,9%; HR 0,87</w:t>
            </w:r>
          </w:p>
        </w:tc>
      </w:tr>
      <w:tr>
        <w:tc>
          <w:tcPr/>
          <w:p>
            <w:pPr>
              <w:pStyle w:val="Compact"/>
              <w:jc w:val="left"/>
            </w:pPr>
            <w:r>
              <w:t xml:space="preserve">SUSTAIN 6 (semaglutida; Marso 2016), PMID 27633186</w:t>
            </w:r>
          </w:p>
        </w:tc>
        <w:tc>
          <w:tcPr/>
          <w:p>
            <w:pPr>
              <w:pStyle w:val="Compact"/>
              <w:jc w:val="left"/>
            </w:pPr>
            <w:r>
              <w:t xml:space="preserve">3.297 com diabetes tipo 2 e alto risco</w:t>
            </w:r>
          </w:p>
        </w:tc>
        <w:tc>
          <w:tcPr/>
          <w:p>
            <w:pPr>
              <w:pStyle w:val="Compact"/>
              <w:jc w:val="left"/>
            </w:pPr>
            <w:r>
              <w:t xml:space="preserve">104 semanas</w:t>
            </w:r>
          </w:p>
        </w:tc>
        <w:tc>
          <w:tcPr/>
          <w:p>
            <w:pPr>
              <w:pStyle w:val="Compact"/>
              <w:jc w:val="left"/>
            </w:pPr>
            <w:r>
              <w:t xml:space="preserve">6,6% vs. 8,9%; HR 0,74</w:t>
            </w:r>
          </w:p>
        </w:tc>
      </w:tr>
      <w:tr>
        <w:tc>
          <w:tcPr/>
          <w:p>
            <w:pPr>
              <w:pStyle w:val="Compact"/>
              <w:jc w:val="left"/>
            </w:pPr>
            <w:r>
              <w:t xml:space="preserve">PIONEER 6 (semaglutida comprimido; Husain 2019), PMID 31185157</w:t>
            </w:r>
          </w:p>
        </w:tc>
        <w:tc>
          <w:tcPr/>
          <w:p>
            <w:pPr>
              <w:pStyle w:val="Compact"/>
              <w:jc w:val="left"/>
            </w:pPr>
            <w:r>
              <w:t xml:space="preserve">3.183 com diabetes tipo 2 e alto risco</w:t>
            </w:r>
          </w:p>
        </w:tc>
        <w:tc>
          <w:tcPr/>
          <w:p>
            <w:pPr>
              <w:pStyle w:val="Compact"/>
              <w:jc w:val="left"/>
            </w:pPr>
            <w:r>
              <w:t xml:space="preserve">mediana de 15,9 meses</w:t>
            </w:r>
          </w:p>
        </w:tc>
        <w:tc>
          <w:tcPr/>
          <w:p>
            <w:pPr>
              <w:pStyle w:val="Compact"/>
              <w:jc w:val="left"/>
            </w:pPr>
            <w:r>
              <w:t xml:space="preserve">3,8% vs. 4,8%; HR 0,79, demonstrada apenas não inferioridade</w:t>
            </w:r>
          </w:p>
        </w:tc>
      </w:tr>
      <w:tr>
        <w:tc>
          <w:tcPr/>
          <w:p>
            <w:pPr>
              <w:pStyle w:val="Compact"/>
              <w:jc w:val="left"/>
            </w:pPr>
            <w:r>
              <w:t xml:space="preserve">SOUL (semaglutida comprimido; McGuire 2025), PMID 40162642</w:t>
            </w:r>
          </w:p>
        </w:tc>
        <w:tc>
          <w:tcPr/>
          <w:p>
            <w:pPr>
              <w:pStyle w:val="Compact"/>
              <w:jc w:val="left"/>
            </w:pPr>
            <w:r>
              <w:t xml:space="preserve">9.650 com diabetes tipo 2 e doença vascular ou renal</w:t>
            </w:r>
          </w:p>
        </w:tc>
        <w:tc>
          <w:tcPr/>
          <w:p>
            <w:pPr>
              <w:pStyle w:val="Compact"/>
              <w:jc w:val="left"/>
            </w:pPr>
            <w:r>
              <w:t xml:space="preserve">mediana de 49,5 meses</w:t>
            </w:r>
          </w:p>
        </w:tc>
        <w:tc>
          <w:tcPr/>
          <w:p>
            <w:pPr>
              <w:pStyle w:val="Compact"/>
              <w:jc w:val="left"/>
            </w:pPr>
            <w:r>
              <w:t xml:space="preserve">12,0% vs. 13,8%; HR 0,86</w:t>
            </w:r>
          </w:p>
        </w:tc>
      </w:tr>
      <w:tr>
        <w:tc>
          <w:tcPr/>
          <w:p>
            <w:pPr>
              <w:pStyle w:val="Compact"/>
              <w:jc w:val="left"/>
            </w:pPr>
            <w:r>
              <w:t xml:space="preserve">SELECT (semaglutida 2,4 mg; Lincoff 2023), PMID 37952131</w:t>
            </w:r>
          </w:p>
        </w:tc>
        <w:tc>
          <w:tcPr/>
          <w:p>
            <w:pPr>
              <w:pStyle w:val="Compact"/>
              <w:jc w:val="left"/>
            </w:pPr>
            <w:r>
              <w:t xml:space="preserve">17.604 com sobrepeso e doença cardiovascular, sem diabetes</w:t>
            </w:r>
          </w:p>
        </w:tc>
        <w:tc>
          <w:tcPr/>
          <w:p>
            <w:pPr>
              <w:pStyle w:val="Compact"/>
              <w:jc w:val="left"/>
            </w:pPr>
            <w:r>
              <w:t xml:space="preserve">média de 39,8 meses</w:t>
            </w:r>
          </w:p>
        </w:tc>
        <w:tc>
          <w:tcPr/>
          <w:p>
            <w:pPr>
              <w:pStyle w:val="Compact"/>
              <w:jc w:val="left"/>
            </w:pPr>
            <w:r>
              <w:t xml:space="preserve">6,5% vs. 8,0%; HR 0,80</w:t>
            </w:r>
          </w:p>
        </w:tc>
      </w:tr>
      <w:tr>
        <w:tc>
          <w:tcPr/>
          <w:p>
            <w:pPr>
              <w:pStyle w:val="Compact"/>
              <w:jc w:val="left"/>
            </w:pPr>
            <w:r>
              <w:t xml:space="preserve">REWIND (dulaglutida; Gerstein 2019), PMID 31189511</w:t>
            </w:r>
          </w:p>
        </w:tc>
        <w:tc>
          <w:tcPr/>
          <w:p>
            <w:pPr>
              <w:pStyle w:val="Compact"/>
              <w:jc w:val="left"/>
            </w:pPr>
            <w:r>
              <w:t xml:space="preserve">9.901 com diabetes tipo 2, com ou sem doença cardiovascular prévia</w:t>
            </w:r>
          </w:p>
        </w:tc>
        <w:tc>
          <w:tcPr/>
          <w:p>
            <w:pPr>
              <w:pStyle w:val="Compact"/>
              <w:jc w:val="left"/>
            </w:pPr>
            <w:r>
              <w:t xml:space="preserve">mediana de 5,4 anos</w:t>
            </w:r>
          </w:p>
        </w:tc>
        <w:tc>
          <w:tcPr/>
          <w:p>
            <w:pPr>
              <w:pStyle w:val="Compact"/>
              <w:jc w:val="left"/>
            </w:pPr>
            <w:r>
              <w:t xml:space="preserve">12,0% vs. 13,4%; HR 0,88</w:t>
            </w:r>
          </w:p>
        </w:tc>
      </w:tr>
      <w:tr>
        <w:tc>
          <w:tcPr/>
          <w:p>
            <w:pPr>
              <w:pStyle w:val="Compact"/>
              <w:jc w:val="left"/>
            </w:pPr>
            <w:r>
              <w:t xml:space="preserve">EXSCEL (exenatida semanal; Holman 2017), PMID 28910237</w:t>
            </w:r>
          </w:p>
        </w:tc>
        <w:tc>
          <w:tcPr/>
          <w:p>
            <w:pPr>
              <w:pStyle w:val="Compact"/>
              <w:jc w:val="left"/>
            </w:pPr>
            <w:r>
              <w:t xml:space="preserve">14.752 com diabetes tipo 2</w:t>
            </w:r>
          </w:p>
        </w:tc>
        <w:tc>
          <w:tcPr/>
          <w:p>
            <w:pPr>
              <w:pStyle w:val="Compact"/>
              <w:jc w:val="left"/>
            </w:pPr>
            <w:r>
              <w:t xml:space="preserve">mediana de 3,2 anos</w:t>
            </w:r>
          </w:p>
        </w:tc>
        <w:tc>
          <w:tcPr/>
          <w:p>
            <w:pPr>
              <w:pStyle w:val="Compact"/>
              <w:jc w:val="left"/>
            </w:pPr>
            <w:r>
              <w:t xml:space="preserve">11,4% vs. 12,2%; HR 0,91, superioridade não alcançada por pouco</w:t>
            </w:r>
          </w:p>
        </w:tc>
      </w:tr>
      <w:tr>
        <w:tc>
          <w:tcPr/>
          <w:p>
            <w:pPr>
              <w:pStyle w:val="Compact"/>
              <w:jc w:val="left"/>
            </w:pPr>
            <w:r>
              <w:t xml:space="preserve">SURPASS-CVOT (tirzepatida contra dulaglutida; Nicholls 2025), PMID 41406444</w:t>
            </w:r>
          </w:p>
        </w:tc>
        <w:tc>
          <w:tcPr/>
          <w:p>
            <w:pPr>
              <w:pStyle w:val="Compact"/>
              <w:jc w:val="left"/>
            </w:pPr>
            <w:r>
              <w:t xml:space="preserve">13.165 com diabetes tipo 2 e doença vascular</w:t>
            </w:r>
          </w:p>
        </w:tc>
        <w:tc>
          <w:tcPr/>
          <w:p>
            <w:pPr>
              <w:pStyle w:val="Compact"/>
              <w:jc w:val="left"/>
            </w:pPr>
            <w:r>
              <w:t xml:space="preserve">vários anos</w:t>
            </w:r>
          </w:p>
        </w:tc>
        <w:tc>
          <w:tcPr/>
          <w:p>
            <w:pPr>
              <w:pStyle w:val="Compact"/>
              <w:jc w:val="left"/>
            </w:pPr>
            <w:r>
              <w:t xml:space="preserve">12,2% vs. 13,1%; HR 0,92, não inferior</w:t>
            </w:r>
          </w:p>
        </w:tc>
      </w:tr>
      <w:tr>
        <w:tc>
          <w:tcPr/>
          <w:p>
            <w:pPr>
              <w:pStyle w:val="Compact"/>
              <w:jc w:val="left"/>
            </w:pPr>
            <w:r>
              <w:t xml:space="preserve">ACHIEVE-4 (orforglipron contra insulina glargina; Klein 2026), PMID 42815506</w:t>
            </w:r>
          </w:p>
        </w:tc>
        <w:tc>
          <w:tcPr/>
          <w:p>
            <w:pPr>
              <w:pStyle w:val="Compact"/>
              <w:jc w:val="left"/>
            </w:pPr>
            <w:r>
              <w:t xml:space="preserve">2.749 com diabetes tipo 2 e alto risco</w:t>
            </w:r>
          </w:p>
        </w:tc>
        <w:tc>
          <w:tcPr/>
          <w:p>
            <w:pPr>
              <w:pStyle w:val="Compact"/>
              <w:jc w:val="left"/>
            </w:pPr>
            <w:r>
              <w:t xml:space="preserve">mediana de 2 anos</w:t>
            </w:r>
          </w:p>
        </w:tc>
        <w:tc>
          <w:tcPr/>
          <w:p>
            <w:pPr>
              <w:pStyle w:val="Compact"/>
              <w:jc w:val="left"/>
            </w:pPr>
            <w:r>
              <w:t xml:space="preserve">4,2% vs. 5,0% (MACE-4), não inferior</w:t>
            </w:r>
          </w:p>
        </w:tc>
      </w:tr>
    </w:tbl>
    <w:p>
      <w:pPr>
        <w:pStyle w:val="BodyText"/>
      </w:pPr>
      <w:r>
        <w:t xml:space="preserve">O que esta tabela mostra:</w:t>
      </w:r>
    </w:p>
    <w:p>
      <w:pPr>
        <w:numPr>
          <w:ilvl w:val="0"/>
          <w:numId w:val="1326"/>
        </w:numPr>
        <w:pStyle w:val="Compact"/>
      </w:pPr>
      <w:r>
        <w:rPr>
          <w:bCs/>
          <w:b/>
        </w:rPr>
        <w:t xml:space="preserve">A classe reduz o risco.</w:t>
      </w:r>
      <w:r>
        <w:t xml:space="preserve"> </w:t>
      </w:r>
      <w:r>
        <w:t xml:space="preserve">Uma metanálise de sete estudos de desfechos controlados por placebo, com um total de 56.004 participantes, encontrou para os agonistas do receptor de GLP-1 no diabetes tipo 2 12% menos eventos cardiovasculares graves (HR 0,88), 12% menos mortes por qualquer causa e 9% menos internações por insuficiência cardíaca, sem diferenças relevantes entre os subgrupos</w:t>
      </w:r>
      <w:r>
        <w:rPr>
          <w:rStyle w:val="FootnoteReference"/>
        </w:rPr>
        <w:footnoteReference w:id="2547"/>
      </w:r>
      <w:r>
        <w:t xml:space="preserve">. Nessa metanálise entraram também duas substâncias que não são tratadas neste livro.</w:t>
      </w:r>
    </w:p>
    <w:p>
      <w:pPr>
        <w:numPr>
          <w:ilvl w:val="0"/>
          <w:numId w:val="1326"/>
        </w:numPr>
        <w:pStyle w:val="Compact"/>
      </w:pPr>
      <w:r>
        <w:rPr>
          <w:bCs/>
          <w:b/>
        </w:rPr>
        <w:t xml:space="preserve">Diferenças entre as substâncias são incertas.</w:t>
      </w:r>
      <w:r>
        <w:t xml:space="preserve"> </w:t>
      </w:r>
      <w:r>
        <w:t xml:space="preserve">A exenatida ficou no limite mais fraco no EXSCEL; discutem-se a própria molécula, a alta taxa de abandono e o desenho pragmático do estudo. Um implante de bomba de exenatida (FREEDOM-CVO) cumpriu apenas o critério de segurança (HR 1,21; Ruff 2022, PMID 34873344).</w:t>
      </w:r>
    </w:p>
    <w:p>
      <w:pPr>
        <w:numPr>
          <w:ilvl w:val="0"/>
          <w:numId w:val="1326"/>
        </w:numPr>
        <w:pStyle w:val="Compact"/>
      </w:pPr>
      <w:r>
        <w:rPr>
          <w:bCs/>
          <w:b/>
        </w:rPr>
        <w:t xml:space="preserve">O SELECT é um caso especial.</w:t>
      </w:r>
      <w:r>
        <w:t xml:space="preserve"> </w:t>
      </w:r>
      <w:r>
        <w:t xml:space="preserve">Nesta visão geral, é o único grande estudo de desfechos exclusivamente em pessoas</w:t>
      </w:r>
      <w:r>
        <w:t xml:space="preserve"> </w:t>
      </w:r>
      <w:r>
        <w:rPr>
          <w:iCs/>
          <w:i/>
        </w:rPr>
        <w:t xml:space="preserve">sem</w:t>
      </w:r>
      <w:r>
        <w:t xml:space="preserve"> </w:t>
      </w:r>
      <w:r>
        <w:t xml:space="preserve">diabetes. Em números absolutos, ao longo de pouco mais de três anos, cerca de 1,5 em cada cem tratados tiveram um evento grave a menos.</w:t>
      </w:r>
    </w:p>
    <w:p>
      <w:pPr>
        <w:numPr>
          <w:ilvl w:val="0"/>
          <w:numId w:val="1326"/>
        </w:numPr>
        <w:pStyle w:val="Compact"/>
      </w:pPr>
      <w:r>
        <w:rPr>
          <w:bCs/>
          <w:b/>
        </w:rPr>
        <w:t xml:space="preserve">A tirzepatida foi testada contra um medicamento eficaz.</w:t>
      </w:r>
      <w:r>
        <w:t xml:space="preserve"> </w:t>
      </w:r>
      <w:r>
        <w:t xml:space="preserve">O SURPASS-CVOT não comparou a tirzepatida com placebo, mas com a dulaglutida, que no REWIND havia ela própria reduzido o risco. A tirzepatida não foi inferior; a superioridade formal não foi alcançada por pouco. Qual seria o benefício em relação a nenhum tratamento só pode ser estimado a partir disso por meio de modelos matemáticos.</w:t>
      </w:r>
    </w:p>
    <w:p>
      <w:pPr>
        <w:numPr>
          <w:ilvl w:val="0"/>
          <w:numId w:val="1326"/>
        </w:numPr>
        <w:pStyle w:val="Compact"/>
      </w:pPr>
      <w:r>
        <w:rPr>
          <w:bCs/>
          <w:b/>
        </w:rPr>
        <w:t xml:space="preserve">Insuficiência cardíaca:</w:t>
      </w:r>
      <w:r>
        <w:t xml:space="preserve"> </w:t>
      </w:r>
      <w:r>
        <w:t xml:space="preserve">na insuficiência cardíaca com fração de ejeção preservada e obesidade, a tirzepatida reduziu no SUMMIT, com 731 pessoas, o desfecho combinado de morte cardiovascular ou agravamento da insuficiência cardíaca (9,9% vs. 15,3%; HR 0,62; Packer 2025, PMID 39555826). A diferença se deveu a menos eventos de agravamento; mortes foram raras. No STEP-HFpEF, a semaglutida melhorou sintomas e distância de caminhada</w:t>
      </w:r>
      <w:r>
        <w:rPr>
          <w:rStyle w:val="FootnoteReference"/>
        </w:rPr>
        <w:footnoteReference w:id="2548"/>
      </w:r>
      <w:r>
        <w:t xml:space="preserve">, mas o estudo não foi desenhado para desfechos duros.</w:t>
      </w:r>
    </w:p>
    <w:p>
      <w:pPr>
        <w:pStyle w:val="FirstParagraph"/>
      </w:pPr>
      <w:r>
        <w:rPr>
          <w:bCs/>
          <w:b/>
        </w:rPr>
        <w:t xml:space="preserve">Ainda pendente (estudos registrados):</w:t>
      </w:r>
      <w:r>
        <w:t xml:space="preserve"> </w:t>
      </w:r>
      <w:r>
        <w:t xml:space="preserve">para as substâncias mais novas faltam dados de desfechos. Estudos em andamento são o SURMOUNT-MMO, sobre tirzepatida na obesidade sem diabetes</w:t>
      </w:r>
      <w:r>
        <w:rPr>
          <w:rStyle w:val="FootnoteReference"/>
        </w:rPr>
        <w:footnoteReference w:id="2549"/>
      </w:r>
      <w:r>
        <w:t xml:space="preserve">, o TRIUMPH-Outcomes, sobre retatrutida</w:t>
      </w:r>
      <w:r>
        <w:rPr>
          <w:rStyle w:val="FootnoteReference"/>
        </w:rPr>
        <w:footnoteReference w:id="2550"/>
      </w:r>
      <w:r>
        <w:t xml:space="preserve">, o REDEFINE 3, sobre CagriSema</w:t>
      </w:r>
      <w:r>
        <w:rPr>
          <w:rStyle w:val="FootnoteReference"/>
        </w:rPr>
        <w:footnoteReference w:id="2551"/>
      </w:r>
      <w:r>
        <w:t xml:space="preserve">, um estudo sobre maridebarte cafraglutida</w:t>
      </w:r>
      <w:r>
        <w:rPr>
          <w:rStyle w:val="FootnoteReference"/>
        </w:rPr>
        <w:footnoteReference w:id="2552"/>
      </w:r>
      <w:r>
        <w:t xml:space="preserve"> </w:t>
      </w:r>
      <w:r>
        <w:t xml:space="preserve">e um sobre orforglipron</w:t>
      </w:r>
      <w:r>
        <w:rPr>
          <w:rStyle w:val="FootnoteReference"/>
        </w:rPr>
        <w:footnoteReference w:id="2553"/>
      </w:r>
      <w:r>
        <w:t xml:space="preserve">. Até que esses resultados estejam disponíveis, permanece em aberto se uma perda de peso maior também leva a menos infartos e AVCs. Essa é uma expectativa plausível, mas não um resultado.</w:t>
      </w:r>
    </w:p>
    <w:bookmarkEnd w:id="2554"/>
    <w:bookmarkStart w:id="2562" w:name="rins-e-fígado"/>
    <w:p>
      <w:pPr>
        <w:pStyle w:val="Heading3"/>
      </w:pPr>
      <w:r>
        <w:t xml:space="preserve">Rins e fígado</w:t>
      </w:r>
    </w:p>
    <w:p>
      <w:pPr>
        <w:pStyle w:val="FirstParagraph"/>
      </w:pPr>
      <w:r>
        <w:rPr>
          <w:bCs/>
          <w:b/>
        </w:rPr>
        <w:t xml:space="preserve">Rins:</w:t>
      </w:r>
      <w:r>
        <w:t xml:space="preserve"> </w:t>
      </w:r>
      <w:r>
        <w:t xml:space="preserve">entre os estudos discutidos neste livro, apenas o FLOW tem um evento renal como desfecho principal. Em 3.533 pessoas com diabetes tipo 2 e doença renal crônica, a semaglutida 1,0 mg reduziu em 24% os eventos renais graves e a morte por causa renal ou cardiovascular (331 vs. 410 eventos; HR 0,76). O estudo foi encerrado antecipadamente por eficácia; a mortalidade total foi 20% menor</w:t>
      </w:r>
      <w:r>
        <w:rPr>
          <w:rStyle w:val="FootnoteReference"/>
        </w:rPr>
        <w:footnoteReference w:id="2555"/>
      </w:r>
      <w:r>
        <w:t xml:space="preserve">. Nos estudos de desfechos mais antigos, por outro lado, o benefício renal se baseou sobretudo em menos proteína na urina: no LEADER HR 0,78</w:t>
      </w:r>
      <w:r>
        <w:rPr>
          <w:rStyle w:val="FootnoteReference"/>
        </w:rPr>
        <w:footnoteReference w:id="2556"/>
      </w:r>
      <w:r>
        <w:t xml:space="preserve">, no REWIND HR 0,85</w:t>
      </w:r>
      <w:r>
        <w:rPr>
          <w:rStyle w:val="FootnoteReference"/>
        </w:rPr>
        <w:footnoteReference w:id="2557"/>
      </w:r>
      <w:r>
        <w:t xml:space="preserve">, em todos os sete estudos HR 0,83</w:t>
      </w:r>
      <w:r>
        <w:rPr>
          <w:rStyle w:val="FootnoteReference"/>
        </w:rPr>
        <w:footnoteReference w:id="2558"/>
      </w:r>
      <w:r>
        <w:t xml:space="preserve">. No SOUL, os desfechos secundários confirmatórios, entre eles eventos renais, não diferiram significativamente</w:t>
      </w:r>
      <w:r>
        <w:rPr>
          <w:rStyle w:val="FootnoteReference"/>
        </w:rPr>
        <w:footnoteReference w:id="2559"/>
      </w:r>
      <w:r>
        <w:t xml:space="preserve">. Na doença renal moderada a grave, a função renal se manteve melhor com dulaglutida do que com insulina glargina (AWARD-7, Tuttle 2018, PMID 29910024). Para a tirzepatida e as substâncias mais novas, ainda não há estudos com eventos renais como desfecho principal.</w:t>
      </w:r>
    </w:p>
    <w:p>
      <w:pPr>
        <w:pStyle w:val="BodyText"/>
      </w:pPr>
      <w:r>
        <w:rPr>
          <w:bCs/>
          <w:b/>
        </w:rPr>
        <w:t xml:space="preserve">Fígado:</w:t>
      </w:r>
      <w:r>
        <w:t xml:space="preserve"> </w:t>
      </w:r>
      <w:r>
        <w:t xml:space="preserve">na esteato-hepatite inflamatória MASH (antes NASH), há estudos com biópsia para três substâncias: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Duração</w:t>
            </w:r>
          </w:p>
        </w:tc>
        <w:tc>
          <w:tcPr/>
          <w:p>
            <w:pPr>
              <w:pStyle w:val="Compact"/>
              <w:jc w:val="left"/>
            </w:pPr>
            <w:r>
              <w:t xml:space="preserve">Resolução da MASH sem piora da fibrose</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(análise interina, 800 pessoas)</w:t>
            </w:r>
          </w:p>
        </w:tc>
        <w:tc>
          <w:tcPr/>
          <w:p>
            <w:pPr>
              <w:pStyle w:val="Compact"/>
              <w:jc w:val="left"/>
            </w:pPr>
            <w:r>
              <w:t xml:space="preserve">62,9% vs. 34,3%; menos fibrose 36,8% vs. 22,4%</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pessoas</w:t>
            </w:r>
          </w:p>
        </w:tc>
        <w:tc>
          <w:tcPr/>
          <w:p>
            <w:pPr>
              <w:pStyle w:val="Compact"/>
              <w:jc w:val="left"/>
            </w:pPr>
            <w:r>
              <w:t xml:space="preserve">44–62% vs. 10%; menos fibrose 51–55% vs. 30%</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pessoas</w:t>
            </w:r>
          </w:p>
        </w:tc>
        <w:tc>
          <w:tcPr/>
          <w:p>
            <w:pPr>
              <w:pStyle w:val="Compact"/>
              <w:jc w:val="left"/>
            </w:pPr>
            <w:r>
              <w:t xml:space="preserve">melhora da MASH 43–62% vs. 14%</w:t>
            </w:r>
          </w:p>
        </w:tc>
      </w:tr>
    </w:tbl>
    <w:p>
      <w:pPr>
        <w:pStyle w:val="BodyText"/>
      </w:pPr>
      <w:r>
        <w:t xml:space="preserve">Apenas o ESSENCE é um estudo de fase 3; se o tratamento também previne cirrose, insuficiência hepática e mortes deverá ser mostrado por sua segunda parte, ao longo de 240 semanas. Para a survodutida estão em andamento os estudos de fase 3 LIVERAGE</w:t>
      </w:r>
      <w:r>
        <w:rPr>
          <w:rStyle w:val="FootnoteReference"/>
        </w:rPr>
        <w:footnoteReference w:id="2560"/>
      </w:r>
      <w:r>
        <w:t xml:space="preserve"> </w:t>
      </w:r>
      <w:r>
        <w:t xml:space="preserve">e LIVERAGE-Cirrhosis</w:t>
      </w:r>
      <w:r>
        <w:rPr>
          <w:rStyle w:val="FootnoteReference"/>
        </w:rPr>
        <w:footnoteReference w:id="2561"/>
      </w:r>
      <w:r>
        <w:t xml:space="preserve">. Os percentuais mais altos dos estudos de fase 2 não são diretamente comparáveis com o ESSENCE, devido aos grupos pequenos e à duração mais curta.</w:t>
      </w:r>
    </w:p>
    <w:bookmarkEnd w:id="2562"/>
    <w:bookmarkStart w:id="2573" w:name="efeitos-colaterais-e-taxas-de-abandono"/>
    <w:p>
      <w:pPr>
        <w:pStyle w:val="Heading3"/>
      </w:pPr>
      <w:r>
        <w:t xml:space="preserve">Efeitos colaterais e taxas de abandono</w:t>
      </w:r>
    </w:p>
    <w:p>
      <w:pPr>
        <w:pStyle w:val="FirstParagraph"/>
      </w:pPr>
      <w:r>
        <w:t xml:space="preserve">O perfil de efeitos colaterais é semelhante em toda a classe: náusea, diarreia, vômitos e prisão de ventre, sobretudo durante o aumento gradual da dose, em geral leves a moderados e passageiros. Eles são o motivo mais frequente de abandono do tratamento. As taxas dependem muito da dose e do ritmo de titulação e só são comparáveis de forma aproximada entre estudos.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Estudo</w:t>
            </w:r>
          </w:p>
        </w:tc>
        <w:tc>
          <w:tcPr/>
          <w:p>
            <w:pPr>
              <w:pStyle w:val="Compact"/>
              <w:jc w:val="left"/>
            </w:pPr>
            <w:r>
              <w:t xml:space="preserve">Queixas gastrointestinais</w:t>
            </w:r>
          </w:p>
        </w:tc>
        <w:tc>
          <w:tcPr/>
          <w:p>
            <w:pPr>
              <w:pStyle w:val="Compact"/>
              <w:jc w:val="left"/>
            </w:pPr>
            <w:r>
              <w:t xml:space="preserve">Abandono por efeitos colaterais</w:t>
            </w:r>
          </w:p>
        </w:tc>
      </w:tr>
      <w:tr>
        <w:tc>
          <w:tcPr/>
          <w:p>
            <w:pPr>
              <w:pStyle w:val="Compact"/>
              <w:jc w:val="left"/>
            </w:pPr>
            <w:r>
              <w:t xml:space="preserve">Exenatida duas vezes ao dia</w:t>
            </w:r>
          </w:p>
        </w:tc>
        <w:tc>
          <w:tcPr/>
          <w:p>
            <w:pPr>
              <w:pStyle w:val="Compact"/>
              <w:jc w:val="left"/>
            </w:pPr>
            <w:r>
              <w:t xml:space="preserve">Heine 2005, PMID 16230722</w:t>
            </w:r>
          </w:p>
        </w:tc>
        <w:tc>
          <w:tcPr/>
          <w:p>
            <w:pPr>
              <w:pStyle w:val="Compact"/>
              <w:jc w:val="left"/>
            </w:pPr>
            <w:r>
              <w:t xml:space="preserve">náusea 57,1%</w:t>
            </w:r>
          </w:p>
        </w:tc>
        <w:tc>
          <w:tcPr/>
          <w:p>
            <w:pPr>
              <w:pStyle w:val="Compact"/>
              <w:jc w:val="left"/>
            </w:pPr>
            <w:r>
              <w:t xml:space="preserve">sem informação no resumo</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sem informação no resumo</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mais frequentes náusea e diarreia</w:t>
            </w:r>
          </w:p>
        </w:tc>
        <w:tc>
          <w:tcPr/>
          <w:p>
            <w:pPr>
              <w:pStyle w:val="Compact"/>
              <w:jc w:val="left"/>
            </w:pPr>
            <w:r>
              <w:t xml:space="preserve">por queixas gastrointestinais 4,5% vs. 0,8%</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(ao longo de pouco mais de três anos)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as mais frequentes, sobretudo na titulação</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sem informação no resumo</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diarreia 27–34%, náusea 14–28% (placebo 13% e 8%, respectivamente)</w:t>
            </w:r>
          </w:p>
        </w:tc>
        <w:tc>
          <w:tcPr/>
          <w:p>
            <w:pPr>
              <w:pStyle w:val="Compact"/>
              <w:jc w:val="left"/>
            </w:pPr>
            <w:r>
              <w:t xml:space="preserve">4–12% vs. 5% (incl. mortes)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sem informação no resumo</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efeito colateral mais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efeito colateral mais frequente</w:t>
            </w:r>
          </w:p>
        </w:tc>
        <w:tc>
          <w:tcPr/>
          <w:p>
            <w:pPr>
              <w:pStyle w:val="Compact"/>
              <w:jc w:val="left"/>
            </w:pPr>
            <w:r>
              <w:t xml:space="preserve">5,3–10,3% vs. 2,7%</w:t>
            </w:r>
          </w:p>
        </w:tc>
      </w:tr>
    </w:tbl>
    <w:p>
      <w:pPr>
        <w:pStyle w:val="BodyText"/>
      </w:pPr>
      <w:r>
        <w:t xml:space="preserve">Algumas observações:</w:t>
      </w:r>
    </w:p>
    <w:p>
      <w:pPr>
        <w:numPr>
          <w:ilvl w:val="0"/>
          <w:numId w:val="1327"/>
        </w:numPr>
        <w:pStyle w:val="Compact"/>
      </w:pPr>
      <w:r>
        <w:rPr>
          <w:bCs/>
          <w:b/>
        </w:rPr>
        <w:t xml:space="preserve">Preparações semanais costumam ser mais bem toleradas do que formas mais antigas.</w:t>
      </w:r>
      <w:r>
        <w:t xml:space="preserve"> </w:t>
      </w:r>
      <w:r>
        <w:t xml:space="preserve">No DURATION-6, 9% tiveram náusea com exenatida semanal e 21% com liraglutida diária</w:t>
      </w:r>
      <w:r>
        <w:rPr>
          <w:rStyle w:val="FootnoteReference"/>
        </w:rPr>
        <w:footnoteReference w:id="2563"/>
      </w:r>
      <w:r>
        <w:t xml:space="preserve">. No STEP 8, 27,6% interromperam precocemente o tratamento com liraglutida, por qualquer motivo, contra 13,5% com semaglutida; queixas gastrointestinais foram igualmente frequentes nos dois grupos (82,7% vs. 84,1%)</w:t>
      </w:r>
      <w:r>
        <w:rPr>
          <w:rStyle w:val="FootnoteReference"/>
        </w:rPr>
        <w:footnoteReference w:id="2564"/>
      </w:r>
      <w:r>
        <w:t xml:space="preserve">.</w:t>
      </w:r>
    </w:p>
    <w:p>
      <w:pPr>
        <w:numPr>
          <w:ilvl w:val="0"/>
          <w:numId w:val="1327"/>
        </w:numPr>
        <w:pStyle w:val="Compact"/>
      </w:pPr>
      <w:r>
        <w:rPr>
          <w:bCs/>
          <w:b/>
        </w:rPr>
        <w:t xml:space="preserve">Maior eficácia não vem obrigatoriamente acompanhada de mais queixas.</w:t>
      </w:r>
      <w:r>
        <w:t xml:space="preserve"> </w:t>
      </w:r>
      <w:r>
        <w:t xml:space="preserve">No SURPASS-2, náusea (17–22% vs. 18%) e vômitos (6–10% vs. 8%) foram igualmente frequentes com tirzepatida e semaglutida; eventos adversos graves ocorreram com tirzepatida em 5–7% contra 3%</w:t>
      </w:r>
      <w:r>
        <w:rPr>
          <w:rStyle w:val="FootnoteReference"/>
        </w:rPr>
        <w:footnoteReference w:id="2565"/>
      </w:r>
      <w:r>
        <w:t xml:space="preserve">. No REDEFINE 5, 53% com CagriSema e 51% com semaglutida tiveram queixas gastrointestinais</w:t>
      </w:r>
      <w:r>
        <w:rPr>
          <w:rStyle w:val="FootnoteReference"/>
        </w:rPr>
        <w:footnoteReference w:id="2566"/>
      </w:r>
      <w:r>
        <w:t xml:space="preserve">.</w:t>
      </w:r>
    </w:p>
    <w:p>
      <w:pPr>
        <w:numPr>
          <w:ilvl w:val="0"/>
          <w:numId w:val="1327"/>
        </w:numPr>
        <w:pStyle w:val="Compact"/>
      </w:pPr>
      <w:r>
        <w:rPr>
          <w:bCs/>
          <w:b/>
        </w:rPr>
        <w:t xml:space="preserve">Nos agonistas múltiplos, os abandonos aumentam em doses altas.</w:t>
      </w:r>
      <w:r>
        <w:t xml:space="preserve"> </w:t>
      </w:r>
      <w:r>
        <w:t xml:space="preserve">Com retatrutida ocorreram, além disso, sensações anormais na pele (disestesia) em 4–7% contra 1% com placebo – um sinal novo para esta classe. Em um estudo de fase 2 norte-americano com mazdutida, 20% abandonaram por efeitos colaterais na dose mais alta</w:t>
      </w:r>
      <w:r>
        <w:rPr>
          <w:rStyle w:val="FootnoteReference"/>
        </w:rPr>
        <w:footnoteReference w:id="2567"/>
      </w:r>
      <w:r>
        <w:t xml:space="preserve">.</w:t>
      </w:r>
    </w:p>
    <w:p>
      <w:pPr>
        <w:numPr>
          <w:ilvl w:val="0"/>
          <w:numId w:val="1327"/>
        </w:numPr>
        <w:pStyle w:val="Compact"/>
      </w:pPr>
      <w:r>
        <w:rPr>
          <w:bCs/>
          <w:b/>
        </w:rPr>
        <w:t xml:space="preserve">Estudos de longo prazo mostram taxas de abandono maiores do que estudos curtos.</w:t>
      </w:r>
      <w:r>
        <w:t xml:space="preserve"> </w:t>
      </w:r>
      <w:r>
        <w:t xml:space="preserve">Os 16,6% do SELECT ao longo de mais de três anos são uma referência mais realista para o tratamento contínuo do que os valores de estudos de aprovação de 68 ou 72 semanas.</w:t>
      </w:r>
    </w:p>
    <w:p>
      <w:pPr>
        <w:pStyle w:val="FirstParagraph"/>
      </w:pPr>
      <w:r>
        <w:rPr>
          <w:bCs/>
          <w:b/>
        </w:rPr>
        <w:t xml:space="preserve">Riscos de classe que afetam todas as substâncias:</w:t>
      </w:r>
    </w:p>
    <w:p>
      <w:pPr>
        <w:numPr>
          <w:ilvl w:val="0"/>
          <w:numId w:val="1328"/>
        </w:numPr>
        <w:pStyle w:val="Compact"/>
      </w:pPr>
      <w:r>
        <w:rPr>
          <w:bCs/>
          <w:b/>
        </w:rPr>
        <w:t xml:space="preserve">Vesícula biliar:</w:t>
      </w:r>
      <w:r>
        <w:t xml:space="preserve"> </w:t>
      </w:r>
      <w:r>
        <w:t xml:space="preserve">uma metanálise de 76 estudos randomizados com 103.371 participantes encontrou um risco 37% maior de doenças da vesícula e das vias biliares e, em estudos de perda de peso, um risco mais que duas vezes maior (risco relativo 2,29; He 2022, PMID 35344001).</w:t>
      </w:r>
    </w:p>
    <w:p>
      <w:pPr>
        <w:numPr>
          <w:ilvl w:val="0"/>
          <w:numId w:val="1328"/>
        </w:numPr>
        <w:pStyle w:val="Compact"/>
      </w:pPr>
      <w:r>
        <w:rPr>
          <w:bCs/>
          <w:b/>
        </w:rPr>
        <w:t xml:space="preserve">Pâncreas:</w:t>
      </w:r>
      <w:r>
        <w:t xml:space="preserve"> </w:t>
      </w:r>
      <w:r>
        <w:t xml:space="preserve">na metanálise dos estudos de desfechos, nenhum risco aumentado de pancreatite ou câncer de pâncreas</w:t>
      </w:r>
      <w:r>
        <w:rPr>
          <w:rStyle w:val="FootnoteReference"/>
        </w:rPr>
        <w:footnoteReference w:id="2568"/>
      </w:r>
      <w:r>
        <w:t xml:space="preserve">; em dados de seguradoras, um sinal no uso para perda de peso</w:t>
      </w:r>
      <w:r>
        <w:rPr>
          <w:rStyle w:val="FootnoteReference"/>
        </w:rPr>
        <w:footnoteReference w:id="2569"/>
      </w:r>
      <w:r>
        <w:t xml:space="preserve">.</w:t>
      </w:r>
    </w:p>
    <w:p>
      <w:pPr>
        <w:numPr>
          <w:ilvl w:val="0"/>
          <w:numId w:val="1328"/>
        </w:numPr>
        <w:pStyle w:val="Compact"/>
      </w:pPr>
      <w:r>
        <w:rPr>
          <w:bCs/>
          <w:b/>
        </w:rPr>
        <w:t xml:space="preserve">Tireoide:</w:t>
      </w:r>
      <w:r>
        <w:t xml:space="preserve"> </w:t>
      </w:r>
      <w:r>
        <w:t xml:space="preserve">tumores de células C em roedores; em humanos, um sinal em metanálises e estudos observacionais</w:t>
      </w:r>
      <w:r>
        <w:rPr>
          <w:rStyle w:val="FootnoteReference"/>
        </w:rPr>
        <w:footnoteReference w:id="2570"/>
      </w:r>
      <w:r>
        <w:t xml:space="preserve">, cuja relevância é controversa.</w:t>
      </w:r>
    </w:p>
    <w:p>
      <w:pPr>
        <w:numPr>
          <w:ilvl w:val="0"/>
          <w:numId w:val="1328"/>
        </w:numPr>
        <w:pStyle w:val="Compact"/>
      </w:pPr>
      <w:r>
        <w:rPr>
          <w:bCs/>
          <w:b/>
        </w:rPr>
        <w:t xml:space="preserve">Olhos:</w:t>
      </w:r>
      <w:r>
        <w:t xml:space="preserve"> </w:t>
      </w:r>
      <w:r>
        <w:t xml:space="preserve">piora de uma retinopatia diabética preexistente no SUSTAIN 6 (HR 1,76; Marso 2016, PMID 27633186); sinal raro de um distúrbio circulatório do nervo óptico (NAION) em estudos observacionais</w:t>
      </w:r>
      <w:r>
        <w:rPr>
          <w:rStyle w:val="FootnoteReference"/>
        </w:rPr>
        <w:footnoteReference w:id="2571"/>
      </w:r>
      <w:r>
        <w:t xml:space="preserve">.</w:t>
      </w:r>
    </w:p>
    <w:p>
      <w:pPr>
        <w:numPr>
          <w:ilvl w:val="0"/>
          <w:numId w:val="1328"/>
        </w:numPr>
        <w:pStyle w:val="Compact"/>
      </w:pPr>
      <w:r>
        <w:rPr>
          <w:bCs/>
          <w:b/>
        </w:rPr>
        <w:t xml:space="preserve">Massa muscular:</w:t>
      </w:r>
      <w:r>
        <w:t xml:space="preserve"> </w:t>
      </w:r>
      <w:r>
        <w:t xml:space="preserve">cerca de um quarto do peso perdido é massa magra, na mesma proporção que em outras formas de perda de peso</w:t>
      </w:r>
      <w:r>
        <w:rPr>
          <w:rStyle w:val="FootnoteReference"/>
        </w:rPr>
        <w:footnoteReference w:id="2572"/>
      </w:r>
      <w:r>
        <w:t xml:space="preserve">.</w:t>
      </w:r>
    </w:p>
    <w:bookmarkEnd w:id="2573"/>
    <w:bookmarkStart w:id="2576" w:name="estudos-de-comparação-direta"/>
    <w:p>
      <w:pPr>
        <w:pStyle w:val="Heading3"/>
      </w:pPr>
      <w:r>
        <w:t xml:space="preserve">Estudos de comparação direta</w:t>
      </w:r>
    </w:p>
    <w:p>
      <w:pPr>
        <w:pStyle w:val="FirstParagraph"/>
      </w:pPr>
      <w:r>
        <w:t xml:space="preserve">A tabela a seguir reúne estudos randomizados em que duas substâncias da classe foram confrontadas diretamente. Somente aqui as diferenças entre as substâncias estão comprovadas de forma metodologicamente limpa. Muitos desses estudos foram abertos (não cegos) e financiados pelo fabricante da substância mais nova, e nem sempre foi usada a dose aprovada mais alta do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Comparação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vs. semaglutida 2,4 mg, obesidade, aberto</w:t>
            </w:r>
          </w:p>
        </w:tc>
        <w:tc>
          <w:tcPr/>
          <w:p>
            <w:pPr>
              <w:pStyle w:val="Compact"/>
              <w:jc w:val="left"/>
            </w:pPr>
            <w:r>
              <w:t xml:space="preserve">72 semanas</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Semaglutida 2,4 mg vs. liraglutida 3,0 mg, obesidade</w:t>
            </w:r>
          </w:p>
        </w:tc>
        <w:tc>
          <w:tcPr/>
          <w:p>
            <w:pPr>
              <w:pStyle w:val="Compact"/>
              <w:jc w:val="left"/>
            </w:pPr>
            <w:r>
              <w:t xml:space="preserve">68 semanas</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semaglutida 2,4 mg, Japão e Taiwan, cego</w:t>
            </w:r>
          </w:p>
        </w:tc>
        <w:tc>
          <w:tcPr/>
          <w:p>
            <w:pPr>
              <w:pStyle w:val="Compact"/>
              <w:jc w:val="left"/>
            </w:pPr>
            <w:r>
              <w:t xml:space="preserve">68 semanas</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Tirzepatida vs. semaglutida 1 mg, diabetes tipo 2, aberto</w:t>
            </w:r>
          </w:p>
        </w:tc>
        <w:tc>
          <w:tcPr/>
          <w:p>
            <w:pPr>
              <w:pStyle w:val="Compact"/>
              <w:jc w:val="left"/>
            </w:pPr>
            <w:r>
              <w:t xml:space="preserve">40 semanas</w:t>
            </w:r>
          </w:p>
        </w:tc>
        <w:tc>
          <w:tcPr/>
          <w:p>
            <w:pPr>
              <w:pStyle w:val="Compact"/>
              <w:jc w:val="left"/>
            </w:pPr>
            <w:r>
              <w:t xml:space="preserve">HbA1c −2,01 a −2,30 vs. −1,86; peso adicional −1,9 a −5,5 kg</w:t>
            </w:r>
          </w:p>
        </w:tc>
      </w:tr>
      <w:tr>
        <w:tc>
          <w:tcPr/>
          <w:p>
            <w:pPr>
              <w:pStyle w:val="Compact"/>
              <w:jc w:val="left"/>
            </w:pPr>
            <w:r>
              <w:t xml:space="preserve">REIMAGINE 2 (Buse 2026), PMID 42251859</w:t>
            </w:r>
          </w:p>
        </w:tc>
        <w:tc>
          <w:tcPr/>
          <w:p>
            <w:pPr>
              <w:pStyle w:val="Compact"/>
              <w:jc w:val="left"/>
            </w:pPr>
            <w:r>
              <w:t xml:space="preserve">CagriSema vs. semaglutida 2,4 mg, diabetes tipo 2</w:t>
            </w:r>
          </w:p>
        </w:tc>
        <w:tc>
          <w:tcPr/>
          <w:p>
            <w:pPr>
              <w:pStyle w:val="Compact"/>
              <w:jc w:val="left"/>
            </w:pPr>
            <w:r>
              <w:t xml:space="preserve">68 semanas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semaglutida comprimido, aberto</w:t>
            </w:r>
          </w:p>
        </w:tc>
        <w:tc>
          <w:tcPr/>
          <w:p>
            <w:pPr>
              <w:pStyle w:val="Compact"/>
              <w:jc w:val="left"/>
            </w:pPr>
            <w:r>
              <w:t xml:space="preserve">52 semanas</w:t>
            </w:r>
          </w:p>
        </w:tc>
        <w:tc>
          <w:tcPr/>
          <w:p>
            <w:pPr>
              <w:pStyle w:val="Compact"/>
              <w:jc w:val="left"/>
            </w:pPr>
            <w:r>
              <w:t xml:space="preserve">HbA1c −1,91 vs. −1,47 (dose mais alta de cada)</w:t>
            </w:r>
          </w:p>
        </w:tc>
      </w:tr>
      <w:tr>
        <w:tc>
          <w:tcPr/>
          <w:p>
            <w:pPr>
              <w:pStyle w:val="Compact"/>
              <w:jc w:val="left"/>
            </w:pPr>
            <w:r>
              <w:t xml:space="preserve">SUSTAIN 7 (Pratley 2018), PMID 29397376</w:t>
            </w:r>
          </w:p>
        </w:tc>
        <w:tc>
          <w:tcPr/>
          <w:p>
            <w:pPr>
              <w:pStyle w:val="Compact"/>
              <w:jc w:val="left"/>
            </w:pPr>
            <w:r>
              <w:t xml:space="preserve">Semaglutida vs. dulaglutida</w:t>
            </w:r>
          </w:p>
        </w:tc>
        <w:tc>
          <w:tcPr/>
          <w:p>
            <w:pPr>
              <w:pStyle w:val="Compact"/>
              <w:jc w:val="left"/>
            </w:pPr>
            <w:r>
              <w:t xml:space="preserve">40 semanas</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Semaglutida 1,0 mg vs. liraglutida 1,2 mg</w:t>
            </w:r>
          </w:p>
        </w:tc>
        <w:tc>
          <w:tcPr/>
          <w:p>
            <w:pPr>
              <w:pStyle w:val="Compact"/>
              <w:jc w:val="left"/>
            </w:pPr>
            <w:r>
              <w:t xml:space="preserve">30 semanas</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Semaglutida vs. exenatida semanal, aberto</w:t>
            </w:r>
          </w:p>
        </w:tc>
        <w:tc>
          <w:tcPr/>
          <w:p>
            <w:pPr>
              <w:pStyle w:val="Compact"/>
              <w:jc w:val="left"/>
            </w:pPr>
            <w:r>
              <w:t xml:space="preserve">56 semanas</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Semaglutida comprimido vs. liraglutida injetável</w:t>
            </w:r>
          </w:p>
        </w:tc>
        <w:tc>
          <w:tcPr/>
          <w:p>
            <w:pPr>
              <w:pStyle w:val="Compact"/>
              <w:jc w:val="left"/>
            </w:pPr>
            <w:r>
              <w:t xml:space="preserve">26 semanas (estudo de 52)</w:t>
            </w:r>
          </w:p>
        </w:tc>
        <w:tc>
          <w:tcPr/>
          <w:p>
            <w:pPr>
              <w:pStyle w:val="Compact"/>
              <w:jc w:val="left"/>
            </w:pPr>
            <w:r>
              <w:t xml:space="preserve">HbA1c −1,2 vs. −1,1 (não inferior)</w:t>
            </w:r>
          </w:p>
        </w:tc>
      </w:tr>
      <w:tr>
        <w:tc>
          <w:tcPr/>
          <w:p>
            <w:pPr>
              <w:pStyle w:val="Compact"/>
              <w:jc w:val="left"/>
            </w:pPr>
            <w:r>
              <w:t xml:space="preserve">AWARD-6 (Dungan 2014), PMID 25018121</w:t>
            </w:r>
          </w:p>
        </w:tc>
        <w:tc>
          <w:tcPr/>
          <w:p>
            <w:pPr>
              <w:pStyle w:val="Compact"/>
              <w:jc w:val="left"/>
            </w:pPr>
            <w:r>
              <w:t xml:space="preserve">Dulaglutida vs. liraglutida 1,8 mg, aberto</w:t>
            </w:r>
          </w:p>
        </w:tc>
        <w:tc>
          <w:tcPr/>
          <w:p>
            <w:pPr>
              <w:pStyle w:val="Compact"/>
              <w:jc w:val="left"/>
            </w:pPr>
            <w:r>
              <w:t xml:space="preserve">26 semanas</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Exenatida semanal vs. liraglutida, aberto</w:t>
            </w:r>
          </w:p>
        </w:tc>
        <w:tc>
          <w:tcPr/>
          <w:p>
            <w:pPr>
              <w:pStyle w:val="Compact"/>
              <w:jc w:val="left"/>
            </w:pPr>
            <w:r>
              <w:t xml:space="preserve">26 semanas</w:t>
            </w:r>
          </w:p>
        </w:tc>
        <w:tc>
          <w:tcPr/>
          <w:p>
            <w:pPr>
              <w:pStyle w:val="Compact"/>
              <w:jc w:val="left"/>
            </w:pPr>
            <w:r>
              <w:t xml:space="preserve">HbA1c −1,28 vs. −1,48; não inferioridade não alcançada</w:t>
            </w:r>
          </w:p>
        </w:tc>
      </w:tr>
      <w:tr>
        <w:tc>
          <w:tcPr/>
          <w:p>
            <w:pPr>
              <w:pStyle w:val="Compact"/>
              <w:jc w:val="left"/>
            </w:pPr>
            <w:r>
              <w:t xml:space="preserve">DREAMS-2 (Guo 2026), PMID 41407860</w:t>
            </w:r>
          </w:p>
        </w:tc>
        <w:tc>
          <w:tcPr/>
          <w:p>
            <w:pPr>
              <w:pStyle w:val="Compact"/>
              <w:jc w:val="left"/>
            </w:pPr>
            <w:r>
              <w:t xml:space="preserve">Mazdutida vs.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vs. dulaglutida, eventos cardiovasculares</w:t>
            </w:r>
          </w:p>
        </w:tc>
        <w:tc>
          <w:tcPr/>
          <w:p>
            <w:pPr>
              <w:pStyle w:val="Compact"/>
              <w:jc w:val="left"/>
            </w:pPr>
            <w:r>
              <w:t xml:space="preserve">vários anos</w:t>
            </w:r>
          </w:p>
        </w:tc>
        <w:tc>
          <w:tcPr/>
          <w:p>
            <w:pPr>
              <w:pStyle w:val="Compact"/>
              <w:jc w:val="left"/>
            </w:pPr>
            <w:r>
              <w:t xml:space="preserve">HR 0,92, não inferior</w:t>
            </w:r>
          </w:p>
        </w:tc>
      </w:tr>
    </w:tbl>
    <w:p>
      <w:pPr>
        <w:pStyle w:val="BodyText"/>
      </w:pPr>
      <w:r>
        <w:rPr>
          <w:bCs/>
          <w:b/>
        </w:rPr>
        <w:t xml:space="preserve">O que as comparações diretas mostram:</w:t>
      </w:r>
    </w:p>
    <w:p>
      <w:pPr>
        <w:numPr>
          <w:ilvl w:val="0"/>
          <w:numId w:val="1329"/>
        </w:numPr>
        <w:pStyle w:val="Compact"/>
      </w:pPr>
      <w:r>
        <w:rPr>
          <w:bCs/>
          <w:b/>
        </w:rPr>
        <w:t xml:space="preserve">No peso, a ordem é clara.</w:t>
      </w:r>
      <w:r>
        <w:t xml:space="preserve"> </w:t>
      </w:r>
      <w:r>
        <w:t xml:space="preserve">A semaglutida 2,4 mg superou a liraglutida 3,0 mg em 9,4 pontos percentuais (STEP 8), a tirzepatida superou a semaglutida 2,4 mg em 6,5 pontos percentuais (SURMOUNT-5), o CagriSema superou a semaglutida 2,4 mg no Leste Asiático também em 6,5 pontos percentuais (REDEFINE 5). No SURMOUNT-5, mais participantes com tirzepatida atingiram cada um dos limiares de 10, 15, 20 e 25%, e a circunferência da cintura diminuiu 18,4 cm contra 13,0 cm.</w:t>
      </w:r>
    </w:p>
    <w:p>
      <w:pPr>
        <w:numPr>
          <w:ilvl w:val="0"/>
          <w:numId w:val="1329"/>
        </w:numPr>
        <w:pStyle w:val="Compact"/>
      </w:pPr>
      <w:r>
        <w:rPr>
          <w:bCs/>
          <w:b/>
        </w:rPr>
        <w:t xml:space="preserve">Na glicemia, as distâncias são menores.</w:t>
      </w:r>
      <w:r>
        <w:t xml:space="preserve"> </w:t>
      </w:r>
      <w:r>
        <w:t xml:space="preserve">Entre os agonistas semanais de GLP-1, as diferenças costumam ser de apenas décimos de ponto; a tirzepatida reduziu a HbA1c no SURPASS-2 de 0,15 a 0,45 ponto percentual a mais do que a semaglutida 1 mg.</w:t>
      </w:r>
    </w:p>
    <w:p>
      <w:pPr>
        <w:numPr>
          <w:ilvl w:val="0"/>
          <w:numId w:val="1329"/>
        </w:numPr>
        <w:pStyle w:val="Compact"/>
      </w:pPr>
      <w:r>
        <w:rPr>
          <w:bCs/>
          <w:b/>
        </w:rPr>
        <w:t xml:space="preserve">Para desfechos duros, há até agora apenas uma comparação direta.</w:t>
      </w:r>
      <w:r>
        <w:t xml:space="preserve"> </w:t>
      </w:r>
      <w:r>
        <w:t xml:space="preserve">O SURPASS-CVOT mostrou que a tirzepatida não é inferior à dulaglutida; a superioridade não foi comprovada.</w:t>
      </w:r>
    </w:p>
    <w:p>
      <w:pPr>
        <w:numPr>
          <w:ilvl w:val="0"/>
          <w:numId w:val="1329"/>
        </w:numPr>
        <w:pStyle w:val="Compact"/>
      </w:pPr>
      <w:r>
        <w:rPr>
          <w:bCs/>
          <w:b/>
        </w:rPr>
        <w:t xml:space="preserve">As limitações são consideráveis.</w:t>
      </w:r>
      <w:r>
        <w:t xml:space="preserve"> </w:t>
      </w:r>
      <w:r>
        <w:t xml:space="preserve">O SURMOUNT-5 e o SURPASS-2 foram abertos e financiados pelo fabricante da tirzepatida; o SURPASS-2 usou a semaglutida apenas na dose de 1 mg. O REDEFINE 5 foi realizado exclusivamente no Japão e em Taiwan. As diferenças no SURMOUNT-5, no entanto, são tão grandes que dificilmente podem ser explicadas apenas por essas fraquezas.</w:t>
      </w:r>
    </w:p>
    <w:p>
      <w:pPr>
        <w:pStyle w:val="FirstParagraph"/>
      </w:pPr>
      <w:r>
        <w:rPr>
          <w:bCs/>
          <w:b/>
        </w:rPr>
        <w:t xml:space="preserve">Ainda pendente (estudos registrados):</w:t>
      </w:r>
      <w:r>
        <w:t xml:space="preserve"> </w:t>
      </w:r>
      <w:r>
        <w:t xml:space="preserve">a comparação direta de retatrutida com tirzepatida em 800 adultos com obesidade</w:t>
      </w:r>
      <w:r>
        <w:rPr>
          <w:rStyle w:val="FootnoteReference"/>
        </w:rPr>
        <w:footnoteReference w:id="2574"/>
      </w:r>
      <w:r>
        <w:t xml:space="preserve"> </w:t>
      </w:r>
      <w:r>
        <w:t xml:space="preserve">deve ser concluída no final de 2026. O estudo comparativo de CagriSema contra tirzepatida na obesidade (REDEFINE 4, NCT06131437) está concluído segundo o registro; uma publicação revisada por pares não estava disponível no fechamento desta edição. A mazdutida está sendo testada na China contra a semaglutida</w:t>
      </w:r>
      <w:r>
        <w:rPr>
          <w:rStyle w:val="FootnoteReference"/>
        </w:rPr>
        <w:footnoteReference w:id="2575"/>
      </w:r>
      <w:r>
        <w:t xml:space="preserve">.</w:t>
      </w:r>
    </w:p>
    <w:bookmarkEnd w:id="2576"/>
    <w:bookmarkStart w:id="2577" w:name="conclusão-58"/>
    <w:p>
      <w:pPr>
        <w:pStyle w:val="Heading3"/>
      </w:pPr>
      <w:r>
        <w:t xml:space="preserve">Conclusão</w:t>
      </w:r>
    </w:p>
    <w:p>
      <w:pPr>
        <w:pStyle w:val="FirstParagraph"/>
      </w:pPr>
      <w:r>
        <w:t xml:space="preserve">Os medicamentos à base de incretinas formam uma escala clara: na perda de peso, as médias dos estudos de aprovação vão de cerca de 8% (liraglutida), passando por quase 15% (semaglutida 2,4 mg) e cerca de 20% (tirzepatida, CagriSema), até 25% (retatrutida), sendo que as comparações diretas confirmam essa ordem para os pares comparados até agora. Para coração e rins, o benefício até agora só está comprovado em estudos controlados por placebo para os agonistas de GLP-1 mais antigos e para a semaglutida; se os sucessores mais potentes oferecem mais nesse aspecto, permanece em aberto. Os efeitos colaterais são semelhantes em toda a classe e afetam sobretudo o trato gastrointestinal; as taxas de abandono aumentam com a dose e a duração do tratamento. Comparações cruzadas entre estudos individuais continuam sendo uma orientação aproximada – para a escolha de um medicamento em cada caso, determinantes são a bula profissional e o aconselhamento médico.</w:t>
      </w:r>
    </w:p>
    <w:bookmarkEnd w:id="2577"/>
    <w:bookmarkEnd w:id="2578"/>
    <w:bookmarkStart w:id="2601" w:name="promessas-versus-evidências"/>
    <w:p>
      <w:pPr>
        <w:pStyle w:val="Heading2"/>
      </w:pPr>
      <w:r>
        <w:t xml:space="preserve">Promessas versus evidências</w:t>
      </w:r>
    </w:p>
    <w:p>
      <w:pPr>
        <w:pStyle w:val="FirstParagraph"/>
      </w:pPr>
      <w:r>
        <w:t xml:space="preserve">Quem pesquisa peptídeos na internet logo encontra lojas, vídeos e fóruns em que certas substâncias são descritas com grandes palavras: elas supostamente reparam tendões, freiam o envelhecimento, derretem gordura ou aguçam a memória. Este capítulo contrapõe a essas promessas publicitárias típicas o que os estudos em humanos realmente mostraram.</w:t>
      </w:r>
    </w:p>
    <w:p>
      <w:pPr>
        <w:pStyle w:val="BodyText"/>
      </w:pPr>
      <w:r>
        <w:t xml:space="preserve">Foram selecionados os peptídeos mais promovidos na internet de língua alemã e inglesa no ano de 2026. As promessas estão formuladas de modo geral e resumem afirmações recorrentes; não vêm de um fornecedor específico. A coluna</w:t>
      </w:r>
      <w:r>
        <w:t xml:space="preserve"> </w:t>
      </w:r>
      <w:r>
        <w:t xml:space="preserve">“</w:t>
      </w:r>
      <w:r>
        <w:t xml:space="preserve">O que os estudos em humanos mostram</w:t>
      </w:r>
      <w:r>
        <w:t xml:space="preserve">”</w:t>
      </w:r>
      <w:r>
        <w:t xml:space="preserve"> </w:t>
      </w:r>
      <w:r>
        <w:t xml:space="preserve">baseia-se nos capítulos da Parte II, nos quais as fontes são discutidas em detalhe. Experimentos com animais e resultados de laboratório estão expressamente identificados como tais.</w:t>
      </w:r>
    </w:p>
    <w:p>
      <w:pPr>
        <w:pStyle w:val="BodyText"/>
      </w:pPr>
      <w:r>
        <w:t xml:space="preserve">Uma observação preliminar: o fato de um benefício não estar comprovado não significa automaticamente que a substância seja ineficaz. Significa que ninguém sabe – nem mesmo os fornecedores que a vendem. Da mesma forma: o fato de não haver efeitos colaterais publicados não significa, em substâncias pouco estudadas, que elas sejam seguras, mas apenas que ninguém os procurou sistematicamente.</w:t>
      </w:r>
    </w:p>
    <w:bookmarkStart w:id="2579" w:name="os-peptídeos-mais-populares-sob-checagem"/>
    <w:p>
      <w:pPr>
        <w:pStyle w:val="Heading3"/>
      </w:pPr>
      <w:r>
        <w:t xml:space="preserve">Os peptídeos mais populares sob checagem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Promessa publicitária típica</w:t>
            </w:r>
          </w:p>
        </w:tc>
        <w:tc>
          <w:tcPr/>
          <w:p>
            <w:pPr>
              <w:pStyle w:val="Compact"/>
              <w:jc w:val="left"/>
            </w:pPr>
            <w:r>
              <w:t xml:space="preserve">O que os estudos em humanos mostram</w:t>
            </w:r>
          </w:p>
        </w:tc>
        <w:tc>
          <w:tcPr/>
          <w:p>
            <w:pPr>
              <w:pStyle w:val="Compact"/>
              <w:jc w:val="left"/>
            </w:pPr>
            <w:r>
              <w:t xml:space="preserve">Evidência</w:t>
            </w:r>
          </w:p>
        </w:tc>
      </w:tr>
      <w:tr>
        <w:tc>
          <w:tcPr/>
          <w:p>
            <w:pPr>
              <w:pStyle w:val="Compact"/>
              <w:jc w:val="left"/>
            </w:pPr>
            <w:r>
              <w:t xml:space="preserve">BPC-157</w:t>
            </w:r>
          </w:p>
        </w:tc>
        <w:tc>
          <w:tcPr/>
          <w:p>
            <w:pPr>
              <w:pStyle w:val="Compact"/>
              <w:jc w:val="left"/>
            </w:pPr>
            <w:r>
              <w:t xml:space="preserve">Acelera a cicatrização de tendões, ligamentos, músculos e intestino</w:t>
            </w:r>
          </w:p>
        </w:tc>
        <w:tc>
          <w:tcPr/>
          <w:p>
            <w:pPr>
              <w:pStyle w:val="Compact"/>
              <w:jc w:val="left"/>
            </w:pPr>
            <w:r>
              <w:t xml:space="preserve">Três investigações não controladas com um total de 30 pessoas (joelho, bexiga, tolerabilidade); força probatória muito baixa segundo revisão sistemática (Poolton 2026, PMID 42885452). Os muitos resultados positivos vêm de experimentos com animais, em sua maioria de um único grupo de pesquisa.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tecidos, tendões e músculos, aumenta a mobilidade</w:t>
            </w:r>
          </w:p>
        </w:tc>
        <w:tc>
          <w:tcPr/>
          <w:p>
            <w:pPr>
              <w:pStyle w:val="Compact"/>
              <w:jc w:val="left"/>
            </w:pPr>
            <w:r>
              <w:t xml:space="preserve">O TB-500 nunca foi testado em um estudo publicado em humanos. A proteína completa timosina beta-4 não reduziu significativamente o tamanho do infarto, no geral, após infarto do miocárdio (Zhang 2025, PMID 41229390). Produtos do mercado cinza nem sempre continham o que era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o hormônio do crescimento para ganho muscular, perda de gordura e sono</w:t>
            </w:r>
          </w:p>
        </w:tc>
        <w:tc>
          <w:tcPr/>
          <w:p>
            <w:pPr>
              <w:pStyle w:val="Compact"/>
              <w:jc w:val="left"/>
            </w:pPr>
            <w:r>
              <w:t xml:space="preserve">Em pessoas saudáveis, o hormônio do crescimento e o IGF-1 aumentaram por cerca de seis a onze dias após uma injeção única (Teichman 2006, PMID 16352683). Se disso resulta um benefício nunca foi investigado. Para a variante mais vendida, sem</w:t>
            </w:r>
            <w:r>
              <w:t xml:space="preserve"> </w:t>
            </w:r>
            <w:r>
              <w:t xml:space="preserve">“</w:t>
            </w:r>
            <w:r>
              <w:t xml:space="preserve">DAC</w:t>
            </w:r>
            <w:r>
              <w:t xml:space="preserve">”</w:t>
            </w:r>
            <w:r>
              <w:t xml:space="preserve">, não há estudo em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Estimulante suave do hormônio do crescimento, sem efeitos colaterais</w:t>
            </w:r>
          </w:p>
        </w:tc>
        <w:tc>
          <w:tcPr/>
          <w:p>
            <w:pPr>
              <w:pStyle w:val="Compact"/>
              <w:jc w:val="left"/>
            </w:pPr>
            <w:r>
              <w:t xml:space="preserve">Único estudo de eficácia publicado: 117 pessoas após cirurgia intestinal, sem benefício significativo (Beck 2014, PMID 25331030). Sobre músculos, gordura, sono ou envelhecimento, nenhum estudo em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Alonga os telômeros e faz o relógio biológico andar para trás</w:t>
            </w:r>
          </w:p>
        </w:tc>
        <w:tc>
          <w:tcPr/>
          <w:p>
            <w:pPr>
              <w:pStyle w:val="Compact"/>
              <w:jc w:val="left"/>
            </w:pPr>
            <w:r>
              <w:t xml:space="preserve">Alongamento de telômeros apenas em culturas de células (Khavinson 2003, PMID 12937682). Em camundongos, nenhum aumento da expectativa de vida média (Anisimov 2003, PMID 14501183). Nenhum estudo randomizado suficientemente grande em humanos.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Exercício em injeção</w:t>
            </w:r>
            <w:r>
              <w:t xml:space="preserve">”</w:t>
            </w:r>
            <w:r>
              <w:t xml:space="preserve">: mais resistência, menos gordura, melhor ação da insulina</w:t>
            </w:r>
          </w:p>
        </w:tc>
        <w:tc>
          <w:tcPr/>
          <w:p>
            <w:pPr>
              <w:pStyle w:val="Compact"/>
              <w:jc w:val="left"/>
            </w:pPr>
            <w:r>
              <w:t xml:space="preserve">Esses efeitos apareceram em camundongos (Lee 2015, PMID 25738459). Em humanos, há apenas medições dos níveis endógenos, nenhum estudo publicado com administração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concentração, memória e desempenho</w:t>
            </w:r>
          </w:p>
        </w:tc>
        <w:tc>
          <w:tcPr/>
          <w:p>
            <w:pPr>
              <w:pStyle w:val="Compact"/>
              <w:jc w:val="left"/>
            </w:pPr>
            <w:r>
              <w:t xml:space="preserve">Estudos russos pequenos, em sua maioria não randomizados, em AVC, como um estudo com 110 pessoas (Gusev 2018, PMID 29798983). Para pessoas saudáveis, nenhum dado conclusivo.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a ansiedade sem sonolência nem dependência</w:t>
            </w:r>
          </w:p>
        </w:tc>
        <w:tc>
          <w:tcPr/>
          <w:p>
            <w:pPr>
              <w:pStyle w:val="Compact"/>
              <w:jc w:val="left"/>
            </w:pPr>
            <w:r>
              <w:t xml:space="preserve">Três pequenos estudos russos sem grupo placebo, entre eles 62 pessoas em comparação com um benzodiazepínico (Zozulia 2008, PMID 18454096). Não há estudos sobre concentração em pessoas saudáveis.</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Bronzeado sem queimadura solar, mais libido</w:t>
            </w:r>
          </w:p>
        </w:tc>
        <w:tc>
          <w:tcPr/>
          <w:p>
            <w:pPr>
              <w:pStyle w:val="Compact"/>
              <w:jc w:val="left"/>
            </w:pPr>
            <w:r>
              <w:t xml:space="preserve">Pequenos estudos-piloto dos anos 1990 com cerca de duas dúzias de pessoas, náusea frequente (Wessells 2000, PMID 11035391). Relatos de caso sobre novas pintas, melanomas e priapismo. Frascos de lojas online continham 4,32 a 8,84 mg em vez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Firma a pele, forma colágeno, estimula o crescimento capilar</w:t>
            </w:r>
          </w:p>
        </w:tc>
        <w:tc>
          <w:tcPr/>
          <w:p>
            <w:pPr>
              <w:pStyle w:val="Compact"/>
              <w:jc w:val="left"/>
            </w:pPr>
            <w:r>
              <w:t xml:space="preserve">Um estudo randomizado mais antigo em úlceras de pé diabético com resultado positivo (Mulder 1994, PMID 17147644). Um pequeno estudo de pele após tratamento a laser não encontrou diferença mensurável (Miller 2006, PMID 16847171). Sobre injeções, nenhum dado.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do hormônio do crescimento que queima gordura</w:t>
            </w:r>
          </w:p>
        </w:tc>
        <w:tc>
          <w:tcPr/>
          <w:p>
            <w:pPr>
              <w:pStyle w:val="Compact"/>
              <w:jc w:val="left"/>
            </w:pPr>
            <w:r>
              <w:t xml:space="preserve">Em camundongos, menor ganho de peso (Heffernan 2001, PMID 11673763). Estudos em humanos foram realizados, mas nunca publicados em periódicos revisados por pares; o desenvolvimento foi interrompido.</w:t>
            </w:r>
          </w:p>
        </w:tc>
        <w:tc>
          <w:tcPr/>
          <w:p>
            <w:pPr>
              <w:pStyle w:val="Compact"/>
              <w:jc w:val="left"/>
            </w:pPr>
            <w:r>
              <w:t xml:space="preserve">D</w:t>
            </w:r>
          </w:p>
        </w:tc>
      </w:tr>
      <w:tr>
        <w:tc>
          <w:tcPr/>
          <w:p>
            <w:pPr>
              <w:pStyle w:val="Compact"/>
              <w:jc w:val="left"/>
            </w:pPr>
            <w:r>
              <w:t xml:space="preserve">Peptídeos de colágeno</w:t>
            </w:r>
          </w:p>
        </w:tc>
        <w:tc>
          <w:tcPr/>
          <w:p>
            <w:pPr>
              <w:pStyle w:val="Compact"/>
              <w:jc w:val="left"/>
            </w:pPr>
            <w:r>
              <w:t xml:space="preserve">Pele mais firme, articulações saudáveis, mais músculos</w:t>
            </w:r>
          </w:p>
        </w:tc>
        <w:tc>
          <w:tcPr/>
          <w:p>
            <w:pPr>
              <w:pStyle w:val="Compact"/>
              <w:jc w:val="left"/>
            </w:pPr>
            <w:r>
              <w:t xml:space="preserve">Artrose: em 35 estudos randomizados, efeitos pequenos a moderados (PMID 38218227). Pele: sem financiamento da indústria, nenhum efeito (Myung 2025, PMID 40324552). Músculo: a proteína do soro do leite funcionou melhor do que o colágeno (Oikawa 2020, PMID 31919527).</w:t>
            </w:r>
          </w:p>
        </w:tc>
        <w:tc>
          <w:tcPr/>
          <w:p>
            <w:pPr>
              <w:pStyle w:val="Compact"/>
              <w:jc w:val="left"/>
            </w:pPr>
            <w:r>
              <w:t xml:space="preserve">B</w:t>
            </w:r>
          </w:p>
        </w:tc>
      </w:tr>
      <w:tr>
        <w:tc>
          <w:tcPr/>
          <w:p>
            <w:pPr>
              <w:pStyle w:val="Compact"/>
              <w:jc w:val="left"/>
            </w:pPr>
            <w:r>
              <w:t xml:space="preserve">Glutationa</w:t>
            </w:r>
          </w:p>
        </w:tc>
        <w:tc>
          <w:tcPr/>
          <w:p>
            <w:pPr>
              <w:pStyle w:val="Compact"/>
              <w:jc w:val="left"/>
            </w:pPr>
            <w:r>
              <w:t xml:space="preserve">Desintoxica, clareia a pele, fortalece o sistema imunológico</w:t>
            </w:r>
          </w:p>
        </w:tc>
        <w:tc>
          <w:tcPr/>
          <w:p>
            <w:pPr>
              <w:pStyle w:val="Compact"/>
              <w:jc w:val="left"/>
            </w:pPr>
            <w:r>
              <w:t xml:space="preserve">Em cápsula, aumentou os níveis sanguíneos após seis meses (Richie 2015, PMID 24791752). Em infusão, não protegeu 185 pacientes com câncer contra danos nos nervos (Leal 2014, PMID 24619793). Infusões para clareamento da pele: nenhum benefício comprovado, segundo uma revisão injustificáveis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novas sinapses, mais potente que os fatores de crescimento endógenos</w:t>
            </w:r>
          </w:p>
        </w:tc>
        <w:tc>
          <w:tcPr/>
          <w:p>
            <w:pPr>
              <w:pStyle w:val="Compact"/>
              <w:jc w:val="left"/>
            </w:pPr>
            <w:r>
              <w:t xml:space="preserve">Nunca estudada em humanos; efeitos apenas em ratos e camundongos, e um trabalho central sobre o tema foi retratado em 2025 (PMID 25187433). A substância aparentada fosgonimetona não alcançou nenhum dos objetivos primários e secundários em 287 pessoas com 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mais potente e de ação mais longa para crescimento muscular</w:t>
            </w:r>
          </w:p>
        </w:tc>
        <w:tc>
          <w:tcPr/>
          <w:p>
            <w:pPr>
              <w:pStyle w:val="Compact"/>
              <w:jc w:val="left"/>
            </w:pPr>
            <w:r>
              <w:t xml:space="preserve">Nenhum estudo em humanos sequer. Um frasco do mercado negro continha uma variante de laboratório que nunca foi pensada para injeções (PMID 20675162).</w:t>
            </w:r>
          </w:p>
        </w:tc>
        <w:tc>
          <w:tcPr/>
          <w:p>
            <w:pPr>
              <w:pStyle w:val="Compact"/>
              <w:jc w:val="left"/>
            </w:pPr>
            <w:r>
              <w:t xml:space="preserve">D</w:t>
            </w:r>
          </w:p>
        </w:tc>
      </w:tr>
      <w:tr>
        <w:tc>
          <w:tcPr/>
          <w:p>
            <w:pPr>
              <w:pStyle w:val="Compact"/>
              <w:jc w:val="left"/>
            </w:pPr>
            <w:r>
              <w:t xml:space="preserve">Retatrutida do mercado cinza</w:t>
            </w:r>
          </w:p>
        </w:tc>
        <w:tc>
          <w:tcPr/>
          <w:p>
            <w:pPr>
              <w:pStyle w:val="Compact"/>
              <w:jc w:val="left"/>
            </w:pPr>
            <w:r>
              <w:t xml:space="preserve">O emagrecedor mais potente, já disponível hoje</w:t>
            </w:r>
          </w:p>
        </w:tc>
        <w:tc>
          <w:tcPr/>
          <w:p>
            <w:pPr>
              <w:pStyle w:val="Compact"/>
              <w:jc w:val="left"/>
            </w:pPr>
            <w:r>
              <w:t xml:space="preserve">O medicamento é bem estudado: no TRIUMPH-1, −25,0% de peso após 80 semanas na dose mais alta (Jastreboff 2026, PMID 42814954). Isso não vale para a mercadoria do mercado cinza: não aprovada, conteúdo e pureza não verificados (Rubin 2026, PMID 42853576).</w:t>
            </w:r>
          </w:p>
        </w:tc>
        <w:tc>
          <w:tcPr/>
          <w:p>
            <w:pPr>
              <w:pStyle w:val="Compact"/>
              <w:jc w:val="left"/>
            </w:pPr>
            <w:r>
              <w:t xml:space="preserve">B (medicamento)</w:t>
            </w:r>
          </w:p>
        </w:tc>
      </w:tr>
    </w:tbl>
    <w:p>
      <w:pPr>
        <w:pStyle w:val="BodyText"/>
      </w:pPr>
      <w:r>
        <w:t xml:space="preserve">Observação sobre a tabela: o nível de evidência refere-se à aplicação promovida ou à substância tal como é vendida. Para o TB-500 vale o nível D; para a proteína completa timosina beta-4, o nível B. Na retatrutida, o nível B refere-se ao medicamento testado em estudos; para produtos do mercado cinza, cujo conteúdo ninguém conhece, não é possível indicar um nível de evidência.</w:t>
      </w:r>
    </w:p>
    <w:p>
      <w:pPr>
        <w:pStyle w:val="BodyText"/>
      </w:pPr>
      <w:r>
        <w:t xml:space="preserve">O quadro geral: das 16 substâncias, nenhuma tem nível de evidência A. Cinco têm nível D, ou seja, nunca foram estudadas em humanos. Nas substâncias com nível B – ipamorelina, colágeno, glutationa –, os melhores estudos não confirmaram as promessas publicitárias ou encontraram apenas efeitos pequenos. A única exceção é a retatrutida, cujo efeito potente está comprovado – mas não para o produto vendido no mercado cinza.</w:t>
      </w:r>
    </w:p>
    <w:bookmarkEnd w:id="2579"/>
    <w:bookmarkStart w:id="2593" w:name="seis-padrões-por-trás-das-promessas"/>
    <w:p>
      <w:pPr>
        <w:pStyle w:val="Heading3"/>
      </w:pPr>
      <w:r>
        <w:t xml:space="preserve">Seis padrões por trás das promessas</w:t>
      </w:r>
    </w:p>
    <w:p>
      <w:pPr>
        <w:pStyle w:val="FirstParagraph"/>
      </w:pPr>
      <w:r>
        <w:t xml:space="preserve">Quem lê a tabela linha por linha reconhece padrões recorrentes. Eles ajudam a avaliar também afirmações sobre peptídeos que não aparecem neste livro.</w:t>
      </w:r>
    </w:p>
    <w:bookmarkStart w:id="2581" w:name="do-animal-para-o-ser-humano"/>
    <w:p>
      <w:pPr>
        <w:pStyle w:val="Heading4"/>
      </w:pPr>
      <w:r>
        <w:t xml:space="preserve">1. Do animal para o ser humano</w:t>
      </w:r>
    </w:p>
    <w:p>
      <w:pPr>
        <w:pStyle w:val="FirstParagraph"/>
      </w:pPr>
      <w:r>
        <w:t xml:space="preserve">Quase todas as promessas sobre BPC-157, TB-500, MOTS-c, Dihexa, AOD-9604 e Epitalon apoiam-se em experimentos com ratos, camundongos ou culturas de células. Esses estudos são importantes para entender mecanismos de ação. Se uma substância age da mesma forma em humanos, eles não preveem: uma grande parte das substâncias bem-sucedidas em experimentos com animais fracassa em estudos em humanos. Um exemplo atual deste livro é o peptídeo da memória Dihexa. Em ratos, ele favoreceu o aprendizado e a formação de sinapses; a substância aparentada fosgonimetona, que deveria agir pelo mesmo sistema de fatores de crescimento, não alcançou nenhum dos objetivos primários e secundários em um estudo com 287 pessoas com Alzheimer</w:t>
      </w:r>
      <w:r>
        <w:rPr>
          <w:rStyle w:val="FootnoteReference"/>
        </w:rPr>
        <w:footnoteReference w:id="2580"/>
      </w:r>
      <w:r>
        <w:t xml:space="preserve">.</w:t>
      </w:r>
    </w:p>
    <w:p>
      <w:pPr>
        <w:pStyle w:val="BodyText"/>
      </w:pPr>
      <w:r>
        <w:t xml:space="preserve">No caso do BPC-157, há ainda um segundo problema: os estudos positivos em animais vêm, em sua maioria, de um único grupo de pesquisa e quase não foram repetidos de forma independente.</w:t>
      </w:r>
    </w:p>
    <w:bookmarkEnd w:id="2581"/>
    <w:bookmarkStart w:id="2583" w:name="um-valor-medido-ainda-não-é-um-benefício"/>
    <w:p>
      <w:pPr>
        <w:pStyle w:val="Heading4"/>
      </w:pPr>
      <w:r>
        <w:t xml:space="preserve">2. Um valor medido ainda não é um benefício</w:t>
      </w:r>
    </w:p>
    <w:p>
      <w:pPr>
        <w:pStyle w:val="FirstParagraph"/>
      </w:pPr>
      <w:r>
        <w:t xml:space="preserve">O CJC-1295 aumenta o hormônio do crescimento, o Epitalon ativa a telomerase em culturas de células, cápsulas de glutationa aumentam o nível de glutationa no sangue. Esses são valores substitutos (</w:t>
      </w:r>
      <w:r>
        <w:t xml:space="preserve">“</w:t>
      </w:r>
      <w:r>
        <w:t xml:space="preserve">desfechos substitutos</w:t>
      </w:r>
      <w:r>
        <w:t xml:space="preserve">”</w:t>
      </w:r>
      <w:r>
        <w:t xml:space="preserve">, ver Parte I). Se disso resulta algo que importa para as pessoas – mais força muscular, vida mais longa, menos doenças – é uma questão à parte, que exige estudos próprios. No caso do hormônio do crescimento, o exemplo do ibutamoreno mostra quão grande pode ser a lacuna: em 65 idosos saudáveis, a massa magra aumentou 1,1 kg ao longo de um ano, mas força e função física não melhoraram</w:t>
      </w:r>
      <w:r>
        <w:rPr>
          <w:rStyle w:val="FootnoteReference"/>
        </w:rPr>
        <w:footnoteReference w:id="2582"/>
      </w:r>
      <w:r>
        <w:t xml:space="preserve">.</w:t>
      </w:r>
    </w:p>
    <w:bookmarkEnd w:id="2583"/>
    <w:bookmarkStart w:id="2585" w:name="confusão-de-substâncias"/>
    <w:p>
      <w:pPr>
        <w:pStyle w:val="Heading4"/>
      </w:pPr>
      <w:r>
        <w:t xml:space="preserve">3. Confusão de substâncias</w:t>
      </w:r>
    </w:p>
    <w:p>
      <w:pPr>
        <w:pStyle w:val="FirstParagraph"/>
      </w:pPr>
      <w:r>
        <w:t xml:space="preserve">Várias promessas baseiam-se em estudos com uma substância diferente daquela que é vendida:</w:t>
      </w:r>
    </w:p>
    <w:p>
      <w:pPr>
        <w:numPr>
          <w:ilvl w:val="0"/>
          <w:numId w:val="1330"/>
        </w:numPr>
        <w:pStyle w:val="Compact"/>
      </w:pPr>
      <w:r>
        <w:rPr>
          <w:bCs/>
          <w:b/>
        </w:rPr>
        <w:t xml:space="preserve">TB-500</w:t>
      </w:r>
      <w:r>
        <w:t xml:space="preserve"> </w:t>
      </w:r>
      <w:r>
        <w:t xml:space="preserve">é um fragmento modificado. Os estudos em humanos referem-se à proteína completa timosina beta-4 – e mesmo esses quase não tratam de tendões, ligamentos ou músculos.</w:t>
      </w:r>
    </w:p>
    <w:p>
      <w:pPr>
        <w:numPr>
          <w:ilvl w:val="0"/>
          <w:numId w:val="1330"/>
        </w:numPr>
        <w:pStyle w:val="Compact"/>
      </w:pPr>
      <w:r>
        <w:rPr>
          <w:bCs/>
          <w:b/>
        </w:rPr>
        <w:t xml:space="preserve">Epitalon</w:t>
      </w:r>
      <w:r>
        <w:t xml:space="preserve"> </w:t>
      </w:r>
      <w:r>
        <w:t xml:space="preserve">é um tetrapeptídeo sintético. O estudo frequentemente citado sobre vida mais longa referia-se ao extrato bovino epitalamina, não era randomizado e nunca foi repetido de forma independente.</w:t>
      </w:r>
    </w:p>
    <w:p>
      <w:pPr>
        <w:numPr>
          <w:ilvl w:val="0"/>
          <w:numId w:val="1330"/>
        </w:numPr>
        <w:pStyle w:val="Compact"/>
      </w:pPr>
      <w:r>
        <w:rPr>
          <w:bCs/>
          <w:b/>
        </w:rPr>
        <w:t xml:space="preserve">CJC-1295</w:t>
      </w:r>
      <w:r>
        <w:t xml:space="preserve"> </w:t>
      </w:r>
      <w:r>
        <w:t xml:space="preserve">é vendido, em sua maioria, sem o grupo</w:t>
      </w:r>
      <w:r>
        <w:t xml:space="preserve"> </w:t>
      </w:r>
      <w:r>
        <w:t xml:space="preserve">“</w:t>
      </w:r>
      <w:r>
        <w:t xml:space="preserve">DAC</w:t>
      </w:r>
      <w:r>
        <w:t xml:space="preserve">”</w:t>
      </w:r>
      <w:r>
        <w:t xml:space="preserve"> </w:t>
      </w:r>
      <w:r>
        <w:t xml:space="preserve">que foi usado nos estudos em humanos.</w:t>
      </w:r>
    </w:p>
    <w:p>
      <w:pPr>
        <w:numPr>
          <w:ilvl w:val="0"/>
          <w:numId w:val="1330"/>
        </w:numPr>
        <w:pStyle w:val="Compact"/>
      </w:pPr>
      <w:r>
        <w:rPr>
          <w:bCs/>
          <w:b/>
        </w:rPr>
        <w:t xml:space="preserve">Retatrutida</w:t>
      </w:r>
      <w:r>
        <w:t xml:space="preserve"> </w:t>
      </w:r>
      <w:r>
        <w:t xml:space="preserve">do mercado cinza não é o medicamento dos estudos. Análises laboratoriais de outros peptídeos do mercado cinza mostram que os frascos frequentemente contêm menos, mais ou outra substância do que o declarado; em ipamorelina e CJC-1295, laboratórios encontraram moléculas modificadas e não declaradas</w:t>
      </w:r>
      <w:r>
        <w:rPr>
          <w:rStyle w:val="FootnoteReference"/>
        </w:rPr>
        <w:footnoteReference w:id="2584"/>
      </w:r>
      <w:r>
        <w:t xml:space="preserve">.</w:t>
      </w:r>
    </w:p>
    <w:bookmarkEnd w:id="2585"/>
    <w:bookmarkStart w:id="2589" w:name="estudos-negativos-não-são-mencionados"/>
    <w:p>
      <w:pPr>
        <w:pStyle w:val="Heading4"/>
      </w:pPr>
      <w:r>
        <w:t xml:space="preserve">4. Estudos negativos não são mencionados</w:t>
      </w:r>
    </w:p>
    <w:p>
      <w:pPr>
        <w:pStyle w:val="FirstParagraph"/>
      </w:pPr>
      <w:r>
        <w:t xml:space="preserve">Para vários peptídeos existem, sim, estudos randomizados – só que eles não encontraram benefício. A ipamorelina não reduziu significativamente, após cirurgias intestinais, o tempo até a primeira refeição</w:t>
      </w:r>
      <w:r>
        <w:rPr>
          <w:rStyle w:val="FootnoteReference"/>
        </w:rPr>
        <w:footnoteReference w:id="2586"/>
      </w:r>
      <w:r>
        <w:t xml:space="preserve">. Infusões de glutationa não protegeram contra danos nos nervos causados pela quimioterapia</w:t>
      </w:r>
      <w:r>
        <w:rPr>
          <w:rStyle w:val="FootnoteReference"/>
        </w:rPr>
        <w:footnoteReference w:id="2587"/>
      </w:r>
      <w:r>
        <w:t xml:space="preserve">. No colágeno, o benefício para a pele desapareceu assim que apenas estudos com financiamento independente foram considerados</w:t>
      </w:r>
      <w:r>
        <w:rPr>
          <w:rStyle w:val="FootnoteReference"/>
        </w:rPr>
        <w:footnoteReference w:id="2588"/>
      </w:r>
      <w:r>
        <w:t xml:space="preserve">. Resultados como esses praticamente nunca aparecem em textos publicitários. Uma apresentação séria cita estudos positivos</w:t>
      </w:r>
      <w:r>
        <w:t xml:space="preserve"> </w:t>
      </w:r>
      <w:r>
        <w:rPr>
          <w:iCs/>
          <w:i/>
        </w:rPr>
        <w:t xml:space="preserve">e</w:t>
      </w:r>
      <w:r>
        <w:t xml:space="preserve"> </w:t>
      </w:r>
      <w:r>
        <w:t xml:space="preserve">negativos.</w:t>
      </w:r>
    </w:p>
    <w:bookmarkEnd w:id="2589"/>
    <w:bookmarkStart w:id="2590" w:name="estudos-pequenos-de-um-círculo-restrito"/>
    <w:p>
      <w:pPr>
        <w:pStyle w:val="Heading4"/>
      </w:pPr>
      <w:r>
        <w:t xml:space="preserve">5. Estudos pequenos de um círculo restrito</w:t>
      </w:r>
    </w:p>
    <w:p>
      <w:pPr>
        <w:pStyle w:val="FirstParagraph"/>
      </w:pPr>
      <w:r>
        <w:t xml:space="preserve">Semax, Selank, Epitalon e Pinealon foram estudados quase exclusivamente na Rússia, em geral pelos próprios desenvolvedores, em grupos pequenos e frequentemente sem comparação com placebo. Isso não torna os resultados automaticamente falsos. Mas significa que eles nunca foram testados nas condições exigidas hoje para uma aprovação: registro prévio, cegamento, tamanho suficiente e confirmação por grupos independentes.</w:t>
      </w:r>
    </w:p>
    <w:bookmarkEnd w:id="2590"/>
    <w:bookmarkStart w:id="2592" w:name="X1e2887be1ac0afac97199a59e66318d72aa9d2a"/>
    <w:p>
      <w:pPr>
        <w:pStyle w:val="Heading4"/>
      </w:pPr>
      <w:r>
        <w:t xml:space="preserve">6.</w:t>
      </w:r>
      <w:r>
        <w:t xml:space="preserve"> </w:t>
      </w:r>
      <w:r>
        <w:t xml:space="preserve">“</w:t>
      </w:r>
      <w:r>
        <w:t xml:space="preserve">Sem efeitos colaterais</w:t>
      </w:r>
      <w:r>
        <w:t xml:space="preserve">”</w:t>
      </w:r>
      <w:r>
        <w:t xml:space="preserve"> </w:t>
      </w:r>
      <w:r>
        <w:t xml:space="preserve">geralmente significa</w:t>
      </w:r>
      <w:r>
        <w:t xml:space="preserve"> </w:t>
      </w:r>
      <w:r>
        <w:t xml:space="preserve">“</w:t>
      </w:r>
      <w:r>
        <w:t xml:space="preserve">não estudado</w:t>
      </w:r>
      <w:r>
        <w:t xml:space="preserve">”</w:t>
      </w:r>
    </w:p>
    <w:p>
      <w:pPr>
        <w:pStyle w:val="FirstParagraph"/>
      </w:pPr>
      <w:r>
        <w:t xml:space="preserve">A afirmação de que um peptídeo é</w:t>
      </w:r>
      <w:r>
        <w:t xml:space="preserve"> </w:t>
      </w:r>
      <w:r>
        <w:t xml:space="preserve">“</w:t>
      </w:r>
      <w:r>
        <w:t xml:space="preserve">bem tolerado</w:t>
      </w:r>
      <w:r>
        <w:t xml:space="preserve">”</w:t>
      </w:r>
      <w:r>
        <w:t xml:space="preserve"> </w:t>
      </w:r>
      <w:r>
        <w:t xml:space="preserve">ou</w:t>
      </w:r>
      <w:r>
        <w:t xml:space="preserve"> </w:t>
      </w:r>
      <w:r>
        <w:t xml:space="preserve">“</w:t>
      </w:r>
      <w:r>
        <w:t xml:space="preserve">sem efeitos colaterais</w:t>
      </w:r>
      <w:r>
        <w:t xml:space="preserve">”</w:t>
      </w:r>
      <w:r>
        <w:t xml:space="preserve"> </w:t>
      </w:r>
      <w:r>
        <w:t xml:space="preserve">apoia-se, no caso do BPC-157, em 30 pessoas no total. Com tão poucos participantes, só é possível reconhecer problemas frequentes e imediatos; um efeito colateral que afete uma em cada mil pessoas permaneceria invisível. Em substâncias que intensificam sinais de crescimento – liberadores do hormônio do crescimento, IGF-1 LR3, peptídeos que favorecem a formação de novos vasos –, existe além disso uma preocupação teórica, mas não verificada, com o crescimento de tumores. No caso do Melanotan II, relatos de caso descrevem pintas novas e alteradas e melanomas; uma relação causal não está comprovada, mas também não está descartada. Somam-se a isso os riscos dos próprios produtos: em frascos de Melanotan II do mercado cinza, encontrou-se menos substância ativa do que o declarado e impurezas desconhecidas</w:t>
      </w:r>
      <w:r>
        <w:rPr>
          <w:rStyle w:val="FootnoteReference"/>
        </w:rPr>
        <w:footnoteReference w:id="2591"/>
      </w:r>
      <w:r>
        <w:t xml:space="preserve">. Mais sobre isso na Parte IV.</w:t>
      </w:r>
    </w:p>
    <w:bookmarkEnd w:id="2592"/>
    <w:bookmarkEnd w:id="2593"/>
    <w:bookmarkStart w:id="2599" w:name="Xf9fce3849163a4e1bfb216f90f438969557e629"/>
    <w:p>
      <w:pPr>
        <w:pStyle w:val="Heading3"/>
      </w:pPr>
      <w:r>
        <w:t xml:space="preserve">Como distinguir afirmações sérias de afirmações não sérias</w:t>
      </w:r>
    </w:p>
    <w:p>
      <w:pPr>
        <w:pStyle w:val="FirstParagraph"/>
      </w:pPr>
      <w:r>
        <w:t xml:space="preserve">O checklist a seguir ajuda a avaliar afirmações sobre peptídeos – em lojas, vídeos, fóruns ou revistas. Ele não substitui uma orientação profissional, mas aguça o olhar para quanto há por trás de uma alegação.</w:t>
      </w:r>
    </w:p>
    <w:bookmarkStart w:id="2594" w:name="perguntas-sobre-a-fonte"/>
    <w:p>
      <w:pPr>
        <w:pStyle w:val="Heading4"/>
      </w:pPr>
      <w:r>
        <w:t xml:space="preserve">Perguntas sobre a fonte</w:t>
      </w:r>
    </w:p>
    <w:p>
      <w:pPr>
        <w:numPr>
          <w:ilvl w:val="0"/>
          <w:numId w:val="1331"/>
        </w:numPr>
        <w:pStyle w:val="Compact"/>
      </w:pPr>
      <w:r>
        <w:rPr>
          <w:bCs/>
          <w:b/>
        </w:rPr>
        <w:t xml:space="preserve">Quem está falando?</w:t>
      </w:r>
      <w:r>
        <w:t xml:space="preserve"> </w:t>
      </w:r>
      <w:r>
        <w:t xml:space="preserve">A pessoa ou o site vende a substância, oferece cursos, consultorias ou códigos de desconto? Um interesse financeiro não torna uma afirmação falsa, mas é um motivo para olhar com mais atenção.</w:t>
      </w:r>
    </w:p>
    <w:p>
      <w:pPr>
        <w:numPr>
          <w:ilvl w:val="0"/>
          <w:numId w:val="1331"/>
        </w:numPr>
        <w:pStyle w:val="Compact"/>
      </w:pPr>
      <w:r>
        <w:rPr>
          <w:bCs/>
          <w:b/>
        </w:rPr>
        <w:t xml:space="preserve">São citados estudos – e é possível encontrá-los?</w:t>
      </w:r>
      <w:r>
        <w:t xml:space="preserve"> </w:t>
      </w:r>
      <w:r>
        <w:t xml:space="preserve">Afirmações sérias citam uma fonte verificável: um PMID, um DOI ou um número de registro (NCT). Você pode digitar qualquer PMID gratuitamente no PubMed e ler o resumo por conta própria. Formulações como</w:t>
      </w:r>
      <w:r>
        <w:t xml:space="preserve"> </w:t>
      </w:r>
      <w:r>
        <w:t xml:space="preserve">“</w:t>
      </w:r>
      <w:r>
        <w:t xml:space="preserve">estudos mostram</w:t>
      </w:r>
      <w:r>
        <w:t xml:space="preserve">”</w:t>
      </w:r>
      <w:r>
        <w:t xml:space="preserve"> </w:t>
      </w:r>
      <w:r>
        <w:t xml:space="preserve">sem indicação concreta são um sinal de alerta.</w:t>
      </w:r>
    </w:p>
    <w:p>
      <w:pPr>
        <w:numPr>
          <w:ilvl w:val="0"/>
          <w:numId w:val="1331"/>
        </w:numPr>
        <w:pStyle w:val="Compact"/>
      </w:pPr>
      <w:r>
        <w:rPr>
          <w:bCs/>
          <w:b/>
        </w:rPr>
        <w:t xml:space="preserve">O estudo citado corresponde à afirmação?</w:t>
      </w:r>
      <w:r>
        <w:t xml:space="preserve"> </w:t>
      </w:r>
      <w:r>
        <w:t xml:space="preserve">Verifique se o estudo realmente investigou a substância vendida, a aplicação promovida e seres humanos – ou se tratava de uma molécula aparentada, de outra doença ou de ratos.</w:t>
      </w:r>
    </w:p>
    <w:bookmarkEnd w:id="2594"/>
    <w:bookmarkStart w:id="2595" w:name="perguntas-sobre-o-estudo"/>
    <w:p>
      <w:pPr>
        <w:pStyle w:val="Heading4"/>
      </w:pPr>
      <w:r>
        <w:t xml:space="preserve">Perguntas sobre o estudo</w:t>
      </w:r>
    </w:p>
    <w:p>
      <w:pPr>
        <w:numPr>
          <w:ilvl w:val="0"/>
          <w:numId w:val="1332"/>
        </w:numPr>
        <w:pStyle w:val="Compact"/>
      </w:pPr>
      <w:r>
        <w:rPr>
          <w:bCs/>
          <w:b/>
        </w:rPr>
        <w:t xml:space="preserve">Ser humano, animal ou cultura de células?</w:t>
      </w:r>
      <w:r>
        <w:t xml:space="preserve"> </w:t>
      </w:r>
      <w:r>
        <w:t xml:space="preserve">Se o resumo diz</w:t>
      </w:r>
      <w:r>
        <w:t xml:space="preserve"> </w:t>
      </w:r>
      <w:r>
        <w:t xml:space="preserve">“</w:t>
      </w:r>
      <w:r>
        <w:t xml:space="preserve">rats</w:t>
      </w:r>
      <w:r>
        <w:t xml:space="preserve">”</w:t>
      </w:r>
      <w:r>
        <w:t xml:space="preserve">,</w:t>
      </w:r>
      <w:r>
        <w:t xml:space="preserve"> </w:t>
      </w:r>
      <w:r>
        <w:t xml:space="preserve">“</w:t>
      </w:r>
      <w:r>
        <w:t xml:space="preserve">mice</w:t>
      </w:r>
      <w:r>
        <w:t xml:space="preserve">”</w:t>
      </w:r>
      <w:r>
        <w:t xml:space="preserve">,</w:t>
      </w:r>
      <w:r>
        <w:t xml:space="preserve"> </w:t>
      </w:r>
      <w:r>
        <w:t xml:space="preserve">“</w:t>
      </w:r>
      <w:r>
        <w:t xml:space="preserve">in vitro</w:t>
      </w:r>
      <w:r>
        <w:t xml:space="preserve">”</w:t>
      </w:r>
      <w:r>
        <w:t xml:space="preserve"> </w:t>
      </w:r>
      <w:r>
        <w:t xml:space="preserve">ou</w:t>
      </w:r>
      <w:r>
        <w:t xml:space="preserve"> </w:t>
      </w:r>
      <w:r>
        <w:t xml:space="preserve">“</w:t>
      </w:r>
      <w:r>
        <w:t xml:space="preserve">cell culture</w:t>
      </w:r>
      <w:r>
        <w:t xml:space="preserve">”</w:t>
      </w:r>
      <w:r>
        <w:t xml:space="preserve">, nada se afirma sobre o efeito em humanos.</w:t>
      </w:r>
    </w:p>
    <w:p>
      <w:pPr>
        <w:numPr>
          <w:ilvl w:val="0"/>
          <w:numId w:val="1332"/>
        </w:numPr>
        <w:pStyle w:val="Compact"/>
      </w:pPr>
      <w:r>
        <w:rPr>
          <w:bCs/>
          <w:b/>
        </w:rPr>
        <w:t xml:space="preserve">Houve um grupo de comparação?</w:t>
      </w:r>
      <w:r>
        <w:t xml:space="preserve"> </w:t>
      </w:r>
      <w:r>
        <w:t xml:space="preserve">Sem grupo placebo ou controle, não é possível distinguir se uma melhora vem da substância, do tempo, de outros tratamentos ou da expectativa. Justamente em dor, humor ou sono, o efeito placebo é grande.</w:t>
      </w:r>
    </w:p>
    <w:p>
      <w:pPr>
        <w:numPr>
          <w:ilvl w:val="0"/>
          <w:numId w:val="1332"/>
        </w:numPr>
        <w:pStyle w:val="Compact"/>
      </w:pPr>
      <w:r>
        <w:rPr>
          <w:bCs/>
          <w:b/>
        </w:rPr>
        <w:t xml:space="preserve">Quantos participantes?</w:t>
      </w:r>
      <w:r>
        <w:t xml:space="preserve"> </w:t>
      </w:r>
      <w:r>
        <w:t xml:space="preserve">Estudos com 10 ou 20 pessoas podem dar indícios, mas não comprovar um benefício nem reconhecer efeitos colaterais raros.</w:t>
      </w:r>
    </w:p>
    <w:p>
      <w:pPr>
        <w:numPr>
          <w:ilvl w:val="0"/>
          <w:numId w:val="1332"/>
        </w:numPr>
        <w:pStyle w:val="Compact"/>
      </w:pPr>
      <w:r>
        <w:rPr>
          <w:bCs/>
          <w:b/>
        </w:rPr>
        <w:t xml:space="preserve">O que foi medido?</w:t>
      </w:r>
      <w:r>
        <w:t xml:space="preserve"> </w:t>
      </w:r>
      <w:r>
        <w:t xml:space="preserve">Um valor laboratorial que sobe não é um benefício perceptível. Pergunte: foi medido o que importa para os afetados – dor, função, eventos de doença, qualidade de vida?</w:t>
      </w:r>
    </w:p>
    <w:p>
      <w:pPr>
        <w:numPr>
          <w:ilvl w:val="0"/>
          <w:numId w:val="1332"/>
        </w:numPr>
        <w:pStyle w:val="Compact"/>
      </w:pPr>
      <w:r>
        <w:rPr>
          <w:bCs/>
          <w:b/>
        </w:rPr>
        <w:t xml:space="preserve">O estudo foi registrado previamente?</w:t>
      </w:r>
      <w:r>
        <w:t xml:space="preserve"> </w:t>
      </w:r>
      <w:r>
        <w:t xml:space="preserve">Um registro no ClinicalTrials.gov ou no registro da UE antes do início do estudo impede que os objetivos sejam escolhidos posteriormente de forma conveniente.</w:t>
      </w:r>
    </w:p>
    <w:p>
      <w:pPr>
        <w:numPr>
          <w:ilvl w:val="0"/>
          <w:numId w:val="1332"/>
        </w:numPr>
        <w:pStyle w:val="Compact"/>
      </w:pPr>
      <w:r>
        <w:rPr>
          <w:bCs/>
          <w:b/>
        </w:rPr>
        <w:t xml:space="preserve">O resultado foi repetido?</w:t>
      </w:r>
      <w:r>
        <w:t xml:space="preserve"> </w:t>
      </w:r>
      <w:r>
        <w:t xml:space="preserve">Um único resultado positivo de um único grupo de pesquisa é um começo, não uma prova.</w:t>
      </w:r>
    </w:p>
    <w:bookmarkEnd w:id="2595"/>
    <w:bookmarkStart w:id="2596" w:name="sinais-de-alerta-na-linguagem"/>
    <w:p>
      <w:pPr>
        <w:pStyle w:val="Heading4"/>
      </w:pPr>
      <w:r>
        <w:t xml:space="preserve">Sinais de alerta na linguagem</w:t>
      </w:r>
    </w:p>
    <w:p>
      <w:pPr>
        <w:numPr>
          <w:ilvl w:val="0"/>
          <w:numId w:val="1333"/>
        </w:numPr>
        <w:pStyle w:val="Compact"/>
      </w:pPr>
      <w:r>
        <w:t xml:space="preserve">Promessas que abrangem ao mesmo tempo queixas muito diferentes (</w:t>
      </w:r>
      <w:r>
        <w:t xml:space="preserve">“</w:t>
      </w:r>
      <w:r>
        <w:t xml:space="preserve">para articulações, intestino, pele, cérebro e sistema imunológico</w:t>
      </w:r>
      <w:r>
        <w:t xml:space="preserve">”</w:t>
      </w:r>
      <w:r>
        <w:t xml:space="preserve">).</w:t>
      </w:r>
    </w:p>
    <w:p>
      <w:pPr>
        <w:numPr>
          <w:ilvl w:val="0"/>
          <w:numId w:val="1333"/>
        </w:numPr>
        <w:pStyle w:val="Compact"/>
      </w:pPr>
      <w:r>
        <w:t xml:space="preserve">Termos como</w:t>
      </w:r>
      <w:r>
        <w:t xml:space="preserve"> </w:t>
      </w:r>
      <w:r>
        <w:t xml:space="preserve">“</w:t>
      </w:r>
      <w:r>
        <w:t xml:space="preserve">remédio milagroso</w:t>
      </w:r>
      <w:r>
        <w:t xml:space="preserve">”</w:t>
      </w:r>
      <w:r>
        <w:t xml:space="preserve">,</w:t>
      </w:r>
      <w:r>
        <w:t xml:space="preserve"> </w:t>
      </w:r>
      <w:r>
        <w:t xml:space="preserve">“</w:t>
      </w:r>
      <w:r>
        <w:t xml:space="preserve">dica secreta</w:t>
      </w:r>
      <w:r>
        <w:t xml:space="preserve">”</w:t>
      </w:r>
      <w:r>
        <w:t xml:space="preserve">,</w:t>
      </w:r>
      <w:r>
        <w:t xml:space="preserve"> </w:t>
      </w:r>
      <w:r>
        <w:t xml:space="preserve">“</w:t>
      </w:r>
      <w:r>
        <w:t xml:space="preserve">o que os médicos não contam a você</w:t>
      </w:r>
      <w:r>
        <w:t xml:space="preserve">”</w:t>
      </w:r>
      <w:r>
        <w:t xml:space="preserve"> </w:t>
      </w:r>
      <w:r>
        <w:t xml:space="preserve">ou</w:t>
      </w:r>
      <w:r>
        <w:t xml:space="preserve"> </w:t>
      </w:r>
      <w:r>
        <w:t xml:space="preserve">“</w:t>
      </w:r>
      <w:r>
        <w:t xml:space="preserve">suprimido pela indústria farmacêutica</w:t>
      </w:r>
      <w:r>
        <w:t xml:space="preserve">”</w:t>
      </w:r>
      <w:r>
        <w:t xml:space="preserve">.</w:t>
      </w:r>
    </w:p>
    <w:p>
      <w:pPr>
        <w:numPr>
          <w:ilvl w:val="0"/>
          <w:numId w:val="1333"/>
        </w:numPr>
        <w:pStyle w:val="Compact"/>
      </w:pPr>
      <w:r>
        <w:t xml:space="preserve">A afirmação</w:t>
      </w:r>
      <w:r>
        <w:t xml:space="preserve"> </w:t>
      </w:r>
      <w:r>
        <w:t xml:space="preserve">“</w:t>
      </w:r>
      <w:r>
        <w:t xml:space="preserve">sem efeitos colaterais</w:t>
      </w:r>
      <w:r>
        <w:t xml:space="preserve">”</w:t>
      </w:r>
      <w:r>
        <w:t xml:space="preserve"> </w:t>
      </w:r>
      <w:r>
        <w:t xml:space="preserve">para uma substância pouco estudada em humanos.</w:t>
      </w:r>
    </w:p>
    <w:p>
      <w:pPr>
        <w:numPr>
          <w:ilvl w:val="0"/>
          <w:numId w:val="1333"/>
        </w:numPr>
        <w:pStyle w:val="Compact"/>
      </w:pPr>
      <w:r>
        <w:t xml:space="preserve">Relatos de experiência e fotos de antes e depois em vez de dados de estudos.</w:t>
      </w:r>
    </w:p>
    <w:p>
      <w:pPr>
        <w:numPr>
          <w:ilvl w:val="0"/>
          <w:numId w:val="1333"/>
        </w:numPr>
        <w:pStyle w:val="Compact"/>
      </w:pPr>
      <w:r>
        <w:t xml:space="preserve">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consumo humano</w:t>
      </w:r>
      <w:r>
        <w:t xml:space="preserve">”</w:t>
      </w:r>
      <w:r>
        <w:t xml:space="preserve"> </w:t>
      </w:r>
      <w:r>
        <w:t xml:space="preserve">em um produto que, ao mesmo tempo, é promovido com efeitos em humanos. Essa contradição mostra que o fornecedor quer contornar as regras de medicamentos (ver Parte I).</w:t>
      </w:r>
    </w:p>
    <w:p>
      <w:pPr>
        <w:numPr>
          <w:ilvl w:val="0"/>
          <w:numId w:val="1333"/>
        </w:numPr>
        <w:pStyle w:val="Compact"/>
      </w:pPr>
      <w:r>
        <w:t xml:space="preserve">Sugestões de doses, ciclos ou pacotes combinados de vários peptídeos para substâncias sem aprovação. Para esses esquemas não há base em estudos.</w:t>
      </w:r>
    </w:p>
    <w:bookmarkEnd w:id="2596"/>
    <w:bookmarkStart w:id="2597" w:name="sinais-de-uma-apresentação-séria"/>
    <w:p>
      <w:pPr>
        <w:pStyle w:val="Heading4"/>
      </w:pPr>
      <w:r>
        <w:t xml:space="preserve">Sinais de uma apresentação séria</w:t>
      </w:r>
    </w:p>
    <w:p>
      <w:pPr>
        <w:numPr>
          <w:ilvl w:val="0"/>
          <w:numId w:val="1334"/>
        </w:numPr>
        <w:pStyle w:val="Compact"/>
      </w:pPr>
      <w:r>
        <w:t xml:space="preserve">Resultados de animais e de laboratório são expressamente identificados como tais.</w:t>
      </w:r>
    </w:p>
    <w:p>
      <w:pPr>
        <w:numPr>
          <w:ilvl w:val="0"/>
          <w:numId w:val="1334"/>
        </w:numPr>
        <w:pStyle w:val="Compact"/>
      </w:pPr>
      <w:r>
        <w:t xml:space="preserve">Estudos negativos e contraditórios são citados, não apenas os positivos.</w:t>
      </w:r>
    </w:p>
    <w:p>
      <w:pPr>
        <w:numPr>
          <w:ilvl w:val="0"/>
          <w:numId w:val="1334"/>
        </w:numPr>
        <w:pStyle w:val="Compact"/>
      </w:pPr>
      <w:r>
        <w:t xml:space="preserve">A incerteza é declarada abertamente (</w:t>
      </w:r>
      <w:r>
        <w:t xml:space="preserve">“</w:t>
      </w:r>
      <w:r>
        <w:t xml:space="preserve">Os dados não são suficientes para avaliar …</w:t>
      </w:r>
      <w:r>
        <w:t xml:space="preserve">”</w:t>
      </w:r>
      <w:r>
        <w:t xml:space="preserve">).</w:t>
      </w:r>
    </w:p>
    <w:p>
      <w:pPr>
        <w:numPr>
          <w:ilvl w:val="0"/>
          <w:numId w:val="1334"/>
        </w:numPr>
        <w:pStyle w:val="Compact"/>
      </w:pPr>
      <w:r>
        <w:t xml:space="preserve">A situação legal e o status de doping são mencionados.</w:t>
      </w:r>
    </w:p>
    <w:p>
      <w:pPr>
        <w:numPr>
          <w:ilvl w:val="0"/>
          <w:numId w:val="1334"/>
        </w:numPr>
        <w:pStyle w:val="Compact"/>
      </w:pPr>
      <w:r>
        <w:t xml:space="preserve">Há uma indicação clara de que medicamentos devem ser usados sob acompanhamento médico e de que produtos do mercado cinza não são verificados.</w:t>
      </w:r>
    </w:p>
    <w:bookmarkEnd w:id="2597"/>
    <w:bookmarkStart w:id="2598" w:name="três-perguntas-para-o-dia-a-dia"/>
    <w:p>
      <w:pPr>
        <w:pStyle w:val="Heading4"/>
      </w:pPr>
      <w:r>
        <w:t xml:space="preserve">Três perguntas para o dia a dia</w:t>
      </w:r>
    </w:p>
    <w:p>
      <w:pPr>
        <w:pStyle w:val="FirstParagraph"/>
      </w:pPr>
      <w:r>
        <w:t xml:space="preserve">Se você tiver pouco tempo, muitas vezes bastam três perguntas:</w:t>
      </w:r>
    </w:p>
    <w:p>
      <w:pPr>
        <w:numPr>
          <w:ilvl w:val="0"/>
          <w:numId w:val="1335"/>
        </w:numPr>
        <w:pStyle w:val="Compact"/>
      </w:pPr>
      <w:r>
        <w:t xml:space="preserve">A substância está aprovada na UE ou nos EUA como medicamento exatamente para essa aplicação?</w:t>
      </w:r>
    </w:p>
    <w:p>
      <w:pPr>
        <w:numPr>
          <w:ilvl w:val="0"/>
          <w:numId w:val="1335"/>
        </w:numPr>
        <w:pStyle w:val="Compact"/>
      </w:pPr>
      <w:r>
        <w:t xml:space="preserve">Existe pelo menos um estudo randomizado e controlado por placebo em humanos que tenha mostrado o benefício alegado?</w:t>
      </w:r>
    </w:p>
    <w:p>
      <w:pPr>
        <w:numPr>
          <w:ilvl w:val="0"/>
          <w:numId w:val="1335"/>
        </w:numPr>
        <w:pStyle w:val="Compact"/>
      </w:pPr>
      <w:r>
        <w:t xml:space="preserve">O produto vem da farmácia – ou de uma fonte cujo conteúdo ninguém verifica?</w:t>
      </w:r>
    </w:p>
    <w:p>
      <w:pPr>
        <w:pStyle w:val="FirstParagraph"/>
      </w:pPr>
      <w:r>
        <w:t xml:space="preserve">Se a resposta às três perguntas for</w:t>
      </w:r>
      <w:r>
        <w:t xml:space="preserve"> </w:t>
      </w:r>
      <w:r>
        <w:t xml:space="preserve">“</w:t>
      </w:r>
      <w:r>
        <w:t xml:space="preserve">não</w:t>
      </w:r>
      <w:r>
        <w:t xml:space="preserve">”</w:t>
      </w:r>
      <w:r>
        <w:t xml:space="preserve">, a promessa se baseia em esperança, não em evidências.</w:t>
      </w:r>
    </w:p>
    <w:bookmarkEnd w:id="2598"/>
    <w:bookmarkEnd w:id="2599"/>
    <w:bookmarkStart w:id="2600" w:name="conclusão-59"/>
    <w:p>
      <w:pPr>
        <w:pStyle w:val="Heading3"/>
      </w:pPr>
      <w:r>
        <w:t xml:space="preserve">Conclusão</w:t>
      </w:r>
    </w:p>
    <w:p>
      <w:pPr>
        <w:pStyle w:val="FirstParagraph"/>
      </w:pPr>
      <w:r>
        <w:t xml:space="preserve">Os peptídeos mais populares na internet são quase sem exceção os menos estudados. Suas promessas apoiam-se, em sua maioria, em experimentos com animais, em valores substitutos ou em estudos com outra substância; onde existem estudos randomizados em humanos, eles em geral não confirmaram o benefício promovido. Isso não significa que nenhuma dessas substâncias possa ter algum benefício – mas os dados não bastam, em nenhuma delas, para comprová-lo. Quem ouve uma afirmação sobre um peptídeo deve perguntar pela fonte, verificar o estudo e ter em mente a diferença entre um medicamento testado e um frasco do mercado cinza.</w:t>
      </w:r>
    </w:p>
    <w:bookmarkEnd w:id="2600"/>
    <w:bookmarkEnd w:id="2601"/>
    <w:bookmarkEnd w:id="2602"/>
    <w:bookmarkStart w:id="2823" w:name="parte-iv-riscos"/>
    <w:p>
      <w:pPr>
        <w:pStyle w:val="Heading1"/>
      </w:pPr>
      <w:r>
        <w:t xml:space="preserve">Parte IV – Riscos</w:t>
      </w:r>
    </w:p>
    <w:p>
      <w:pPr>
        <w:pStyle w:val="FirstParagraph"/>
      </w:pPr>
      <w:r>
        <w:t xml:space="preserve">Na Parte II, cada peptídeo tem uma seção própria</w:t>
      </w:r>
      <w:r>
        <w:t xml:space="preserve"> </w:t>
      </w:r>
      <w:r>
        <w:t xml:space="preserve">“</w:t>
      </w:r>
      <w:r>
        <w:t xml:space="preserve">Riscos e efeitos colaterais</w:t>
      </w:r>
      <w:r>
        <w:t xml:space="preserve">”</w:t>
      </w:r>
      <w:r>
        <w:t xml:space="preserve">. Esta parte não repete essas seções. Ela as coloca lado a lado e pergunta, atravessando todas as substâncias: quais órgãos são afetados? Quais sinais de alerta aparecem em vários peptídeos? Quão sólido é o que se sabe? Quem procura detalhes sobre uma substância específica encontra, em cada ponto, uma referência ao capítulo correspondente.</w:t>
      </w:r>
    </w:p>
    <w:p>
      <w:pPr>
        <w:pStyle w:val="BodyText"/>
      </w:pPr>
      <w:r>
        <w:t xml:space="preserve">Antes de começar, vale a pena dar uma rápida olhada em como avaliar riscos. Três distinções atravessam todos os capítulos a seguir.</w:t>
      </w:r>
    </w:p>
    <w:p>
      <w:pPr>
        <w:pStyle w:val="BodyText"/>
      </w:pPr>
      <w:r>
        <w:rPr>
          <w:bCs/>
          <w:b/>
        </w:rPr>
        <w:t xml:space="preserve">Comprovado, observado ou teórico.</w:t>
      </w:r>
      <w:r>
        <w:t xml:space="preserve"> </w:t>
      </w:r>
      <w:r>
        <w:t xml:space="preserve">Um risco está mais bem comprovado quando ocorreu com mais frequência com a substância do que com placebo em estudos randomizados (ECRs). Estudos observacionais com dados de seguradoras ou de registros, por outro lado, abrangem muitíssimas pessoas e eventos raros, mas não conseguem separar com segurança causa e circunstância concomitante. Bancos de dados de notificação de efeitos colaterais mostram apenas sinais: o que é conhecido e muito discutido é notificado com mais frequência. Por fim, riscos teóricos derivam do mecanismo de ação, de experimentos com animais ou de culturas de células. Não são prova de um dano – mas, em substâncias que nunca foram estudadas sistematicamente em humanos, são muitas vezes a única informação disponível.</w:t>
      </w:r>
    </w:p>
    <w:p>
      <w:pPr>
        <w:pStyle w:val="BodyText"/>
      </w:pPr>
      <w:r>
        <w:rPr>
          <w:bCs/>
          <w:b/>
        </w:rPr>
        <w:t xml:space="preserve">Dados ausentes não são segurança.</w:t>
      </w:r>
      <w:r>
        <w:t xml:space="preserve"> </w:t>
      </w:r>
      <w:r>
        <w:t xml:space="preserve">Quando, em três pequenas investigações com um total de 30 pessoas, não se notaram efeitos colaterais relacionados ao tratamento (como no BPC-157, Poolton 2026, PMID 42885452), isso significa apenas que não ocorreram problemas muito frequentes e imediatos. Um efeito colateral que atinge uma em cada mil pessoas não pode ser detectado por um estudo tão pequeno. Para muitos peptídeos dos grupos B, C e D, essa é a situação de partida.</w:t>
      </w:r>
    </w:p>
    <w:p>
      <w:pPr>
        <w:pStyle w:val="BodyText"/>
      </w:pPr>
      <w:r>
        <w:rPr>
          <w:bCs/>
          <w:b/>
        </w:rPr>
        <w:t xml:space="preserve">Risco relativo e absoluto.</w:t>
      </w:r>
      <w:r>
        <w:t xml:space="preserve"> </w:t>
      </w:r>
      <w:r>
        <w:t xml:space="preserve">Manchetes costumam citar números relativos:</w:t>
      </w:r>
      <w:r>
        <w:t xml:space="preserve"> </w:t>
      </w:r>
      <w:r>
        <w:t xml:space="preserve">“</w:t>
      </w:r>
      <w:r>
        <w:t xml:space="preserve">três vezes mais frequente</w:t>
      </w:r>
      <w:r>
        <w:t xml:space="preserve">”</w:t>
      </w:r>
      <w:r>
        <w:t xml:space="preserve">. Decisivo para a própria ponderação, porém, é quantas pessoas são de fato afetadas. Um exemplo desta parte: em um estudo de registros dinamarquês-norueguês, um determinado distúrbio circulatório do nervo óptico foi quase três vezes mais frequente com semaglutida do que com um medicamento de comparação (hazard ratio 2,81). Em números absolutos, isso significou cerca de 1,4 caso adicional por 10.000 pessoas-ano</w:t>
      </w:r>
      <w:r>
        <w:rPr>
          <w:rStyle w:val="FootnoteReference"/>
        </w:rPr>
        <w:footnoteReference w:id="2603"/>
      </w:r>
      <w:r>
        <w:t xml:space="preserve">. Ambas as coisas são corretas – e ambas fazem parte da informação.</w:t>
      </w:r>
    </w:p>
    <w:p>
      <w:pPr>
        <w:pStyle w:val="BodyText"/>
      </w:pPr>
      <w:r>
        <w:t xml:space="preserve">Por fim, conta a relação entre benefício e risco. Um medicamento contra diabetes tipo 2 que reduz infartos e AVCs em grandes estudos pode ter efeitos colaterais raros que seriam inaceitáveis em um bronzeador ou em um</w:t>
      </w:r>
      <w:r>
        <w:t xml:space="preserve"> </w:t>
      </w:r>
      <w:r>
        <w:t xml:space="preserve">“</w:t>
      </w:r>
      <w:r>
        <w:t xml:space="preserve">peptídeo da longevidade</w:t>
      </w:r>
      <w:r>
        <w:t xml:space="preserve">”</w:t>
      </w:r>
      <w:r>
        <w:t xml:space="preserve"> </w:t>
      </w:r>
      <w:r>
        <w:t xml:space="preserve">sem benefício comprovado. Quem usa um medicamento aprovado com acompanhamento médico e indicação clara está em uma situação completamente diferente de alguém que injeta um pó não testado comprado na internet. Como ler estudos é explicado na Parte I, no capítulo</w:t>
      </w:r>
      <w:r>
        <w:t xml:space="preserve"> </w:t>
      </w:r>
      <w:r>
        <w:t xml:space="preserve">“</w:t>
      </w:r>
      <w:r>
        <w:t xml:space="preserve">Como ler estudos corretamente</w:t>
      </w:r>
      <w:r>
        <w:t xml:space="preserve">”</w:t>
      </w:r>
      <w:r>
        <w:t xml:space="preserve">.</w:t>
      </w:r>
    </w:p>
    <w:p>
      <w:pPr>
        <w:pStyle w:val="BodyText"/>
      </w:pPr>
      <w:r>
        <w:t xml:space="preserve">A Parte IV está organizada assim: este capítulo ordena os efeitos colaterais por sistemas de órgãos. Em seguida vêm capítulos sobre risco de câncer e sinais de crescimento, sobre reações imunológicas, sobre análises laboratoriais de produtos do mercado cinza e sobre interações e grupos de pessoas particularmente vulneráveis.</w:t>
      </w:r>
    </w:p>
    <w:bookmarkStart w:id="2661" w:name="X25d1f4ef67cdea94d8bcf203ffb53e8877b558a"/>
    <w:p>
      <w:pPr>
        <w:pStyle w:val="Heading2"/>
      </w:pPr>
      <w:r>
        <w:t xml:space="preserve">Efeitos colaterais por sistemas de órgãos</w:t>
      </w:r>
    </w:p>
    <w:p>
      <w:pPr>
        <w:pStyle w:val="FirstParagraph"/>
      </w:pPr>
      <w:r>
        <w:t xml:space="preserve">A visão geral a seguir resume quais sistemas de órgãos são afetados com mais frequência em quais peptídeos. A coluna</w:t>
      </w:r>
      <w:r>
        <w:t xml:space="preserve"> </w:t>
      </w:r>
      <w:r>
        <w:t xml:space="preserve">“</w:t>
      </w:r>
      <w:r>
        <w:t xml:space="preserve">Frequência/evidências</w:t>
      </w:r>
      <w:r>
        <w:t xml:space="preserve">”</w:t>
      </w:r>
      <w:r>
        <w:t xml:space="preserve"> </w:t>
      </w:r>
      <w:r>
        <w:t xml:space="preserve">cita uma ordem de grandeza típica de um dos estudos discutidos neste capítulo ou no capítulo do peptídeo indicado. Os números vêm de estudos e grupos populacionais diferentes e, por isso, são comparáveis apenas de forma aproximada.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de órgãos</w:t>
            </w:r>
          </w:p>
        </w:tc>
        <w:tc>
          <w:tcPr/>
          <w:p>
            <w:pPr>
              <w:pStyle w:val="Compact"/>
              <w:jc w:val="left"/>
            </w:pPr>
            <w:r>
              <w:t xml:space="preserve">Peptídeos afetados</w:t>
            </w:r>
          </w:p>
        </w:tc>
        <w:tc>
          <w:tcPr/>
          <w:p>
            <w:pPr>
              <w:pStyle w:val="Compact"/>
              <w:jc w:val="left"/>
            </w:pPr>
            <w:r>
              <w:t xml:space="preserve">Frequência/evidências</w:t>
            </w:r>
          </w:p>
        </w:tc>
        <w:tc>
          <w:tcPr/>
          <w:p>
            <w:pPr>
              <w:pStyle w:val="Compact"/>
              <w:jc w:val="left"/>
            </w:pPr>
            <w:r>
              <w:t xml:space="preserve">Capítulo</w:t>
            </w:r>
          </w:p>
        </w:tc>
      </w:tr>
      <w:tr>
        <w:tc>
          <w:tcPr/>
          <w:p>
            <w:pPr>
              <w:pStyle w:val="Compact"/>
              <w:jc w:val="left"/>
            </w:pPr>
            <w:r>
              <w:t xml:space="preserve">Gastrointestinal</w:t>
            </w:r>
          </w:p>
        </w:tc>
        <w:tc>
          <w:tcPr/>
          <w:p>
            <w:pPr>
              <w:pStyle w:val="Compact"/>
              <w:jc w:val="left"/>
            </w:pPr>
            <w:r>
              <w:t xml:space="preserve">todos os medicamentos de GLP-1, pranlintida, bremelanotida, setmelanotida</w:t>
            </w:r>
          </w:p>
        </w:tc>
        <w:tc>
          <w:tcPr/>
          <w:p>
            <w:pPr>
              <w:pStyle w:val="Compact"/>
              <w:jc w:val="left"/>
            </w:pPr>
            <w:r>
              <w:t xml:space="preserve">muito frequente; CagriSema 79,6% vs. 39,9% com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classe GLP-1, sobretudo na perda de peso</w:t>
            </w:r>
          </w:p>
        </w:tc>
        <w:tc>
          <w:tcPr/>
          <w:p>
            <w:pPr>
              <w:pStyle w:val="Compact"/>
              <w:jc w:val="left"/>
            </w:pPr>
            <w:r>
              <w:t xml:space="preserve">risco relativo 1,37 (todos os estudos), 2,29 (estudos de emagrecimento)</w:t>
            </w:r>
          </w:p>
        </w:tc>
        <w:tc>
          <w:tcPr/>
          <w:p>
            <w:pPr>
              <w:pStyle w:val="Compact"/>
              <w:jc w:val="left"/>
            </w:pPr>
            <w:r>
              <w:t xml:space="preserve">Liraglutida, Tirzepatida</w:t>
            </w:r>
          </w:p>
        </w:tc>
      </w:tr>
      <w:tr>
        <w:tc>
          <w:tcPr/>
          <w:p>
            <w:pPr>
              <w:pStyle w:val="Compact"/>
              <w:jc w:val="left"/>
            </w:pPr>
            <w:r>
              <w:t xml:space="preserve">Pâncreas</w:t>
            </w:r>
          </w:p>
        </w:tc>
        <w:tc>
          <w:tcPr/>
          <w:p>
            <w:pPr>
              <w:pStyle w:val="Compact"/>
              <w:jc w:val="left"/>
            </w:pPr>
            <w:r>
              <w:t xml:space="preserve">classe GLP-1</w:t>
            </w:r>
          </w:p>
        </w:tc>
        <w:tc>
          <w:tcPr/>
          <w:p>
            <w:pPr>
              <w:pStyle w:val="Compact"/>
              <w:jc w:val="left"/>
            </w:pPr>
            <w:r>
              <w:t xml:space="preserve">sinal em metanálises, raro em termos absolutos</w:t>
            </w:r>
          </w:p>
        </w:tc>
        <w:tc>
          <w:tcPr/>
          <w:p>
            <w:pPr>
              <w:pStyle w:val="Compact"/>
              <w:jc w:val="left"/>
            </w:pPr>
            <w:r>
              <w:t xml:space="preserve">Exenatida, Semaglutida</w:t>
            </w:r>
          </w:p>
        </w:tc>
      </w:tr>
      <w:tr>
        <w:tc>
          <w:tcPr/>
          <w:p>
            <w:pPr>
              <w:pStyle w:val="Compact"/>
              <w:jc w:val="left"/>
            </w:pPr>
            <w:r>
              <w:t xml:space="preserve">Tireoide</w:t>
            </w:r>
          </w:p>
        </w:tc>
        <w:tc>
          <w:tcPr/>
          <w:p>
            <w:pPr>
              <w:pStyle w:val="Compact"/>
              <w:jc w:val="left"/>
            </w:pPr>
            <w:r>
              <w:t xml:space="preserve">classe GLP-1</w:t>
            </w:r>
          </w:p>
        </w:tc>
        <w:tc>
          <w:tcPr/>
          <w:p>
            <w:pPr>
              <w:pStyle w:val="Compact"/>
              <w:jc w:val="left"/>
            </w:pPr>
            <w:r>
              <w:t xml:space="preserve">achado em animais comprovado, em humanos inconsistente</w:t>
            </w:r>
          </w:p>
        </w:tc>
        <w:tc>
          <w:tcPr/>
          <w:p>
            <w:pPr>
              <w:pStyle w:val="Compact"/>
              <w:jc w:val="left"/>
            </w:pPr>
            <w:r>
              <w:t xml:space="preserve">Liraglutida, capítulo Risco de câncer</w:t>
            </w:r>
          </w:p>
        </w:tc>
      </w:tr>
      <w:tr>
        <w:tc>
          <w:tcPr/>
          <w:p>
            <w:pPr>
              <w:pStyle w:val="Compact"/>
              <w:jc w:val="left"/>
            </w:pPr>
            <w:r>
              <w:t xml:space="preserve">Olhos</w:t>
            </w:r>
          </w:p>
        </w:tc>
        <w:tc>
          <w:tcPr/>
          <w:p>
            <w:pPr>
              <w:pStyle w:val="Compact"/>
              <w:jc w:val="left"/>
            </w:pPr>
            <w:r>
              <w:t xml:space="preserve">semaglutida (NAION, retinopatia)</w:t>
            </w:r>
          </w:p>
        </w:tc>
        <w:tc>
          <w:tcPr/>
          <w:p>
            <w:pPr>
              <w:pStyle w:val="Compact"/>
              <w:jc w:val="left"/>
            </w:pPr>
            <w:r>
              <w:t xml:space="preserve">muito raro; cerca de 1,4 caso adicional por 10.000 pessoas-ano</w:t>
            </w:r>
          </w:p>
        </w:tc>
        <w:tc>
          <w:tcPr/>
          <w:p>
            <w:pPr>
              <w:pStyle w:val="Compact"/>
              <w:jc w:val="left"/>
            </w:pPr>
            <w:r>
              <w:t xml:space="preserve">Semaglutida</w:t>
            </w:r>
          </w:p>
        </w:tc>
      </w:tr>
      <w:tr>
        <w:tc>
          <w:tcPr/>
          <w:p>
            <w:pPr>
              <w:pStyle w:val="Compact"/>
              <w:jc w:val="left"/>
            </w:pPr>
            <w:r>
              <w:t xml:space="preserve">Cardiovascular, retenção hídrica</w:t>
            </w:r>
          </w:p>
        </w:tc>
        <w:tc>
          <w:tcPr/>
          <w:p>
            <w:pPr>
              <w:pStyle w:val="Compact"/>
              <w:jc w:val="left"/>
            </w:pPr>
            <w:r>
              <w:t xml:space="preserve">liberadores de GH, ibutamoreno, bremelanotida, macimorelina, ocitocina</w:t>
            </w:r>
          </w:p>
        </w:tc>
        <w:tc>
          <w:tcPr/>
          <w:p>
            <w:pPr>
              <w:pStyle w:val="Compact"/>
              <w:jc w:val="left"/>
            </w:pPr>
            <w:r>
              <w:t xml:space="preserve">sinal de insuficiência cardíaca, picos de pressão arterial, prolongamento do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classe GLP-1 (avaliada), setmelanotida, Semax</w:t>
            </w:r>
          </w:p>
        </w:tc>
        <w:tc>
          <w:tcPr/>
          <w:p>
            <w:pPr>
              <w:pStyle w:val="Compact"/>
              <w:jc w:val="left"/>
            </w:pPr>
            <w:r>
              <w:t xml:space="preserve">nenhum risco aumentado em 86 ECRs</w:t>
            </w:r>
          </w:p>
        </w:tc>
        <w:tc>
          <w:tcPr/>
          <w:p>
            <w:pPr>
              <w:pStyle w:val="Compact"/>
              <w:jc w:val="left"/>
            </w:pPr>
            <w:r>
              <w:t xml:space="preserve">Semaglutida, Tirzepatida, Setmelanotida</w:t>
            </w:r>
          </w:p>
        </w:tc>
      </w:tr>
      <w:tr>
        <w:tc>
          <w:tcPr/>
          <w:p>
            <w:pPr>
              <w:pStyle w:val="Compact"/>
              <w:jc w:val="left"/>
            </w:pPr>
            <w:r>
              <w:t xml:space="preserve">Pele, pigmento</w:t>
            </w:r>
          </w:p>
        </w:tc>
        <w:tc>
          <w:tcPr/>
          <w:p>
            <w:pPr>
              <w:pStyle w:val="Compact"/>
              <w:jc w:val="left"/>
            </w:pPr>
            <w:r>
              <w:t xml:space="preserve">Melanotan II, setmelanotida, afamelanotida, bremelanotida, LL-37</w:t>
            </w:r>
          </w:p>
        </w:tc>
        <w:tc>
          <w:tcPr/>
          <w:p>
            <w:pPr>
              <w:pStyle w:val="Compact"/>
              <w:jc w:val="left"/>
            </w:pPr>
            <w:r>
              <w:t xml:space="preserve">pigmentação com setmelanotida 62%; relatos de caso de melanoma com Melanotan II</w:t>
            </w:r>
          </w:p>
        </w:tc>
        <w:tc>
          <w:tcPr/>
          <w:p>
            <w:pPr>
              <w:pStyle w:val="Compact"/>
              <w:jc w:val="left"/>
            </w:pPr>
            <w:r>
              <w:t xml:space="preserve">Melanotan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e prolactina; supressão do eixo com administração contínua</w:t>
            </w:r>
          </w:p>
        </w:tc>
        <w:tc>
          <w:tcPr/>
          <w:p>
            <w:pPr>
              <w:pStyle w:val="Compact"/>
              <w:jc w:val="left"/>
            </w:pPr>
            <w:r>
              <w:t xml:space="preserve">Grupo C, Kisspeptina</w:t>
            </w:r>
          </w:p>
        </w:tc>
      </w:tr>
      <w:tr>
        <w:tc>
          <w:tcPr/>
          <w:p>
            <w:pPr>
              <w:pStyle w:val="Compact"/>
              <w:jc w:val="left"/>
            </w:pPr>
            <w:r>
              <w:t xml:space="preserve">Glicemia</w:t>
            </w:r>
          </w:p>
        </w:tc>
        <w:tc>
          <w:tcPr/>
          <w:p>
            <w:pPr>
              <w:pStyle w:val="Compact"/>
              <w:jc w:val="left"/>
            </w:pPr>
            <w:r>
              <w:t xml:space="preserve">mecasermina, pranlintida, GLP-1 com insulina/sulfonilureia; eixo do GH</w:t>
            </w:r>
          </w:p>
        </w:tc>
        <w:tc>
          <w:tcPr/>
          <w:p>
            <w:pPr>
              <w:pStyle w:val="Compact"/>
              <w:jc w:val="left"/>
            </w:pPr>
            <w:r>
              <w:t xml:space="preserve">hipoglicemia em 49% com mecasermina; glicemia mais alta com ibutamoreno</w:t>
            </w:r>
          </w:p>
        </w:tc>
        <w:tc>
          <w:tcPr/>
          <w:p>
            <w:pPr>
              <w:pStyle w:val="Compact"/>
              <w:jc w:val="left"/>
            </w:pPr>
            <w:r>
              <w:t xml:space="preserve">Mecasermina, Pranlintida, Ibutamoreno</w:t>
            </w:r>
          </w:p>
        </w:tc>
      </w:tr>
    </w:tbl>
    <w:bookmarkStart w:id="2613" w:name="trato-gastrointestinal"/>
    <w:p>
      <w:pPr>
        <w:pStyle w:val="Heading3"/>
      </w:pPr>
      <w:r>
        <w:t xml:space="preserve">Trato gastrointestinal</w:t>
      </w:r>
    </w:p>
    <w:p>
      <w:pPr>
        <w:pStyle w:val="FirstParagraph"/>
      </w:pPr>
      <w:r>
        <w:t xml:space="preserve">Nenhum outro sistema de órgãos é afetado com tanta frequência. Náusea, vômitos, diarreia e prisão de ventre são os efeitos colaterais típicos de todos os medicamentos que atuam no receptor de GLP-1 – da exenatida mais antiga, passando pela semaglutida e pela tirzepatida, até os novos agonistas múltiplos. Uma revisão que resumiu 60 metanálises com um total de 1.751 estudos randomizados encontrou justamente aqui os sinais mais seguros: a chance (odds) de náusea com agonistas do receptor de GLP-1 foi cerca de duas vezes e meia maior do que nos grupos de comparação (odds ratio 2,47), a de vômitos quase três vezes (2,78) e a de diarreia cerca de duas vezes maior (1,94)</w:t>
      </w:r>
      <w:r>
        <w:rPr>
          <w:rStyle w:val="FootnoteReference"/>
        </w:rPr>
        <w:footnoteReference w:id="2604"/>
      </w:r>
      <w:r>
        <w:t xml:space="preserve">.</w:t>
      </w:r>
    </w:p>
    <w:p>
      <w:pPr>
        <w:pStyle w:val="BodyText"/>
      </w:pPr>
      <w:r>
        <w:t xml:space="preserve">A frequência das queixas depende muito da substância, da dose e do ritmo de aumento da dose. Uma metanálise em rede de 39 estudos com 33.354 pessoas com sobrepeso sem diabetes encontrou, para todas as substâncias estudadas, um risco aumentado de náusea, mais forte para a orforglipron, seguida de exenatida, tirzepatida, semaglutida e liraglutida</w:t>
      </w:r>
      <w:r>
        <w:rPr>
          <w:rStyle w:val="FootnoteReference"/>
        </w:rPr>
        <w:footnoteReference w:id="2605"/>
      </w:r>
      <w:r>
        <w:t xml:space="preserve">. Nas substâncias com componente adicional de glucagon, as taxas são particularmente altas: no estudo de esteatose hepática com survodutida, 66% tiveram náusea contra 23% com placebo</w:t>
      </w:r>
      <w:r>
        <w:rPr>
          <w:rStyle w:val="FootnoteReference"/>
        </w:rPr>
        <w:footnoteReference w:id="2606"/>
      </w:r>
      <w:r>
        <w:t xml:space="preserve">. Detalhes estão nos capítulos Survodutida, Mazdutida e Retatrutida.</w:t>
      </w:r>
    </w:p>
    <w:p>
      <w:pPr>
        <w:pStyle w:val="BodyText"/>
      </w:pPr>
      <w:r>
        <w:t xml:space="preserve">Também fora do grupo GLP-1 a náusea é frequente. Com bremelanotida, ela ocorreu nos estudos de fase 3 em 40,0% contra 1,3% com placebo e foi o motivo de abandono mais frequente</w:t>
      </w:r>
      <w:r>
        <w:rPr>
          <w:rStyle w:val="FootnoteReference"/>
        </w:rPr>
        <w:footnoteReference w:id="2607"/>
      </w:r>
      <w:r>
        <w:t xml:space="preserve">. Com pranlintida, 63% relataram náusea, com placebo 36%</w:t>
      </w:r>
      <w:r>
        <w:rPr>
          <w:rStyle w:val="FootnoteReference"/>
        </w:rPr>
        <w:footnoteReference w:id="2608"/>
      </w:r>
      <w:r>
        <w:t xml:space="preserve">. Com setmelanotida, foram 36% em uma metanálise de sete estudos</w:t>
      </w:r>
      <w:r>
        <w:rPr>
          <w:rStyle w:val="FootnoteReference"/>
        </w:rPr>
        <w:footnoteReference w:id="2609"/>
      </w:r>
      <w:r>
        <w:t xml:space="preserve">.</w:t>
      </w:r>
    </w:p>
    <w:p>
      <w:pPr>
        <w:pStyle w:val="BodyText"/>
      </w:pPr>
      <w:r>
        <w:t xml:space="preserve">Mais importante do que a frequência da náusea é a questão dos eventos gastrointestinais</w:t>
      </w:r>
      <w:r>
        <w:t xml:space="preserve"> </w:t>
      </w:r>
      <w:r>
        <w:rPr>
          <w:bCs/>
          <w:b/>
        </w:rPr>
        <w:t xml:space="preserve">graves</w:t>
      </w:r>
      <w:r>
        <w:t xml:space="preserve">. Uma análise de banco de dados de 2023 havia relatado, para agonistas do receptor de GLP-1 usados para perda de peso, um risco aumentado de inflamação do pâncreas, obstrução intestinal e paralisia gástrica</w:t>
      </w:r>
      <w:r>
        <w:rPr>
          <w:rStyle w:val="FootnoteReference"/>
        </w:rPr>
        <w:footnoteReference w:id="2610"/>
      </w:r>
      <w:r>
        <w:t xml:space="preserve">. Uma metanálise de 55 estudos controlados por placebo com 106.395 participantes não confirmou isso para a maioria desses eventos. Estavam aumentados os cálculos biliares (risco relativo 1,46; dois casos adicionais por 1.000 tratados) e provavelmente a doença do refluxo (risco relativo 2,19; quatro casos adicionais por 1.000). Para obstrução intestinal, paralisia gástrica, úlceras ou sangramentos não se encontrou diferença clara</w:t>
      </w:r>
      <w:r>
        <w:rPr>
          <w:rStyle w:val="FootnoteReference"/>
        </w:rPr>
        <w:footnoteReference w:id="2611"/>
      </w:r>
      <w:r>
        <w:t xml:space="preserve">. Em um estudo de coorte com dados de rotina, tirzepatida e semaglutida quase não diferiram quanto a eventos gastrointestinais graves</w:t>
      </w:r>
      <w:r>
        <w:rPr>
          <w:rStyle w:val="FootnoteReference"/>
        </w:rPr>
        <w:footnoteReference w:id="2612"/>
      </w:r>
      <w:r>
        <w:t xml:space="preserve">.</w:t>
      </w:r>
    </w:p>
    <w:p>
      <w:pPr>
        <w:pStyle w:val="BodyText"/>
      </w:pPr>
      <w:r>
        <w:t xml:space="preserve">Na prática, é relevante que vômitos e diarreia persistentes podem levar à perda de líquidos. Nos estudos, as queixas ocorrem sobretudo na fase de aumento da dose; por isso, as bulas profissionais dos medicamentos aprovados preveem um procedimento gradual, que deve ser acompanhado por um médico. Com produtos do mercado cinza, cujo conteúdo é desconhecido, não é possível seguir esse esquema de forma confiável (ver capítulo</w:t>
      </w:r>
      <w:r>
        <w:t xml:space="preserve"> </w:t>
      </w:r>
      <w:r>
        <w:t xml:space="preserve">“</w:t>
      </w:r>
      <w:r>
        <w:t xml:space="preserve">Produtos do mercado cinza</w:t>
      </w:r>
      <w:r>
        <w:t xml:space="preserve">”</w:t>
      </w:r>
      <w:r>
        <w:t xml:space="preserve">).</w:t>
      </w:r>
    </w:p>
    <w:bookmarkEnd w:id="2613"/>
    <w:bookmarkStart w:id="2617" w:name="vesícula-biliar-e-pâncreas"/>
    <w:p>
      <w:pPr>
        <w:pStyle w:val="Heading3"/>
      </w:pPr>
      <w:r>
        <w:t xml:space="preserve">Vesícula biliar e pâncreas</w:t>
      </w:r>
    </w:p>
    <w:p>
      <w:pPr>
        <w:pStyle w:val="FirstParagraph"/>
      </w:pPr>
      <w:r>
        <w:t xml:space="preserve">Para a vesícula biliar, o risco já está bem comprovado. Uma metanálise de 76 estudos randomizados com 103.371 participantes encontrou com agonistas do receptor de GLP-1 um risco relativo 37% maior de doenças da vesícula e das vias biliares. Em estudos de perda de peso, o risco relativo, de 2,29, foi bem maior do que em estudos de diabetes</w:t>
      </w:r>
      <w:r>
        <w:rPr>
          <w:rStyle w:val="FootnoteReference"/>
        </w:rPr>
        <w:footnoteReference w:id="2614"/>
      </w:r>
      <w:r>
        <w:t xml:space="preserve">. Parte do efeito deve se dever à própria perda de peso rápida, que reconhecidamente favorece cálculos biliares. No STEP TEENS, 5 de 133 adolescentes com semaglutida tiveram cálculos biliares, com placebo nenhum</w:t>
      </w:r>
      <w:r>
        <w:rPr>
          <w:rStyle w:val="FootnoteReference"/>
        </w:rPr>
        <w:footnoteReference w:id="2615"/>
      </w:r>
      <w:r>
        <w:t xml:space="preserve">.</w:t>
      </w:r>
    </w:p>
    <w:p>
      <w:pPr>
        <w:pStyle w:val="BodyText"/>
      </w:pPr>
      <w:r>
        <w:t xml:space="preserve">No pâncreas, a situação é menos clara. Uma metanálise de 62 estudos com 66.232 participantes encontrou, no geral, um risco levemente aumentado de inflamação do pâncreas (risco relativo 1,44). Quando os estudos foram separados conforme os participantes tomassem ou não outros medicamentos adicionalmente, a diferença deixou de ser estatisticamente significativa em ambos os grupos</w:t>
      </w:r>
      <w:r>
        <w:rPr>
          <w:rStyle w:val="FootnoteReference"/>
        </w:rPr>
        <w:footnoteReference w:id="2616"/>
      </w:r>
      <w:r>
        <w:t xml:space="preserve">. A frequência absoluta é baixa; nos grandes estudos de desfechos, a pancreatite foi rara. As bulas profissionais a listam como efeito colateral raro. Dor forte e persistente na parte superior do abdome, muitas vezes irradiando para as costas, deve sempre ser avaliada por um médico com esses medicamentos. Sobre a questão do câncer de pâncreas, ver o capítulo seguinte.</w:t>
      </w:r>
    </w:p>
    <w:bookmarkEnd w:id="2617"/>
    <w:bookmarkStart w:id="2619" w:name="tireoide"/>
    <w:p>
      <w:pPr>
        <w:pStyle w:val="Heading3"/>
      </w:pPr>
      <w:r>
        <w:t xml:space="preserve">Tireoide</w:t>
      </w:r>
    </w:p>
    <w:p>
      <w:pPr>
        <w:pStyle w:val="FirstParagraph"/>
      </w:pPr>
      <w:r>
        <w:t xml:space="preserve">A preocupação com a tireoide vem de experimentos com animais: em ratos e camundongos, os agonistas do receptor de GLP-1 levaram a proliferações e tumores das células C, que produzem o hormônio calcitonina. Em humanos, os dados são inconsistentes. Um indício direto de estimulação das células C seria um aumento da calcitonina no sangue. No estudo LEADER, com 9.340 participantes, os valores de calcitonina não diferiram entre liraglutida e placebo após 36 meses, e com liraglutida não ocorreu nenhum carcinoma medular de tireoide</w:t>
      </w:r>
      <w:r>
        <w:rPr>
          <w:rStyle w:val="FootnoteReference"/>
        </w:rPr>
        <w:footnoteReference w:id="2618"/>
      </w:r>
      <w:r>
        <w:t xml:space="preserve">. Como a questão do câncer deve ser avaliada no conjunto é tratado no capítulo</w:t>
      </w:r>
      <w:r>
        <w:t xml:space="preserve"> </w:t>
      </w:r>
      <w:r>
        <w:t xml:space="preserve">“</w:t>
      </w:r>
      <w:r>
        <w:t xml:space="preserve">Risco de câncer e sinais de crescimento</w:t>
      </w:r>
      <w:r>
        <w:t xml:space="preserve">”</w:t>
      </w:r>
      <w:r>
        <w:t xml:space="preserve">. Independentemente disso, as bulas profissionais preveem uma contraindicação em caso de carcinoma medular de tireoide na história pessoal ou familiar e na síndrome MEN 2.</w:t>
      </w:r>
    </w:p>
    <w:bookmarkEnd w:id="2619"/>
    <w:bookmarkStart w:id="2627" w:name="olhos-retina-e-nervo-óptico"/>
    <w:p>
      <w:pPr>
        <w:pStyle w:val="Heading3"/>
      </w:pPr>
      <w:r>
        <w:t xml:space="preserve">Olhos: retina e nervo óptico</w:t>
      </w:r>
    </w:p>
    <w:p>
      <w:pPr>
        <w:pStyle w:val="FirstParagraph"/>
      </w:pPr>
      <w:r>
        <w:t xml:space="preserve">Aqui há duas questões diferentes.</w:t>
      </w:r>
    </w:p>
    <w:p>
      <w:pPr>
        <w:pStyle w:val="BodyText"/>
      </w:pPr>
      <w:r>
        <w:rPr>
          <w:bCs/>
          <w:b/>
        </w:rPr>
        <w:t xml:space="preserve">Retinopatia diabética.</w:t>
      </w:r>
      <w:r>
        <w:t xml:space="preserve"> </w:t>
      </w:r>
      <w:r>
        <w:t xml:space="preserve">No SUSTAIN 6, um estudo cardiovascular com 3.297 pessoas com diabetes tipo 2, complicações de uma retinopatia diabética ocorreram com mais frequência com semaglutida do que com placebo (hazard ratio 1,76)</w:t>
      </w:r>
      <w:r>
        <w:rPr>
          <w:rStyle w:val="FootnoteReference"/>
        </w:rPr>
        <w:footnoteReference w:id="2620"/>
      </w:r>
      <w:r>
        <w:t xml:space="preserve">. Supõe-se que uma redução muito rápida da glicemia piore temporariamente uma retinopatia preexistente – um fenômeno também conhecido com a insulina. Uma metanálise de 78 estudos com 73.640 participantes não encontrou, no geral, risco aumentado de retinopatia diabética (odds ratio 1,04) ou de doenças oculares em geral</w:t>
      </w:r>
      <w:r>
        <w:rPr>
          <w:rStyle w:val="FootnoteReference"/>
        </w:rPr>
        <w:footnoteReference w:id="2621"/>
      </w:r>
      <w:r>
        <w:t xml:space="preserve">. Para pessoas com retinopatia conhecida, o acompanhamento oftalmológico continua sendo recomendável mesmo assim.</w:t>
      </w:r>
    </w:p>
    <w:p>
      <w:pPr>
        <w:pStyle w:val="BodyText"/>
      </w:pPr>
      <w:r>
        <w:rPr>
          <w:bCs/>
          <w:b/>
        </w:rPr>
        <w:t xml:space="preserve">NAION.</w:t>
      </w:r>
      <w:r>
        <w:t xml:space="preserve"> </w:t>
      </w:r>
      <w:r>
        <w:t xml:space="preserve">A neuropatia óptica isquêmica anterior não arterítica é um distúrbio circulatório na cabeça do nervo óptico que, em geral sem dor, leva à perda súbita da visão em um olho. Desde um primeiro estudo de uma clínica neuro-oftalmológica</w:t>
      </w:r>
      <w:r>
        <w:rPr>
          <w:rStyle w:val="FootnoteReference"/>
        </w:rPr>
        <w:footnoteReference w:id="2622"/>
      </w:r>
      <w:r>
        <w:t xml:space="preserve">, muitas outras investigações foram publicadas, com resultados diferentes:</w:t>
      </w:r>
    </w:p>
    <w:p>
      <w:pPr>
        <w:numPr>
          <w:ilvl w:val="0"/>
          <w:numId w:val="1336"/>
        </w:numPr>
        <w:pStyle w:val="Compact"/>
      </w:pPr>
      <w:r>
        <w:t xml:space="preserve">O estudo de registros dinamarquês-norueguês encontrou um risco relativo aumentado (hazard ratio 2,81), em termos absolutos cerca de 1,4 caso adicional por 10.000 pessoas-ano</w:t>
      </w:r>
      <w:r>
        <w:rPr>
          <w:rStyle w:val="FootnoteReference"/>
        </w:rPr>
        <w:footnoteReference w:id="2623"/>
      </w:r>
      <w:r>
        <w:t xml:space="preserve">.</w:t>
      </w:r>
    </w:p>
    <w:p>
      <w:pPr>
        <w:numPr>
          <w:ilvl w:val="0"/>
          <w:numId w:val="1336"/>
        </w:numPr>
        <w:pStyle w:val="Compact"/>
      </w:pPr>
      <w:r>
        <w:t xml:space="preserve">Em uma coorte norte-americana com 159.398 pessoas com diabetes tipo 2, adoeceram em dois anos 0,04% com semaglutida ou tirzepatida e 0,02% no grupo de comparação (hazard ratio 1,76)</w:t>
      </w:r>
      <w:r>
        <w:rPr>
          <w:rStyle w:val="FootnoteReference"/>
        </w:rPr>
        <w:footnoteReference w:id="2624"/>
      </w:r>
      <w:r>
        <w:t xml:space="preserve">.</w:t>
      </w:r>
    </w:p>
    <w:p>
      <w:pPr>
        <w:numPr>
          <w:ilvl w:val="0"/>
          <w:numId w:val="1336"/>
        </w:numPr>
        <w:pStyle w:val="Compact"/>
      </w:pPr>
      <w:r>
        <w:t xml:space="preserve">Um estudo internacional de banco de dados com quase 300.000 pessoas não encontrou relação comprovada</w:t>
      </w:r>
      <w:r>
        <w:rPr>
          <w:rStyle w:val="FootnoteReference"/>
        </w:rPr>
        <w:footnoteReference w:id="2625"/>
      </w:r>
      <w:r>
        <w:t xml:space="preserve">.</w:t>
      </w:r>
    </w:p>
    <w:p>
      <w:pPr>
        <w:numPr>
          <w:ilvl w:val="0"/>
          <w:numId w:val="1336"/>
        </w:numPr>
        <w:pStyle w:val="Compact"/>
      </w:pPr>
      <w:r>
        <w:t xml:space="preserve">Uma metanálise viu o sinal apenas em estudos observacionais no diabetes, não em estudos randomizados e não na obesidade</w:t>
      </w:r>
      <w:r>
        <w:rPr>
          <w:rStyle w:val="FootnoteReference"/>
        </w:rPr>
        <w:footnoteReference w:id="2626"/>
      </w:r>
      <w:r>
        <w:t xml:space="preserve">.</w:t>
      </w:r>
    </w:p>
    <w:p>
      <w:pPr>
        <w:pStyle w:val="FirstParagraph"/>
      </w:pPr>
      <w:r>
        <w:t xml:space="preserve">Em resumo: um pequeno aumento do risco é possível, a frequência absoluta é muito baixa. A Agência Europeia de Medicamentos incluiu em 2025 a NAION como efeito colateral muito raro da semaglutida na bula profissional. Perda súbita da visão é, em qualquer caso, uma emergência. Detalhes no capítulo Semaglutida.</w:t>
      </w:r>
    </w:p>
    <w:bookmarkEnd w:id="2627"/>
    <w:bookmarkStart w:id="2636" w:name="Xc3f402f177e40206e559dff14a92db69e812ccc"/>
    <w:p>
      <w:pPr>
        <w:pStyle w:val="Heading3"/>
      </w:pPr>
      <w:r>
        <w:t xml:space="preserve">Sistema cardiovascular e retenção hídrica</w:t>
      </w:r>
    </w:p>
    <w:p>
      <w:pPr>
        <w:pStyle w:val="FirstParagraph"/>
      </w:pPr>
      <w:r>
        <w:t xml:space="preserve">Nos medicamentos de GLP-1, segundo o conhecimento atual, predomina o benefício para o coração e os vasos: no SUSTAIN 6, eventos cardiovasculares graves foram mais raros com semaglutida (6,6% contra 8,9%)</w:t>
      </w:r>
      <w:r>
        <w:rPr>
          <w:rStyle w:val="FootnoteReference"/>
        </w:rPr>
        <w:footnoteReference w:id="2628"/>
      </w:r>
      <w:r>
        <w:t xml:space="preserve">. Um leve aumento da frequência cardíaca em repouso, porém, é uma característica da classe e, nos novos agonistas múltiplos, às vezes mais pronunciado. Com retatrutida, no TRIUMPH-2, ocorreu além disso pressão arterial baixa em 1 a 6%, com placebo em menos de 1%</w:t>
      </w:r>
      <w:r>
        <w:rPr>
          <w:rStyle w:val="FootnoteReference"/>
        </w:rPr>
        <w:footnoteReference w:id="2629"/>
      </w:r>
      <w:r>
        <w:t xml:space="preserve">. Ver capítulos Retatrutida e Survodutida.</w:t>
      </w:r>
    </w:p>
    <w:p>
      <w:pPr>
        <w:pStyle w:val="BodyText"/>
      </w:pPr>
      <w:r>
        <w:t xml:space="preserve">Um padrão completamente diferente é mostrado pelo</w:t>
      </w:r>
      <w:r>
        <w:t xml:space="preserve"> </w:t>
      </w:r>
      <w:r>
        <w:rPr>
          <w:bCs/>
          <w:b/>
        </w:rPr>
        <w:t xml:space="preserve">eixo do hormônio do crescimento</w:t>
      </w:r>
      <w:r>
        <w:t xml:space="preserve">. O hormônio do crescimento retém água no corpo. Em uma revisão de estudos com idosos saudáveis, ocorreram com hormônio do crescimento com mais frequência inchaço dos tecidos, dores articulares, síndrome do túnel do carpo e aumento das mamas em homens</w:t>
      </w:r>
      <w:r>
        <w:rPr>
          <w:rStyle w:val="FootnoteReference"/>
        </w:rPr>
        <w:footnoteReference w:id="2630"/>
      </w:r>
      <w:r>
        <w:t xml:space="preserve">. Para os liberadores, que estimulam a secreção endógena, é de esperar um padrão semelhante. Ele ficou mais evidente com o ibutamoreno oral: um estudo em idosos após fratura de quadril foi encerrado antecipadamente devido a um sinal de insuficiência cardíaca</w:t>
      </w:r>
      <w:r>
        <w:rPr>
          <w:rStyle w:val="FootnoteReference"/>
        </w:rPr>
        <w:footnoteReference w:id="2631"/>
      </w:r>
      <w:r>
        <w:t xml:space="preserve">. Um coração já enfraquecido lida mal com líquido adicional.</w:t>
      </w:r>
    </w:p>
    <w:p>
      <w:pPr>
        <w:pStyle w:val="BodyText"/>
      </w:pPr>
      <w:r>
        <w:t xml:space="preserve">Outros achados isolados:</w:t>
      </w:r>
    </w:p>
    <w:p>
      <w:pPr>
        <w:numPr>
          <w:ilvl w:val="0"/>
          <w:numId w:val="1337"/>
        </w:numPr>
        <w:pStyle w:val="Compact"/>
      </w:pPr>
      <w:r>
        <w:rPr>
          <w:bCs/>
          <w:b/>
        </w:rPr>
        <w:t xml:space="preserve">Bremelanotida</w:t>
      </w:r>
      <w:r>
        <w:t xml:space="preserve"> </w:t>
      </w:r>
      <w:r>
        <w:t xml:space="preserve">aumentou temporariamente a pressão arterial sistólica após a administração em 2,4 a 3,2 mmHg; os picos duraram em geral menos de 15 minutos, e ao mesmo tempo a frequência cardíaca caiu</w:t>
      </w:r>
      <w:r>
        <w:rPr>
          <w:rStyle w:val="FootnoteReference"/>
        </w:rPr>
        <w:footnoteReference w:id="2632"/>
      </w:r>
      <w:r>
        <w:t xml:space="preserve">.</w:t>
      </w:r>
    </w:p>
    <w:p>
      <w:pPr>
        <w:numPr>
          <w:ilvl w:val="0"/>
          <w:numId w:val="1337"/>
        </w:numPr>
        <w:pStyle w:val="Compact"/>
      </w:pPr>
      <w:r>
        <w:rPr>
          <w:bCs/>
          <w:b/>
        </w:rPr>
        <w:t xml:space="preserve">Macimorelina</w:t>
      </w:r>
      <w:r>
        <w:t xml:space="preserve"> </w:t>
      </w:r>
      <w:r>
        <w:t xml:space="preserve">prolongou, em uma dose única deliberadamente excessiva, o intervalo QT no ECG em média em até 9,61 milissegundos</w:t>
      </w:r>
      <w:r>
        <w:rPr>
          <w:rStyle w:val="FootnoteReference"/>
        </w:rPr>
        <w:footnoteReference w:id="2633"/>
      </w:r>
      <w:r>
        <w:t xml:space="preserve"> </w:t>
      </w:r>
      <w:r>
        <w:t xml:space="preserve">– relevante para pessoas que tomam outros medicamentos que prolongam o QT.</w:t>
      </w:r>
    </w:p>
    <w:p>
      <w:pPr>
        <w:numPr>
          <w:ilvl w:val="0"/>
          <w:numId w:val="1337"/>
        </w:numPr>
        <w:pStyle w:val="Compact"/>
      </w:pPr>
      <w:r>
        <w:rPr>
          <w:bCs/>
          <w:b/>
        </w:rPr>
        <w:t xml:space="preserve">Ocitocina</w:t>
      </w:r>
      <w:r>
        <w:t xml:space="preserve"> </w:t>
      </w:r>
      <w:r>
        <w:t xml:space="preserve">é quimicamente semelhante à vasopressina, hormônio do equilíbrio hídrico. Está descrito um caso de aumento da pressão intracraniana com spray nasal de ocitocina associado a uma ingestão de líquidos muito alta</w:t>
      </w:r>
      <w:r>
        <w:rPr>
          <w:rStyle w:val="FootnoteReference"/>
        </w:rPr>
        <w:footnoteReference w:id="2634"/>
      </w:r>
      <w:r>
        <w:t xml:space="preserve">.</w:t>
      </w:r>
    </w:p>
    <w:p>
      <w:pPr>
        <w:numPr>
          <w:ilvl w:val="0"/>
          <w:numId w:val="1337"/>
        </w:numPr>
        <w:pStyle w:val="Compact"/>
      </w:pPr>
      <w:r>
        <w:rPr>
          <w:bCs/>
          <w:b/>
        </w:rPr>
        <w:t xml:space="preserve">Melanotan II:</w:t>
      </w:r>
      <w:r>
        <w:t xml:space="preserve"> </w:t>
      </w:r>
      <w:r>
        <w:t xml:space="preserve">relatos de caso de rabdomiólise com lesão renal</w:t>
      </w:r>
      <w:r>
        <w:rPr>
          <w:rStyle w:val="FootnoteReference"/>
        </w:rPr>
        <w:footnoteReference w:id="2635"/>
      </w:r>
      <w:r>
        <w:t xml:space="preserve"> </w:t>
      </w:r>
      <w:r>
        <w:t xml:space="preserve">e de um infarto renal; ver capítulo Melanotan II.</w:t>
      </w:r>
    </w:p>
    <w:bookmarkEnd w:id="2636"/>
    <w:bookmarkStart w:id="2641" w:name="psique-e-suicidalidade"/>
    <w:p>
      <w:pPr>
        <w:pStyle w:val="Heading3"/>
      </w:pPr>
      <w:r>
        <w:t xml:space="preserve">Psique e suicidalidade</w:t>
      </w:r>
    </w:p>
    <w:p>
      <w:pPr>
        <w:pStyle w:val="FirstParagraph"/>
      </w:pPr>
      <w:r>
        <w:t xml:space="preserve">Em 2023, notificações isoladas de pensamentos suicidas com semaglutida e liraglutida desencadearam avaliações regulatórias na Europa e nos EUA. Os dados são hoje bem melhores e, em sua maioria, tranquilizadores. Uma metanálise de 86 estudos randomizados com 133.378 participantes não encontrou, com agonistas do receptor de GLP-1, risco aumentado de doenças psiquiátricas em geral (risco relativo 0,96), de depressão (0,88), de suicídio (0,90) ou de transtornos de ansiedade (0,92)</w:t>
      </w:r>
      <w:r>
        <w:rPr>
          <w:rStyle w:val="FootnoteReference"/>
        </w:rPr>
        <w:footnoteReference w:id="2637"/>
      </w:r>
      <w:r>
        <w:t xml:space="preserve">. Em um estudo de registros escandinavo com 124.517 pessoas em uso de agonistas do receptor de GLP-1, o risco de suicídio não foi maior em comparação com outro antidiabético; o limite superior do intervalo de confiança correspondia a no máximo 0,16 morte adicional por 1.000 pessoas-ano</w:t>
      </w:r>
      <w:r>
        <w:rPr>
          <w:rStyle w:val="FootnoteReference"/>
        </w:rPr>
        <w:footnoteReference w:id="2638"/>
      </w:r>
      <w:r>
        <w:t xml:space="preserve">. Nos estudos SURMOUNT, 0,6% relataram pensamentos suicidas tanto com tirzepatida quanto com placebo</w:t>
      </w:r>
      <w:r>
        <w:rPr>
          <w:rStyle w:val="FootnoteReference"/>
        </w:rPr>
        <w:footnoteReference w:id="2639"/>
      </w:r>
      <w:r>
        <w:t xml:space="preserve">. Também em adolescentes uma metanálise não encontrou aumento de comportamento suicida ou depressão</w:t>
      </w:r>
      <w:r>
        <w:rPr>
          <w:rStyle w:val="FootnoteReference"/>
        </w:rPr>
        <w:footnoteReference w:id="2640"/>
      </w:r>
      <w:r>
        <w:t xml:space="preserve">.</w:t>
      </w:r>
    </w:p>
    <w:p>
      <w:pPr>
        <w:pStyle w:val="BodyText"/>
      </w:pPr>
      <w:r>
        <w:t xml:space="preserve">Resta uma ressalva: pessoas com doenças psiquiátricas graves foram excluídas de muitos estudos. Para elas e para pessoas com transtornos alimentares, valem considerações próprias (ver capítulo</w:t>
      </w:r>
      <w:r>
        <w:t xml:space="preserve"> </w:t>
      </w:r>
      <w:r>
        <w:t xml:space="preserve">“</w:t>
      </w:r>
      <w:r>
        <w:t xml:space="preserve">Interações e grupos de risco especiais</w:t>
      </w:r>
      <w:r>
        <w:t xml:space="preserve">”</w:t>
      </w:r>
      <w:r>
        <w:t xml:space="preserve">).</w:t>
      </w:r>
    </w:p>
    <w:p>
      <w:pPr>
        <w:pStyle w:val="BodyText"/>
      </w:pPr>
      <w:r>
        <w:t xml:space="preserve">Outros peptídeos agem de forma mais direta no cérebro. A bula profissional da setmelanotida contém advertências sobre depressão e pensamentos suicidas (capítulo Setmelanotida). Para o Semax, está descrita em pessoas isoladas com cérebro previamente lesionado uma alteração de EEG semelhante a crises (capítulo Semax). Para a maioria dos</w:t>
      </w:r>
      <w:r>
        <w:t xml:space="preserve"> </w:t>
      </w:r>
      <w:r>
        <w:t xml:space="preserve">“</w:t>
      </w:r>
      <w:r>
        <w:t xml:space="preserve">peptídeos nootrópicos</w:t>
      </w:r>
      <w:r>
        <w:t xml:space="preserve">”</w:t>
      </w:r>
      <w:r>
        <w:t xml:space="preserve"> </w:t>
      </w:r>
      <w:r>
        <w:t xml:space="preserve">do grupo D, simplesmente não há dados sistemáticos sobre efeitos colaterais psíquicos.</w:t>
      </w:r>
    </w:p>
    <w:bookmarkEnd w:id="2641"/>
    <w:bookmarkStart w:id="2649" w:name="pele-e-pigmento"/>
    <w:p>
      <w:pPr>
        <w:pStyle w:val="Heading3"/>
      </w:pPr>
      <w:r>
        <w:t xml:space="preserve">Pele e pigmento</w:t>
      </w:r>
    </w:p>
    <w:p>
      <w:pPr>
        <w:pStyle w:val="FirstParagraph"/>
      </w:pPr>
      <w:r>
        <w:t xml:space="preserve">As alterações cutâneas mais marcantes são causadas por peptídeos que agem no</w:t>
      </w:r>
      <w:r>
        <w:t xml:space="preserve"> </w:t>
      </w:r>
      <w:r>
        <w:rPr>
          <w:bCs/>
          <w:b/>
        </w:rPr>
        <w:t xml:space="preserve">receptor de melanocortina 1</w:t>
      </w:r>
      <w:r>
        <w:t xml:space="preserve"> </w:t>
      </w:r>
      <w:r>
        <w:t xml:space="preserve">das células pigmentares. Com a setmelanotida, que na verdade deveria atuar no receptor de melanocortina 4 no cérebro, a pele escureceu em 62% dos tratados em uma metanálise</w:t>
      </w:r>
      <w:r>
        <w:rPr>
          <w:rStyle w:val="FootnoteReference"/>
        </w:rPr>
        <w:footnoteReference w:id="2642"/>
      </w:r>
      <w:r>
        <w:t xml:space="preserve">. Em um acompanhamento de até 46 meses, lábios e pintas também escureceram, e cabelos ruivos ficaram castanhos; alterações cutâneas malignas não ocorreram</w:t>
      </w:r>
      <w:r>
        <w:rPr>
          <w:rStyle w:val="FootnoteReference"/>
        </w:rPr>
        <w:footnoteReference w:id="2643"/>
      </w:r>
      <w:r>
        <w:t xml:space="preserve">. A bremelanotida causou, com administração em até 16 dias consecutivos, manchas escuras circunscritas em mais de um terço dos participantes</w:t>
      </w:r>
      <w:r>
        <w:rPr>
          <w:rStyle w:val="FootnoteReference"/>
        </w:rPr>
        <w:footnoteReference w:id="2644"/>
      </w:r>
      <w:r>
        <w:t xml:space="preserve">.</w:t>
      </w:r>
    </w:p>
    <w:p>
      <w:pPr>
        <w:pStyle w:val="BodyText"/>
      </w:pPr>
      <w:r>
        <w:t xml:space="preserve">Com o Melanotan II, não aprovado, somam-se pintas novas, às vezes atípicas. Uma revisão de todos os casos publicados de pintas de aparecimento súbito, com 179 afetados, citou o melanotan entre os desencadeantes; 16% de todos os casos tinham pelo menos uma pinta histologicamente atípica (displásica)</w:t>
      </w:r>
      <w:r>
        <w:rPr>
          <w:rStyle w:val="FootnoteReference"/>
        </w:rPr>
        <w:footnoteReference w:id="2645"/>
      </w:r>
      <w:r>
        <w:t xml:space="preserve">. Se disso decorre um risco maior de melanoma é tratado no próximo capítulo.</w:t>
      </w:r>
    </w:p>
    <w:p>
      <w:pPr>
        <w:pStyle w:val="BodyText"/>
      </w:pPr>
      <w:r>
        <w:t xml:space="preserve">Nos medicamentos de GLP-1, outros achados cutâneos estão em primeiro plano. Uma revisão sistemática cita reações no local da injeção com mais frequência com tirzepatida (2 a 7%) e sensações anormais na pele (disestesia) sobretudo com semaglutida: com doses padrão em cerca de 5%, com as altas doses para obesidade em até 20%</w:t>
      </w:r>
      <w:r>
        <w:rPr>
          <w:rStyle w:val="FootnoteReference"/>
        </w:rPr>
        <w:footnoteReference w:id="2646"/>
      </w:r>
      <w:r>
        <w:t xml:space="preserve">. Com retatrutida, no TRIUMPH-2, a disestesia ocorreu de forma dependente da dose em 4 a 7%, com placebo em 1%</w:t>
      </w:r>
      <w:r>
        <w:rPr>
          <w:rStyle w:val="FootnoteReference"/>
        </w:rPr>
        <w:footnoteReference w:id="2647"/>
      </w:r>
      <w:r>
        <w:t xml:space="preserve">. Reações no local da injeção e alergias são resumidas no capítulo</w:t>
      </w:r>
      <w:r>
        <w:t xml:space="preserve"> </w:t>
      </w:r>
      <w:r>
        <w:t xml:space="preserve">“</w:t>
      </w:r>
      <w:r>
        <w:t xml:space="preserve">Reações imunológicas e anticorpos</w:t>
      </w:r>
      <w:r>
        <w:t xml:space="preserve">”</w:t>
      </w:r>
      <w:r>
        <w:t xml:space="preserve">.</w:t>
      </w:r>
    </w:p>
    <w:p>
      <w:pPr>
        <w:pStyle w:val="BodyText"/>
      </w:pPr>
      <w:r>
        <w:t xml:space="preserve">Um caso especial é o LL-37: após injeções em metástases cutâneas, surgiram em uma paciente numerosas lesões de pele semelhantes a verrugas, inicialmente tomadas por câncer, que regrediram após a suspensão</w:t>
      </w:r>
      <w:r>
        <w:rPr>
          <w:rStyle w:val="FootnoteReference"/>
        </w:rPr>
        <w:footnoteReference w:id="2648"/>
      </w:r>
      <w:r>
        <w:t xml:space="preserve">. Sobre injeções de glutationa para clareamento da pele, autoridades emitiram alertas várias vezes (capítulo Glutationa).</w:t>
      </w:r>
    </w:p>
    <w:bookmarkEnd w:id="2649"/>
    <w:bookmarkStart w:id="2653" w:name="sistema-hormonal"/>
    <w:p>
      <w:pPr>
        <w:pStyle w:val="Heading3"/>
      </w:pPr>
      <w:r>
        <w:t xml:space="preserve">Sistema hormonal</w:t>
      </w:r>
    </w:p>
    <w:p>
      <w:pPr>
        <w:pStyle w:val="FirstParagraph"/>
      </w:pPr>
      <w:r>
        <w:t xml:space="preserve">Muitos peptídeos são eles próprios hormônios ou imitam hormônios. Não surpreende, portanto, que interfiram em circuitos de regulação que vão além do alvo propriamente dito.</w:t>
      </w:r>
    </w:p>
    <w:p>
      <w:pPr>
        <w:numPr>
          <w:ilvl w:val="0"/>
          <w:numId w:val="1338"/>
        </w:numPr>
        <w:pStyle w:val="Compact"/>
      </w:pPr>
      <w:r>
        <w:rPr>
          <w:bCs/>
          <w:b/>
        </w:rPr>
        <w:t xml:space="preserve">Hormônios do estresse e prolactina:</w:t>
      </w:r>
      <w:r>
        <w:t xml:space="preserve"> </w:t>
      </w:r>
      <w:r>
        <w:t xml:space="preserve">os miméticos da grelina GHRP-2, GHRP-6, hexarelina e macimorelina liberam, além do hormônio do crescimento, também ACTH e cortisol, e alguns adicionalmente prolactina. No GHRP-2, esse efeito é tão confiável que foi estudado como teste do eixo adrenal</w:t>
      </w:r>
      <w:r>
        <w:rPr>
          <w:rStyle w:val="FootnoteReference"/>
        </w:rPr>
        <w:footnoteReference w:id="2650"/>
      </w:r>
      <w:r>
        <w:t xml:space="preserve">. O que uma estimulação repetida ao longo de meses provoca não foi investigado (capítulos GHRP-2, GHRP-6, Hexarelina).</w:t>
      </w:r>
    </w:p>
    <w:p>
      <w:pPr>
        <w:numPr>
          <w:ilvl w:val="0"/>
          <w:numId w:val="1338"/>
        </w:numPr>
        <w:pStyle w:val="Compact"/>
      </w:pPr>
      <w:r>
        <w:rPr>
          <w:bCs/>
          <w:b/>
        </w:rPr>
        <w:t xml:space="preserve">Supressão em vez de estimulação:</w:t>
      </w:r>
      <w:r>
        <w:t xml:space="preserve"> </w:t>
      </w:r>
      <w:r>
        <w:t xml:space="preserve">hormônios que o corpo secreta em pulsos frequentemente têm efeito oposto quando administrados continuamente. Com o análogo de kisspeptina TAK-448, a testosterona de homens saudáveis caiu até a faixa de castração durante uma infusão contínua de 14 dias</w:t>
      </w:r>
      <w:r>
        <w:rPr>
          <w:rStyle w:val="FootnoteReference"/>
        </w:rPr>
        <w:footnoteReference w:id="2651"/>
      </w:r>
      <w:r>
        <w:t xml:space="preserve">. O mesmo princípio vale para a gonadorelina quando não é administrada no ritmo certo (capítulos Kisspeptina, Gonadorelina).</w:t>
      </w:r>
    </w:p>
    <w:p>
      <w:pPr>
        <w:numPr>
          <w:ilvl w:val="0"/>
          <w:numId w:val="1338"/>
        </w:numPr>
        <w:pStyle w:val="Compact"/>
      </w:pPr>
      <w:r>
        <w:rPr>
          <w:bCs/>
          <w:b/>
        </w:rPr>
        <w:t xml:space="preserve">Aumento das mamas em homens</w:t>
      </w:r>
      <w:r>
        <w:t xml:space="preserve"> </w:t>
      </w:r>
      <w:r>
        <w:t xml:space="preserve">é uma consequência conhecida de um efeito aumentado do hormônio do crescimento</w:t>
      </w:r>
      <w:r>
        <w:rPr>
          <w:rStyle w:val="FootnoteReference"/>
        </w:rPr>
        <w:footnoteReference w:id="2652"/>
      </w:r>
      <w:r>
        <w:t xml:space="preserve">.</w:t>
      </w:r>
    </w:p>
    <w:p>
      <w:pPr>
        <w:numPr>
          <w:ilvl w:val="0"/>
          <w:numId w:val="1338"/>
        </w:numPr>
        <w:pStyle w:val="Compact"/>
      </w:pPr>
      <w:r>
        <w:rPr>
          <w:bCs/>
          <w:b/>
        </w:rPr>
        <w:t xml:space="preserve">Função sexual:</w:t>
      </w:r>
      <w:r>
        <w:t xml:space="preserve"> </w:t>
      </w:r>
      <w:r>
        <w:t xml:space="preserve">agonistas de melanocortina podem provocar ereções espontâneas; com Melanotan II estão descritos casos de priapismo, uma ereção prolongada e dolorosa (capítulos Melanotan II, Setmelanotida).</w:t>
      </w:r>
    </w:p>
    <w:bookmarkEnd w:id="2653"/>
    <w:bookmarkStart w:id="2659" w:name="glicemia"/>
    <w:p>
      <w:pPr>
        <w:pStyle w:val="Heading3"/>
      </w:pPr>
      <w:r>
        <w:t xml:space="preserve">Glicemia</w:t>
      </w:r>
    </w:p>
    <w:p>
      <w:pPr>
        <w:pStyle w:val="FirstParagraph"/>
      </w:pPr>
      <w:r>
        <w:t xml:space="preserve">Peptídeos podem deslocar a glicemia nas duas direções – e ambas as direções são relevantes.</w:t>
      </w:r>
    </w:p>
    <w:p>
      <w:pPr>
        <w:pStyle w:val="BodyText"/>
      </w:pPr>
      <w:r>
        <w:rPr>
          <w:bCs/>
          <w:b/>
        </w:rPr>
        <w:t xml:space="preserve">Hipoglicemia.</w:t>
      </w:r>
      <w:r>
        <w:t xml:space="preserve"> </w:t>
      </w:r>
      <w:r>
        <w:t xml:space="preserve">O maior risco é o da mecasermina, ou seja, IGF-1 como medicamento: em um estudo de longo prazo com 76 crianças, a hipoglicemia foi, com 49%, o efeito colateral mais frequente</w:t>
      </w:r>
      <w:r>
        <w:rPr>
          <w:rStyle w:val="FootnoteReference"/>
        </w:rPr>
        <w:footnoteReference w:id="2654"/>
      </w:r>
      <w:r>
        <w:t xml:space="preserve">. Para o preparado de laboratório IGF-1 LR3, um risco semelhante ou maior é biologicamente plausível, mas nunca foi medido (capítulo IGF-1 LR3). A pranlintida intensifica o efeito da insulina injetada ao mesmo tempo; hipoglicemias graves foram mais frequentes do que com placebo em um estudo (0,57 contra 0,30 evento por paciente-ano)</w:t>
      </w:r>
      <w:r>
        <w:rPr>
          <w:rStyle w:val="FootnoteReference"/>
        </w:rPr>
        <w:footnoteReference w:id="2655"/>
      </w:r>
      <w:r>
        <w:t xml:space="preserve">. Medicamentos de GLP-1 isoladamente quase não baixam a glicemia até a faixa perigosa, porque seu efeito está acoplado à glicemia. Em combinação com sulfonilureias ou insulina, porém, o risco aumenta: com exenatida em associação a metformina e uma sulfonilureia, ocorreram hipoglicemias leves a moderadas em 28% e 19%, respectivamente, com placebo em 13%</w:t>
      </w:r>
      <w:r>
        <w:rPr>
          <w:rStyle w:val="FootnoteReference"/>
        </w:rPr>
        <w:footnoteReference w:id="2656"/>
      </w:r>
      <w:r>
        <w:t xml:space="preserve">. Mais sobre isso no capítulo</w:t>
      </w:r>
      <w:r>
        <w:t xml:space="preserve"> </w:t>
      </w:r>
      <w:r>
        <w:t xml:space="preserve">“</w:t>
      </w:r>
      <w:r>
        <w:t xml:space="preserve">Interações e grupos de risco especiais</w:t>
      </w:r>
      <w:r>
        <w:t xml:space="preserve">”</w:t>
      </w:r>
      <w:r>
        <w:t xml:space="preserve">.</w:t>
      </w:r>
    </w:p>
    <w:p>
      <w:pPr>
        <w:pStyle w:val="BodyText"/>
      </w:pPr>
      <w:r>
        <w:t xml:space="preserve">Uma hipoglicemia grave após uma suposta</w:t>
      </w:r>
      <w:r>
        <w:t xml:space="preserve"> </w:t>
      </w:r>
      <w:r>
        <w:t xml:space="preserve">“</w:t>
      </w:r>
      <w:r>
        <w:t xml:space="preserve">injeção para emagrecer</w:t>
      </w:r>
      <w:r>
        <w:t xml:space="preserve">”</w:t>
      </w:r>
      <w:r>
        <w:t xml:space="preserve"> </w:t>
      </w:r>
      <w:r>
        <w:t xml:space="preserve">em uma pessoa sem diabetes é um sinal de alerta de falsificação com insulina. Os casos estão descritos na Parte I, no capítulo</w:t>
      </w:r>
      <w:r>
        <w:t xml:space="preserve"> </w:t>
      </w:r>
      <w:r>
        <w:t xml:space="preserve">“</w:t>
      </w:r>
      <w:r>
        <w:t xml:space="preserve">O mercado cinza</w:t>
      </w:r>
      <w:r>
        <w:t xml:space="preserve">”</w:t>
      </w:r>
      <w:r>
        <w:t xml:space="preserve">.</w:t>
      </w:r>
    </w:p>
    <w:p>
      <w:pPr>
        <w:pStyle w:val="BodyText"/>
      </w:pPr>
      <w:r>
        <w:rPr>
          <w:bCs/>
          <w:b/>
        </w:rPr>
        <w:t xml:space="preserve">Glicemia mais alta.</w:t>
      </w:r>
      <w:r>
        <w:t xml:space="preserve"> </w:t>
      </w:r>
      <w:r>
        <w:t xml:space="preserve">O hormônio do crescimento age em oposição à insulina. Com ibutamoreno, a glicemia de jejum de idosos saudáveis aumentou em média 0,3 mmol/l, e o peso corporal 2,7 kg contra 0,8 kg com placebo</w:t>
      </w:r>
      <w:r>
        <w:rPr>
          <w:rStyle w:val="FootnoteReference"/>
        </w:rPr>
        <w:footnoteReference w:id="2657"/>
      </w:r>
      <w:r>
        <w:t xml:space="preserve">. Na revisão sobre hormônio do crescimento em idosos, ocorreram um pouco mais frequentemente um diabetes novo e uma glicemia de jejum alterada</w:t>
      </w:r>
      <w:r>
        <w:rPr>
          <w:rStyle w:val="FootnoteReference"/>
        </w:rPr>
        <w:footnoteReference w:id="2658"/>
      </w:r>
      <w:r>
        <w:t xml:space="preserve">. Com tesamorelina, a glicemia de jejum aumentou temporariamente nas primeiras semanas (capítulo Tesamorelina). Para pessoas com diabetes ou pré-diabetes, o eixo do hormônio do crescimento é, por isso, particularmente delicado.</w:t>
      </w:r>
    </w:p>
    <w:bookmarkEnd w:id="2659"/>
    <w:bookmarkStart w:id="2660" w:name="o-que-resulta-da-comparação"/>
    <w:p>
      <w:pPr>
        <w:pStyle w:val="Heading3"/>
      </w:pPr>
      <w:r>
        <w:t xml:space="preserve">O que resulta da comparação</w:t>
      </w:r>
    </w:p>
    <w:p>
      <w:pPr>
        <w:pStyle w:val="FirstParagraph"/>
      </w:pPr>
      <w:r>
        <w:t xml:space="preserve">Em todos os sistemas de órgãos, aparecem três padrões.</w:t>
      </w:r>
    </w:p>
    <w:p>
      <w:pPr>
        <w:pStyle w:val="BodyText"/>
      </w:pPr>
      <w:r>
        <w:t xml:space="preserve">Primeiro: os peptídeos mais bem estudados – os medicamentos de GLP-1 aprovados – têm os efeitos colaterais mais bem conhecidos. Isso não se deve a eles serem particularmente perigosos, mas ao fato de centenas de milhares de pessoas terem sido observadas em estudos e registros. Queixas frequentes afetam o trato gastrointestinal e costumam ser passageiras; riscos mais sérios, como cálculos biliares, estão comprovados, mas são raros em números absolutos; sinais como a NAION são muito raros e continuam sendo investigados.</w:t>
      </w:r>
    </w:p>
    <w:p>
      <w:pPr>
        <w:pStyle w:val="BodyText"/>
      </w:pPr>
      <w:r>
        <w:t xml:space="preserve">Segundo: os peptídeos do eixo do hormônio do crescimento compartilham um perfil comum de retenção hídrica, glicemia mais alta e aumento dos hormônios do estresse. Para um uso ao longo de meses ou anos em pessoas saudáveis, praticamente não há dados.</w:t>
      </w:r>
    </w:p>
    <w:p>
      <w:pPr>
        <w:pStyle w:val="BodyText"/>
      </w:pPr>
      <w:r>
        <w:t xml:space="preserve">Terceiro: para a maioria dos peptídeos dos grupos B e D, os riscos para os órgãos nem podem ser descritos, porque ninguém os procurou sistematicamente. Ali, o maior risco prático não está na substância, mas no produto – mais sobre isso no capítulo</w:t>
      </w:r>
      <w:r>
        <w:t xml:space="preserve"> </w:t>
      </w:r>
      <w:r>
        <w:t xml:space="preserve">“</w:t>
      </w:r>
      <w:r>
        <w:t xml:space="preserve">Produtos do mercado cinza</w:t>
      </w:r>
      <w:r>
        <w:t xml:space="preserve">”</w:t>
      </w:r>
      <w:r>
        <w:t xml:space="preserve">.</w:t>
      </w:r>
    </w:p>
    <w:bookmarkEnd w:id="2660"/>
    <w:bookmarkEnd w:id="2661"/>
    <w:bookmarkStart w:id="2702" w:name="risco-de-câncer-e-sinais-de-crescimento"/>
    <w:p>
      <w:pPr>
        <w:pStyle w:val="Heading2"/>
      </w:pPr>
      <w:r>
        <w:t xml:space="preserve">Risco de câncer e sinais de crescimento</w:t>
      </w:r>
    </w:p>
    <w:p>
      <w:pPr>
        <w:pStyle w:val="FirstParagraph"/>
      </w:pPr>
      <w:r>
        <w:t xml:space="preserve">Muitos peptídeos são promovidos justamente porque supostamente estimulam o crescimento: de músculos, tendões, vasos sanguíneos, células nervosas ou cabelos. Mas o crescimento não é seletivo. As vias de sinalização pelas quais os tecidos cicatrizam e se renovam também são usadas por células cancerosas. Por isso, em quase todo peptídeo de</w:t>
      </w:r>
      <w:r>
        <w:t xml:space="preserve"> </w:t>
      </w:r>
      <w:r>
        <w:t xml:space="preserve">“</w:t>
      </w:r>
      <w:r>
        <w:t xml:space="preserve">cicatrização</w:t>
      </w:r>
      <w:r>
        <w:t xml:space="preserve">”</w:t>
      </w:r>
      <w:r>
        <w:t xml:space="preserve">,</w:t>
      </w:r>
      <w:r>
        <w:t xml:space="preserve"> </w:t>
      </w:r>
      <w:r>
        <w:t xml:space="preserve">“</w:t>
      </w:r>
      <w:r>
        <w:t xml:space="preserve">antienvelhecimento</w:t>
      </w:r>
      <w:r>
        <w:t xml:space="preserve">”</w:t>
      </w:r>
      <w:r>
        <w:t xml:space="preserve"> </w:t>
      </w:r>
      <w:r>
        <w:t xml:space="preserve">ou de hormônio do crescimento, surge a mesma pergunta: ele pode favorecer o câncer?</w:t>
      </w:r>
    </w:p>
    <w:p>
      <w:pPr>
        <w:pStyle w:val="BodyText"/>
      </w:pPr>
      <w:r>
        <w:t xml:space="preserve">Este capítulo resume o que se sabe a respeito – separado pelos quatro mecanismos que aparecem repetidamente na Parte II: o eixo hormônio do crescimento–IGF-1, a formação de novos vasos sanguíneos, a estimulação das células pigmentares e o efeito dos medicamentos de GLP-1 sobre a tireoide e o pâncreas. No final, há uma visão geral das análises grandes mais recentes sobre medicamentos de GLP-1 e câncer.</w:t>
      </w:r>
    </w:p>
    <w:bookmarkStart w:id="2663" w:name="como-avaliar-a-questão-do-câncer"/>
    <w:p>
      <w:pPr>
        <w:pStyle w:val="Heading3"/>
      </w:pPr>
      <w:r>
        <w:t xml:space="preserve">Como avaliar a questão do câncer</w:t>
      </w:r>
    </w:p>
    <w:p>
      <w:pPr>
        <w:pStyle w:val="FirstParagraph"/>
      </w:pPr>
      <w:r>
        <w:t xml:space="preserve">Quatro pontos ajudam a ler os dados a seguir.</w:t>
      </w:r>
    </w:p>
    <w:p>
      <w:pPr>
        <w:pStyle w:val="BodyText"/>
      </w:pPr>
      <w:r>
        <w:rPr>
          <w:bCs/>
          <w:b/>
        </w:rPr>
        <w:t xml:space="preserve">Desencadear ou favorecer.</w:t>
      </w:r>
      <w:r>
        <w:t xml:space="preserve"> </w:t>
      </w:r>
      <w:r>
        <w:t xml:space="preserve">Uma substância pode desencadear câncer ao danificar o material genético. Mais discutida nos peptídeos, porém, é outra possibilidade: um sinal de crescimento poderia fazer um tumor já existente, ainda não descoberto, crescer mais rápido – assim como o adubo faz crescer uma planta que já está na terra. Para essa segunda possibilidade, basta que a substância estimule a divisão celular, a sobrevivência celular ou a formação de novos vasos.</w:t>
      </w:r>
    </w:p>
    <w:p>
      <w:pPr>
        <w:pStyle w:val="BodyText"/>
      </w:pPr>
      <w:r>
        <w:rPr>
          <w:bCs/>
          <w:b/>
        </w:rPr>
        <w:t xml:space="preserve">Tempo.</w:t>
      </w:r>
      <w:r>
        <w:t xml:space="preserve"> </w:t>
      </w:r>
      <w:r>
        <w:t xml:space="preserve">O câncer se desenvolve ao longo de anos a décadas. A maioria dos estudos com peptídeos dura de semanas a poucos anos. Mesmo grandes estudos de aprovação dificilmente conseguem captar um risco que surge lentamente. Para isso são necessários registros e estudos observacionais ao longo de períodos longos – que, por sua vez, são suscetíveis a vieses.</w:t>
      </w:r>
    </w:p>
    <w:p>
      <w:pPr>
        <w:pStyle w:val="BodyText"/>
      </w:pPr>
      <w:r>
        <w:rPr>
          <w:bCs/>
          <w:b/>
        </w:rPr>
        <w:t xml:space="preserve">Viés diagnóstico.</w:t>
      </w:r>
      <w:r>
        <w:t xml:space="preserve"> </w:t>
      </w:r>
      <w:r>
        <w:t xml:space="preserve">Quem é examinado com mais frequência por causa de um medicamento também tem tumores encontrados com mais frequência. Um exemplo: uma metanálise encontrou, em estudos de GLP-1 mais curtos, um pouco mais de diagnósticos de câncer colorretal e supôs como explicação que as queixas gastrointestinais levaram a mais colonoscopias</w:t>
      </w:r>
      <w:r>
        <w:rPr>
          <w:rStyle w:val="FootnoteReference"/>
        </w:rPr>
        <w:footnoteReference w:id="2662"/>
      </w:r>
      <w:r>
        <w:t xml:space="preserve">.</w:t>
      </w:r>
    </w:p>
    <w:p>
      <w:pPr>
        <w:pStyle w:val="BodyText"/>
      </w:pPr>
      <w:r>
        <w:rPr>
          <w:bCs/>
          <w:b/>
        </w:rPr>
        <w:t xml:space="preserve">A direção oposta.</w:t>
      </w:r>
      <w:r>
        <w:t xml:space="preserve"> </w:t>
      </w:r>
      <w:r>
        <w:t xml:space="preserve">O excesso de peso aumenta o risco de pelo menos 13 tipos de câncer. Um medicamento que reduz muito o peso poderia, por isso, diminuir o risco de câncer no geral, mesmo que haja um pequeno sinal em um órgão isolado. As duas coisas só podem ser consideradas separadamente.</w:t>
      </w:r>
    </w:p>
    <w:bookmarkEnd w:id="2663"/>
    <w:bookmarkStart w:id="2673" w:name="hormônio-do-crescimento-e-igf-1"/>
    <w:p>
      <w:pPr>
        <w:pStyle w:val="Heading3"/>
      </w:pPr>
      <w:r>
        <w:t xml:space="preserve">Hormônio do crescimento e IGF-1</w:t>
      </w:r>
    </w:p>
    <w:p>
      <w:pPr>
        <w:pStyle w:val="FirstParagraph"/>
      </w:pPr>
      <w:r>
        <w:t xml:space="preserve">O hormônio do crescimento age em grande parte por meio do IGF-1, o fator de crescimento semelhante à insulina tipo 1. O IGF-1 estimula as células a se dividirem e as protege da morte celular programada. Todos os peptídeos do grupo C – sermorelina, tesamorelina, CJC-1295, ipamorelina, a família GHRP, mecasermina e IGF-1 LR3 – bem como o ibutamoreno, discutido para comparação, aumentam o IGF-1 direta ou indiretamente. As evidências sobre a questão do câncer vêm de cinco fontes.</w:t>
      </w:r>
    </w:p>
    <w:p>
      <w:pPr>
        <w:pStyle w:val="BodyText"/>
      </w:pPr>
      <w:r>
        <w:rPr>
          <w:bCs/>
          <w:b/>
        </w:rPr>
        <w:t xml:space="preserve">Níveis de IGF-1 naturalmente mais altos.</w:t>
      </w:r>
      <w:r>
        <w:t xml:space="preserve"> </w:t>
      </w:r>
      <w:r>
        <w:t xml:space="preserve">Uma metanálise de 21 estudos encontrou, em pessoas com valores altos de IGF-1, um risco maior de câncer de próstata (odds ratio 1,49 na comparação de um valor de IGF-1 no percentil 75 com um no percentil 25) e de câncer de mama antes da menopausa (1,65); os autores chamaram as associações expressamente de</w:t>
      </w:r>
      <w:r>
        <w:t xml:space="preserve"> </w:t>
      </w:r>
      <w:r>
        <w:t xml:space="preserve">“</w:t>
      </w:r>
      <w:r>
        <w:t xml:space="preserve">moderadas</w:t>
      </w:r>
      <w:r>
        <w:t xml:space="preserve">”</w:t>
      </w:r>
      <w:r>
        <w:rPr>
          <w:rStyle w:val="FootnoteReference"/>
        </w:rPr>
        <w:footnoteReference w:id="2664"/>
      </w:r>
      <w:r>
        <w:t xml:space="preserve">. No UK Biobank, com 206.263 mulheres, o risco de câncer de mama aumentou 11% a cada 5 nmol/l a mais de IGF-1</w:t>
      </w:r>
      <w:r>
        <w:rPr>
          <w:rStyle w:val="FootnoteReference"/>
        </w:rPr>
        <w:footnoteReference w:id="2665"/>
      </w:r>
      <w:r>
        <w:t xml:space="preserve">; para o câncer colorretal, o mesmo grupo encontrou uma associação semelhante em quase 400.000 participantes</w:t>
      </w:r>
      <w:r>
        <w:rPr>
          <w:rStyle w:val="FootnoteReference"/>
        </w:rPr>
        <w:footnoteReference w:id="2666"/>
      </w:r>
      <w:r>
        <w:t xml:space="preserve">.</w:t>
      </w:r>
    </w:p>
    <w:p>
      <w:pPr>
        <w:pStyle w:val="BodyText"/>
      </w:pPr>
      <w:r>
        <w:rPr>
          <w:bCs/>
          <w:b/>
        </w:rPr>
        <w:t xml:space="preserve">Análises genéticas.</w:t>
      </w:r>
      <w:r>
        <w:t xml:space="preserve"> </w:t>
      </w:r>
      <w:r>
        <w:t xml:space="preserve">A chamada randomização mendeliana usa variantes genéticas que elevam levemente o nível de IGF-1 ao longo da vida como experimento natural. Também aqui um IGF-1 geneticamente mais alto esteve associado a um pouco mais de câncer de mama (odds ratio 1,05 por 5 nmol/l)</w:t>
      </w:r>
      <w:r>
        <w:rPr>
          <w:rStyle w:val="FootnoteReference"/>
        </w:rPr>
        <w:footnoteReference w:id="2667"/>
      </w:r>
      <w:r>
        <w:t xml:space="preserve">. Isso indica que a associação não se baseia apenas em circunstâncias concomitantes.</w:t>
      </w:r>
    </w:p>
    <w:p>
      <w:pPr>
        <w:pStyle w:val="BodyText"/>
      </w:pPr>
      <w:r>
        <w:rPr>
          <w:bCs/>
          <w:b/>
        </w:rPr>
        <w:t xml:space="preserve">Excesso de hormônio do crescimento por doença.</w:t>
      </w:r>
      <w:r>
        <w:t xml:space="preserve"> </w:t>
      </w:r>
      <w:r>
        <w:t xml:space="preserve">Na acromegalia, uma superprodução de hormônio do crescimento por um tumor da hipófise, uma metanálise de 23 estudos resultou em uma taxa de câncer cerca de metade maior (razão padronizada 1,5), com valores particularmente altos para câncer colorretal e de tireoide. Estudos menores e mais antigos, no entanto, mostraram valores mais altos do que os grandes, o que indica viés de seleção</w:t>
      </w:r>
      <w:r>
        <w:rPr>
          <w:rStyle w:val="FootnoteReference"/>
        </w:rPr>
        <w:footnoteReference w:id="2668"/>
      </w:r>
      <w:r>
        <w:t xml:space="preserve">.</w:t>
      </w:r>
    </w:p>
    <w:p>
      <w:pPr>
        <w:pStyle w:val="BodyText"/>
      </w:pPr>
      <w:r>
        <w:rPr>
          <w:bCs/>
          <w:b/>
        </w:rPr>
        <w:t xml:space="preserve">Falta de IGF-1 por doença.</w:t>
      </w:r>
      <w:r>
        <w:t xml:space="preserve"> </w:t>
      </w:r>
      <w:r>
        <w:t xml:space="preserve">Em pessoas com síndrome de Laron, que por um defeito genético quase não produzem IGF-1, ocorreu no Equador, ao longo de 22 anos de observação, apenas um único câncer, não fatal; entre parentes não afetados, a proporção foi de 17%</w:t>
      </w:r>
      <w:r>
        <w:rPr>
          <w:rStyle w:val="FootnoteReference"/>
        </w:rPr>
        <w:footnoteReference w:id="2669"/>
      </w:r>
      <w:r>
        <w:t xml:space="preserve">.</w:t>
      </w:r>
    </w:p>
    <w:p>
      <w:pPr>
        <w:pStyle w:val="BodyText"/>
      </w:pPr>
      <w:r>
        <w:rPr>
          <w:bCs/>
          <w:b/>
        </w:rPr>
        <w:t xml:space="preserve">Hormônio do crescimento como medicamento.</w:t>
      </w:r>
      <w:r>
        <w:t xml:space="preserve"> </w:t>
      </w:r>
      <w:r>
        <w:t xml:space="preserve">Em 23.984 crianças tratadas com hormônio do crescimento em oito países europeus, não se encontrou, sem doença prévia grave, um risco de câncer claramente aumentado. Chamaram a atenção alguns tipos de câncer isolados (ossos, bexiga) e um aumento da mortalidade por câncer com dose diária mais alta em crianças que já haviam tido câncer antes</w:t>
      </w:r>
      <w:r>
        <w:rPr>
          <w:rStyle w:val="FootnoteReference"/>
        </w:rPr>
        <w:footnoteReference w:id="2670"/>
      </w:r>
      <w:r>
        <w:t xml:space="preserve">. Em 8.418 adultos tratados com hipopituitarismo, o risco de câncer não estava aumentado; a taxa de câncer ficou até abaixo da média da população</w:t>
      </w:r>
      <w:r>
        <w:rPr>
          <w:rStyle w:val="FootnoteReference"/>
        </w:rPr>
        <w:footnoteReference w:id="2671"/>
      </w:r>
      <w:r>
        <w:t xml:space="preserve">.</w:t>
      </w:r>
    </w:p>
    <w:p>
      <w:pPr>
        <w:pStyle w:val="BodyText"/>
      </w:pPr>
      <w:r>
        <w:t xml:space="preserve">O que resulta disso? Quem tem uma deficiência real e recebe a reposição de um hormônio ausente não tem, segundo o conhecimento atual, um risco de câncer claramente aumentado. Quem, por outro lado, eleva um nível normal por anos se desloca para a faixa em que os estudos observacionais e genéticos mostram um risco moderadamente maior. Para exatamente essa situação – adultos saudáveis que usam liberadores para melhorar o desempenho ou para</w:t>
      </w:r>
      <w:r>
        <w:t xml:space="preserve"> </w:t>
      </w:r>
      <w:r>
        <w:t xml:space="preserve">“</w:t>
      </w:r>
      <w:r>
        <w:t xml:space="preserve">rejuvenescer</w:t>
      </w:r>
      <w:r>
        <w:t xml:space="preserve">”</w:t>
      </w:r>
      <w:r>
        <w:t xml:space="preserve"> </w:t>
      </w:r>
      <w:r>
        <w:t xml:space="preserve">– não há estudos de longo prazo. O ibutamoreno, por exemplo, elevou o IGF-1 em idosos saudáveis ao nível de adultos jovens</w:t>
      </w:r>
      <w:r>
        <w:rPr>
          <w:rStyle w:val="FootnoteReference"/>
        </w:rPr>
        <w:footnoteReference w:id="2672"/>
      </w:r>
      <w:r>
        <w:t xml:space="preserve">; nenhum sinal de câncer foi relatado, mas para isso o estudo não era nem grande nem longo o suficiente.</w:t>
      </w:r>
    </w:p>
    <w:p>
      <w:pPr>
        <w:pStyle w:val="BodyText"/>
      </w:pPr>
      <w:r>
        <w:t xml:space="preserve">Dois casos especiais merecem menção. Com a mecasermina aprovada, foram notificadas após a comercialização neoplasias benignas e malignas em crianças tratadas; as bulas profissionais contêm advertências correspondentes, e ela não deve ser usada em caso de câncer ativo (situação em 2026, verificar atualização; capítulo Mecasermina). O preparado de laboratório IGF-1 LR3 foi modificado de forma a não se ligar mais às proteínas de ligação do sangue que normalmente tamponam o IGF-1. Por isso, age de forma mais forte e mais prolongada no receptor – teoricamente exatamente na direção desfavorável. Isso nunca foi estudado em humanos (capítulo IGF-1 LR3).</w:t>
      </w:r>
    </w:p>
    <w:bookmarkEnd w:id="2673"/>
    <w:bookmarkStart w:id="2683" w:name="X47dffd94016a5e11308a1063793f3c1ae76962a"/>
    <w:p>
      <w:pPr>
        <w:pStyle w:val="Heading3"/>
      </w:pPr>
      <w:r>
        <w:t xml:space="preserve">Formação de novos vasos e outros sinais de crescimento</w:t>
      </w:r>
    </w:p>
    <w:p>
      <w:pPr>
        <w:pStyle w:val="FirstParagraph"/>
      </w:pPr>
      <w:r>
        <w:t xml:space="preserve">Um tumor que queira crescer além de poucos milímetros precisa de vasos sanguíneos próprios. Esse processo é chamado de angiogênese. Alguns medicamentos oncológicos aprovados agem justamente bloqueando a principal via de sinalização da formação de novos vasos, o sistema VEGF. Inversamente, substâncias que favorecem a formação de novos vasos estão sob suspeita de favorecer tumores.</w:t>
      </w:r>
    </w:p>
    <w:p>
      <w:pPr>
        <w:pStyle w:val="BodyText"/>
      </w:pPr>
      <w:r>
        <w:rPr>
          <w:bCs/>
          <w:b/>
        </w:rPr>
        <w:t xml:space="preserve">BPC-157.</w:t>
      </w:r>
      <w:r>
        <w:t xml:space="preserve"> </w:t>
      </w:r>
      <w:r>
        <w:t xml:space="preserve">Em experimentos de laboratório, o BPC-157 aumentou a densidade vascular em membranas de ovo de galinha, acelerou em ratos a circulação de uma perna com irrigação deficiente e aumentou, em células vasculares humanas, a quantidade do receptor 2 de VEGF</w:t>
      </w:r>
      <w:r>
        <w:rPr>
          <w:rStyle w:val="FootnoteReference"/>
        </w:rPr>
        <w:footnoteReference w:id="2674"/>
      </w:r>
      <w:r>
        <w:t xml:space="preserve">. O grupo de trabalho de Zagreb, do qual vem a maioria dos estudos com BPC-157, contesta: o BPC-157 regularia a formação de vasos em vez de impulsioná-la cegamente e teria mostrado até efeitos antitumorais em experimentos com animais e células</w:t>
      </w:r>
      <w:r>
        <w:rPr>
          <w:rStyle w:val="FootnoteReference"/>
        </w:rPr>
        <w:footnoteReference w:id="2675"/>
      </w:r>
      <w:r>
        <w:t xml:space="preserve">. Estudos de longo prazo sobre carcinogênese, como os exigidos para medicamentos, não foram publicados para o BPC-157. A questão está em aberto. Ver capítulo BPC-157.</w:t>
      </w:r>
    </w:p>
    <w:p>
      <w:pPr>
        <w:pStyle w:val="BodyText"/>
      </w:pPr>
      <w:r>
        <w:rPr>
          <w:bCs/>
          <w:b/>
        </w:rPr>
        <w:t xml:space="preserve">TB-500 e timosina beta-4.</w:t>
      </w:r>
      <w:r>
        <w:t xml:space="preserve"> </w:t>
      </w:r>
      <w:r>
        <w:t xml:space="preserve">A timosina beta-4 favorece a migração celular e a formação de novos vasos. Em amostras de tecido de 138 pessoas com câncer de bexiga, uma forte produção de timosina beta-4 esteve associada a estágio avançado, comprometimento de linfonodos e sobrevida mais curta</w:t>
      </w:r>
      <w:r>
        <w:rPr>
          <w:rStyle w:val="FootnoteReference"/>
        </w:rPr>
        <w:footnoteReference w:id="2676"/>
      </w:r>
      <w:r>
        <w:t xml:space="preserve">. Em culturas de células de câncer de mama, a timosina beta-4 adicionada aumentou o número de células</w:t>
      </w:r>
      <w:r>
        <w:rPr>
          <w:rStyle w:val="FootnoteReference"/>
        </w:rPr>
        <w:footnoteReference w:id="2677"/>
      </w:r>
      <w:r>
        <w:t xml:space="preserve">. Isso não prova que o TB-500 administrado externamente favoreça o câncer, mas é um motivo de cautela em pessoas com câncer ou alto risco de câncer. Ver capítulo TB-500.</w:t>
      </w:r>
    </w:p>
    <w:p>
      <w:pPr>
        <w:pStyle w:val="BodyText"/>
      </w:pPr>
      <w:r>
        <w:rPr>
          <w:bCs/>
          <w:b/>
        </w:rPr>
        <w:t xml:space="preserve">Outros peptídeos com sinais de crescimento.</w:t>
      </w:r>
      <w:r>
        <w:t xml:space="preserve"> </w:t>
      </w:r>
      <w:r>
        <w:t xml:space="preserve">Em vários peptídeos da Parte II surgem questões semelhantes a partir do mecanismo de ação ou de dados laboratoriais: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Mecanismo</w:t>
            </w:r>
          </w:p>
        </w:tc>
        <w:tc>
          <w:tcPr/>
          <w:p>
            <w:pPr>
              <w:pStyle w:val="Compact"/>
              <w:jc w:val="left"/>
            </w:pPr>
            <w:r>
              <w:t xml:space="preserve">Tipo de indício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intensifica o sinal c-Met, um conhecido impulsionador de câncer</w:t>
            </w:r>
          </w:p>
        </w:tc>
        <w:tc>
          <w:tcPr/>
          <w:p>
            <w:pPr>
              <w:pStyle w:val="Compact"/>
              <w:jc w:val="left"/>
            </w:pPr>
            <w:r>
              <w:t xml:space="preserve">apenas teórico, sem dados em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supostamente ativa a telomerase</w:t>
            </w:r>
          </w:p>
        </w:tc>
        <w:tc>
          <w:tcPr/>
          <w:p>
            <w:pPr>
              <w:pStyle w:val="Compact"/>
              <w:jc w:val="left"/>
            </w:pPr>
            <w:r>
              <w:t xml:space="preserve">cultura de células: também alongou telômeros de células de câncer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células da morte celular</w:t>
            </w:r>
          </w:p>
        </w:tc>
        <w:tc>
          <w:tcPr/>
          <w:p>
            <w:pPr>
              <w:pStyle w:val="Compact"/>
              <w:jc w:val="left"/>
            </w:pPr>
            <w:r>
              <w:t xml:space="preserve">camundongos: crescimento tumoral mais rápido, mais metástases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sinais inflamatórios e de crescimento</w:t>
            </w:r>
          </w:p>
        </w:tc>
        <w:tc>
          <w:tcPr/>
          <w:p>
            <w:pPr>
              <w:pStyle w:val="Compact"/>
              <w:jc w:val="left"/>
            </w:pPr>
            <w:r>
              <w:t xml:space="preserve">laboratório: favorecedor ou inibidor conforme o tipo de câncer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formação de novos vasos em experimento animal</w:t>
            </w:r>
          </w:p>
        </w:tc>
        <w:tc>
          <w:tcPr/>
          <w:p>
            <w:pPr>
              <w:pStyle w:val="Compact"/>
              <w:jc w:val="left"/>
            </w:pPr>
            <w:r>
              <w:t xml:space="preserve">apenas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age no receptor de EPO</w:t>
            </w:r>
          </w:p>
        </w:tc>
        <w:tc>
          <w:tcPr/>
          <w:p>
            <w:pPr>
              <w:pStyle w:val="Compact"/>
              <w:jc w:val="left"/>
            </w:pPr>
            <w:r>
              <w:t xml:space="preserve">teórico, por analogia com a EPO</w:t>
            </w:r>
          </w:p>
        </w:tc>
        <w:tc>
          <w:tcPr/>
          <w:p>
            <w:pPr>
              <w:pStyle w:val="Compact"/>
              <w:jc w:val="left"/>
            </w:pPr>
            <w:r>
              <w:t xml:space="preserve">ARA-290</w:t>
            </w:r>
          </w:p>
        </w:tc>
      </w:tr>
    </w:tbl>
    <w:p>
      <w:pPr>
        <w:pStyle w:val="BodyText"/>
      </w:pPr>
      <w:r>
        <w:t xml:space="preserve">Alguns desses indícios são concretos. Em camundongos com câncer de mama triplo-negativo, a humanina administrada reduziu a morte celular no tumor, enfraqueceu a quimioterapia e acelerou o crescimento tumoral e as metástases pulmonares</w:t>
      </w:r>
      <w:r>
        <w:rPr>
          <w:rStyle w:val="FootnoteReference"/>
        </w:rPr>
        <w:footnoteReference w:id="2678"/>
      </w:r>
      <w:r>
        <w:t xml:space="preserve">. O Epitalon alongou em culturas de células os telômeros de células saudáveis por meio da enzima telomerase, e em células de câncer de mama por outra via</w:t>
      </w:r>
      <w:r>
        <w:rPr>
          <w:rStyle w:val="FootnoteReference"/>
        </w:rPr>
        <w:footnoteReference w:id="2679"/>
      </w:r>
      <w:r>
        <w:t xml:space="preserve">; em um estudo com camundongos, por outro lado, o número de tumores espontâneos não aumentou</w:t>
      </w:r>
      <w:r>
        <w:rPr>
          <w:rStyle w:val="FootnoteReference"/>
        </w:rPr>
        <w:footnoteReference w:id="2680"/>
      </w:r>
      <w:r>
        <w:t xml:space="preserve">. Para o LL-37, uma revisão descreve efeitos favorecedores sobre tumores de ovário, pulmão, mama, próstata, pâncreas e pele, mas inibidores sobre câncer colorretal e gástrico</w:t>
      </w:r>
      <w:r>
        <w:rPr>
          <w:rStyle w:val="FootnoteReference"/>
        </w:rPr>
        <w:footnoteReference w:id="2681"/>
      </w:r>
      <w:r>
        <w:t xml:space="preserve">. Para a Dihexa, a ligação com o sistema c-Met está descrita</w:t>
      </w:r>
      <w:r>
        <w:rPr>
          <w:rStyle w:val="FootnoteReference"/>
        </w:rPr>
        <w:footnoteReference w:id="2682"/>
      </w:r>
      <w:r>
        <w:t xml:space="preserve">; não há investigações sobre carcinogênese.</w:t>
      </w:r>
    </w:p>
    <w:p>
      <w:pPr>
        <w:pStyle w:val="BodyText"/>
      </w:pPr>
      <w:r>
        <w:t xml:space="preserve">Todos esses achados vêm de experimentos com animais, culturas de células ou do mecanismo de ação. Nenhum prova um risco de câncer em humanos. Mas mostram que</w:t>
      </w:r>
      <w:r>
        <w:t xml:space="preserve"> </w:t>
      </w:r>
      <w:r>
        <w:t xml:space="preserve">“</w:t>
      </w:r>
      <w:r>
        <w:t xml:space="preserve">natural</w:t>
      </w:r>
      <w:r>
        <w:t xml:space="preserve">”</w:t>
      </w:r>
      <w:r>
        <w:t xml:space="preserve">,</w:t>
      </w:r>
      <w:r>
        <w:t xml:space="preserve"> </w:t>
      </w:r>
      <w:r>
        <w:t xml:space="preserve">“</w:t>
      </w:r>
      <w:r>
        <w:t xml:space="preserve">endógeno</w:t>
      </w:r>
      <w:r>
        <w:t xml:space="preserve">”</w:t>
      </w:r>
      <w:r>
        <w:t xml:space="preserve"> </w:t>
      </w:r>
      <w:r>
        <w:t xml:space="preserve">ou</w:t>
      </w:r>
      <w:r>
        <w:t xml:space="preserve"> </w:t>
      </w:r>
      <w:r>
        <w:t xml:space="preserve">“</w:t>
      </w:r>
      <w:r>
        <w:t xml:space="preserve">regenerativo</w:t>
      </w:r>
      <w:r>
        <w:t xml:space="preserve">”</w:t>
      </w:r>
      <w:r>
        <w:t xml:space="preserve"> </w:t>
      </w:r>
      <w:r>
        <w:t xml:space="preserve">não significa automaticamente</w:t>
      </w:r>
      <w:r>
        <w:t xml:space="preserve"> </w:t>
      </w:r>
      <w:r>
        <w:t xml:space="preserve">“</w:t>
      </w:r>
      <w:r>
        <w:t xml:space="preserve">inofensivo</w:t>
      </w:r>
      <w:r>
        <w:t xml:space="preserve">”</w:t>
      </w:r>
      <w:r>
        <w:t xml:space="preserve"> </w:t>
      </w:r>
      <w:r>
        <w:t xml:space="preserve">– e que, para nenhuma dessas substâncias, existem os dados de longo prazo com os quais a pergunta poderia ser respondida.</w:t>
      </w:r>
    </w:p>
    <w:bookmarkEnd w:id="2683"/>
    <w:bookmarkStart w:id="2688" w:name="X06b42b08fa6d09da9c15ddec9085799c403a469"/>
    <w:p>
      <w:pPr>
        <w:pStyle w:val="Heading3"/>
      </w:pPr>
      <w:r>
        <w:t xml:space="preserve">Células pigmentares: melanotan, setmelanotida e afamelanotida</w:t>
      </w:r>
    </w:p>
    <w:p>
      <w:pPr>
        <w:pStyle w:val="FirstParagraph"/>
      </w:pPr>
      <w:r>
        <w:t xml:space="preserve">Os peptídeos de melanocortina estimulam as células pigmentares (melanócitos) da pele. Na afamelanotida, esse é o efeito desejado; na setmelanotida e na bremelanotida, um efeito colateral; e no Melanotan II, o verdadeiro motivo de venda. Como o melanoma surge de células pigmentares, a pergunta sobre câncer de pele é óbvia.</w:t>
      </w:r>
    </w:p>
    <w:p>
      <w:pPr>
        <w:pStyle w:val="BodyText"/>
      </w:pPr>
      <w:r>
        <w:t xml:space="preserve">Para o</w:t>
      </w:r>
      <w:r>
        <w:t xml:space="preserve"> </w:t>
      </w:r>
      <w:r>
        <w:rPr>
          <w:bCs/>
          <w:b/>
        </w:rPr>
        <w:t xml:space="preserve">Melanotan II</w:t>
      </w:r>
      <w:r>
        <w:t xml:space="preserve">, não aprovado, há vários relatos de caso de melanomas descobertos durante ou logo após o uso. Uma revisão contou quatro casos em que melanomas surgiram de pintas preexistentes e ressalta, ao mesmo tempo, que falta uma prova conclusiva de uma relação</w:t>
      </w:r>
      <w:r>
        <w:rPr>
          <w:rStyle w:val="FootnoteReference"/>
        </w:rPr>
        <w:footnoteReference w:id="2684"/>
      </w:r>
      <w:r>
        <w:t xml:space="preserve">. Entre 179 casos publicados de pintas de aparecimento súbito, parte dos quais foi atribuída ao melanotan, cinco estavam associados a um melanoma</w:t>
      </w:r>
      <w:r>
        <w:rPr>
          <w:rStyle w:val="FootnoteReference"/>
        </w:rPr>
        <w:footnoteReference w:id="2685"/>
      </w:r>
      <w:r>
        <w:t xml:space="preserve">. A interpretação é difícil: muitos afetados usavam ao mesmo tempo câmaras de bronzeamento ou se expunham intensamente ao sol, o que aumenta o risco de melanoma de forma independente. E relatos de caso não podem fornecer uma frequência. Ver capítulo Melanotan II.</w:t>
      </w:r>
    </w:p>
    <w:p>
      <w:pPr>
        <w:pStyle w:val="BodyText"/>
      </w:pPr>
      <w:r>
        <w:t xml:space="preserve">Para a</w:t>
      </w:r>
      <w:r>
        <w:t xml:space="preserve"> </w:t>
      </w:r>
      <w:r>
        <w:rPr>
          <w:bCs/>
          <w:b/>
        </w:rPr>
        <w:t xml:space="preserve">afamelanotida</w:t>
      </w:r>
      <w:r>
        <w:t xml:space="preserve"> </w:t>
      </w:r>
      <w:r>
        <w:t xml:space="preserve">aprovada, há dados mais sistemáticos. Em um estudo com 15 tratados e 103 pintas, apareceram à dermatoscopia alterações temporárias que haviam regredido após um ano; não se encontraram indícios de malignidade nem pintas novas</w:t>
      </w:r>
      <w:r>
        <w:rPr>
          <w:rStyle w:val="FootnoteReference"/>
        </w:rPr>
        <w:footnoteReference w:id="2686"/>
      </w:r>
      <w:r>
        <w:t xml:space="preserve">. Com</w:t>
      </w:r>
      <w:r>
        <w:t xml:space="preserve"> </w:t>
      </w:r>
      <w:r>
        <w:rPr>
          <w:bCs/>
          <w:b/>
        </w:rPr>
        <w:t xml:space="preserve">setmelanotida</w:t>
      </w:r>
      <w:r>
        <w:t xml:space="preserve">, não ocorreram alterações cutâneas malignas em um acompanhamento de até 46 meses</w:t>
      </w:r>
      <w:r>
        <w:rPr>
          <w:rStyle w:val="FootnoteReference"/>
        </w:rPr>
        <w:footnoteReference w:id="2687"/>
      </w:r>
      <w:r>
        <w:t xml:space="preserve">. Esses dados são tranquilizadores, mas pequenos e curtos em relação ao tempo de desenvolvimento de um melanoma. As bulas profissionais preveem controles regulares da pele. Eles não podem ser transferidos para o Melanotan II: substância diferente, produtos não testados, frequentemente combinados com radiação UV.</w:t>
      </w:r>
    </w:p>
    <w:bookmarkEnd w:id="2688"/>
    <w:bookmarkStart w:id="2695" w:name="glp-1-e-as-células-c-da-tireoide"/>
    <w:p>
      <w:pPr>
        <w:pStyle w:val="Heading3"/>
      </w:pPr>
      <w:r>
        <w:t xml:space="preserve">GLP-1 e as células C da tireoide</w:t>
      </w:r>
    </w:p>
    <w:p>
      <w:pPr>
        <w:pStyle w:val="FirstParagraph"/>
      </w:pPr>
      <w:r>
        <w:t xml:space="preserve">Em ratos e camundongos, os agonistas do receptor de GLP-1 levaram, em experimentos de longo prazo, a proliferações e tumores das células C da tireoide. O mecanismo é bem compreendido: as células C dos roedores possuem o receptor de GLP-1; sua ativação aumenta a secreção de calcitonina e a divisão celular. Em humanos e macacos, o receptor é bem mais raro nas células C. Macacos que receberam liraglutida por 20 meses em concentração mais de 60 vezes maior do que em humanos não desenvolveram proliferação de células C</w:t>
      </w:r>
      <w:r>
        <w:rPr>
          <w:rStyle w:val="FootnoteReference"/>
        </w:rPr>
        <w:footnoteReference w:id="2689"/>
      </w:r>
      <w:r>
        <w:t xml:space="preserve">.</w:t>
      </w:r>
    </w:p>
    <w:p>
      <w:pPr>
        <w:pStyle w:val="BodyText"/>
      </w:pPr>
      <w:r>
        <w:t xml:space="preserve">Com isso, um efeito em humanos não está totalmente descartado. Em tecido tireoidiano humano, uma investigação encontrou o receptor de GLP-1 em todas as amostras de carcinomas medulares de tireoide e de proliferações de células C, em 18% dos carcinomas papilíferos e em parte das células C de tireoides saudáveis</w:t>
      </w:r>
      <w:r>
        <w:rPr>
          <w:rStyle w:val="FootnoteReference"/>
        </w:rPr>
        <w:footnoteReference w:id="2690"/>
      </w:r>
      <w:r>
        <w:t xml:space="preserve">.</w:t>
      </w:r>
    </w:p>
    <w:p>
      <w:pPr>
        <w:pStyle w:val="BodyText"/>
      </w:pPr>
      <w:r>
        <w:t xml:space="preserve">Os estudos em humanos não produzem um quadro uniforme:</w:t>
      </w:r>
    </w:p>
    <w:p>
      <w:pPr>
        <w:numPr>
          <w:ilvl w:val="0"/>
          <w:numId w:val="1339"/>
        </w:numPr>
        <w:pStyle w:val="Compact"/>
      </w:pPr>
      <w:r>
        <w:t xml:space="preserve">No estudo LEADER, a calcitonina não aumentou com liraglutida ao longo de até cinco anos, e não ocorreram carcinomas medulares</w:t>
      </w:r>
      <w:r>
        <w:rPr>
          <w:rStyle w:val="FootnoteReference"/>
        </w:rPr>
        <w:footnoteReference w:id="2691"/>
      </w:r>
      <w:r>
        <w:t xml:space="preserve">.</w:t>
      </w:r>
    </w:p>
    <w:p>
      <w:pPr>
        <w:numPr>
          <w:ilvl w:val="0"/>
          <w:numId w:val="1339"/>
        </w:numPr>
        <w:pStyle w:val="Compact"/>
      </w:pPr>
      <w:r>
        <w:t xml:space="preserve">Um estudo caso-controle francês com 2.562 casos encontrou, após um a três anos de tratamento, um risco aumentado de câncer de tireoide em geral (hazard ratio 1,58) e de carcinoma medular (1,78)</w:t>
      </w:r>
      <w:r>
        <w:rPr>
          <w:rStyle w:val="FootnoteReference"/>
        </w:rPr>
        <w:footnoteReference w:id="2692"/>
      </w:r>
      <w:r>
        <w:t xml:space="preserve">.</w:t>
      </w:r>
    </w:p>
    <w:p>
      <w:pPr>
        <w:numPr>
          <w:ilvl w:val="0"/>
          <w:numId w:val="1339"/>
        </w:numPr>
        <w:pStyle w:val="Compact"/>
      </w:pPr>
      <w:r>
        <w:t xml:space="preserve">Um estudo de coorte escandinavo com 145.410 pessoas em uso de agonistas do receptor de GLP-1 não encontrou risco aumentado (hazard ratio 0,93; 1,33 contra 1,46 caso por 10.000 pessoas-ano). Para o raro carcinoma medular, a estimativa foi muito incerta (hazard ratio 1,19; intervalo de confiança 0,37 a 3,86)</w:t>
      </w:r>
      <w:r>
        <w:rPr>
          <w:rStyle w:val="FootnoteReference"/>
        </w:rPr>
        <w:footnoteReference w:id="2693"/>
      </w:r>
      <w:r>
        <w:t xml:space="preserve">.</w:t>
      </w:r>
    </w:p>
    <w:p>
      <w:pPr>
        <w:numPr>
          <w:ilvl w:val="0"/>
          <w:numId w:val="1339"/>
        </w:numPr>
        <w:pStyle w:val="Compact"/>
      </w:pPr>
      <w:r>
        <w:t xml:space="preserve">Uma metanálise de 50 estudos randomizados com duração de pelo menos um ano mostrou um sinal para câncer de tireoide (odds ratio 1,55), que foi mais nítido em estudos mais longos</w:t>
      </w:r>
      <w:r>
        <w:rPr>
          <w:rStyle w:val="FootnoteReference"/>
        </w:rPr>
        <w:footnoteReference w:id="2694"/>
      </w:r>
      <w:r>
        <w:t xml:space="preserve">.</w:t>
      </w:r>
    </w:p>
    <w:p>
      <w:pPr>
        <w:pStyle w:val="FirstParagraph"/>
      </w:pPr>
      <w:r>
        <w:t xml:space="preserve">Como isso se encaixa? Parte do sinal poderia se dever a exames mais frequentes: quem é acompanhado de perto por causa de diabetes ou obesidade faz ultrassom com mais frequência, no qual são descobertos pequenos carcinomas papilíferos inofensivos. Mas um pequeno risco real não pode ser descartado. Por isso, para pessoas com carcinoma medular de tireoide na história pessoal ou familiar ou com síndrome MEN 2, continua valendo uma contraindicação. Ver capítulo Liraglutida.</w:t>
      </w:r>
    </w:p>
    <w:bookmarkEnd w:id="2695"/>
    <w:bookmarkStart w:id="2699" w:name="pâncreas"/>
    <w:p>
      <w:pPr>
        <w:pStyle w:val="Heading3"/>
      </w:pPr>
      <w:r>
        <w:t xml:space="preserve">Pâncreas</w:t>
      </w:r>
    </w:p>
    <w:p>
      <w:pPr>
        <w:pStyle w:val="FirstParagraph"/>
      </w:pPr>
      <w:r>
        <w:t xml:space="preserve">Após as primeiras notificações de inflamações do pâncreas com exenatida e liraglutida, também se temeu um risco aumentado de câncer de pâncreas. Os dados até agora não confirmaram isso. Uma metanálise de 62 estudos randomizados não encontrou risco comprovadamente aumentado (risco relativo 1,30; intervalo de confiança 0,86 a 1,97); em um subgrupo de estudos com medicamentos adicionais ele estava aumentado, sem medicamentos adicionais não</w:t>
      </w:r>
      <w:r>
        <w:rPr>
          <w:rStyle w:val="FootnoteReference"/>
        </w:rPr>
        <w:footnoteReference w:id="2696"/>
      </w:r>
      <w:r>
        <w:t xml:space="preserve">. Os autores apontam que muitos estudos sem nenhum evento nem entraram no cálculo. Em um grande estudo de coorte norte-americano, o câncer de pâncreas foi até mais raro com agonistas do receptor de GLP-1 do que com insulina (hazard ratio 0,41)</w:t>
      </w:r>
      <w:r>
        <w:rPr>
          <w:rStyle w:val="FootnoteReference"/>
        </w:rPr>
        <w:footnoteReference w:id="2697"/>
      </w:r>
      <w:r>
        <w:t xml:space="preserve"> </w:t>
      </w:r>
      <w:r>
        <w:t xml:space="preserve">– sendo que a insulina é frequentemente usada em diabetes mais antigo e mais grave.</w:t>
      </w:r>
    </w:p>
    <w:p>
      <w:pPr>
        <w:pStyle w:val="BodyText"/>
      </w:pPr>
      <w:r>
        <w:t xml:space="preserve">Para tumores neuroendócrinos, um grupo raro de tumores que surgem, entre outros locais, no pâncreas e que em parte possuem o receptor de GLP-1, uma revisão conclui que os dados disponíveis não mostram um aumento geral, mas que existem lacunas importantes, por exemplo na predisposição hereditária</w:t>
      </w:r>
      <w:r>
        <w:rPr>
          <w:rStyle w:val="FootnoteReference"/>
        </w:rPr>
        <w:footnoteReference w:id="2698"/>
      </w:r>
      <w:r>
        <w:t xml:space="preserve">.</w:t>
      </w:r>
    </w:p>
    <w:bookmarkEnd w:id="2699"/>
    <w:bookmarkStart w:id="2700" w:name="X94df693656699c10bfeea6c5eb61dfb0a6a7d66"/>
    <w:p>
      <w:pPr>
        <w:pStyle w:val="Heading3"/>
      </w:pPr>
      <w:r>
        <w:t xml:space="preserve">O que novas metanálises e grandes coortes mostram sobre GLP-1 e câncer</w:t>
      </w:r>
    </w:p>
    <w:p>
      <w:pPr>
        <w:pStyle w:val="FirstParagraph"/>
      </w:pPr>
      <w:r>
        <w:t xml:space="preserve">Com a ampla difusão dos medicamentos de GLP-1, várias análises muito grandes foram publicadas desde 2024. Elas traçam um quadro predominantemente tranquilizador, mas pouco claro em pontos isolados.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Dados</w:t>
            </w:r>
          </w:p>
        </w:tc>
        <w:tc>
          <w:tcPr/>
          <w:p>
            <w:pPr>
              <w:pStyle w:val="Compact"/>
              <w:jc w:val="left"/>
            </w:pPr>
            <w:r>
              <w:t xml:space="preserve">Resultado para câncer em geral</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ECRs, mín. 52 semanas</w:t>
            </w:r>
          </w:p>
        </w:tc>
        <w:tc>
          <w:tcPr/>
          <w:p>
            <w:pPr>
              <w:pStyle w:val="Compact"/>
              <w:jc w:val="left"/>
            </w:pPr>
            <w:r>
              <w:t xml:space="preserve">nenhuma diferença (odds ratio 1,05)</w:t>
            </w:r>
          </w:p>
        </w:tc>
        <w:tc>
          <w:tcPr/>
          <w:p>
            <w:pPr>
              <w:pStyle w:val="Compact"/>
              <w:jc w:val="left"/>
            </w:pPr>
            <w:r>
              <w:t xml:space="preserve">tireoide 1,55; útero na obesidade 0,24</w:t>
            </w:r>
          </w:p>
        </w:tc>
      </w:tr>
      <w:tr>
        <w:tc>
          <w:tcPr/>
          <w:p>
            <w:pPr>
              <w:pStyle w:val="Compact"/>
              <w:jc w:val="left"/>
            </w:pPr>
            <w:r>
              <w:t xml:space="preserve">Wang 2024, PMID 38967919</w:t>
            </w:r>
          </w:p>
        </w:tc>
        <w:tc>
          <w:tcPr/>
          <w:p>
            <w:pPr>
              <w:pStyle w:val="Compact"/>
              <w:jc w:val="left"/>
            </w:pPr>
            <w:r>
              <w:t xml:space="preserve">1.651.452 pessoas com diabetes tipo 2</w:t>
            </w:r>
          </w:p>
        </w:tc>
        <w:tc>
          <w:tcPr/>
          <w:p>
            <w:pPr>
              <w:pStyle w:val="Compact"/>
              <w:jc w:val="left"/>
            </w:pPr>
            <w:r>
              <w:t xml:space="preserve">vs. insulina, menos em 10 de 13 tipos de câncer</w:t>
            </w:r>
          </w:p>
        </w:tc>
        <w:tc>
          <w:tcPr/>
          <w:p>
            <w:pPr>
              <w:pStyle w:val="Compact"/>
              <w:jc w:val="left"/>
            </w:pPr>
            <w:r>
              <w:t xml:space="preserve">vs. metformina, mais câncer renal (1,54)</w:t>
            </w:r>
          </w:p>
        </w:tc>
      </w:tr>
      <w:tr>
        <w:tc>
          <w:tcPr/>
          <w:p>
            <w:pPr>
              <w:pStyle w:val="Compact"/>
              <w:jc w:val="left"/>
            </w:pPr>
            <w:r>
              <w:t xml:space="preserve">Dai 2025, PMID 40839273</w:t>
            </w:r>
          </w:p>
        </w:tc>
        <w:tc>
          <w:tcPr/>
          <w:p>
            <w:pPr>
              <w:pStyle w:val="Compact"/>
              <w:jc w:val="left"/>
            </w:pPr>
            <w:r>
              <w:t xml:space="preserve">86.632 adultos com obesidade</w:t>
            </w:r>
          </w:p>
        </w:tc>
        <w:tc>
          <w:tcPr/>
          <w:p>
            <w:pPr>
              <w:pStyle w:val="Compact"/>
              <w:jc w:val="left"/>
            </w:pPr>
            <w:r>
              <w:t xml:space="preserve">menos câncer (hazard ratio 0,83)</w:t>
            </w:r>
          </w:p>
        </w:tc>
        <w:tc>
          <w:tcPr/>
          <w:p>
            <w:pPr>
              <w:pStyle w:val="Compact"/>
              <w:jc w:val="left"/>
            </w:pPr>
            <w:r>
              <w:t xml:space="preserve">câncer renal no limite do aumento (1,38)</w:t>
            </w:r>
          </w:p>
        </w:tc>
      </w:tr>
      <w:tr>
        <w:tc>
          <w:tcPr/>
          <w:p>
            <w:pPr>
              <w:pStyle w:val="Compact"/>
              <w:jc w:val="left"/>
            </w:pPr>
            <w:r>
              <w:t xml:space="preserve">Hsu 2026, PMID 42252247</w:t>
            </w:r>
          </w:p>
        </w:tc>
        <w:tc>
          <w:tcPr/>
          <w:p>
            <w:pPr>
              <w:pStyle w:val="Compact"/>
              <w:jc w:val="left"/>
            </w:pPr>
            <w:r>
              <w:t xml:space="preserve">161.798 adultos com obesidade sem diabetes</w:t>
            </w:r>
          </w:p>
        </w:tc>
        <w:tc>
          <w:tcPr/>
          <w:p>
            <w:pPr>
              <w:pStyle w:val="Compact"/>
              <w:jc w:val="left"/>
            </w:pPr>
            <w:r>
              <w:t xml:space="preserve">menos cânceres relacionados ao excesso de peso (0,59)</w:t>
            </w:r>
          </w:p>
        </w:tc>
        <w:tc>
          <w:tcPr/>
          <w:p>
            <w:pPr>
              <w:pStyle w:val="Compact"/>
              <w:jc w:val="left"/>
            </w:pPr>
            <w:r>
              <w:t xml:space="preserve">acompanhamento mediano de 2 anos</w:t>
            </w:r>
          </w:p>
        </w:tc>
      </w:tr>
    </w:tbl>
    <w:p>
      <w:pPr>
        <w:pStyle w:val="BodyText"/>
      </w:pPr>
      <w:r>
        <w:t xml:space="preserve">Como ler esses números?</w:t>
      </w:r>
    </w:p>
    <w:p>
      <w:pPr>
        <w:numPr>
          <w:ilvl w:val="0"/>
          <w:numId w:val="1340"/>
        </w:numPr>
        <w:pStyle w:val="Compact"/>
      </w:pPr>
      <w:r>
        <w:rPr>
          <w:bCs/>
          <w:b/>
        </w:rPr>
        <w:t xml:space="preserve">Os estudos randomizados</w:t>
      </w:r>
      <w:r>
        <w:t xml:space="preserve"> </w:t>
      </w:r>
      <w:r>
        <w:t xml:space="preserve">não mostram, no geral, influência sobre o risco de câncer. Esse é o resultado mais confiável, mas os estudos são curtos demais para câncer.</w:t>
      </w:r>
    </w:p>
    <w:p>
      <w:pPr>
        <w:numPr>
          <w:ilvl w:val="0"/>
          <w:numId w:val="1340"/>
        </w:numPr>
        <w:pStyle w:val="Compact"/>
      </w:pPr>
      <w:r>
        <w:rPr>
          <w:bCs/>
          <w:b/>
        </w:rPr>
        <w:t xml:space="preserve">Os grandes estudos observacionais</w:t>
      </w:r>
      <w:r>
        <w:t xml:space="preserve"> </w:t>
      </w:r>
      <w:r>
        <w:t xml:space="preserve">mostram, antes, menos câncer com medicamentos de GLP-1. Isso se encaixa na ideia de que a perda de peso reduz os cânceres relacionados ao excesso de peso. Mas pode também se dever ao fato de que pessoas que recebem esses medicamentos diferem em muitos aspectos dos grupos de comparação. Um acompanhamento de dois anos é muito curto para uma afirmação sobre prevenção do câncer.</w:t>
      </w:r>
    </w:p>
    <w:p>
      <w:pPr>
        <w:numPr>
          <w:ilvl w:val="0"/>
          <w:numId w:val="1340"/>
        </w:numPr>
        <w:pStyle w:val="Compact"/>
      </w:pPr>
      <w:r>
        <w:rPr>
          <w:bCs/>
          <w:b/>
        </w:rPr>
        <w:t xml:space="preserve">O câncer renal</w:t>
      </w:r>
      <w:r>
        <w:t xml:space="preserve"> </w:t>
      </w:r>
      <w:r>
        <w:t xml:space="preserve">aparece em dois estudos de coorte como possível sinal. Se é um efeito real, ainda está por se ver.</w:t>
      </w:r>
    </w:p>
    <w:p>
      <w:pPr>
        <w:numPr>
          <w:ilvl w:val="0"/>
          <w:numId w:val="1340"/>
        </w:numPr>
        <w:pStyle w:val="Compact"/>
      </w:pPr>
      <w:r>
        <w:rPr>
          <w:bCs/>
          <w:b/>
        </w:rPr>
        <w:t xml:space="preserve">O câncer de tireoide</w:t>
      </w:r>
      <w:r>
        <w:t xml:space="preserve"> </w:t>
      </w:r>
      <w:r>
        <w:t xml:space="preserve">continua sendo a questão em aberto, como descrito acima.</w:t>
      </w:r>
    </w:p>
    <w:p>
      <w:pPr>
        <w:pStyle w:val="FirstParagraph"/>
      </w:pPr>
      <w:r>
        <w:t xml:space="preserve">Se os medicamentos de GLP-1 realmente protegem contra o câncer não pode ser dito com os dados disponíveis. Para a questão de se eles causam câncer, vale segundo o conhecimento atual: para a maioria dos tipos de câncer, não; para tireoide e rins, a questão não está definitivamente esclarecida. Para os novos agonistas múltiplos, como retatrutida, survodutida ou mazdutida, ainda há poucos anos de tratamento para fazer afirmações próprias.</w:t>
      </w:r>
    </w:p>
    <w:bookmarkEnd w:id="2700"/>
    <w:bookmarkStart w:id="2701" w:name="o-essencial-em-resumo-5"/>
    <w:p>
      <w:pPr>
        <w:pStyle w:val="Heading3"/>
      </w:pPr>
      <w:r>
        <w:t xml:space="preserve">O essencial em resumo</w:t>
      </w:r>
    </w:p>
    <w:p>
      <w:pPr>
        <w:numPr>
          <w:ilvl w:val="0"/>
          <w:numId w:val="1341"/>
        </w:numPr>
        <w:pStyle w:val="Compact"/>
      </w:pPr>
      <w:r>
        <w:t xml:space="preserve">Os melhores dados sobre risco de câncer existem justamente para os peptídeos em que a preocupação parece menos fundamentada: os medicamentos de GLP-1 aprovados. Para a maioria dos tipos de câncer, eles não mostram risco aumentado; o sinal da tireoide não está esclarecido.</w:t>
      </w:r>
    </w:p>
    <w:p>
      <w:pPr>
        <w:numPr>
          <w:ilvl w:val="0"/>
          <w:numId w:val="1341"/>
        </w:numPr>
        <w:pStyle w:val="Compact"/>
      </w:pPr>
      <w:r>
        <w:t xml:space="preserve">No eixo hormônio do crescimento–IGF-1, uma associação moderada entre níveis de IGF-1 permanentemente mais altos e alguns tipos de câncer está bem comprovada. Para pessoas saudáveis que elevam artificialmente o IGF-1 por anos, faltam estudos.</w:t>
      </w:r>
    </w:p>
    <w:p>
      <w:pPr>
        <w:numPr>
          <w:ilvl w:val="0"/>
          <w:numId w:val="1341"/>
        </w:numPr>
        <w:pStyle w:val="Compact"/>
      </w:pPr>
      <w:r>
        <w:t xml:space="preserve">Para BPC-157, TB-500, Epitalon, humanina, Dihexa e substâncias semelhantes, há apenas indícios teóricos e de experimentos com animais – nas duas direções. Não existem dados de longo prazo sobre carcinogênese.</w:t>
      </w:r>
    </w:p>
    <w:p>
      <w:pPr>
        <w:numPr>
          <w:ilvl w:val="0"/>
          <w:numId w:val="1341"/>
        </w:numPr>
        <w:pStyle w:val="Compact"/>
      </w:pPr>
      <w:r>
        <w:t xml:space="preserve">Com Melanotan II, há relatos de caso de melanoma, mas nenhum dado de frequência. Com a afamelanotida aprovada, pequenos estudos não encontraram alterações malignas.</w:t>
      </w:r>
    </w:p>
    <w:p>
      <w:pPr>
        <w:numPr>
          <w:ilvl w:val="0"/>
          <w:numId w:val="1341"/>
        </w:numPr>
        <w:pStyle w:val="Compact"/>
      </w:pPr>
      <w:r>
        <w:t xml:space="preserve">Para pessoas com câncer ativo ou prévio, todos os peptídeos que favorecem o crescimento são particularmente problemáticos sem acompanhamento médico.</w:t>
      </w:r>
    </w:p>
    <w:bookmarkEnd w:id="2701"/>
    <w:bookmarkEnd w:id="2702"/>
    <w:bookmarkStart w:id="2733" w:name="reações-imunológicas-e-anticorpos"/>
    <w:p>
      <w:pPr>
        <w:pStyle w:val="Heading2"/>
      </w:pPr>
      <w:r>
        <w:t xml:space="preserve">Reações imunológicas e anticorpos</w:t>
      </w:r>
    </w:p>
    <w:p>
      <w:pPr>
        <w:pStyle w:val="FirstParagraph"/>
      </w:pPr>
      <w:r>
        <w:t xml:space="preserve">O sistema imunológico tem a tarefa de reconhecer o que é estranho. Os peptídeos estão, nesse aspecto, em uma fronteira: muitos são cópias de mensageiros do próprio corpo, mas quimicamente modificados para agir por mais tempo. Outros vêm de animais, de bactérias ou do laboratório. Soma-se a isso que a maioria dos peptídeos é injetada sob a pele – um local onde um número especialmente grande de células de defesa aguarda invasores.</w:t>
      </w:r>
    </w:p>
    <w:p>
      <w:pPr>
        <w:pStyle w:val="BodyText"/>
      </w:pPr>
      <w:r>
        <w:t xml:space="preserve">As reações imunológicas a peptídeos vão de vermelhidões inofensivas no local da injeção, passando por anticorpos que só se percebem no laboratório, até raras reações alérgicas potencialmente fatais. Este capítulo organiza essas reações, compara os peptídeos e mostra o papel das impurezas.</w:t>
      </w:r>
    </w:p>
    <w:bookmarkStart w:id="2704" w:name="X961a60ddf253133601399504f4ccc2cd369eddc"/>
    <w:p>
      <w:pPr>
        <w:pStyle w:val="Heading3"/>
      </w:pPr>
      <w:r>
        <w:t xml:space="preserve">Por que peptídeos podem desencadear uma reação imunológica</w:t>
      </w:r>
    </w:p>
    <w:p>
      <w:pPr>
        <w:pStyle w:val="FirstParagraph"/>
      </w:pPr>
      <w:r>
        <w:t xml:space="preserve">Se o sistema imunológico classifica um peptídeo como estranho depende de vários fatores:</w:t>
      </w:r>
    </w:p>
    <w:p>
      <w:pPr>
        <w:numPr>
          <w:ilvl w:val="0"/>
          <w:numId w:val="1342"/>
        </w:numPr>
        <w:pStyle w:val="Compact"/>
      </w:pPr>
      <w:r>
        <w:rPr>
          <w:bCs/>
          <w:b/>
        </w:rPr>
        <w:t xml:space="preserve">Origem e semelhança com o que é do próprio corpo.</w:t>
      </w:r>
      <w:r>
        <w:t xml:space="preserve"> </w:t>
      </w:r>
      <w:r>
        <w:t xml:space="preserve">A exenatida foi desenvolvida a partir de um peptídeo da saliva de um lagarto e difere claramente do GLP-1 humano. A liraglutida e a semaglutida, por outro lado, são em grande parte cópias do hormônio humano.</w:t>
      </w:r>
    </w:p>
    <w:p>
      <w:pPr>
        <w:numPr>
          <w:ilvl w:val="0"/>
          <w:numId w:val="1342"/>
        </w:numPr>
        <w:pStyle w:val="Compact"/>
      </w:pPr>
      <w:r>
        <w:rPr>
          <w:bCs/>
          <w:b/>
        </w:rPr>
        <w:t xml:space="preserve">Tamanho e modificações.</w:t>
      </w:r>
      <w:r>
        <w:t xml:space="preserve"> </w:t>
      </w:r>
      <w:r>
        <w:t xml:space="preserve">Moléculas mais longas, ácidos graxos acoplados, ligantes ou componentes de anticorpos (como na maridebarte cafraglutida) oferecem mais superfície de ataque.</w:t>
      </w:r>
    </w:p>
    <w:p>
      <w:pPr>
        <w:numPr>
          <w:ilvl w:val="0"/>
          <w:numId w:val="1342"/>
        </w:numPr>
        <w:pStyle w:val="Compact"/>
      </w:pPr>
      <w:r>
        <w:rPr>
          <w:bCs/>
          <w:b/>
        </w:rPr>
        <w:t xml:space="preserve">Agregação.</w:t>
      </w:r>
      <w:r>
        <w:t xml:space="preserve"> </w:t>
      </w:r>
      <w:r>
        <w:t xml:space="preserve">Peptídeos podem se agrupar em agregados maiores, que o sistema imunológico reconhece com mais facilidade.</w:t>
      </w:r>
    </w:p>
    <w:p>
      <w:pPr>
        <w:numPr>
          <w:ilvl w:val="0"/>
          <w:numId w:val="1342"/>
        </w:numPr>
        <w:pStyle w:val="Compact"/>
      </w:pPr>
      <w:r>
        <w:rPr>
          <w:bCs/>
          <w:b/>
        </w:rPr>
        <w:t xml:space="preserve">Impurezas.</w:t>
      </w:r>
      <w:r>
        <w:t xml:space="preserve"> </w:t>
      </w:r>
      <w:r>
        <w:t xml:space="preserve">Mesmo pequenas quantidades de fragmentos de peptídeos fabricados com defeito ou de componentes bacterianos podem desencadear uma reação de defesa (mais sobre isso abaixo).</w:t>
      </w:r>
    </w:p>
    <w:p>
      <w:pPr>
        <w:numPr>
          <w:ilvl w:val="0"/>
          <w:numId w:val="1342"/>
        </w:numPr>
        <w:pStyle w:val="Compact"/>
      </w:pPr>
      <w:r>
        <w:rPr>
          <w:bCs/>
          <w:b/>
        </w:rPr>
        <w:t xml:space="preserve">Frequência e duração do uso.</w:t>
      </w:r>
      <w:r>
        <w:t xml:space="preserve"> </w:t>
      </w:r>
      <w:r>
        <w:t xml:space="preserve">Quem injeta um peptídeo repetidamente por meses dá ao sistema imunológico muitas oportunidades de reagir a ele.</w:t>
      </w:r>
    </w:p>
    <w:p>
      <w:pPr>
        <w:pStyle w:val="FirstParagraph"/>
      </w:pPr>
      <w:r>
        <w:t xml:space="preserve">Para a avaliação de anticorpos contra medicamentos – os especialistas falam de anticorpos antidroga (ADA) – estabeleceu-se uma linguagem padronizada</w:t>
      </w:r>
      <w:r>
        <w:rPr>
          <w:rStyle w:val="FootnoteReference"/>
        </w:rPr>
        <w:footnoteReference w:id="2703"/>
      </w:r>
      <w:r>
        <w:t xml:space="preserve">. Quatro perguntas são importantes: quantos tratados formam anticorpos? Qual é a quantidade (o título)? Os anticorpos inibem o efeito (anticorpos neutralizantes)? E reagem também com o hormônio do próprio corpo (reatividade cruzada)? O último ponto seria o mais preocupante: anticorpos que bloqueiam não só o medicamento, mas também o próprio hormônio, poderiam deixar um distúrbio permanente.</w:t>
      </w:r>
    </w:p>
    <w:bookmarkEnd w:id="2704"/>
    <w:bookmarkStart w:id="2707" w:name="X9bb202806b37116e6504293c1f3cd6ceeb5f177"/>
    <w:p>
      <w:pPr>
        <w:pStyle w:val="Heading3"/>
      </w:pPr>
      <w:r>
        <w:t xml:space="preserve">Anticorpos antidroga: o que os estudos mostram</w:t>
      </w:r>
    </w:p>
    <w:p>
      <w:pPr>
        <w:pStyle w:val="FirstParagraph"/>
      </w:pPr>
      <w:r>
        <w:t xml:space="preserve">Para os medicamentos de GLP-1 aprovados, há investigações sistemáticas. Elas mostram com que frequência variável os anticorpos surgem – e que uma frequência alta não significa automaticamente um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Substância</w:t>
            </w:r>
          </w:p>
        </w:tc>
        <w:tc>
          <w:tcPr/>
          <w:p>
            <w:pPr>
              <w:pStyle w:val="Compact"/>
              <w:jc w:val="left"/>
            </w:pPr>
            <w:r>
              <w:t xml:space="preserve">Anticorpos em</w:t>
            </w:r>
          </w:p>
        </w:tc>
        <w:tc>
          <w:tcPr/>
          <w:p>
            <w:pPr>
              <w:pStyle w:val="Compact"/>
              <w:jc w:val="left"/>
            </w:pPr>
            <w:r>
              <w:t xml:space="preserve">Consequências</w:t>
            </w:r>
          </w:p>
        </w:tc>
        <w:tc>
          <w:tcPr/>
          <w:p>
            <w:pPr>
              <w:pStyle w:val="Compact"/>
              <w:jc w:val="left"/>
            </w:pPr>
            <w:r>
              <w:t xml:space="preserve">Fonte</w:t>
            </w:r>
          </w:p>
        </w:tc>
      </w:tr>
      <w:tr>
        <w:tc>
          <w:tcPr/>
          <w:p>
            <w:pPr>
              <w:pStyle w:val="Compact"/>
              <w:jc w:val="left"/>
            </w:pPr>
            <w:r>
              <w:t xml:space="preserve">Exenatida</w:t>
            </w:r>
          </w:p>
        </w:tc>
        <w:tc>
          <w:tcPr/>
          <w:p>
            <w:pPr>
              <w:pStyle w:val="Compact"/>
              <w:jc w:val="left"/>
            </w:pPr>
            <w:r>
              <w:t xml:space="preserve">61% após 26 semanas (LEAD-6)</w:t>
            </w:r>
          </w:p>
        </w:tc>
        <w:tc>
          <w:tcPr/>
          <w:p>
            <w:pPr>
              <w:pStyle w:val="Compact"/>
              <w:jc w:val="left"/>
            </w:pPr>
            <w:r>
              <w:t xml:space="preserve">títulos altos: menor redução da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títulos baixos</w:t>
            </w:r>
          </w:p>
        </w:tc>
        <w:tc>
          <w:tcPr/>
          <w:p>
            <w:pPr>
              <w:pStyle w:val="Compact"/>
              <w:jc w:val="left"/>
            </w:pPr>
            <w:r>
              <w:t xml:space="preserve">nenhuma atenuação do efeito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neutralizantes 0,9%</w:t>
            </w:r>
          </w:p>
        </w:tc>
        <w:tc>
          <w:tcPr/>
          <w:p>
            <w:pPr>
              <w:pStyle w:val="Compact"/>
              <w:jc w:val="left"/>
            </w:pPr>
            <w:r>
              <w:t xml:space="preserve">nenhuma hipersensibilidade nos positivos para anticorpos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neutralizantes cerca de 2%</w:t>
            </w:r>
          </w:p>
        </w:tc>
        <w:tc>
          <w:tcPr/>
          <w:p>
            <w:pPr>
              <w:pStyle w:val="Compact"/>
              <w:jc w:val="left"/>
            </w:pPr>
            <w:r>
              <w:t xml:space="preserve">nenhuma atenuação do efeito; mais reações cutâneas e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crianças</w:t>
            </w:r>
          </w:p>
        </w:tc>
        <w:tc>
          <w:tcPr/>
          <w:p>
            <w:pPr>
              <w:pStyle w:val="Compact"/>
              <w:jc w:val="left"/>
            </w:pPr>
            <w:r>
              <w:t xml:space="preserve">nenhuma consequência perceptível</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nenhum em 12 semanas</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A</w:t>
      </w:r>
      <w:r>
        <w:t xml:space="preserve"> </w:t>
      </w:r>
      <w:r>
        <w:rPr>
          <w:bCs/>
          <w:b/>
        </w:rPr>
        <w:t xml:space="preserve">exenatida</w:t>
      </w:r>
      <w:r>
        <w:t xml:space="preserve"> </w:t>
      </w:r>
      <w:r>
        <w:t xml:space="preserve">é o exemplo clássico de um peptídeo que, por sua origem não humana, provoca anticorpos com frequência. No estudo LEAD-6, após 26 semanas, 113 de 185 tratados tinham anticorpos contra a exenatida; níveis altos de anticorpos estiveram associados a uma redução significativamente menor da glicemia de longo prazo. Após a troca para liraglutida, esses anticorpos não prejudicaram o efeito subsequente</w:t>
      </w:r>
      <w:r>
        <w:rPr>
          <w:rStyle w:val="FootnoteReference"/>
        </w:rPr>
        <w:footnoteReference w:id="2705"/>
      </w:r>
      <w:r>
        <w:t xml:space="preserve">.</w:t>
      </w:r>
    </w:p>
    <w:p>
      <w:pPr>
        <w:pStyle w:val="BodyText"/>
      </w:pPr>
      <w:r>
        <w:t xml:space="preserve">A</w:t>
      </w:r>
      <w:r>
        <w:t xml:space="preserve"> </w:t>
      </w:r>
      <w:r>
        <w:rPr>
          <w:bCs/>
          <w:b/>
        </w:rPr>
        <w:t xml:space="preserve">tirzepatida</w:t>
      </w:r>
      <w:r>
        <w:t xml:space="preserve"> </w:t>
      </w:r>
      <w:r>
        <w:t xml:space="preserve">mostra que também um peptídeo copiado do humano pode ser reconhecido com frequência. Em sete estudos de fase 3 com 5.025 participantes avaliáveis, 51,1% formaram anticorpos durante o tratamento. Anticorpos neutralizantes contra o efeito no receptor de GIP e no de GLP-1 foram encontrados em 1,9% e 2,1%, respectivamente, e aqueles que também neutralizavam os hormônios do próprio corpo em menos de 1%. Isso não teve influência sobre os níveis sanguíneos nem sobre o efeito. No entanto, participantes positivos para anticorpos tiveram com mais frequência reações de hipersensibilidade e reações no local da injeção, em geral leves a moderadas</w:t>
      </w:r>
      <w:r>
        <w:rPr>
          <w:rStyle w:val="FootnoteReference"/>
        </w:rPr>
        <w:footnoteReference w:id="2706"/>
      </w:r>
      <w:r>
        <w:t xml:space="preserve">.</w:t>
      </w:r>
    </w:p>
    <w:p>
      <w:pPr>
        <w:pStyle w:val="BodyText"/>
      </w:pPr>
      <w:r>
        <w:t xml:space="preserve">Para as substâncias mais novas – retatrutida, survodutida, mazdutida, cagrilintida, amicretina e a maridebarte cafraglutida, baseada em anticorpo – análises consolidadas comparáveis ainda não foram publicadas. Na maridebarte cafraglutida, isso é particularmente relevante, porque medicamentos à base de anticorpos podem ter uma imunogenicidade própria (capítulo Maridebarte cafraglutida).</w:t>
      </w:r>
    </w:p>
    <w:p>
      <w:pPr>
        <w:pStyle w:val="BodyText"/>
      </w:pPr>
      <w:r>
        <w:t xml:space="preserve">Para a maioria dos peptídeos do mercado cinza, não há absolutamente nenhum dado sobre anticorpos. Isso vale para BPC-157, TB-500, CJC-1295, ipamorelina, MOTS-c, humanina, Epitalon e muitos outros. Nos capítulos sobre MOTS-c, humanina e FOXO4-DRI, aponta-se que anticorpos são concebíveis com injeções repetidas, mas nunca foram investigados. Quem injeta essas substâncias por meses não pode, portanto, saber se o seu corpo forma anticorpos e o que eles provocam.</w:t>
      </w:r>
    </w:p>
    <w:bookmarkEnd w:id="2707"/>
    <w:bookmarkStart w:id="2711" w:name="reações-no-local-da-injeção"/>
    <w:p>
      <w:pPr>
        <w:pStyle w:val="Heading3"/>
      </w:pPr>
      <w:r>
        <w:t xml:space="preserve">Reações no local da injeção</w:t>
      </w:r>
    </w:p>
    <w:p>
      <w:pPr>
        <w:pStyle w:val="FirstParagraph"/>
      </w:pPr>
      <w:r>
        <w:t xml:space="preserve">Vermelhidão, coceira, inchaço, pequenos hematomas ou nódulos palpáveis no local da injeção são as reações imunológicas e teciduais mais frequentes a peptídeos injetados. Uma metanálise de 14 estudos randomizados com 4.861 participantes encontrou, com agonistas do receptor de GLP-1, um risco cerca de três vezes e meia maior de tais reações em comparação com os grupos de comparação (risco relativo 3,55). No banco de dados de notificações dos EUA, chamaram a atenção sobretudo a exenatida e a dulaglutida, com sangramentos no local da injeção</w:t>
      </w:r>
      <w:r>
        <w:rPr>
          <w:rStyle w:val="FootnoteReference"/>
        </w:rPr>
        <w:footnoteReference w:id="2708"/>
      </w:r>
      <w:r>
        <w:t xml:space="preserve">.</w:t>
      </w:r>
    </w:p>
    <w:p>
      <w:pPr>
        <w:pStyle w:val="BodyText"/>
      </w:pPr>
      <w:r>
        <w:t xml:space="preserve">A frequência difere consideravelmente entre os peptídeos: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Peptídeo</w:t>
            </w:r>
          </w:p>
        </w:tc>
        <w:tc>
          <w:tcPr/>
          <w:p>
            <w:pPr>
              <w:pStyle w:val="Compact"/>
              <w:jc w:val="left"/>
            </w:pPr>
            <w:r>
              <w:t xml:space="preserve">Reações no local da injeção</w:t>
            </w:r>
          </w:p>
        </w:tc>
        <w:tc>
          <w:tcPr/>
          <w:p>
            <w:pPr>
              <w:pStyle w:val="Compact"/>
              <w:jc w:val="left"/>
            </w:pPr>
            <w:r>
              <w:t xml:space="preserve">Fonte</w:t>
            </w:r>
          </w:p>
        </w:tc>
      </w:tr>
      <w:tr>
        <w:tc>
          <w:tcPr/>
          <w:p>
            <w:pPr>
              <w:pStyle w:val="Compact"/>
              <w:jc w:val="left"/>
            </w:pPr>
            <w:r>
              <w:t xml:space="preserve">Setmelanotida</w:t>
            </w:r>
          </w:p>
        </w:tc>
        <w:tc>
          <w:tcPr/>
          <w:p>
            <w:pPr>
              <w:pStyle w:val="Compact"/>
              <w:jc w:val="left"/>
            </w:pPr>
            <w:r>
              <w:t xml:space="preserve">96% (metanálise, 7 estudos)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em geral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alterações do tecido adiposo em 32%</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vs. 0,5% com placebo</w:t>
            </w:r>
          </w:p>
        </w:tc>
        <w:tc>
          <w:tcPr/>
          <w:p>
            <w:pPr>
              <w:pStyle w:val="Compact"/>
              <w:jc w:val="left"/>
            </w:pPr>
            <w:r>
              <w:t xml:space="preserve">Clayton 2022, PMID 35147466</w:t>
            </w:r>
          </w:p>
        </w:tc>
      </w:tr>
    </w:tbl>
    <w:p>
      <w:pPr>
        <w:pStyle w:val="BodyText"/>
      </w:pPr>
      <w:r>
        <w:t xml:space="preserve">Na forma semanal da exenatida, formam-se frequentemente pequenos nódulos, porque as microesferas que liberam a substância lentamente são degradadas sob a pele. Na análise de cinco anos do DURATION-1, essas reações se tornaram mais raras com o tempo</w:t>
      </w:r>
      <w:r>
        <w:rPr>
          <w:rStyle w:val="FootnoteReference"/>
        </w:rPr>
        <w:footnoteReference w:id="2709"/>
      </w:r>
      <w:r>
        <w:t xml:space="preserve">. Na mecasermina, tratava-se de um espessamento do tecido adiposo no local da injeção (lipo-hipertrofia).</w:t>
      </w:r>
    </w:p>
    <w:p>
      <w:pPr>
        <w:pStyle w:val="BodyText"/>
      </w:pPr>
      <w:r>
        <w:t xml:space="preserve">Importante é a distinção da</w:t>
      </w:r>
      <w:r>
        <w:t xml:space="preserve"> </w:t>
      </w:r>
      <w:r>
        <w:rPr>
          <w:bCs/>
          <w:b/>
        </w:rPr>
        <w:t xml:space="preserve">infecção</w:t>
      </w:r>
      <w:r>
        <w:t xml:space="preserve">. Uma vermelhidão que aumenta ao longo de dias, fica quente, dói, supura ou vem acompanhada de febre não é uma reação inofensiva. Após injeções de Argireline na testa e nas têmporas, uma mulher de 45 anos desenvolveu nódulos e abscessos; a causa foi a bactéria de difícil tratamento</w:t>
      </w:r>
      <w:r>
        <w:t xml:space="preserve"> </w:t>
      </w:r>
      <w:r>
        <w:rPr>
          <w:iCs/>
          <w:i/>
        </w:rPr>
        <w:t xml:space="preserve">Mycobacterium abscessus</w:t>
      </w:r>
      <w:r>
        <w:t xml:space="preserve">, e o tratamento durou cinco meses</w:t>
      </w:r>
      <w:r>
        <w:rPr>
          <w:rStyle w:val="FootnoteReference"/>
        </w:rPr>
        <w:footnoteReference w:id="2710"/>
      </w:r>
      <w:r>
        <w:t xml:space="preserve">. Essas infecções em geral não vêm do peptídeo, mas de produtos ou procedimentos não estéreis – mais sobre isso no capítulo</w:t>
      </w:r>
      <w:r>
        <w:t xml:space="preserve"> </w:t>
      </w:r>
      <w:r>
        <w:t xml:space="preserve">“</w:t>
      </w:r>
      <w:r>
        <w:t xml:space="preserve">Produtos do mercado cinza</w:t>
      </w:r>
      <w:r>
        <w:t xml:space="preserve">”</w:t>
      </w:r>
      <w:r>
        <w:t xml:space="preserve">.</w:t>
      </w:r>
    </w:p>
    <w:bookmarkEnd w:id="2711"/>
    <w:bookmarkStart w:id="2720" w:name="reações-alérgicas-e-anafilaxia"/>
    <w:p>
      <w:pPr>
        <w:pStyle w:val="Heading3"/>
      </w:pPr>
      <w:r>
        <w:t xml:space="preserve">Reações alérgicas e anafilaxia</w:t>
      </w:r>
    </w:p>
    <w:p>
      <w:pPr>
        <w:pStyle w:val="FirstParagraph"/>
      </w:pPr>
      <w:r>
        <w:t xml:space="preserve">Uma anafilaxia é uma reação alérgica grave, que afeta o corpo todo, com erupção cutânea, inchaços, falta de ar e colapso circulatório. É rara com medicamentos peptídicos, mas ocorre.</w:t>
      </w:r>
    </w:p>
    <w:p>
      <w:pPr>
        <w:pStyle w:val="BodyText"/>
      </w:pPr>
      <w:r>
        <w:t xml:space="preserve">Para os medicamentos de GLP-1, há grandes estudos de bancos de dados sobre isso. Em três bancos de dados de seguradoras dos EUA, com 696.089 novos usuários, a frequência de anafilaxia ficou, conforme a substância, entre 1,0 (lixisenatida) e 6,0 (exenatida) casos por 10.000 pessoas-ano; os autores avaliam a anafilaxia com medicamentos de GLP-1 como rara</w:t>
      </w:r>
      <w:r>
        <w:rPr>
          <w:rStyle w:val="FootnoteReference"/>
        </w:rPr>
        <w:footnoteReference w:id="2712"/>
      </w:r>
      <w:r>
        <w:t xml:space="preserve">. Um estudo do Reino Unido e dos EUA comparou agonistas do receptor de GLP-1 com dois outros grupos de antidiabéticos. Em relação aos inibidores da DPP-4, o risco não estava comprovadamente aumentado (hazard ratio 1,15); em relação aos inibidores do SGLT2, estava 38% maior (40,7 contra 29,4 casos por 100.000 pessoas-ano)</w:t>
      </w:r>
      <w:r>
        <w:rPr>
          <w:rStyle w:val="FootnoteReference"/>
        </w:rPr>
        <w:footnoteReference w:id="2713"/>
      </w:r>
      <w:r>
        <w:t xml:space="preserve">. É um aumento relativo em uma reação absolutamente muito rara.</w:t>
      </w:r>
    </w:p>
    <w:p>
      <w:pPr>
        <w:pStyle w:val="BodyText"/>
      </w:pPr>
      <w:r>
        <w:t xml:space="preserve">Casos isolados mostram como essas reações podem ser:</w:t>
      </w:r>
    </w:p>
    <w:p>
      <w:pPr>
        <w:numPr>
          <w:ilvl w:val="0"/>
          <w:numId w:val="1343"/>
        </w:numPr>
        <w:pStyle w:val="Compact"/>
      </w:pPr>
      <w:r>
        <w:t xml:space="preserve">Relatos de caso descrevem anafilaxia com a forma semanal da exenatida</w:t>
      </w:r>
      <w:r>
        <w:rPr>
          <w:rStyle w:val="FootnoteReference"/>
        </w:rPr>
        <w:footnoteReference w:id="2714"/>
      </w:r>
      <w:r>
        <w:t xml:space="preserve"> </w:t>
      </w:r>
      <w:r>
        <w:t xml:space="preserve">e uma reação alérgica à exenatida e à lixisenatida, mas não à liraglutida</w:t>
      </w:r>
      <w:r>
        <w:rPr>
          <w:rStyle w:val="FootnoteReference"/>
        </w:rPr>
        <w:footnoteReference w:id="2715"/>
      </w:r>
      <w:r>
        <w:t xml:space="preserve"> </w:t>
      </w:r>
      <w:r>
        <w:t xml:space="preserve">– um indício de que as substâncias derivadas de lagartos são reconhecidas de forma diferente das semelhantes às humanas.</w:t>
      </w:r>
    </w:p>
    <w:p>
      <w:pPr>
        <w:numPr>
          <w:ilvl w:val="0"/>
          <w:numId w:val="1343"/>
        </w:numPr>
        <w:pStyle w:val="Compact"/>
      </w:pPr>
      <w:r>
        <w:t xml:space="preserve">Com tirzepatida, está descrita uma anafilaxia bifásica, em que os sintomas voltaram após uma melhora inicial</w:t>
      </w:r>
      <w:r>
        <w:rPr>
          <w:rStyle w:val="FootnoteReference"/>
        </w:rPr>
        <w:footnoteReference w:id="2716"/>
      </w:r>
      <w:r>
        <w:t xml:space="preserve">.</w:t>
      </w:r>
    </w:p>
    <w:p>
      <w:pPr>
        <w:numPr>
          <w:ilvl w:val="0"/>
          <w:numId w:val="1343"/>
        </w:numPr>
        <w:pStyle w:val="Compact"/>
      </w:pPr>
      <w:r>
        <w:t xml:space="preserve">Uma mulher de 50 anos desenvolveu, quatro horas após sua primeira injeção de semaglutida de uma farmácia de manipulação, um inchaço maciço de lábios, língua e garganta e precisou de ventilação mecânica por quatro dias. Só depois se descobriu que ela havia injetado acidentalmente dez vezes a quantidade</w:t>
      </w:r>
      <w:r>
        <w:rPr>
          <w:rStyle w:val="FootnoteReference"/>
        </w:rPr>
        <w:footnoteReference w:id="2717"/>
      </w:r>
      <w:r>
        <w:t xml:space="preserve">.</w:t>
      </w:r>
    </w:p>
    <w:p>
      <w:pPr>
        <w:numPr>
          <w:ilvl w:val="0"/>
          <w:numId w:val="1343"/>
        </w:numPr>
        <w:pStyle w:val="Compact"/>
      </w:pPr>
      <w:r>
        <w:t xml:space="preserve">Após uma infusão de Cerebrolysin, um homem de 85 anos desenvolveu uma anafilaxia potencialmente fatal, confirmada em laboratório</w:t>
      </w:r>
      <w:r>
        <w:rPr>
          <w:rStyle w:val="FootnoteReference"/>
        </w:rPr>
        <w:footnoteReference w:id="2718"/>
      </w:r>
      <w:r>
        <w:t xml:space="preserve">. O Cerebrolysin é uma mistura de peptídeos de cérebro de porco; extratos animais como este ou o timalina trazem, por princípio, mais proteínas estranhas (capítulos Cerebrolysin, Timalina).</w:t>
      </w:r>
    </w:p>
    <w:p>
      <w:pPr>
        <w:pStyle w:val="FirstParagraph"/>
      </w:pPr>
      <w:r>
        <w:t xml:space="preserve">Também com peptídeos cosméticos alergias são possíveis, ainda que raras. Em um pequeno estudo com um creme que continha, entre outros, palmitoil pentapeptídeo-4, houve suspeita de uma reação alérgica; qual componente foi responsável ficou em aberto</w:t>
      </w:r>
      <w:r>
        <w:rPr>
          <w:rStyle w:val="FootnoteReference"/>
        </w:rPr>
        <w:footnoteReference w:id="2719"/>
      </w:r>
      <w:r>
        <w:t xml:space="preserve">.</w:t>
      </w:r>
    </w:p>
    <w:p>
      <w:pPr>
        <w:pStyle w:val="BodyText"/>
      </w:pPr>
      <w:r>
        <w:t xml:space="preserve">Para peptídeos do mercado cinza, não há dados de frequência. O risco de uma reação alérgica grave, porém, existe ali em grau especial, porque o uso em geral ocorre sem supervisão médica e, em caso de emergência, ninguém está pronto com medicamentos de emergência. Falta de ar, inchaços no rosto ou na garganta e problemas circulatórios após uma injeção são sempre uma emergência.</w:t>
      </w:r>
    </w:p>
    <w:bookmarkEnd w:id="2720"/>
    <w:bookmarkStart w:id="2725" w:name="reações-inflamatórias-e-autoimunes"/>
    <w:p>
      <w:pPr>
        <w:pStyle w:val="Heading3"/>
      </w:pPr>
      <w:r>
        <w:t xml:space="preserve">Reações inflamatórias e autoimunes</w:t>
      </w:r>
    </w:p>
    <w:p>
      <w:pPr>
        <w:pStyle w:val="FirstParagraph"/>
      </w:pPr>
      <w:r>
        <w:t xml:space="preserve">Alguns peptídeos fazem eles próprios parte do sistema imunológico. Isso os torna interessantes, mas também arriscados.</w:t>
      </w:r>
    </w:p>
    <w:p>
      <w:pPr>
        <w:pStyle w:val="BodyText"/>
      </w:pPr>
      <w:r>
        <w:t xml:space="preserve">O</w:t>
      </w:r>
      <w:r>
        <w:t xml:space="preserve"> </w:t>
      </w:r>
      <w:r>
        <w:rPr>
          <w:bCs/>
          <w:b/>
        </w:rPr>
        <w:t xml:space="preserve">LL-37</w:t>
      </w:r>
      <w:r>
        <w:t xml:space="preserve"> </w:t>
      </w:r>
      <w:r>
        <w:t xml:space="preserve">é um peptídeo de defesa do próprio corpo. Na psoríase, ele tem um papel-chave: liga-se ao material genético do próprio corpo e o torna visível para determinadas células imunológicas, que em seguida liberam mensageiros inflamatórios</w:t>
      </w:r>
      <w:r>
        <w:rPr>
          <w:rStyle w:val="FootnoteReference"/>
        </w:rPr>
        <w:footnoteReference w:id="2721"/>
      </w:r>
      <w:r>
        <w:t xml:space="preserve">. Em dois terços das pessoas com psoríase moderada a grave, encontraram-se células T que reconhecem especificamente o LL-37 – ali ele age, portanto, como um autoantígeno</w:t>
      </w:r>
      <w:r>
        <w:rPr>
          <w:rStyle w:val="FootnoteReference"/>
        </w:rPr>
        <w:footnoteReference w:id="2722"/>
      </w:r>
      <w:r>
        <w:t xml:space="preserve">. Após injeções de LL-37 em metástases cutâneas, surgiram em uma paciente lesões cutâneas inflamatórias semelhantes a verrugas</w:t>
      </w:r>
      <w:r>
        <w:rPr>
          <w:rStyle w:val="FootnoteReference"/>
        </w:rPr>
        <w:footnoteReference w:id="2723"/>
      </w:r>
      <w:r>
        <w:t xml:space="preserve">. Para pessoas com psoríase, rosácea ou outras doenças autoimunes, esse é um indício a ser levado a sério (capítulo LL-37).</w:t>
      </w:r>
    </w:p>
    <w:p>
      <w:pPr>
        <w:pStyle w:val="BodyText"/>
      </w:pPr>
      <w:r>
        <w:rPr>
          <w:bCs/>
          <w:b/>
        </w:rPr>
        <w:t xml:space="preserve">Peptídeos imunoestimulantes</w:t>
      </w:r>
      <w:r>
        <w:t xml:space="preserve"> </w:t>
      </w:r>
      <w:r>
        <w:t xml:space="preserve">como a timosina alfa-1 e o timalina supostamente estimulam a defesa. Se isso causa danos em doenças autoimunes ou após transplantes de órgãos não foi investigado (capítulos Timosina alfa-1, Timalina).</w:t>
      </w:r>
    </w:p>
    <w:p>
      <w:pPr>
        <w:pStyle w:val="BodyText"/>
      </w:pPr>
      <w:r>
        <w:t xml:space="preserve">Nos medicamentos de GLP-1, uma revisão sistemática descreve, além das reações cutâneas leves frequentes, doenças imunomediadas raras, mas potencialmente graves, entre elas angioedemas, doenças autoimunes bolhosas, erupções medicamentosas e inflamações vasculares</w:t>
      </w:r>
      <w:r>
        <w:rPr>
          <w:rStyle w:val="FootnoteReference"/>
        </w:rPr>
        <w:footnoteReference w:id="2724"/>
      </w:r>
      <w:r>
        <w:t xml:space="preserve">. Com que frequência ocorrem não pode ser deduzido de relatos de caso.</w:t>
      </w:r>
    </w:p>
    <w:bookmarkEnd w:id="2725"/>
    <w:bookmarkStart w:id="2731" w:name="impurezas-como-desencadeantes"/>
    <w:p>
      <w:pPr>
        <w:pStyle w:val="Heading3"/>
      </w:pPr>
      <w:r>
        <w:t xml:space="preserve">Impurezas como desencadeantes</w:t>
      </w:r>
    </w:p>
    <w:p>
      <w:pPr>
        <w:pStyle w:val="FirstParagraph"/>
      </w:pPr>
      <w:r>
        <w:t xml:space="preserve">Parte das reações imunológicas não se deve ao próprio peptídeo, mas ao que entra adicionalmente no frasco durante sua fabricação.</w:t>
      </w:r>
    </w:p>
    <w:p>
      <w:pPr>
        <w:pStyle w:val="BodyText"/>
      </w:pPr>
      <w:r>
        <w:rPr>
          <w:bCs/>
          <w:b/>
        </w:rPr>
        <w:t xml:space="preserve">Peptídeos defeituosos.</w:t>
      </w:r>
      <w:r>
        <w:t xml:space="preserve"> </w:t>
      </w:r>
      <w:r>
        <w:t xml:space="preserve">Na síntese química, surgem moléculas em que falta um componente, em que ele aparece duplicado ou está quimicamente alterado. Essas impurezas podem conter estruturas novas reconhecidas pelas células T do sistema imunológico. Por isso, a agência norte-americana de medicamentos exige, para genéricos de peptídeos sintéticos, informações sobre cada nova impureza em comparação com o preparado original</w:t>
      </w:r>
      <w:r>
        <w:rPr>
          <w:rStyle w:val="FootnoteReference"/>
        </w:rPr>
        <w:footnoteReference w:id="2726"/>
      </w:r>
      <w:r>
        <w:t xml:space="preserve">. Como é essa avaliação mostra uma investigação de genéricos do peptídeo para osteoporose teriparatida, em que as impurezas foram avaliadas com métodos computacionais, testes de ligação e experimentos com células imunológicas humanas</w:t>
      </w:r>
      <w:r>
        <w:rPr>
          <w:rStyle w:val="FootnoteReference"/>
        </w:rPr>
        <w:footnoteReference w:id="2727"/>
      </w:r>
      <w:r>
        <w:t xml:space="preserve">.</w:t>
      </w:r>
    </w:p>
    <w:p>
      <w:pPr>
        <w:pStyle w:val="BodyText"/>
      </w:pPr>
      <w:r>
        <w:rPr>
          <w:bCs/>
          <w:b/>
        </w:rPr>
        <w:t xml:space="preserve">Genéricos e cópias de GLP-1.</w:t>
      </w:r>
      <w:r>
        <w:t xml:space="preserve"> </w:t>
      </w:r>
      <w:r>
        <w:t xml:space="preserve">Uma análise ligada a um fabricante de 16 cópias injetáveis e 8 orais de semaglutida encontrou novas impurezas, entre elas moléculas proteicas maiores, e novos sítios de reconhecimento pelo sistema imunológico previstos por métodos computacionais; nas cópias de liraglutida, mostrou-se uma tendência maior à agregação</w:t>
      </w:r>
      <w:r>
        <w:rPr>
          <w:rStyle w:val="FootnoteReference"/>
        </w:rPr>
        <w:footnoteReference w:id="2728"/>
      </w:r>
      <w:r>
        <w:t xml:space="preserve">. Se essas diferenças de fato provocam mais anticorpos em humanos não foi medido. Que um genérico sintético fabricado com cuidado não é automaticamente mais problemático é mostrado por outra investigação: um genérico sintético de liraglutida não estimulou células imunológicas humanas no laboratório mais do que o original produzido por engenharia genética</w:t>
      </w:r>
      <w:r>
        <w:rPr>
          <w:rStyle w:val="FootnoteReference"/>
        </w:rPr>
        <w:footnoteReference w:id="2729"/>
      </w:r>
      <w:r>
        <w:t xml:space="preserve">. Decisivo, portanto, não é o tipo de fabricação, mas o controle de qualidade.</w:t>
      </w:r>
    </w:p>
    <w:p>
      <w:pPr>
        <w:pStyle w:val="BodyText"/>
      </w:pPr>
      <w:r>
        <w:rPr>
          <w:bCs/>
          <w:b/>
        </w:rPr>
        <w:t xml:space="preserve">Endotoxinas e germes.</w:t>
      </w:r>
      <w:r>
        <w:t xml:space="preserve"> </w:t>
      </w:r>
      <w:r>
        <w:t xml:space="preserve">Endotoxinas, componentes da parede celular de bactérias, ativam diretamente o sistema imunológico inato e podem desencadear febre, calafrios e reações circulatórias. Em compras de teste de semaglutida em farmácias online ilegais, elas foram detectáveis em todas as amostras (Ashraf 2024, PMID 39509151; detalhes na Parte I). Um laboratório de controle detectou em dois preparados peptídicos ilegais para injeção a bactéria</w:t>
      </w:r>
      <w:r>
        <w:t xml:space="preserve"> </w:t>
      </w:r>
      <w:r>
        <w:rPr>
          <w:iCs/>
          <w:i/>
        </w:rPr>
        <w:t xml:space="preserve">Bacillus cereus</w:t>
      </w:r>
      <w:r>
        <w:t xml:space="preserve">, que pode destruir glóbulos vermelhos</w:t>
      </w:r>
      <w:r>
        <w:rPr>
          <w:rStyle w:val="FootnoteReference"/>
        </w:rPr>
        <w:footnoteReference w:id="2730"/>
      </w:r>
      <w:r>
        <w:t xml:space="preserve">.</w:t>
      </w:r>
    </w:p>
    <w:p>
      <w:pPr>
        <w:pStyle w:val="BodyText"/>
      </w:pPr>
      <w:r>
        <w:t xml:space="preserve">Para o mercado cinza, isso significa: mesmo que um peptídeo em si seja pouco imunogênico, o produto pode sê-lo. E como, para a mercadoria do mercado cinza, não são verificados nem perfis de impurezas nem limites de endotoxinas, dificilmente é possível atribuir posteriormente uma reação a um componente.</w:t>
      </w:r>
    </w:p>
    <w:bookmarkEnd w:id="2731"/>
    <w:bookmarkStart w:id="2732" w:name="o-que-isso-significa-na-prática"/>
    <w:p>
      <w:pPr>
        <w:pStyle w:val="Heading3"/>
      </w:pPr>
      <w:r>
        <w:t xml:space="preserve">O que isso significa na prática</w:t>
      </w:r>
    </w:p>
    <w:p>
      <w:pPr>
        <w:numPr>
          <w:ilvl w:val="0"/>
          <w:numId w:val="1344"/>
        </w:numPr>
        <w:pStyle w:val="Compact"/>
      </w:pPr>
      <w:r>
        <w:t xml:space="preserve">Anticorpos contra medicamentos peptídicos são frequentes, mas em geral sem consequências. Na exenatida, títulos altos podem atenuar o efeito; na tirzepatida, estão associados a um pouco mais de reações cutâneas e de hipersensibilidade.</w:t>
      </w:r>
    </w:p>
    <w:p>
      <w:pPr>
        <w:numPr>
          <w:ilvl w:val="0"/>
          <w:numId w:val="1344"/>
        </w:numPr>
        <w:pStyle w:val="Compact"/>
      </w:pPr>
      <w:r>
        <w:t xml:space="preserve">Reações no local da injeção são a reação imunológica mais frequente, em alguns peptídeos quase a regra. Vermelhidão crescente, calor, pus ou febre, por outro lado, indicam uma infecção.</w:t>
      </w:r>
    </w:p>
    <w:p>
      <w:pPr>
        <w:numPr>
          <w:ilvl w:val="0"/>
          <w:numId w:val="1344"/>
        </w:numPr>
        <w:pStyle w:val="Compact"/>
      </w:pPr>
      <w:r>
        <w:t xml:space="preserve">A anafilaxia é muito rara com medicamentos de GLP-1 aprovados – na ordem de poucos casos por 10.000 anos de tratamento. Há relatos de caso também com tirzepatida, Cerebrolysin e com uma superdosagem acidental.</w:t>
      </w:r>
    </w:p>
    <w:p>
      <w:pPr>
        <w:numPr>
          <w:ilvl w:val="0"/>
          <w:numId w:val="1344"/>
        </w:numPr>
        <w:pStyle w:val="Compact"/>
      </w:pPr>
      <w:r>
        <w:t xml:space="preserve">Para a maioria dos peptídeos do mercado cinza, faltam completamente dados sobre anticorpos e alergias. Impurezas e endotoxinas são ali um risco adicional e incalculável.</w:t>
      </w:r>
    </w:p>
    <w:p>
      <w:pPr>
        <w:numPr>
          <w:ilvl w:val="0"/>
          <w:numId w:val="1344"/>
        </w:numPr>
        <w:pStyle w:val="Compact"/>
      </w:pPr>
      <w:r>
        <w:t xml:space="preserve">Quem já reagiu alergicamente a um peptídeo deve informar isso em todo tratamento médico. Se substâncias aparentadas são toleradas só pode ser esclarecido pelo médico.</w:t>
      </w:r>
    </w:p>
    <w:bookmarkEnd w:id="2732"/>
    <w:bookmarkEnd w:id="2733"/>
    <w:bookmarkStart w:id="2777" w:name="X768d46680b29e74830241d12ae8d5abdb04d9d9"/>
    <w:p>
      <w:pPr>
        <w:pStyle w:val="Heading2"/>
      </w:pPr>
      <w:r>
        <w:t xml:space="preserve">Produtos do mercado cinza: o que as análises laboratoriais mostram</w:t>
      </w:r>
    </w:p>
    <w:p>
      <w:pPr>
        <w:pStyle w:val="FirstParagraph"/>
      </w:pPr>
      <w:r>
        <w:t xml:space="preserve">A Parte I descreveu, no capítulo</w:t>
      </w:r>
      <w:r>
        <w:t xml:space="preserve"> </w:t>
      </w:r>
      <w:r>
        <w:t xml:space="preserve">“</w:t>
      </w:r>
      <w:r>
        <w:t xml:space="preserve">O mercado cinza</w:t>
      </w:r>
      <w:r>
        <w:t xml:space="preserve">”</w:t>
      </w:r>
      <w:r>
        <w:t xml:space="preserve">, o que são os</w:t>
      </w:r>
      <w:r>
        <w:t xml:space="preserve"> </w:t>
      </w:r>
      <w:r>
        <w:t xml:space="preserve">“</w:t>
      </w:r>
      <w:r>
        <w:t xml:space="preserve">research peptides</w:t>
      </w:r>
      <w:r>
        <w:t xml:space="preserve">”</w:t>
      </w:r>
      <w:r>
        <w:t xml:space="preserve"> </w:t>
      </w:r>
      <w:r>
        <w:t xml:space="preserve">e apresentou achados isolados de grande repercussão: pó de semaglutida com pureza de 7,7 a 14,4%, frascos de melanotan com menos da metade da quantidade declarada, Ozempic falsificado com insulina. Este capítulo vai um passo além. Pergunta quem analisa esses produtos, quais tipos de falha se repetem ao longo de muitas investigações, o que essas análises não conseguem mostrar – e o que os dados dos centros de informação toxicológica revelam sobre as consequências de erros de dose com medicamentos de GLP-1.</w:t>
      </w:r>
    </w:p>
    <w:bookmarkStart w:id="2735" w:name="quem-analisa-produtos-do-mercado-cinza"/>
    <w:p>
      <w:pPr>
        <w:pStyle w:val="Heading3"/>
      </w:pPr>
      <w:r>
        <w:t xml:space="preserve">Quem analisa produtos do mercado cinza</w:t>
      </w:r>
    </w:p>
    <w:p>
      <w:pPr>
        <w:pStyle w:val="FirstParagraph"/>
      </w:pPr>
      <w:r>
        <w:t xml:space="preserve">A maioria dos dados vem de três fontes.</w:t>
      </w:r>
    </w:p>
    <w:p>
      <w:pPr>
        <w:pStyle w:val="BodyText"/>
      </w:pPr>
      <w:r>
        <w:rPr>
          <w:bCs/>
          <w:b/>
        </w:rPr>
        <w:t xml:space="preserve">Laboratórios oficiais de controle de medicamentos.</w:t>
      </w:r>
      <w:r>
        <w:t xml:space="preserve"> </w:t>
      </w:r>
      <w:r>
        <w:t xml:space="preserve">Na Europa, eles trabalham em uma rede coordenada pela Direção Europeia da Qualidade dos Medicamentos. Analisam amostras apreendidas pela alfândega, pela polícia ou por autoridades sanitárias. Um laboratório belga desenvolveu, por exemplo, um método de triagem com o qual 25 peptídeos diferentes podem ser identificados de uma só vez em preparados injetáveis desconhecidos – entre eles também alguns que ainda nem haviam sido apreendidos, mas já eram discutidos em fóruns da internet</w:t>
      </w:r>
      <w:r>
        <w:rPr>
          <w:rStyle w:val="FootnoteReference"/>
        </w:rPr>
        <w:footnoteReference w:id="2734"/>
      </w:r>
      <w:r>
        <w:t xml:space="preserve">.</w:t>
      </w:r>
    </w:p>
    <w:p>
      <w:pPr>
        <w:pStyle w:val="BodyText"/>
      </w:pPr>
      <w:r>
        <w:rPr>
          <w:bCs/>
          <w:b/>
        </w:rPr>
        <w:t xml:space="preserve">Laboratórios antidoping e forenses.</w:t>
      </w:r>
      <w:r>
        <w:t xml:space="preserve"> </w:t>
      </w:r>
      <w:r>
        <w:t xml:space="preserve">Eles analisam mercadorias apreendidas no meio esportivo para manter seus métodos de detecção atualizados. Os achados de Colônia, da Noruega e da Dinamarca da Parte I vêm dessa fonte.</w:t>
      </w:r>
    </w:p>
    <w:p>
      <w:pPr>
        <w:pStyle w:val="BodyText"/>
      </w:pPr>
      <w:r>
        <w:rPr>
          <w:bCs/>
          <w:b/>
        </w:rPr>
        <w:t xml:space="preserve">Compras de teste por grupos de pesquisa.</w:t>
      </w:r>
      <w:r>
        <w:t xml:space="preserve"> </w:t>
      </w:r>
      <w:r>
        <w:t xml:space="preserve">Eles compram de forma direcionada produtos de fornecedores online e verificam o que chega. Essas investigações são mais raras, mas são as que mais se aproximam da situação dos compradores.</w:t>
      </w:r>
    </w:p>
    <w:p>
      <w:pPr>
        <w:pStyle w:val="BodyText"/>
      </w:pPr>
      <w:r>
        <w:t xml:space="preserve">São usados métodos que respondem a perguntas diferentes: a espectrometria de massas mostra</w:t>
      </w:r>
      <w:r>
        <w:t xml:space="preserve"> </w:t>
      </w:r>
      <w:r>
        <w:rPr>
          <w:iCs/>
          <w:i/>
        </w:rPr>
        <w:t xml:space="preserve">qual</w:t>
      </w:r>
      <w:r>
        <w:t xml:space="preserve"> </w:t>
      </w:r>
      <w:r>
        <w:t xml:space="preserve">substância está presente; a cromatografia líquida mede</w:t>
      </w:r>
      <w:r>
        <w:t xml:space="preserve"> </w:t>
      </w:r>
      <w:r>
        <w:rPr>
          <w:iCs/>
          <w:i/>
        </w:rPr>
        <w:t xml:space="preserve">quanto</w:t>
      </w:r>
      <w:r>
        <w:t xml:space="preserve"> </w:t>
      </w:r>
      <w:r>
        <w:t xml:space="preserve">e</w:t>
      </w:r>
      <w:r>
        <w:t xml:space="preserve"> </w:t>
      </w:r>
      <w:r>
        <w:rPr>
          <w:iCs/>
          <w:i/>
        </w:rPr>
        <w:t xml:space="preserve">com que pureza</w:t>
      </w:r>
      <w:r>
        <w:t xml:space="preserve">; métodos especiais detectam metais, resíduos de solventes, bactérias ou endotoxinas. Nenhum laboratório verifica tudo rotineiramente. Se um relatório determina apenas a identidade, ele nada diz sobre germes, e vice-versa.</w:t>
      </w:r>
    </w:p>
    <w:bookmarkEnd w:id="2735"/>
    <w:bookmarkStart w:id="2755" w:name="Xd0a8a4adbac98b9196690e3d34dce63b82e43d1"/>
    <w:p>
      <w:pPr>
        <w:pStyle w:val="Heading3"/>
      </w:pPr>
      <w:r>
        <w:t xml:space="preserve">Quatro tipos de falha que sempre se repetem</w:t>
      </w:r>
    </w:p>
    <w:p>
      <w:pPr>
        <w:pStyle w:val="FirstParagraph"/>
      </w:pPr>
      <w:r>
        <w:t xml:space="preserve">Considerando as análises em conjunto, os achados podem ser organizados em quatro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falha</w:t>
            </w:r>
          </w:p>
        </w:tc>
        <w:tc>
          <w:tcPr/>
          <w:p>
            <w:pPr>
              <w:pStyle w:val="Compact"/>
              <w:jc w:val="left"/>
            </w:pPr>
            <w:r>
              <w:t xml:space="preserve">Exemplos de análises</w:t>
            </w:r>
          </w:p>
        </w:tc>
        <w:tc>
          <w:tcPr/>
          <w:p>
            <w:pPr>
              <w:pStyle w:val="Compact"/>
              <w:jc w:val="left"/>
            </w:pPr>
            <w:r>
              <w:t xml:space="preserve">Fonte</w:t>
            </w:r>
          </w:p>
        </w:tc>
      </w:tr>
      <w:tr>
        <w:tc>
          <w:tcPr/>
          <w:p>
            <w:pPr>
              <w:pStyle w:val="Compact"/>
              <w:jc w:val="left"/>
            </w:pPr>
            <w:r>
              <w:t xml:space="preserve">Substância errada ou ausente</w:t>
            </w:r>
          </w:p>
        </w:tc>
        <w:tc>
          <w:tcPr/>
          <w:p>
            <w:pPr>
              <w:pStyle w:val="Compact"/>
              <w:jc w:val="left"/>
            </w:pPr>
            <w:r>
              <w:t xml:space="preserve">9 de 36 amostras apreendidas sem peptídeo ou proteína</w:t>
            </w:r>
          </w:p>
        </w:tc>
        <w:tc>
          <w:tcPr/>
          <w:p>
            <w:pPr>
              <w:pStyle w:val="Compact"/>
              <w:jc w:val="left"/>
            </w:pPr>
            <w:r>
              <w:t xml:space="preserve">Høj 2021, PMID 33686802</w:t>
            </w:r>
          </w:p>
        </w:tc>
      </w:tr>
      <w:tr>
        <w:tc>
          <w:tcPr/>
          <w:p>
            <w:pPr>
              <w:pStyle w:val="Compact"/>
              <w:jc w:val="left"/>
            </w:pPr>
            <w:r>
              <w:t xml:space="preserve">Quantidade errada</w:t>
            </w:r>
          </w:p>
        </w:tc>
        <w:tc>
          <w:tcPr/>
          <w:p>
            <w:pPr>
              <w:pStyle w:val="Compact"/>
              <w:jc w:val="left"/>
            </w:pPr>
            <w:r>
              <w:t xml:space="preserve">apenas 41% de 44 produtos da internet com quantidade correta de substância</w:t>
            </w:r>
          </w:p>
        </w:tc>
        <w:tc>
          <w:tcPr/>
          <w:p>
            <w:pPr>
              <w:pStyle w:val="Compact"/>
              <w:jc w:val="left"/>
            </w:pPr>
            <w:r>
              <w:t xml:space="preserve">Van Wagoner 2017, PMID 29183075</w:t>
            </w:r>
          </w:p>
        </w:tc>
      </w:tr>
      <w:tr>
        <w:tc>
          <w:tcPr/>
          <w:p>
            <w:pPr>
              <w:pStyle w:val="Compact"/>
              <w:jc w:val="left"/>
            </w:pPr>
            <w:r>
              <w:t xml:space="preserve">Baixa pureza, produtos de degradação</w:t>
            </w:r>
          </w:p>
        </w:tc>
        <w:tc>
          <w:tcPr/>
          <w:p>
            <w:pPr>
              <w:pStyle w:val="Compact"/>
              <w:jc w:val="left"/>
            </w:pPr>
            <w:r>
              <w:t xml:space="preserve">pureza de 5 a 75% em determinados peptídeos</w:t>
            </w:r>
          </w:p>
        </w:tc>
        <w:tc>
          <w:tcPr/>
          <w:p>
            <w:pPr>
              <w:pStyle w:val="Compact"/>
              <w:jc w:val="left"/>
            </w:pPr>
            <w:r>
              <w:t xml:space="preserve">Janvier 2018, PMID 30029448</w:t>
            </w:r>
          </w:p>
        </w:tc>
      </w:tr>
      <w:tr>
        <w:tc>
          <w:tcPr/>
          <w:p>
            <w:pPr>
              <w:pStyle w:val="Compact"/>
              <w:jc w:val="left"/>
            </w:pPr>
            <w:r>
              <w:t xml:space="preserve">Substâncias acompanhantes perigosas</w:t>
            </w:r>
          </w:p>
        </w:tc>
        <w:tc>
          <w:tcPr/>
          <w:p>
            <w:pPr>
              <w:pStyle w:val="Compact"/>
              <w:jc w:val="left"/>
            </w:pPr>
            <w:r>
              <w:t xml:space="preserve">arsênio e chumbo, em parte até dez vezes o limite</w:t>
            </w:r>
          </w:p>
        </w:tc>
        <w:tc>
          <w:tcPr/>
          <w:p>
            <w:pPr>
              <w:pStyle w:val="Compact"/>
              <w:jc w:val="left"/>
            </w:pPr>
            <w:r>
              <w:t xml:space="preserve">Janvier 2018, PMID 30029448</w:t>
            </w:r>
          </w:p>
        </w:tc>
      </w:tr>
    </w:tbl>
    <w:bookmarkStart w:id="2741" w:name="substância-errada-ou-nenhuma-substância"/>
    <w:p>
      <w:pPr>
        <w:pStyle w:val="Heading4"/>
      </w:pPr>
      <w:r>
        <w:t xml:space="preserve">Substância errada ou nenhuma substância</w:t>
      </w:r>
    </w:p>
    <w:p>
      <w:pPr>
        <w:pStyle w:val="FirstParagraph"/>
      </w:pPr>
      <w:r>
        <w:t xml:space="preserve">Um laboratório forense dinamarquês recebeu em 2019 36 amostras apreendidas em que se suspeitava haver peptídeos ou proteínas. 15 continham uma substância dopante proibida, 12 uma substância que não constava da lista de doping dinamarquesa, e 9 não continham nenhum peptídeo ou proteína</w:t>
      </w:r>
      <w:r>
        <w:rPr>
          <w:rStyle w:val="FootnoteReference"/>
        </w:rPr>
        <w:footnoteReference w:id="2736"/>
      </w:r>
      <w:r>
        <w:t xml:space="preserve">. Em uma operação aduaneira em toda a Europa, os laboratórios relataram, entre os preparados injetáveis apreendidos, hormônio do crescimento, sermorelina, Melanotan II e preparados sem nenhuma substância ativa; as remessas eram, em média, grandes demais para uso próprio e provavelmente destinadas em parte à revenda</w:t>
      </w:r>
      <w:r>
        <w:rPr>
          <w:rStyle w:val="FootnoteReference"/>
        </w:rPr>
        <w:footnoteReference w:id="2737"/>
      </w:r>
      <w:r>
        <w:t xml:space="preserve">. Em um caso belga, um preparado que se supunha ser IGF-1 continha, em vez disso, outro fator de crescimento, o fator de crescimento epidérmico EGF</w:t>
      </w:r>
      <w:r>
        <w:rPr>
          <w:rStyle w:val="FootnoteReference"/>
        </w:rPr>
        <w:footnoteReference w:id="2738"/>
      </w:r>
      <w:r>
        <w:t xml:space="preserve">.</w:t>
      </w:r>
    </w:p>
    <w:p>
      <w:pPr>
        <w:pStyle w:val="BodyText"/>
      </w:pPr>
      <w:r>
        <w:t xml:space="preserve">Um laboratório de doping equino analisou produtos oferecidos na internet com as denominações</w:t>
      </w:r>
      <w:r>
        <w:t xml:space="preserve"> </w:t>
      </w:r>
      <w:r>
        <w:t xml:space="preserve">“</w:t>
      </w:r>
      <w:r>
        <w:t xml:space="preserve">TB500</w:t>
      </w:r>
      <w:r>
        <w:t xml:space="preserve">”</w:t>
      </w:r>
      <w:r>
        <w:t xml:space="preserve">,</w:t>
      </w:r>
      <w:r>
        <w:t xml:space="preserve"> </w:t>
      </w:r>
      <w:r>
        <w:t xml:space="preserve">“</w:t>
      </w:r>
      <w:r>
        <w:t xml:space="preserve">TB1000</w:t>
      </w:r>
      <w:r>
        <w:t xml:space="preserve">”</w:t>
      </w:r>
      <w:r>
        <w:t xml:space="preserve"> </w:t>
      </w:r>
      <w:r>
        <w:t xml:space="preserve">e</w:t>
      </w:r>
      <w:r>
        <w:t xml:space="preserve"> </w:t>
      </w:r>
      <w:r>
        <w:t xml:space="preserve">“</w:t>
      </w:r>
      <w:r>
        <w:t xml:space="preserve">SGF1000</w:t>
      </w:r>
      <w:r>
        <w:t xml:space="preserve">”</w:t>
      </w:r>
      <w:r>
        <w:t xml:space="preserve">. O conteúdo dos produtos TB não correspondia sempre às descrições anteriores. O</w:t>
      </w:r>
      <w:r>
        <w:t xml:space="preserve"> </w:t>
      </w:r>
      <w:r>
        <w:t xml:space="preserve">“</w:t>
      </w:r>
      <w:r>
        <w:t xml:space="preserve">SGF1000</w:t>
      </w:r>
      <w:r>
        <w:t xml:space="preserve">”</w:t>
      </w:r>
      <w:r>
        <w:t xml:space="preserve"> </w:t>
      </w:r>
      <w:r>
        <w:t xml:space="preserve">consistia predominantemente em proteínas do tecido conjuntivo e do sangue de ovelhas; os supostos componentes promotores de crescimento estavam extremamente diluídos</w:t>
      </w:r>
      <w:r>
        <w:rPr>
          <w:rStyle w:val="FootnoteReference"/>
        </w:rPr>
        <w:footnoteReference w:id="2739"/>
      </w:r>
      <w:r>
        <w:t xml:space="preserve">.</w:t>
      </w:r>
    </w:p>
    <w:p>
      <w:pPr>
        <w:pStyle w:val="BodyText"/>
      </w:pPr>
      <w:r>
        <w:t xml:space="preserve">Com que frequência rótulo e conteúdo divergem é mostrado por uma investigação norte-americana que não tratava de peptídeos, mas dos chamados SARMs, que usam o mesmo canal de venda: de 44 produtos da internet, apenas 52% continham alguma substância do grupo promovido. 39% continham outras substâncias não aprovadas, entre elas o liberador de hormônio do crescimento ibutamoreno, 9% não continham nenhuma substância ativa, e 25% continham substâncias não declaradas</w:t>
      </w:r>
      <w:r>
        <w:rPr>
          <w:rStyle w:val="FootnoteReference"/>
        </w:rPr>
        <w:footnoteReference w:id="2740"/>
      </w:r>
      <w:r>
        <w:t xml:space="preserve">.</w:t>
      </w:r>
    </w:p>
    <w:bookmarkEnd w:id="2741"/>
    <w:bookmarkStart w:id="2745" w:name="quantidade-errada"/>
    <w:p>
      <w:pPr>
        <w:pStyle w:val="Heading4"/>
      </w:pPr>
      <w:r>
        <w:t xml:space="preserve">Quantidade errada</w:t>
      </w:r>
    </w:p>
    <w:p>
      <w:pPr>
        <w:pStyle w:val="FirstParagraph"/>
      </w:pPr>
      <w:r>
        <w:t xml:space="preserve">Mesmo quando a substância certa está no frasco, a quantidade muitas vezes não confere. Na análise norte-americana citada, a quantidade de substância medida correspondia ao declarado no rótulo em apenas 18 de 44 produtos (41%)</w:t>
      </w:r>
      <w:r>
        <w:rPr>
          <w:rStyle w:val="FootnoteReference"/>
        </w:rPr>
        <w:footnoteReference w:id="2742"/>
      </w:r>
      <w:r>
        <w:t xml:space="preserve">. Um laboratório toxicológico francês analisou 75 medicamentos do meio do fisiculturismo apreendidos no mercado negro: 33% eram de qualidade inferior, ou seja, com dose errada, 32% falsificados, isto é, com conteúdo diferente do declarado, e apenas 19% correspondiam integralmente ao original</w:t>
      </w:r>
      <w:r>
        <w:rPr>
          <w:rStyle w:val="FootnoteReference"/>
        </w:rPr>
        <w:footnoteReference w:id="2743"/>
      </w:r>
      <w:r>
        <w:t xml:space="preserve">. Uma vigilância de mercado europeia de cinco anos, com 324 amostras de 13 países, concluiu, a partir das informações limitadas sobre quantidades, que a maioria das amostras continha quantidades eficazes e algumas estavam até superdosadas</w:t>
      </w:r>
      <w:r>
        <w:rPr>
          <w:rStyle w:val="FootnoteReference"/>
        </w:rPr>
        <w:footnoteReference w:id="2744"/>
      </w:r>
      <w:r>
        <w:t xml:space="preserve">.</w:t>
      </w:r>
    </w:p>
    <w:p>
      <w:pPr>
        <w:pStyle w:val="BodyText"/>
      </w:pPr>
      <w:r>
        <w:t xml:space="preserve">Ambos são perigosos: substância de menos leva a</w:t>
      </w:r>
      <w:r>
        <w:t xml:space="preserve"> </w:t>
      </w:r>
      <w:r>
        <w:t xml:space="preserve">“</w:t>
      </w:r>
      <w:r>
        <w:t xml:space="preserve">reforçar a dose</w:t>
      </w:r>
      <w:r>
        <w:t xml:space="preserve">”</w:t>
      </w:r>
      <w:r>
        <w:t xml:space="preserve">; substância demais leva diretamente a efeitos colaterais mais fortes. Nos medicamentos de GLP-1, cuja tolerabilidade depende muito do aumento lento da dose, uma quantidade desconhecida é particularmente problemática.</w:t>
      </w:r>
    </w:p>
    <w:bookmarkEnd w:id="2745"/>
    <w:bookmarkStart w:id="2750" w:name="X873ab25392986e8149f5967107bb1dae9fff611"/>
    <w:p>
      <w:pPr>
        <w:pStyle w:val="Heading4"/>
      </w:pPr>
      <w:r>
        <w:t xml:space="preserve">Baixa pureza, produtos de degradação e variantes de designer</w:t>
      </w:r>
    </w:p>
    <w:p>
      <w:pPr>
        <w:pStyle w:val="FirstParagraph"/>
      </w:pPr>
      <w:r>
        <w:t xml:space="preserve">A investigação sistemática mais abrangente vem da Bélgica. O laboratório de controle comprou os dez medicamentos peptídicos mais falsificados do mercado belga em três farmácias online supostamente ilegais e os analisou quanto à substância ativa, impurezas peptídicas, pequenas substâncias orgânicas estranhas, metais e resíduos de solventes. A quantidade por frasco variou muito, e em peptídeos com o aminoácido cisteína a pureza ficou entre 5 e 75%</w:t>
      </w:r>
      <w:r>
        <w:rPr>
          <w:rStyle w:val="FootnoteReference"/>
        </w:rPr>
        <w:footnoteReference w:id="2746"/>
      </w:r>
      <w:r>
        <w:t xml:space="preserve">.</w:t>
      </w:r>
    </w:p>
    <w:p>
      <w:pPr>
        <w:pStyle w:val="BodyText"/>
      </w:pPr>
      <w:r>
        <w:t xml:space="preserve">Outros laboratórios encontraram, em produtos do mercado negro de variantes de IGF-1, numerosas formas peptídicas oxidadas, ou seja, quimicamente alteradas</w:t>
      </w:r>
      <w:r>
        <w:rPr>
          <w:rStyle w:val="FootnoteReference"/>
        </w:rPr>
        <w:footnoteReference w:id="2747"/>
      </w:r>
      <w:r>
        <w:t xml:space="preserve">, e, em uma amostra apreendida de Melanotan II, uma pureza de 30%</w:t>
      </w:r>
      <w:r>
        <w:rPr>
          <w:rStyle w:val="FootnoteReference"/>
        </w:rPr>
        <w:footnoteReference w:id="2748"/>
      </w:r>
      <w:r>
        <w:t xml:space="preserve">. Em preparados apreendidos pela alfândega dinamarquesa, encontraram-se variantes de GHRP-2, GHRP-6, ipamorelina e de um fragmento de GHRH, a cada uma das quais havia sido acrescentado um aminoácido glicina no início</w:t>
      </w:r>
      <w:r>
        <w:rPr>
          <w:rStyle w:val="FootnoteReference"/>
        </w:rPr>
        <w:footnoteReference w:id="2749"/>
      </w:r>
      <w:r>
        <w:t xml:space="preserve">. Essas</w:t>
      </w:r>
      <w:r>
        <w:t xml:space="preserve"> </w:t>
      </w:r>
      <w:r>
        <w:t xml:space="preserve">“</w:t>
      </w:r>
      <w:r>
        <w:t xml:space="preserve">variantes de designer</w:t>
      </w:r>
      <w:r>
        <w:t xml:space="preserve">”</w:t>
      </w:r>
      <w:r>
        <w:t xml:space="preserve"> </w:t>
      </w:r>
      <w:r>
        <w:t xml:space="preserve">provavelmente têm o objetivo de burlar testes antidoping. Seu efeito e sua segurança em humanos são completamente desconhecidos.</w:t>
      </w:r>
    </w:p>
    <w:bookmarkEnd w:id="2750"/>
    <w:bookmarkStart w:id="2754" w:name="substâncias-acompanhantes-perigosas"/>
    <w:p>
      <w:pPr>
        <w:pStyle w:val="Heading4"/>
      </w:pPr>
      <w:r>
        <w:t xml:space="preserve">Substâncias acompanhantes perigosas</w:t>
      </w:r>
    </w:p>
    <w:p>
      <w:pPr>
        <w:pStyle w:val="FirstParagraph"/>
      </w:pPr>
      <w:r>
        <w:t xml:space="preserve">Na investigação belga, encontraram-se os elementos tóxicos arsênio e chumbo. Uma amostra estava contaminada com chumbo, várias continham arsênio em concentrações de até dez vezes o limite internacional para medicamentos injetáveis. A análise mais detalhada mostrou que o arsênio estava inteiramente na forma inorgânica, mais tóxica. Os autores apontam que o arsênio é cancerígeno e que o chumbo se acumula no corpo – com uso repetido ao longo de meses, um risco adicional e insidioso</w:t>
      </w:r>
      <w:r>
        <w:rPr>
          <w:rStyle w:val="FootnoteReference"/>
        </w:rPr>
        <w:footnoteReference w:id="2751"/>
      </w:r>
      <w:r>
        <w:t xml:space="preserve">.</w:t>
      </w:r>
    </w:p>
    <w:p>
      <w:pPr>
        <w:pStyle w:val="BodyText"/>
      </w:pPr>
      <w:r>
        <w:t xml:space="preserve">Somam-se germes e componentes bacterianos. O mesmo laboratório detectou em dois preparados peptídicos ilegais para injeção a bactéria</w:t>
      </w:r>
      <w:r>
        <w:t xml:space="preserve"> </w:t>
      </w:r>
      <w:r>
        <w:rPr>
          <w:iCs/>
          <w:i/>
        </w:rPr>
        <w:t xml:space="preserve">Bacillus cereus</w:t>
      </w:r>
      <w:r>
        <w:rPr>
          <w:rStyle w:val="FootnoteReference"/>
        </w:rPr>
        <w:footnoteReference w:id="2752"/>
      </w:r>
      <w:r>
        <w:t xml:space="preserve">. Nas compras de teste de semaglutida da Parte I, endotoxinas foram detectáveis em todas as amostras</w:t>
      </w:r>
      <w:r>
        <w:rPr>
          <w:rStyle w:val="FootnoteReference"/>
        </w:rPr>
        <w:footnoteReference w:id="2753"/>
      </w:r>
      <w:r>
        <w:t xml:space="preserve">. Por que isso é relevante para o sistema imunológico é descrito no capítulo</w:t>
      </w:r>
      <w:r>
        <w:t xml:space="preserve"> </w:t>
      </w:r>
      <w:r>
        <w:t xml:space="preserve">“</w:t>
      </w:r>
      <w:r>
        <w:t xml:space="preserve">Reações imunológicas e anticorpos</w:t>
      </w:r>
      <w:r>
        <w:t xml:space="preserve">”</w:t>
      </w:r>
      <w:r>
        <w:t xml:space="preserve">.</w:t>
      </w:r>
    </w:p>
    <w:bookmarkEnd w:id="2754"/>
    <w:bookmarkEnd w:id="2755"/>
    <w:bookmarkStart w:id="2761" w:name="sempre-novas-substâncias"/>
    <w:p>
      <w:pPr>
        <w:pStyle w:val="Heading3"/>
      </w:pPr>
      <w:r>
        <w:t xml:space="preserve">Sempre novas substâncias</w:t>
      </w:r>
    </w:p>
    <w:p>
      <w:pPr>
        <w:pStyle w:val="FirstParagraph"/>
      </w:pPr>
      <w:r>
        <w:t xml:space="preserve">O mercado cinza reage rapidamente às tendências. Uma vigilância de mercado europeia com 1.104 casos notificados de 16 países entre 2017 e 2019 constatou que 11% das amostras continham moléculas biológicas, sobretudo</w:t>
      </w:r>
      <w:r>
        <w:t xml:space="preserve"> </w:t>
      </w:r>
      <w:r>
        <w:t xml:space="preserve">“</w:t>
      </w:r>
      <w:r>
        <w:t xml:space="preserve">research peptides</w:t>
      </w:r>
      <w:r>
        <w:t xml:space="preserve">”</w:t>
      </w:r>
      <w:r>
        <w:t xml:space="preserve">; essa foi a segunda categoria mais frequente de todas</w:t>
      </w:r>
      <w:r>
        <w:rPr>
          <w:rStyle w:val="FootnoteReference"/>
        </w:rPr>
        <w:footnoteReference w:id="2756"/>
      </w:r>
      <w:r>
        <w:t xml:space="preserve">. Laboratórios belgas identificaram em preparados apreendidos o</w:t>
      </w:r>
      <w:r>
        <w:t xml:space="preserve"> </w:t>
      </w:r>
      <w:r>
        <w:t xml:space="preserve">“</w:t>
      </w:r>
      <w:r>
        <w:t xml:space="preserve">peptídeo antienvelhecimento</w:t>
      </w:r>
      <w:r>
        <w:t xml:space="preserve">”</w:t>
      </w:r>
      <w:r>
        <w:t xml:space="preserve"> </w:t>
      </w:r>
      <w:r>
        <w:t xml:space="preserve">Epitalon</w:t>
      </w:r>
      <w:r>
        <w:rPr>
          <w:rStyle w:val="FootnoteReference"/>
        </w:rPr>
        <w:footnoteReference w:id="2757"/>
      </w:r>
      <w:r>
        <w:t xml:space="preserve">, bem como os peptídeos nootrópicos Selank e Semax; o laboratório desenvolveu então um método de detecção próprio para dez desses peptídeos oferecidos na internet</w:t>
      </w:r>
      <w:r>
        <w:rPr>
          <w:rStyle w:val="FootnoteReference"/>
        </w:rPr>
        <w:footnoteReference w:id="2758"/>
      </w:r>
      <w:r>
        <w:t xml:space="preserve">. Hoje também são oferecidas substâncias que ainda estão em estudos clínicos, como retatrutida e amicretina (capítulos Retatrutida, Amicretina).</w:t>
      </w:r>
    </w:p>
    <w:p>
      <w:pPr>
        <w:pStyle w:val="BodyText"/>
      </w:pPr>
      <w:r>
        <w:t xml:space="preserve">Para os laboratórios de controle, isso significa uma corrida: uma substância para a qual ainda não existe substância de referência não pode ser identificada com segurança. Para os compradores, significa que, nos produtos mais novos, é onde menos se sabe sobre conteúdo e qualidade.</w:t>
      </w:r>
    </w:p>
    <w:p>
      <w:pPr>
        <w:pStyle w:val="BodyText"/>
      </w:pPr>
      <w:r>
        <w:t xml:space="preserve">Cada vez mais, produtos do mercado cinza também aparecem em formas que parecem mais inofensivas do que uma injeção. Uma investigação norte-americana encontrou 24 adesivos vendidos como suplemento alimentar e um gel, promovidos como</w:t>
      </w:r>
      <w:r>
        <w:t xml:space="preserve"> </w:t>
      </w:r>
      <w:r>
        <w:t xml:space="preserve">“</w:t>
      </w:r>
      <w:r>
        <w:t xml:space="preserve">GLP-1 natural</w:t>
      </w:r>
      <w:r>
        <w:t xml:space="preserve">”</w:t>
      </w:r>
      <w:r>
        <w:t xml:space="preserve">. Nenhum apresentou certificado de análise, muitos faziam publicidade enganosa; segundo a lei norte-americana, a venda desses adesivos como suplemento alimentar é proibida</w:t>
      </w:r>
      <w:r>
        <w:rPr>
          <w:rStyle w:val="FootnoteReference"/>
        </w:rPr>
        <w:footnoteReference w:id="2759"/>
      </w:r>
      <w:r>
        <w:t xml:space="preserve">. Na vigilância de mercado europeia, 24% dos preparados para ganho muscular eram apresentados como suplementos alimentares – quem os compra muitas vezes não sabe que está tomando um medicamento não aprovado</w:t>
      </w:r>
      <w:r>
        <w:rPr>
          <w:rStyle w:val="FootnoteReference"/>
        </w:rPr>
        <w:footnoteReference w:id="2760"/>
      </w:r>
      <w:r>
        <w:t xml:space="preserve">.</w:t>
      </w:r>
    </w:p>
    <w:bookmarkEnd w:id="2761"/>
    <w:bookmarkStart w:id="2762" w:name="o-que-as-análises-não-mostram"/>
    <w:p>
      <w:pPr>
        <w:pStyle w:val="Heading3"/>
      </w:pPr>
      <w:r>
        <w:t xml:space="preserve">O que as análises não mostram</w:t>
      </w:r>
    </w:p>
    <w:p>
      <w:pPr>
        <w:pStyle w:val="FirstParagraph"/>
      </w:pPr>
      <w:r>
        <w:t xml:space="preserve">Por mais claros que sejam os achados, eles têm limites.</w:t>
      </w:r>
    </w:p>
    <w:p>
      <w:pPr>
        <w:numPr>
          <w:ilvl w:val="0"/>
          <w:numId w:val="1345"/>
        </w:numPr>
        <w:pStyle w:val="Compact"/>
      </w:pPr>
      <w:r>
        <w:rPr>
          <w:bCs/>
          <w:b/>
        </w:rPr>
        <w:t xml:space="preserve">Nenhuma amostra representativa.</w:t>
      </w:r>
      <w:r>
        <w:t xml:space="preserve"> </w:t>
      </w:r>
      <w:r>
        <w:t xml:space="preserve">Mercadorias apreendidas são uma seleção do que chama a atenção da alfândega. Compras de teste abrangem em geral poucos fornecedores. Qual a proporção de produtos defeituosos no mercado como um todo não pode ser calculada a partir disso.</w:t>
      </w:r>
    </w:p>
    <w:p>
      <w:pPr>
        <w:numPr>
          <w:ilvl w:val="0"/>
          <w:numId w:val="1345"/>
        </w:numPr>
        <w:pStyle w:val="Compact"/>
      </w:pPr>
      <w:r>
        <w:rPr>
          <w:bCs/>
          <w:b/>
        </w:rPr>
        <w:t xml:space="preserve">Retratos instantâneos.</w:t>
      </w:r>
      <w:r>
        <w:t xml:space="preserve"> </w:t>
      </w:r>
      <w:r>
        <w:t xml:space="preserve">Um fornecedor cuja mercadoria está correta hoje pode entregar outro lote amanhã. Bons resultados de uma análise não valem para o próximo frasco.</w:t>
      </w:r>
    </w:p>
    <w:p>
      <w:pPr>
        <w:numPr>
          <w:ilvl w:val="0"/>
          <w:numId w:val="1345"/>
        </w:numPr>
        <w:pStyle w:val="Compact"/>
      </w:pPr>
      <w:r>
        <w:rPr>
          <w:bCs/>
          <w:b/>
        </w:rPr>
        <w:t xml:space="preserve">Nem tudo é verificado.</w:t>
      </w:r>
      <w:r>
        <w:t xml:space="preserve"> </w:t>
      </w:r>
      <w:r>
        <w:t xml:space="preserve">Muitos relatórios determinam apenas a identidade da substância. Se um produto com conteúdo</w:t>
      </w:r>
      <w:r>
        <w:t xml:space="preserve"> </w:t>
      </w:r>
      <w:r>
        <w:t xml:space="preserve">“</w:t>
      </w:r>
      <w:r>
        <w:t xml:space="preserve">correto</w:t>
      </w:r>
      <w:r>
        <w:t xml:space="preserve">”</w:t>
      </w:r>
      <w:r>
        <w:t xml:space="preserve"> </w:t>
      </w:r>
      <w:r>
        <w:t xml:space="preserve">era estéril e livre de endotoxinas fica, então, em aberto.</w:t>
      </w:r>
    </w:p>
    <w:p>
      <w:pPr>
        <w:numPr>
          <w:ilvl w:val="0"/>
          <w:numId w:val="1345"/>
        </w:numPr>
        <w:pStyle w:val="Compact"/>
      </w:pPr>
      <w:r>
        <w:rPr>
          <w:bCs/>
          <w:b/>
        </w:rPr>
        <w:t xml:space="preserve">Nenhuma afirmação sobre efeito e segurança.</w:t>
      </w:r>
      <w:r>
        <w:t xml:space="preserve"> </w:t>
      </w:r>
      <w:r>
        <w:t xml:space="preserve">Mesmo um produto puro só é tão seguro quanto a própria substância. Para a maioria dos peptídeos do mercado cinza, faltam estudos em humanos sobre isso (ver Parte II).</w:t>
      </w:r>
    </w:p>
    <w:bookmarkEnd w:id="2762"/>
    <w:bookmarkStart w:id="2774" w:name="Xf27c3e958dee11180c5667993a9ee15f68da771"/>
    <w:p>
      <w:pPr>
        <w:pStyle w:val="Heading3"/>
      </w:pPr>
      <w:r>
        <w:t xml:space="preserve">Medicamentos de GLP-1: o que os centros de informação toxicológica relatam</w:t>
      </w:r>
    </w:p>
    <w:p>
      <w:pPr>
        <w:pStyle w:val="FirstParagraph"/>
      </w:pPr>
      <w:r>
        <w:t xml:space="preserve">Para os medicamentos de GLP-1, há uma fonte de dados adicional que mostra o que de fato dá errado no uso: as ligações para centros de informação toxicológica. Nos EUA, elas são reunidas em um banco de dados nacional. Esses dados nem sempre distinguem entre original, medicamento manipulado e mercadoria do mercado cinza, mas mostram a ordem de grandeza dos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Período e abrangência</w:t>
            </w:r>
          </w:p>
        </w:tc>
        <w:tc>
          <w:tcPr/>
          <w:p>
            <w:pPr>
              <w:pStyle w:val="Compact"/>
              <w:jc w:val="left"/>
            </w:pPr>
            <w:r>
              <w:t xml:space="preserve">Principais achados</w:t>
            </w:r>
          </w:p>
        </w:tc>
      </w:tr>
      <w:tr>
        <w:tc>
          <w:tcPr/>
          <w:p>
            <w:pPr>
              <w:pStyle w:val="Compact"/>
              <w:jc w:val="left"/>
            </w:pPr>
            <w:r>
              <w:t xml:space="preserve">Gaw 2024, PMID 38421490</w:t>
            </w:r>
          </w:p>
        </w:tc>
        <w:tc>
          <w:tcPr/>
          <w:p>
            <w:pPr>
              <w:pStyle w:val="Compact"/>
              <w:jc w:val="left"/>
            </w:pPr>
            <w:r>
              <w:t xml:space="preserve">EUA, 2017–2022, 5.713 casos</w:t>
            </w:r>
          </w:p>
        </w:tc>
        <w:tc>
          <w:tcPr/>
          <w:p>
            <w:pPr>
              <w:pStyle w:val="Compact"/>
              <w:jc w:val="left"/>
            </w:pPr>
            <w:r>
              <w:t xml:space="preserve">79,9% erros de uso; 6,2% evoluções graves, uma morte</w:t>
            </w:r>
          </w:p>
        </w:tc>
      </w:tr>
      <w:tr>
        <w:tc>
          <w:tcPr/>
          <w:p>
            <w:pPr>
              <w:pStyle w:val="Compact"/>
              <w:jc w:val="left"/>
            </w:pPr>
            <w:r>
              <w:t xml:space="preserve">Miller 2026, PMID 41634285</w:t>
            </w:r>
          </w:p>
        </w:tc>
        <w:tc>
          <w:tcPr/>
          <w:p>
            <w:pPr>
              <w:pStyle w:val="Compact"/>
              <w:jc w:val="left"/>
            </w:pPr>
            <w:r>
              <w:t xml:space="preserve">EUA, 2012–2023, 10.033 casos</w:t>
            </w:r>
          </w:p>
        </w:tc>
        <w:tc>
          <w:tcPr/>
          <w:p>
            <w:pPr>
              <w:pStyle w:val="Compact"/>
              <w:jc w:val="left"/>
            </w:pPr>
            <w:r>
              <w:t xml:space="preserve">após a aprovação para obesidade, mais casos; proporção com contato médico ou hospitalar de 23,0 para 33,5%</w:t>
            </w:r>
          </w:p>
        </w:tc>
      </w:tr>
      <w:tr>
        <w:tc>
          <w:tcPr/>
          <w:p>
            <w:pPr>
              <w:pStyle w:val="Compact"/>
              <w:jc w:val="left"/>
            </w:pPr>
            <w:r>
              <w:t xml:space="preserve">Senthilkumar 2026, PMID 41784916</w:t>
            </w:r>
          </w:p>
        </w:tc>
        <w:tc>
          <w:tcPr/>
          <w:p>
            <w:pPr>
              <w:pStyle w:val="Compact"/>
              <w:jc w:val="left"/>
            </w:pPr>
            <w:r>
              <w:t xml:space="preserve">EUA, 2017–2024, 13.924 casos</w:t>
            </w:r>
          </w:p>
        </w:tc>
        <w:tc>
          <w:tcPr/>
          <w:p>
            <w:pPr>
              <w:pStyle w:val="Compact"/>
              <w:jc w:val="left"/>
            </w:pPr>
            <w:r>
              <w:t xml:space="preserve">91,7% sem consequências ou com consequências leves; 42 evoluções graves, duas mortes</w:t>
            </w:r>
          </w:p>
        </w:tc>
      </w:tr>
      <w:tr>
        <w:tc>
          <w:tcPr/>
          <w:p>
            <w:pPr>
              <w:pStyle w:val="Compact"/>
              <w:jc w:val="left"/>
            </w:pPr>
            <w:r>
              <w:t xml:space="preserve">Ho 2025, PMID 40371098</w:t>
            </w:r>
          </w:p>
        </w:tc>
        <w:tc>
          <w:tcPr/>
          <w:p>
            <w:pPr>
              <w:pStyle w:val="Compact"/>
              <w:jc w:val="left"/>
            </w:pPr>
            <w:r>
              <w:t xml:space="preserve">Califórnia, 2017–2023, 1.047 casos</w:t>
            </w:r>
          </w:p>
        </w:tc>
        <w:tc>
          <w:tcPr/>
          <w:p>
            <w:pPr>
              <w:pStyle w:val="Compact"/>
              <w:jc w:val="left"/>
            </w:pPr>
            <w:r>
              <w:t xml:space="preserve">21,0% no pronto-socorro, 4,4% internados; hipoglicemia em 3,8%</w:t>
            </w:r>
          </w:p>
        </w:tc>
      </w:tr>
    </w:tbl>
    <w:p>
      <w:pPr>
        <w:pStyle w:val="BodyText"/>
      </w:pPr>
      <w:r>
        <w:t xml:space="preserve">Vários padrões chamam a atenção:</w:t>
      </w:r>
    </w:p>
    <w:p>
      <w:pPr>
        <w:pStyle w:val="BodyText"/>
      </w:pPr>
      <w:r>
        <w:rPr>
          <w:bCs/>
          <w:b/>
        </w:rPr>
        <w:t xml:space="preserve">O número de casos aumentou fortemente com a difusão.</w:t>
      </w:r>
      <w:r>
        <w:t xml:space="preserve"> </w:t>
      </w:r>
      <w:r>
        <w:t xml:space="preserve">De 2021 para 2022, a taxa de casos notificados por milhão de habitantes aumentou 80,9%</w:t>
      </w:r>
      <w:r>
        <w:rPr>
          <w:rStyle w:val="FootnoteReference"/>
        </w:rPr>
        <w:footnoteReference w:id="2763"/>
      </w:r>
      <w:r>
        <w:t xml:space="preserve">. Entre 2017 e 2024, ela aumentou no total 1.830,8%</w:t>
      </w:r>
      <w:r>
        <w:rPr>
          <w:rStyle w:val="FootnoteReference"/>
        </w:rPr>
        <w:footnoteReference w:id="2764"/>
      </w:r>
      <w:r>
        <w:t xml:space="preserve">.</w:t>
      </w:r>
    </w:p>
    <w:p>
      <w:pPr>
        <w:pStyle w:val="BodyText"/>
      </w:pPr>
      <w:r>
        <w:rPr>
          <w:bCs/>
          <w:b/>
        </w:rPr>
        <w:t xml:space="preserve">A maioria dos casos são erros de uso.</w:t>
      </w:r>
      <w:r>
        <w:t xml:space="preserve"> </w:t>
      </w:r>
      <w:r>
        <w:t xml:space="preserve">Em todas as análises, predominaram erros não intencionais no uso, como uma dose duplicada ou medida incorretamente</w:t>
      </w:r>
      <w:r>
        <w:rPr>
          <w:rStyle w:val="FootnoteReference"/>
        </w:rPr>
        <w:footnoteReference w:id="2765"/>
      </w:r>
      <w:r>
        <w:t xml:space="preserve">. Em uma análise de um único centro, 21% dos casos se deveram a erros no primeiro uso da caneta preenchida</w:t>
      </w:r>
      <w:r>
        <w:rPr>
          <w:rStyle w:val="FootnoteReference"/>
        </w:rPr>
        <w:footnoteReference w:id="2766"/>
      </w:r>
      <w:r>
        <w:t xml:space="preserve">. Erros acontecem, portanto, também com produtos aprovados. Na análise californiana, 36 casos envolveram medicamentos manipulados; neles, erros ao medir ou injetar foram a causa em 91,7%</w:t>
      </w:r>
      <w:r>
        <w:rPr>
          <w:rStyle w:val="FootnoteReference"/>
        </w:rPr>
        <w:footnoteReference w:id="2767"/>
      </w:r>
      <w:r>
        <w:t xml:space="preserve">. Isso se encaixa nos relatos de caso, descritos na Parte I, sobre confusões entre mililitros,</w:t>
      </w:r>
      <w:r>
        <w:t xml:space="preserve"> </w:t>
      </w:r>
      <w:r>
        <w:t xml:space="preserve">“</w:t>
      </w:r>
      <w:r>
        <w:t xml:space="preserve">unidades</w:t>
      </w:r>
      <w:r>
        <w:t xml:space="preserve">”</w:t>
      </w:r>
      <w:r>
        <w:t xml:space="preserve"> </w:t>
      </w:r>
      <w:r>
        <w:t xml:space="preserve">e miligramas em frascos.</w:t>
      </w:r>
    </w:p>
    <w:p>
      <w:pPr>
        <w:pStyle w:val="BodyText"/>
      </w:pPr>
      <w:r>
        <w:rPr>
          <w:bCs/>
          <w:b/>
        </w:rPr>
        <w:t xml:space="preserve">As consequências são em geral leves, mas nem sempre.</w:t>
      </w:r>
      <w:r>
        <w:t xml:space="preserve"> </w:t>
      </w:r>
      <w:r>
        <w:t xml:space="preserve">Náusea e vômitos estão em primeiro plano. Uma minoria considerável, porém, precisa de tratamento médico, e houve mortes</w:t>
      </w:r>
      <w:r>
        <w:rPr>
          <w:rStyle w:val="FootnoteReference"/>
        </w:rPr>
        <w:footnoteReference w:id="2768"/>
      </w:r>
      <w:r>
        <w:t xml:space="preserve">. Hipoglicemias ocorreram em 3,4%</w:t>
      </w:r>
      <w:r>
        <w:rPr>
          <w:rStyle w:val="FootnoteReference"/>
        </w:rPr>
        <w:footnoteReference w:id="2769"/>
      </w:r>
      <w:r>
        <w:t xml:space="preserve"> </w:t>
      </w:r>
      <w:r>
        <w:t xml:space="preserve">a 3,8%</w:t>
      </w:r>
      <w:r>
        <w:rPr>
          <w:rStyle w:val="FootnoteReference"/>
        </w:rPr>
        <w:footnoteReference w:id="2770"/>
      </w:r>
      <w:r>
        <w:t xml:space="preserve"> </w:t>
      </w:r>
      <w:r>
        <w:t xml:space="preserve">dos casos; em outra análise, ela foi rara, mas ocorreu também após o uso isolado de um medicamento de GLP-1</w:t>
      </w:r>
      <w:r>
        <w:rPr>
          <w:rStyle w:val="FootnoteReference"/>
        </w:rPr>
        <w:footnoteReference w:id="2771"/>
      </w:r>
      <w:r>
        <w:t xml:space="preserve">. Quão grave pode ser uma superdosagem é mostrado pelo caso, descrito no capítulo</w:t>
      </w:r>
      <w:r>
        <w:t xml:space="preserve"> </w:t>
      </w:r>
      <w:r>
        <w:t xml:space="preserve">“</w:t>
      </w:r>
      <w:r>
        <w:t xml:space="preserve">Reações imunológicas</w:t>
      </w:r>
      <w:r>
        <w:t xml:space="preserve">”</w:t>
      </w:r>
      <w:r>
        <w:t xml:space="preserve">, de uma mulher que, após uma dose acidentalmente dez vezes maior de uma farmácia de manipulação, precisou de ventilação mecânica devido a um inchaço maciço na garganta e desenvolveu adicionalmente uma hipoglicemia</w:t>
      </w:r>
      <w:r>
        <w:rPr>
          <w:rStyle w:val="FootnoteReference"/>
        </w:rPr>
        <w:footnoteReference w:id="2772"/>
      </w:r>
      <w:r>
        <w:t xml:space="preserve">.</w:t>
      </w:r>
    </w:p>
    <w:p>
      <w:pPr>
        <w:pStyle w:val="BodyText"/>
      </w:pPr>
      <w:r>
        <w:rPr>
          <w:bCs/>
          <w:b/>
        </w:rPr>
        <w:t xml:space="preserve">Adolescentes são um grupo de risco próprio.</w:t>
      </w:r>
      <w:r>
        <w:t xml:space="preserve"> </w:t>
      </w:r>
      <w:r>
        <w:t xml:space="preserve">Em crianças e adolescentes entre 6 e 17 anos, a taxa de casos foi a que mais aumentou entre 2017 e 2024. Eles foram internados com mais frequência do que adultos (risco relativo 2,66), e seus casos se deveram com muito mais frequência a uso indevido intencional (risco relativo 8,12)</w:t>
      </w:r>
      <w:r>
        <w:rPr>
          <w:rStyle w:val="FootnoteReference"/>
        </w:rPr>
        <w:footnoteReference w:id="2773"/>
      </w:r>
      <w:r>
        <w:t xml:space="preserve">. Mais sobre isso no capítulo seguinte.</w:t>
      </w:r>
    </w:p>
    <w:bookmarkEnd w:id="2774"/>
    <w:bookmarkStart w:id="2775" w:name="o-que-resulta-disso"/>
    <w:p>
      <w:pPr>
        <w:pStyle w:val="Heading3"/>
      </w:pPr>
      <w:r>
        <w:t xml:space="preserve">O que resulta disso</w:t>
      </w:r>
    </w:p>
    <w:p>
      <w:pPr>
        <w:pStyle w:val="FirstParagraph"/>
      </w:pPr>
      <w:r>
        <w:t xml:space="preserve">As análises laboratoriais e os dados dos centros de informação toxicológica descrevem dois lados do mesmo problema. As análises mostram que produtos do mercado cinza podem divergir do rótulo em todos os aspectos imagináveis: na substância, na quantidade, na pureza e em substâncias acompanhantes tóxicas. Os dados dos centros toxicológicos mostram que, mesmo com produtos verificados, erros de medição são frequentes – e que frascos que primeiro precisam ser dissolvidos e convertidos são particularmente propensos a erros.</w:t>
      </w:r>
    </w:p>
    <w:p>
      <w:pPr>
        <w:pStyle w:val="BodyText"/>
      </w:pPr>
      <w:r>
        <w:t xml:space="preserve">Combinando ambos, resulta um risco que nenhum estudo sobre uma substância consegue descrever: quem injeta um peptídeo do mercado cinza não conhece nem o conteúdo nem a quantidade, e qualquer desvio é ainda amplificado por possíveis erros de cálculo próprios. Os dados de segurança dos estudos de aprovação, descritos na Parte II, não valem para esses produtos.</w:t>
      </w:r>
    </w:p>
    <w:bookmarkEnd w:id="2775"/>
    <w:bookmarkStart w:id="2776" w:name="o-essencial-em-resumo-6"/>
    <w:p>
      <w:pPr>
        <w:pStyle w:val="Heading3"/>
      </w:pPr>
      <w:r>
        <w:t xml:space="preserve">O essencial em resumo</w:t>
      </w:r>
    </w:p>
    <w:p>
      <w:pPr>
        <w:numPr>
          <w:ilvl w:val="0"/>
          <w:numId w:val="1346"/>
        </w:numPr>
        <w:pStyle w:val="Compact"/>
      </w:pPr>
      <w:r>
        <w:t xml:space="preserve">Laboratórios oficiais, forenses e antidoping encontram regularmente em peptídeos do mercado cinza substâncias erradas, quantidades erradas, baixa pureza e variantes de designer.</w:t>
      </w:r>
    </w:p>
    <w:p>
      <w:pPr>
        <w:numPr>
          <w:ilvl w:val="0"/>
          <w:numId w:val="1346"/>
        </w:numPr>
        <w:pStyle w:val="Compact"/>
      </w:pPr>
      <w:r>
        <w:t xml:space="preserve">Uma análise sistemática belga encontrou adicionalmente arsênio e chumbo, em parte até dez vezes o limite para injetáveis, bem como bactérias em preparados injetáveis.</w:t>
      </w:r>
    </w:p>
    <w:p>
      <w:pPr>
        <w:numPr>
          <w:ilvl w:val="0"/>
          <w:numId w:val="1346"/>
        </w:numPr>
        <w:pStyle w:val="Compact"/>
      </w:pPr>
      <w:r>
        <w:t xml:space="preserve">Novos</w:t>
      </w:r>
      <w:r>
        <w:t xml:space="preserve"> </w:t>
      </w:r>
      <w:r>
        <w:t xml:space="preserve">“</w:t>
      </w:r>
      <w:r>
        <w:t xml:space="preserve">research peptides</w:t>
      </w:r>
      <w:r>
        <w:t xml:space="preserve">”</w:t>
      </w:r>
      <w:r>
        <w:t xml:space="preserve"> </w:t>
      </w:r>
      <w:r>
        <w:t xml:space="preserve">surgem mais rápido do que os laboratórios de controle conseguem desenvolver métodos de detecção.</w:t>
      </w:r>
    </w:p>
    <w:p>
      <w:pPr>
        <w:numPr>
          <w:ilvl w:val="0"/>
          <w:numId w:val="1346"/>
        </w:numPr>
        <w:pStyle w:val="Compact"/>
      </w:pPr>
      <w:r>
        <w:t xml:space="preserve">Análises são retratos instantâneos; um bom resultado não vale para o próximo lote.</w:t>
      </w:r>
    </w:p>
    <w:p>
      <w:pPr>
        <w:numPr>
          <w:ilvl w:val="0"/>
          <w:numId w:val="1346"/>
        </w:numPr>
        <w:pStyle w:val="Compact"/>
      </w:pPr>
      <w:r>
        <w:t xml:space="preserve">Nos EUA, o número de ligações para centros toxicológicos por causa de medicamentos de GLP-1 aumentou fortemente. A maioria dos casos são erros de uso com consequências leves; uma minoria tem evolução grave. Nos preparados manipulados, quase todos os casos se deveram a erros de medição.</w:t>
      </w:r>
    </w:p>
    <w:bookmarkEnd w:id="2776"/>
    <w:bookmarkEnd w:id="2777"/>
    <w:bookmarkStart w:id="2822" w:name="interações-e-grupos-de-risco-especiais"/>
    <w:p>
      <w:pPr>
        <w:pStyle w:val="Heading2"/>
      </w:pPr>
      <w:r>
        <w:t xml:space="preserve">Interações e grupos de risco especiais</w:t>
      </w:r>
    </w:p>
    <w:p>
      <w:pPr>
        <w:pStyle w:val="FirstParagraph"/>
      </w:pPr>
      <w:r>
        <w:t xml:space="preserve">Os estudos em que se baseia a aprovação de um medicamento quase sempre excluem determinadas pessoas: gestantes, crianças, pessoas muito idosas ou com várias doenças, pessoas com transtornos alimentares ou doenças psiquiátricas graves. O que vale para os participantes dos estudos só pode, por isso, ser transferido a esses grupos com ressalvas. Somam-se interações com outros medicamentos e situações como uma anestesia, em que um efeito normalmente inofensivo pode de repente se tornar perigoso.</w:t>
      </w:r>
    </w:p>
    <w:p>
      <w:pPr>
        <w:pStyle w:val="BodyText"/>
      </w:pPr>
      <w:r>
        <w:t xml:space="preserve">Este capítulo reúne essas questões. Ele não substitui uma orientação médica nem a bula profissional. Nos medicamentos aprovados, a bula profissional regula de forma vinculante contraindicações e interações; nos peptídeos não aprovados, em regra não há absolutamente nenhum dado sobre esses grupos.</w:t>
      </w:r>
    </w:p>
    <w:bookmarkStart w:id="2783" w:name="gravidez-e-amamentação"/>
    <w:p>
      <w:pPr>
        <w:pStyle w:val="Heading3"/>
      </w:pPr>
      <w:r>
        <w:t xml:space="preserve">Gravidez e amamentação</w:t>
      </w:r>
    </w:p>
    <w:p>
      <w:pPr>
        <w:pStyle w:val="FirstParagraph"/>
      </w:pPr>
      <w:r>
        <w:t xml:space="preserve">Para quase todos os peptídeos deste livro, vale: na gravidez, eles não foram estudados ou não são indicados. As bulas profissionais dos medicamentos de GLP-1 preveem não usá-los na gravidez e suspendê-los com antecedência antes de uma gravidez planejada (capítulos Semaglutida, Tirzepatida). Na maridebarte cafraglutida, isso é particularmente importante, porque seu efeito persistiu em um estudo inicial por até 150 dias após a última dose (capítulo Maridebarte cafraglutida).</w:t>
      </w:r>
    </w:p>
    <w:p>
      <w:pPr>
        <w:pStyle w:val="BodyText"/>
      </w:pPr>
      <w:r>
        <w:t xml:space="preserve">Como os medicamentos de GLP-1 são usados por muitas mulheres em idade fértil e a perda de peso pode melhorar a fertilidade, ocorrem mesmo assim gestações não planejadas durante o tratamento. Para essa situação já há dados, predominantemente tranquilizadores:</w:t>
      </w:r>
    </w:p>
    <w:p>
      <w:pPr>
        <w:numPr>
          <w:ilvl w:val="0"/>
          <w:numId w:val="1347"/>
        </w:numPr>
        <w:pStyle w:val="Compact"/>
      </w:pPr>
      <w:r>
        <w:t xml:space="preserve">Em um grande estudo de quatro países nórdicos, dos EUA e de Israel, a taxa de malformações graves em filhos de mulheres com diabetes tipo 2 que haviam recebido agonistas do receptor de GLP-1 próximo à concepção não foi maior do que com insulina (risco relativo ajustado 0,95)</w:t>
      </w:r>
      <w:r>
        <w:rPr>
          <w:rStyle w:val="FootnoteReference"/>
        </w:rPr>
        <w:footnoteReference w:id="2778"/>
      </w:r>
      <w:r>
        <w:t xml:space="preserve">.</w:t>
      </w:r>
    </w:p>
    <w:p>
      <w:pPr>
        <w:numPr>
          <w:ilvl w:val="0"/>
          <w:numId w:val="1347"/>
        </w:numPr>
        <w:pStyle w:val="Compact"/>
      </w:pPr>
      <w:r>
        <w:t xml:space="preserve">Uma análise de seis serviços de informação sobre medicamentos na gravidez encontrou, em 168 gestações com exposição a GLP-1 no primeiro trimestre, malformações graves em 2,6%, nos grupos de comparação em 2,3% e 3,9%</w:t>
      </w:r>
      <w:r>
        <w:rPr>
          <w:rStyle w:val="FootnoteReference"/>
        </w:rPr>
        <w:footnoteReference w:id="2779"/>
      </w:r>
      <w:r>
        <w:t xml:space="preserve">.</w:t>
      </w:r>
    </w:p>
    <w:p>
      <w:pPr>
        <w:numPr>
          <w:ilvl w:val="0"/>
          <w:numId w:val="1347"/>
        </w:numPr>
        <w:pStyle w:val="Compact"/>
      </w:pPr>
      <w:r>
        <w:t xml:space="preserve">Um estudo norte-americano com 3.572 gestações comparou mulheres que continuaram a obter o medicamento no primeiro trimestre com mulheres que o suspenderam. Não se encontrou um risco claramente aumentado de aborto espontâneo ou natimorto, distúrbios de crescimento ou malformações; as estimativas para malformações, porém, eram tão imprecisas que também uma diferença relevante não pode ser descartada</w:t>
      </w:r>
      <w:r>
        <w:rPr>
          <w:rStyle w:val="FootnoteReference"/>
        </w:rPr>
        <w:footnoteReference w:id="2780"/>
      </w:r>
      <w:r>
        <w:t xml:space="preserve">.</w:t>
      </w:r>
    </w:p>
    <w:p>
      <w:pPr>
        <w:numPr>
          <w:ilvl w:val="0"/>
          <w:numId w:val="1347"/>
        </w:numPr>
        <w:pStyle w:val="Compact"/>
      </w:pPr>
      <w:r>
        <w:t xml:space="preserve">Uma metanálise de sete estudos de coorte com mais de 40.000 gestações expostas não encontrou aumento estatisticamente comprovado de malformações graves; um sinal para malformações das vias urinárias baseava-se apenas em dados não ajustados. Os autores avaliam a certeza da evidência como baixa</w:t>
      </w:r>
      <w:r>
        <w:rPr>
          <w:rStyle w:val="FootnoteReference"/>
        </w:rPr>
        <w:footnoteReference w:id="2781"/>
      </w:r>
      <w:r>
        <w:t xml:space="preserve">.</w:t>
      </w:r>
    </w:p>
    <w:p>
      <w:pPr>
        <w:pStyle w:val="FirstParagraph"/>
      </w:pPr>
      <w:r>
        <w:t xml:space="preserve">Esses dados ajudam na avaliação de uma exposição</w:t>
      </w:r>
      <w:r>
        <w:t xml:space="preserve"> </w:t>
      </w:r>
      <w:r>
        <w:rPr>
          <w:iCs/>
          <w:i/>
        </w:rPr>
        <w:t xml:space="preserve">acidental</w:t>
      </w:r>
      <w:r>
        <w:t xml:space="preserve">. Não são prova de que um uso planejado na gravidez seria seguro. Para a amamentação, os dados são ainda mais escassos; sobre a passagem da bremelanotida para o leite materno, foi concluído um pequeno estudo com dez mulheres</w:t>
      </w:r>
      <w:r>
        <w:rPr>
          <w:rStyle w:val="FootnoteReference"/>
        </w:rPr>
        <w:footnoteReference w:id="2782"/>
      </w:r>
      <w:r>
        <w:t xml:space="preserve">.</w:t>
      </w:r>
    </w:p>
    <w:p>
      <w:pPr>
        <w:pStyle w:val="BodyText"/>
      </w:pPr>
      <w:r>
        <w:t xml:space="preserve">Alguns peptídeos são perigosos na gravidez pelo seu próprio princípio de ação. A ocitocina desencadeia contrações; um uso como spray nasal fora de controle médico é arriscado na gravidez (capítulo Ocitocina). Para peptídeos do mercado cinza como BPC-157, TB-500, Epitalon ou os liberadores de hormônio do crescimento, não há nenhum dado sobre gravidez e amamentação.</w:t>
      </w:r>
    </w:p>
    <w:bookmarkEnd w:id="2783"/>
    <w:bookmarkStart w:id="2788" w:name="Xf495dab99153c38bdf7ddac3a4e200465edf76f"/>
    <w:p>
      <w:pPr>
        <w:pStyle w:val="Heading3"/>
      </w:pPr>
      <w:r>
        <w:t xml:space="preserve">Contracepção oral e esvaziamento gástrico</w:t>
      </w:r>
    </w:p>
    <w:p>
      <w:pPr>
        <w:pStyle w:val="FirstParagraph"/>
      </w:pPr>
      <w:r>
        <w:t xml:space="preserve">Medicamentos de GLP-1, análogos de amilina como a pranlintida e também a bremelanotida retardam o esvaziamento do estômago. Com isso, comprimidos tomados ao mesmo tempo podem chegar ao sangue mais tarde ou em quantidade diferente. Isso afeta sobretudo medicamentos em que importam um início de ação rápido ou um nível sanguíneo uniforme.</w:t>
      </w:r>
    </w:p>
    <w:p>
      <w:pPr>
        <w:pStyle w:val="BodyText"/>
      </w:pPr>
      <w:r>
        <w:t xml:space="preserve">A pílula anticoncepcional foi estudada com especial cuidado. Para a semaglutida, um estudo com 43 mulheres não encontrou absorção reduzida dos dois hormônios de uma pílula combinada comum; o nível do progestagênio foi até 20% mais alto com semaglutida</w:t>
      </w:r>
      <w:r>
        <w:rPr>
          <w:rStyle w:val="FootnoteReference"/>
        </w:rPr>
        <w:footnoteReference w:id="2784"/>
      </w:r>
      <w:r>
        <w:t xml:space="preserve">. Com a tirzepatida é diferente: uma revisão de seis estudos encontrou apenas com a tirzepatida uma redução significativa da quantidade de hormônio absorvida, com os demais agonistas do receptor de GLP-1 não. Como explicação, os autores citam o retardo mais forte do esvaziamento gástrico após a primeira dose e após aumentos de dose</w:t>
      </w:r>
      <w:r>
        <w:rPr>
          <w:rStyle w:val="FootnoteReference"/>
        </w:rPr>
        <w:footnoteReference w:id="2785"/>
      </w:r>
      <w:r>
        <w:t xml:space="preserve">. A bula profissional da tirzepatida contém, por isso, uma advertência própria sobre a contracepção com comprimidos; os detalhes estão ali e devem ser discutidos com o médico.</w:t>
      </w:r>
    </w:p>
    <w:p>
      <w:pPr>
        <w:pStyle w:val="BodyText"/>
      </w:pPr>
      <w:r>
        <w:t xml:space="preserve">Independentemente da substância, vale: vômitos ou diarreia intensos – frequentes com medicamentos de GLP-1 – podem prejudicar a absorção de qualquer comprimido, inclusive o da pílula.</w:t>
      </w:r>
    </w:p>
    <w:p>
      <w:pPr>
        <w:pStyle w:val="BodyText"/>
      </w:pPr>
      <w:r>
        <w:t xml:space="preserve">Outras interações conhecidas em visão geral: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Peptídeo</w:t>
            </w:r>
          </w:p>
        </w:tc>
        <w:tc>
          <w:tcPr/>
          <w:p>
            <w:pPr>
              <w:pStyle w:val="Compact"/>
              <w:jc w:val="left"/>
            </w:pPr>
            <w:r>
              <w:t xml:space="preserve">Interação</w:t>
            </w:r>
          </w:p>
        </w:tc>
        <w:tc>
          <w:tcPr/>
          <w:p>
            <w:pPr>
              <w:pStyle w:val="Compact"/>
              <w:jc w:val="left"/>
            </w:pPr>
            <w:r>
              <w:t xml:space="preserve">Relevância</w:t>
            </w:r>
          </w:p>
        </w:tc>
        <w:tc>
          <w:tcPr/>
          <w:p>
            <w:pPr>
              <w:pStyle w:val="Compact"/>
              <w:jc w:val="left"/>
            </w:pPr>
            <w:r>
              <w:t xml:space="preserve">Capítulo</w:t>
            </w:r>
          </w:p>
        </w:tc>
      </w:tr>
      <w:tr>
        <w:tc>
          <w:tcPr/>
          <w:p>
            <w:pPr>
              <w:pStyle w:val="Compact"/>
              <w:jc w:val="left"/>
            </w:pPr>
            <w:r>
              <w:t xml:space="preserve">Medicamentos de GLP-1, pranlintida</w:t>
            </w:r>
          </w:p>
        </w:tc>
        <w:tc>
          <w:tcPr/>
          <w:p>
            <w:pPr>
              <w:pStyle w:val="Compact"/>
              <w:jc w:val="left"/>
            </w:pPr>
            <w:r>
              <w:t xml:space="preserve">absorção retardada de comprimidos</w:t>
            </w:r>
          </w:p>
        </w:tc>
        <w:tc>
          <w:tcPr/>
          <w:p>
            <w:pPr>
              <w:pStyle w:val="Compact"/>
              <w:jc w:val="left"/>
            </w:pPr>
            <w:r>
              <w:t xml:space="preserve">atenção em medicamentos de margem terapêutica estreita</w:t>
            </w:r>
          </w:p>
        </w:tc>
        <w:tc>
          <w:tcPr/>
          <w:p>
            <w:pPr>
              <w:pStyle w:val="Compact"/>
              <w:jc w:val="left"/>
            </w:pPr>
            <w:r>
              <w:t xml:space="preserve">Semaglutida, Pranlintida</w:t>
            </w:r>
          </w:p>
        </w:tc>
      </w:tr>
      <w:tr>
        <w:tc>
          <w:tcPr/>
          <w:p>
            <w:pPr>
              <w:pStyle w:val="Compact"/>
              <w:jc w:val="left"/>
            </w:pPr>
            <w:r>
              <w:t xml:space="preserve">Tirzepatida</w:t>
            </w:r>
          </w:p>
        </w:tc>
        <w:tc>
          <w:tcPr/>
          <w:p>
            <w:pPr>
              <w:pStyle w:val="Compact"/>
              <w:jc w:val="left"/>
            </w:pPr>
            <w:r>
              <w:t xml:space="preserve">menos hormônio da pílula</w:t>
            </w:r>
          </w:p>
        </w:tc>
        <w:tc>
          <w:tcPr/>
          <w:p>
            <w:pPr>
              <w:pStyle w:val="Compact"/>
              <w:jc w:val="left"/>
            </w:pPr>
            <w:r>
              <w:t xml:space="preserve">advertência na bula profissional</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níveis mais baixos de indometacina e naltrexona</w:t>
            </w:r>
          </w:p>
        </w:tc>
        <w:tc>
          <w:tcPr/>
          <w:p>
            <w:pPr>
              <w:pStyle w:val="Compact"/>
              <w:jc w:val="left"/>
            </w:pPr>
            <w:r>
              <w:t xml:space="preserve">o efeito desses medicamentos pode diminuir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o intervalo QT</w:t>
            </w:r>
          </w:p>
        </w:tc>
        <w:tc>
          <w:tcPr/>
          <w:p>
            <w:pPr>
              <w:pStyle w:val="Compact"/>
              <w:jc w:val="left"/>
            </w:pPr>
            <w:r>
              <w:t xml:space="preserve">cautela com outros medicamentos que prolongam o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metabolização por enzimas hepáticas</w:t>
            </w:r>
          </w:p>
        </w:tc>
        <w:tc>
          <w:tcPr/>
          <w:p>
            <w:pPr>
              <w:pStyle w:val="Compact"/>
              <w:jc w:val="left"/>
            </w:pPr>
            <w:r>
              <w:t xml:space="preserve">interações com outros medicamentos possíveis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sedativos e hipnóticos, álcool</w:t>
            </w:r>
          </w:p>
        </w:tc>
        <w:tc>
          <w:tcPr/>
          <w:p>
            <w:pPr>
              <w:pStyle w:val="Compact"/>
              <w:jc w:val="left"/>
            </w:pPr>
            <w:r>
              <w:t xml:space="preserve">não estudado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coagulação sanguínea (apenas dados em animais)</w:t>
            </w:r>
          </w:p>
        </w:tc>
        <w:tc>
          <w:tcPr/>
          <w:p>
            <w:pPr>
              <w:pStyle w:val="Compact"/>
              <w:jc w:val="left"/>
            </w:pPr>
            <w:r>
              <w:t xml:space="preserve">com anticoagulantes, desconhecido</w:t>
            </w:r>
          </w:p>
        </w:tc>
        <w:tc>
          <w:tcPr/>
          <w:p>
            <w:pPr>
              <w:pStyle w:val="Compact"/>
              <w:jc w:val="left"/>
            </w:pPr>
            <w:r>
              <w:t xml:space="preserve">BPC-157</w:t>
            </w:r>
          </w:p>
        </w:tc>
      </w:tr>
    </w:tbl>
    <w:p>
      <w:pPr>
        <w:pStyle w:val="BodyText"/>
      </w:pPr>
      <w:r>
        <w:t xml:space="preserve">A interação da bremelanotida com indometacina e naltrexona está descrita nos dados de aprovação</w:t>
      </w:r>
      <w:r>
        <w:rPr>
          <w:rStyle w:val="FootnoteReference"/>
        </w:rPr>
        <w:footnoteReference w:id="2786"/>
      </w:r>
      <w:r>
        <w:t xml:space="preserve">. O prolongamento do QT pela macimorelina foi medido em um estudo de ECG detalhado</w:t>
      </w:r>
      <w:r>
        <w:rPr>
          <w:rStyle w:val="FootnoteReference"/>
        </w:rPr>
        <w:footnoteReference w:id="2787"/>
      </w:r>
      <w:r>
        <w:t xml:space="preserve">.</w:t>
      </w:r>
    </w:p>
    <w:bookmarkEnd w:id="2788"/>
    <w:bookmarkStart w:id="2793" w:name="Xf5a79fc93ccfe90a66fd2fd89c3a788f5145bf9"/>
    <w:p>
      <w:pPr>
        <w:pStyle w:val="Heading3"/>
      </w:pPr>
      <w:r>
        <w:t xml:space="preserve">Anestesia, endoscopia digestiva e aspiração</w:t>
      </w:r>
    </w:p>
    <w:p>
      <w:pPr>
        <w:pStyle w:val="FirstParagraph"/>
      </w:pPr>
      <w:r>
        <w:t xml:space="preserve">Antes de uma anestesia, o estômago deve estar vazio. O motivo: se conteúdo gástrico chegar às vias respiratórias durante a anestesia (aspiração), pode se seguir uma pneumonia grave. Como os medicamentos de GLP-1 retardam o esvaziamento gástrico, o estômago pode ainda conter restos de alimentos apesar do jejum prescrito.</w:t>
      </w:r>
    </w:p>
    <w:p>
      <w:pPr>
        <w:pStyle w:val="BodyText"/>
      </w:pPr>
      <w:r>
        <w:t xml:space="preserve">Os estudos sobre o tema traçam um quadro dividido:</w:t>
      </w:r>
    </w:p>
    <w:p>
      <w:pPr>
        <w:numPr>
          <w:ilvl w:val="0"/>
          <w:numId w:val="1348"/>
        </w:numPr>
        <w:pStyle w:val="Compact"/>
      </w:pPr>
      <w:r>
        <w:rPr>
          <w:bCs/>
          <w:b/>
        </w:rPr>
        <w:t xml:space="preserve">Mais conteúdo residual no estômago está bem comprovado.</w:t>
      </w:r>
      <w:r>
        <w:t xml:space="preserve"> </w:t>
      </w:r>
      <w:r>
        <w:t xml:space="preserve">Uma metanálise de 23 estudos observacionais com 262.018 pessoas submetidas a endoscopia digestiva alta encontrou com agonistas do receptor de GLP-1 um risco cerca de quatro vezes e meia maior de restos alimentares no estômago (odds ratio 4,54) e, da mesma forma, exames interrompidos precocemente com mais frequência. A pneumonia aspirativa não ocorreu com mais frequência (odds ratio 0,96)</w:t>
      </w:r>
      <w:r>
        <w:rPr>
          <w:rStyle w:val="FootnoteReference"/>
        </w:rPr>
        <w:footnoteReference w:id="2789"/>
      </w:r>
      <w:r>
        <w:t xml:space="preserve">.</w:t>
      </w:r>
    </w:p>
    <w:p>
      <w:pPr>
        <w:numPr>
          <w:ilvl w:val="0"/>
          <w:numId w:val="1348"/>
        </w:numPr>
        <w:pStyle w:val="Compact"/>
      </w:pPr>
      <w:r>
        <w:t xml:space="preserve">Em um estudo com ultrassom gástrico antes de cirurgias programadas, 49% das pessoas em uso de semaglutida tinham um</w:t>
      </w:r>
      <w:r>
        <w:t xml:space="preserve"> </w:t>
      </w:r>
      <w:r>
        <w:t xml:space="preserve">“</w:t>
      </w:r>
      <w:r>
        <w:t xml:space="preserve">estômago cheio</w:t>
      </w:r>
      <w:r>
        <w:t xml:space="preserve">”</w:t>
      </w:r>
      <w:r>
        <w:t xml:space="preserve">, mas apenas 18% dos controles comparáveis; restos alimentares sólidos foram encontrados em 42% contra 7%. Isso valeu mesmo quando uma dose antes da cirurgia havia sido omitida</w:t>
      </w:r>
      <w:r>
        <w:rPr>
          <w:rStyle w:val="FootnoteReference"/>
        </w:rPr>
        <w:footnoteReference w:id="2790"/>
      </w:r>
      <w:r>
        <w:t xml:space="preserve">.</w:t>
      </w:r>
    </w:p>
    <w:p>
      <w:pPr>
        <w:numPr>
          <w:ilvl w:val="0"/>
          <w:numId w:val="1348"/>
        </w:numPr>
        <w:pStyle w:val="Compact"/>
      </w:pPr>
      <w:r>
        <w:rPr>
          <w:bCs/>
          <w:b/>
        </w:rPr>
        <w:t xml:space="preserve">Aspirações reais são raras.</w:t>
      </w:r>
      <w:r>
        <w:t xml:space="preserve"> </w:t>
      </w:r>
      <w:r>
        <w:t xml:space="preserve">Em um grande estudo de banco de dados norte-americano com 296.389 pares de pessoas com diabetes tipo 2, complicações respiratórias após cirurgias foram até mais raras com agonistas do receptor de GLP-1 (0,09% contra 0,34%), aspirações em 0,01% contra 0,03%. Os autores ressaltam que não está claro se, nesses casos, já haviam sido tomadas medidas de precaução</w:t>
      </w:r>
      <w:r>
        <w:rPr>
          <w:rStyle w:val="FootnoteReference"/>
        </w:rPr>
        <w:footnoteReference w:id="2791"/>
      </w:r>
      <w:r>
        <w:t xml:space="preserve">.</w:t>
      </w:r>
    </w:p>
    <w:p>
      <w:pPr>
        <w:pStyle w:val="FirstParagraph"/>
      </w:pPr>
      <w:r>
        <w:t xml:space="preserve">Possivelmente as taxas de aspiração são baixas porque as equipes de anestesia conhecem o risco e adaptam sua conduta. Se uma pausa do medicamento antes de uma endoscopia reduz o problema deverá ser esclarecido por um grande estudo na China</w:t>
      </w:r>
      <w:r>
        <w:rPr>
          <w:rStyle w:val="FootnoteReference"/>
        </w:rPr>
        <w:footnoteReference w:id="2792"/>
      </w:r>
      <w:r>
        <w:t xml:space="preserve">. Para os pacientes, isso significa sobretudo: antes de qualquer cirurgia, anestesia ou endoscopia, informar que usa um medicamento de GLP-1 – mesmo que ele venha de uma farmácia de manipulação ou do mercado cinza. Como lidar com o medicamento antes do procedimento é decidido pela equipe de tratamento de acordo com as recomendações vigentes. Quem não considera um produto do mercado cinza como medicamento e por isso não o menciona tira essa possibilidade da equipe de anestesia.</w:t>
      </w:r>
    </w:p>
    <w:bookmarkEnd w:id="2793"/>
    <w:bookmarkStart w:id="2796" w:name="X819ea2d003f4e59f2b8f7cea8b2c02cbd21ecc2"/>
    <w:p>
      <w:pPr>
        <w:pStyle w:val="Heading3"/>
      </w:pPr>
      <w:r>
        <w:t xml:space="preserve">Combinação com antidiabéticos e hipoglicemia</w:t>
      </w:r>
    </w:p>
    <w:p>
      <w:pPr>
        <w:pStyle w:val="FirstParagraph"/>
      </w:pPr>
      <w:r>
        <w:t xml:space="preserve">Como descrito no capítulo</w:t>
      </w:r>
      <w:r>
        <w:t xml:space="preserve"> </w:t>
      </w:r>
      <w:r>
        <w:t xml:space="preserve">“</w:t>
      </w:r>
      <w:r>
        <w:t xml:space="preserve">Efeitos colaterais por sistemas de órgãos</w:t>
      </w:r>
      <w:r>
        <w:t xml:space="preserve">”</w:t>
      </w:r>
      <w:r>
        <w:t xml:space="preserve">, medicamentos de GLP-1 isoladamente quase não causam hipoglicemias perigosas. Isso muda em combinação com insulina ou sulfonilureias, que baixam a glicemia independentemente do valor atual. Em um estudo com exenatida em associação a metformina e uma sulfonilureia, hipoglicemias leves a moderadas ocorreram em até 28%, com placebo em 13%; com sulfonilureia em dose baixa, foram mais raras</w:t>
      </w:r>
      <w:r>
        <w:rPr>
          <w:rStyle w:val="FootnoteReference"/>
        </w:rPr>
        <w:footnoteReference w:id="2794"/>
      </w:r>
      <w:r>
        <w:t xml:space="preserve">. Com a pranlintida, usada junto com insulina, hipoglicemias graves ocorreram com mais frequência do que com placebo</w:t>
      </w:r>
      <w:r>
        <w:rPr>
          <w:rStyle w:val="FootnoteReference"/>
        </w:rPr>
        <w:footnoteReference w:id="2795"/>
      </w:r>
      <w:r>
        <w:t xml:space="preserve">. Por isso, as bulas profissionais preveem revisar a dose dos outros antidiabéticos no início; a execução cabe ao médico.</w:t>
      </w:r>
    </w:p>
    <w:p>
      <w:pPr>
        <w:pStyle w:val="BodyText"/>
      </w:pPr>
      <w:r>
        <w:t xml:space="preserve">Para vários peptídeos não aprovados, uma redução adicional da glicemia é teoricamente concebível, por exemplo para MOTS-c ou IGF-1 LR3 (capítulos MOTS-c, IGF-1 LR3). Isso não foi estudado. Inversamente, os peptídeos do eixo do hormônio do crescimento podem elevar a glicemia e desequilibrar um tratamento de diabetes existente (capítulos Ibutamoreno, Tesamorelina).</w:t>
      </w:r>
    </w:p>
    <w:bookmarkEnd w:id="2796"/>
    <w:bookmarkStart w:id="2801" w:name="crianças-e-adolescentes-3"/>
    <w:p>
      <w:pPr>
        <w:pStyle w:val="Heading3"/>
      </w:pPr>
      <w:r>
        <w:t xml:space="preserve">Crianças e adolescentes</w:t>
      </w:r>
    </w:p>
    <w:p>
      <w:pPr>
        <w:pStyle w:val="FirstParagraph"/>
      </w:pPr>
      <w:r>
        <w:t xml:space="preserve">Semaglutida e liraglutida estão aprovadas na UE e nos EUA também para adolescentes a partir de doze anos com obesidade. Os estudos de aprovação mostram um perfil de efeitos colaterais semelhante ao de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w:t>
            </w:r>
          </w:p>
        </w:tc>
        <w:tc>
          <w:tcPr/>
          <w:p>
            <w:pPr>
              <w:pStyle w:val="Compact"/>
              <w:jc w:val="left"/>
            </w:pPr>
            <w:r>
              <w:t xml:space="preserve">Queixas gastrointestinais</w:t>
            </w:r>
          </w:p>
        </w:tc>
        <w:tc>
          <w:tcPr/>
          <w:p>
            <w:pPr>
              <w:pStyle w:val="Compact"/>
              <w:jc w:val="left"/>
            </w:pPr>
            <w:r>
              <w:t xml:space="preserve">Outros achados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vs. 42%</w:t>
            </w:r>
          </w:p>
        </w:tc>
        <w:tc>
          <w:tcPr/>
          <w:p>
            <w:pPr>
              <w:pStyle w:val="Compact"/>
              <w:jc w:val="left"/>
            </w:pPr>
            <w:r>
              <w:t xml:space="preserve">cálculos biliares em 4%; eventos graves 11% vs. 9%</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vs. 36,5%</w:t>
            </w:r>
          </w:p>
        </w:tc>
        <w:tc>
          <w:tcPr/>
          <w:p>
            <w:pPr>
              <w:pStyle w:val="Compact"/>
              <w:jc w:val="left"/>
            </w:pPr>
            <w:r>
              <w:t xml:space="preserve">abandono por efeitos colaterais 10,4% vs. 0%</w:t>
            </w:r>
          </w:p>
        </w:tc>
      </w:tr>
    </w:tbl>
    <w:p>
      <w:pPr>
        <w:pStyle w:val="BodyText"/>
      </w:pPr>
      <w:r>
        <w:t xml:space="preserve">No estudo com liraglutida, o IMC voltou a subir mais após a suspensão do que com placebo, e houve um suicídio no grupo da liraglutida, que os investigadores classificaram como provavelmente não relacionado ao tratamento</w:t>
      </w:r>
      <w:r>
        <w:rPr>
          <w:rStyle w:val="FootnoteReference"/>
        </w:rPr>
        <w:footnoteReference w:id="2797"/>
      </w:r>
      <w:r>
        <w:t xml:space="preserve">. Uma metanálise de nove estudos randomizados e dois observacionais com adolescentes não encontrou, no geral, aumento de comportamento suicida ou depressão</w:t>
      </w:r>
      <w:r>
        <w:rPr>
          <w:rStyle w:val="FootnoteReference"/>
        </w:rPr>
        <w:footnoteReference w:id="2798"/>
      </w:r>
      <w:r>
        <w:t xml:space="preserve">.</w:t>
      </w:r>
    </w:p>
    <w:p>
      <w:pPr>
        <w:pStyle w:val="BodyText"/>
      </w:pPr>
      <w:r>
        <w:t xml:space="preserve">Os dados dos centros de informação toxicológica dos EUA mostram outro quadro. Em crianças e adolescentes entre 6 e 17 anos, os casos notificados com medicamentos de GLP-1 foram os que mais aumentaram entre 2017 e 2024. Eles foram internados com mais frequência do que adultos (risco relativo 2,66), vomitaram com mais frequência, e seus casos se deveram cerca de oito vezes mais a uso indevido intencional</w:t>
      </w:r>
      <w:r>
        <w:rPr>
          <w:rStyle w:val="FootnoteReference"/>
        </w:rPr>
        <w:footnoteReference w:id="2799"/>
      </w:r>
      <w:r>
        <w:t xml:space="preserve">. Isso indica que adolescentes usam esses medicamentos em parte fora de um tratamento médico.</w:t>
      </w:r>
    </w:p>
    <w:p>
      <w:pPr>
        <w:pStyle w:val="BodyText"/>
      </w:pPr>
      <w:r>
        <w:t xml:space="preserve">Para os peptídeos do meio fitness e do fisiculturismo, não está claro quão difundidos eles estão entre adolescentes. Uma revisão aponta publicidade nas redes sociais e indícios de uso crescente também por praticantes recreativos mais jovens, mas ressalta que faltam estudos sobre a frequência</w:t>
      </w:r>
      <w:r>
        <w:rPr>
          <w:rStyle w:val="FootnoteReference"/>
        </w:rPr>
        <w:footnoteReference w:id="2800"/>
      </w:r>
      <w:r>
        <w:t xml:space="preserve">. Para adolescentes, cujo crescimento e sistema hormonal ainda não estão concluídos, a intervenção no eixo do hormônio do crescimento ou dos hormônios sexuais com substâncias não aprovadas é particularmente arriscada. Os peptídeos aprovados para crianças – como a mecasermina na deficiência grave de IGF-1 – são usados exclusivamente sob controle de especialistas (capítulo Mecasermina).</w:t>
      </w:r>
    </w:p>
    <w:bookmarkEnd w:id="2801"/>
    <w:bookmarkStart w:id="2804" w:name="idosos"/>
    <w:p>
      <w:pPr>
        <w:pStyle w:val="Heading3"/>
      </w:pPr>
      <w:r>
        <w:t xml:space="preserve">Idosos</w:t>
      </w:r>
    </w:p>
    <w:p>
      <w:pPr>
        <w:pStyle w:val="FirstParagraph"/>
      </w:pPr>
      <w:r>
        <w:t xml:space="preserve">Com a idade, aumenta o risco de que efeitos colaterais evoluam de forma mais grave. Para idosos, quatro pontos são especialmente importantes com peptídeos:</w:t>
      </w:r>
    </w:p>
    <w:p>
      <w:pPr>
        <w:numPr>
          <w:ilvl w:val="0"/>
          <w:numId w:val="1349"/>
        </w:numPr>
        <w:pStyle w:val="Compact"/>
      </w:pPr>
      <w:r>
        <w:rPr>
          <w:bCs/>
          <w:b/>
        </w:rPr>
        <w:t xml:space="preserve">Perda de líquidos.</w:t>
      </w:r>
      <w:r>
        <w:t xml:space="preserve"> </w:t>
      </w:r>
      <w:r>
        <w:t xml:space="preserve">Vômitos e diarreia com medicamentos de GLP-1 podem levar mais rapidamente, em idosos, à desidratação e a problemas renais.</w:t>
      </w:r>
    </w:p>
    <w:p>
      <w:pPr>
        <w:numPr>
          <w:ilvl w:val="0"/>
          <w:numId w:val="1349"/>
        </w:numPr>
        <w:pStyle w:val="Compact"/>
      </w:pPr>
      <w:r>
        <w:rPr>
          <w:bCs/>
          <w:b/>
        </w:rPr>
        <w:t xml:space="preserve">Massa muscular.</w:t>
      </w:r>
      <w:r>
        <w:t xml:space="preserve"> </w:t>
      </w:r>
      <w:r>
        <w:t xml:space="preserve">Quem já tem pouca musculatura tolera mal uma perda adicional (ver a seção seguinte).</w:t>
      </w:r>
    </w:p>
    <w:p>
      <w:pPr>
        <w:numPr>
          <w:ilvl w:val="0"/>
          <w:numId w:val="1349"/>
        </w:numPr>
        <w:pStyle w:val="Compact"/>
      </w:pPr>
      <w:r>
        <w:rPr>
          <w:bCs/>
          <w:b/>
        </w:rPr>
        <w:t xml:space="preserve">Retenção hídrica e coração.</w:t>
      </w:r>
      <w:r>
        <w:t xml:space="preserve"> </w:t>
      </w:r>
      <w:r>
        <w:t xml:space="preserve">O hormônio do crescimento levou em idosos saudáveis com mais frequência a inchaço dos tecidos, dores articulares e síndrome do túnel do carpo</w:t>
      </w:r>
      <w:r>
        <w:rPr>
          <w:rStyle w:val="FootnoteReference"/>
        </w:rPr>
        <w:footnoteReference w:id="2802"/>
      </w:r>
      <w:r>
        <w:t xml:space="preserve">. Um estudo com ibutamoreno em idosos após fratura de quadril foi interrompido devido a um sinal de insuficiência cardíaca</w:t>
      </w:r>
      <w:r>
        <w:rPr>
          <w:rStyle w:val="FootnoteReference"/>
        </w:rPr>
        <w:footnoteReference w:id="2803"/>
      </w:r>
      <w:r>
        <w:t xml:space="preserve">. Justamente os peptídeos promovidos como</w:t>
      </w:r>
      <w:r>
        <w:t xml:space="preserve"> </w:t>
      </w:r>
      <w:r>
        <w:t xml:space="preserve">“</w:t>
      </w:r>
      <w:r>
        <w:t xml:space="preserve">antienvelhecimento</w:t>
      </w:r>
      <w:r>
        <w:t xml:space="preserve">”</w:t>
      </w:r>
      <w:r>
        <w:t xml:space="preserve"> </w:t>
      </w:r>
      <w:r>
        <w:t xml:space="preserve">são, portanto, antes uma sobrecarga para corações idosos.</w:t>
      </w:r>
    </w:p>
    <w:p>
      <w:pPr>
        <w:numPr>
          <w:ilvl w:val="0"/>
          <w:numId w:val="1349"/>
        </w:numPr>
        <w:pStyle w:val="Compact"/>
      </w:pPr>
      <w:r>
        <w:rPr>
          <w:bCs/>
          <w:b/>
        </w:rPr>
        <w:t xml:space="preserve">Vários medicamentos.</w:t>
      </w:r>
      <w:r>
        <w:t xml:space="preserve"> </w:t>
      </w:r>
      <w:r>
        <w:t xml:space="preserve">Idosos frequentemente tomam muitos medicamentos ao mesmo tempo. O esvaziamento gástrico retardado pode alterar a absorção deles, e combinações com medicamentos hipoglicemiantes aumentam o risco de hipoglicemia e quedas.</w:t>
      </w:r>
    </w:p>
    <w:bookmarkEnd w:id="2804"/>
    <w:bookmarkStart w:id="2809" w:name="perda-muscular-na-perda-de-peso-intensa"/>
    <w:p>
      <w:pPr>
        <w:pStyle w:val="Heading3"/>
      </w:pPr>
      <w:r>
        <w:t xml:space="preserve">Perda muscular na perda de peso intensa</w:t>
      </w:r>
    </w:p>
    <w:p>
      <w:pPr>
        <w:pStyle w:val="FirstParagraph"/>
      </w:pPr>
      <w:r>
        <w:t xml:space="preserve">Em toda perda de peso, perde-se, além de gordura, também massa magra, que inclui músculos, órgãos e água. Nos medicamentos de GLP-1 muito eficazes, a questão é se essa proporção é anormalmente alta e se ela causa danos.</w:t>
      </w:r>
    </w:p>
    <w:p>
      <w:pPr>
        <w:numPr>
          <w:ilvl w:val="0"/>
          <w:numId w:val="1350"/>
        </w:numPr>
        <w:pStyle w:val="Compact"/>
      </w:pPr>
      <w:r>
        <w:t xml:space="preserve">Em um subestudo do SURMOUNT-1 com 160 participantes, o peso perdido com tirzepatida consistiu em cerca de 75% de gordura e 25% de massa magra – na mesma proporção que com placebo, apenas com uma perda total bem maior. Essas proporções permaneceram semelhantes na maioria dos subgrupos, também separados por idade</w:t>
      </w:r>
      <w:r>
        <w:rPr>
          <w:rStyle w:val="FootnoteReference"/>
        </w:rPr>
        <w:footnoteReference w:id="2805"/>
      </w:r>
      <w:r>
        <w:t xml:space="preserve">.</w:t>
      </w:r>
    </w:p>
    <w:p>
      <w:pPr>
        <w:numPr>
          <w:ilvl w:val="0"/>
          <w:numId w:val="1350"/>
        </w:numPr>
        <w:pStyle w:val="Compact"/>
      </w:pPr>
      <w:r>
        <w:t xml:space="preserve">Uma metanálise em rede de 22 estudos também constatou que cerca de 25% da perda de peso correspondeu a massa magra. Semaglutida e tirzepatida levaram à maior perda de peso, mas também estavam entre as substâncias com as quais mais massa magra foi perdida</w:t>
      </w:r>
      <w:r>
        <w:rPr>
          <w:rStyle w:val="FootnoteReference"/>
        </w:rPr>
        <w:footnoteReference w:id="2806"/>
      </w:r>
      <w:r>
        <w:t xml:space="preserve">.</w:t>
      </w:r>
    </w:p>
    <w:p>
      <w:pPr>
        <w:numPr>
          <w:ilvl w:val="0"/>
          <w:numId w:val="1350"/>
        </w:numPr>
        <w:pStyle w:val="Compact"/>
      </w:pPr>
      <w:r>
        <w:t xml:space="preserve">Uma revisão sistemática de 35 estudos chegou a uma proporção um pouco maior: na mediana, 28,3% da perda de peso correspondeu a medidas relacionadas ao músculo, e em 65% dos estudos a proporção ficou acima de um valor de referência de cerca de 25%. Nenhum estudo havia medido objetivamente o desempenho físico</w:t>
      </w:r>
      <w:r>
        <w:rPr>
          <w:rStyle w:val="FootnoteReference"/>
        </w:rPr>
        <w:footnoteReference w:id="2807"/>
      </w:r>
      <w:r>
        <w:t xml:space="preserve">.</w:t>
      </w:r>
    </w:p>
    <w:p>
      <w:pPr>
        <w:numPr>
          <w:ilvl w:val="0"/>
          <w:numId w:val="1350"/>
        </w:numPr>
        <w:pStyle w:val="Compact"/>
      </w:pPr>
      <w:r>
        <w:t xml:space="preserve">Outra metanálise ressalta o outro lado: como a gordura diminui mais do que os músculos, a</w:t>
      </w:r>
      <w:r>
        <w:t xml:space="preserve"> </w:t>
      </w:r>
      <w:r>
        <w:rPr>
          <w:iCs/>
          <w:i/>
        </w:rPr>
        <w:t xml:space="preserve">proporção</w:t>
      </w:r>
      <w:r>
        <w:t xml:space="preserve"> </w:t>
      </w:r>
      <w:r>
        <w:t xml:space="preserve">de massa magra no peso corporal aumentou 1,81 ponto percentual. Os autores recomendam acompanhar o tratamento com programas de nutrição e atividade física</w:t>
      </w:r>
      <w:r>
        <w:rPr>
          <w:rStyle w:val="FootnoteReference"/>
        </w:rPr>
        <w:footnoteReference w:id="2808"/>
      </w:r>
      <w:r>
        <w:t xml:space="preserve">.</w:t>
      </w:r>
    </w:p>
    <w:p>
      <w:pPr>
        <w:pStyle w:val="FirstParagraph"/>
      </w:pPr>
      <w:r>
        <w:t xml:space="preserve">Em resumo: a perda muscular com medicamentos de GLP-1 não parece ser substancialmente maior, em relação à perda total, do que em outras formas de redução de peso – mas, em quilogramas absolutos, é considerável devido à grande perda. Se isso tem consequências para força, quedas ou independência não foi estudado. Para idosos, pessoas com pouca massa muscular e pessoas com fragilidade, essa é uma questão em aberto. Se combinações com cagrilintida influenciam a perda muscular está sendo investigado atualmente (capítulo Cagrilintida).</w:t>
      </w:r>
    </w:p>
    <w:bookmarkEnd w:id="2809"/>
    <w:bookmarkStart w:id="2814" w:name="transtornos-alimentares"/>
    <w:p>
      <w:pPr>
        <w:pStyle w:val="Heading3"/>
      </w:pPr>
      <w:r>
        <w:t xml:space="preserve">Transtornos alimentares</w:t>
      </w:r>
    </w:p>
    <w:p>
      <w:pPr>
        <w:pStyle w:val="FirstParagraph"/>
      </w:pPr>
      <w:r>
        <w:t xml:space="preserve">Medicamentos de GLP-1 reduzem o apetite e a sensação de fome. Para pessoas com anorexia nervosa ou bulimia, justamente esse efeito pode ser perigoso: ele pode reforçar o comportamento alimentar restritivo e agravar a doença. Um relato de caso descreve o abuso de semaglutida em uma anorexia atípica</w:t>
      </w:r>
      <w:r>
        <w:rPr>
          <w:rStyle w:val="FootnoteReference"/>
        </w:rPr>
        <w:footnoteReference w:id="2810"/>
      </w:r>
      <w:r>
        <w:t xml:space="preserve">, e um estudo transversal norte-americano investigou quão difundidos são o uso e o abuso de medicamentos de GLP-1 entre pessoas com transtornos alimentares</w:t>
      </w:r>
      <w:r>
        <w:rPr>
          <w:rStyle w:val="FootnoteReference"/>
        </w:rPr>
        <w:footnoteReference w:id="2811"/>
      </w:r>
      <w:r>
        <w:t xml:space="preserve">.</w:t>
      </w:r>
    </w:p>
    <w:p>
      <w:pPr>
        <w:pStyle w:val="BodyText"/>
      </w:pPr>
      <w:r>
        <w:t xml:space="preserve">Um painel de 45 especialistas e pessoas afetadas elaborou em 2026 recomendações por processo de consenso. Segundo elas, antes do início de um tratamento com GLP-1 deve-se perguntar, com um questionário breve e validado, sobre transtornos alimentares atuais e passados; os sintomas devem ser observados ao longo do tratamento; e, na anorexia ativa, na anorexia atípica ou na bulimia com forte restrição alimentar, esses medicamentos em regra não devem ser usados. Também em transtornos alimentares passados seria necessária cautela</w:t>
      </w:r>
      <w:r>
        <w:rPr>
          <w:rStyle w:val="FootnoteReference"/>
        </w:rPr>
        <w:footnoteReference w:id="2812"/>
      </w:r>
      <w:r>
        <w:t xml:space="preserve">.</w:t>
      </w:r>
    </w:p>
    <w:p>
      <w:pPr>
        <w:pStyle w:val="BodyText"/>
      </w:pPr>
      <w:r>
        <w:t xml:space="preserve">Para o transtorno de compulsão alimentar, em que ocorrem episódios de compulsão sem medidas compensatórias, há por outro lado primeiros indícios de que medicamentos de GLP-1 poderiam reduzir os episódios</w:t>
      </w:r>
      <w:r>
        <w:rPr>
          <w:rStyle w:val="FootnoteReference"/>
        </w:rPr>
        <w:footnoteReference w:id="2813"/>
      </w:r>
      <w:r>
        <w:t xml:space="preserve">. Isso mostra quão importante é um diagnóstico preciso. Pelo mercado cinza e por fornecedores online com pouco acompanhamento médico, justamente essa investigação deixa de acontecer.</w:t>
      </w:r>
    </w:p>
    <w:bookmarkEnd w:id="2814"/>
    <w:bookmarkStart w:id="2820" w:name="X82bafa0bed3788919808d124610f65a19cb20d3"/>
    <w:p>
      <w:pPr>
        <w:pStyle w:val="Heading3"/>
      </w:pPr>
      <w:r>
        <w:t xml:space="preserve">Esporte de alto rendimento e controles antidoping</w:t>
      </w:r>
    </w:p>
    <w:p>
      <w:pPr>
        <w:pStyle w:val="FirstParagraph"/>
      </w:pPr>
      <w:r>
        <w:t xml:space="preserve">Para atletas sujeitos a controles antidoping, a situação com peptídeos é particularmente delicada. Segundo a lista de substâncias proibidas da Agência Mundial Antidoping (WADA), vale em linhas gerais:</w:t>
      </w:r>
    </w:p>
    <w:p>
      <w:pPr>
        <w:numPr>
          <w:ilvl w:val="0"/>
          <w:numId w:val="1351"/>
        </w:numPr>
        <w:pStyle w:val="Compact"/>
      </w:pPr>
      <w:r>
        <w:rPr>
          <w:bCs/>
          <w:b/>
        </w:rPr>
        <w:t xml:space="preserve">Proibidos (S2, hormônios peptídicos e fatores de crescimento):</w:t>
      </w:r>
      <w:r>
        <w:t xml:space="preserve"> </w:t>
      </w:r>
      <w:r>
        <w:t xml:space="preserve">todos os liberadores de hormônio do crescimento e variantes de IGF-1, timosina beta-4 e TB-500, ARA-290, em homens a gonadorelina e liberadores de LH como a kisspeptina.</w:t>
      </w:r>
    </w:p>
    <w:p>
      <w:pPr>
        <w:numPr>
          <w:ilvl w:val="0"/>
          <w:numId w:val="1351"/>
        </w:numPr>
        <w:pStyle w:val="Compact"/>
      </w:pPr>
      <w:r>
        <w:rPr>
          <w:bCs/>
          <w:b/>
        </w:rPr>
        <w:t xml:space="preserve">Proibidos (S0, substâncias não aprovadas):</w:t>
      </w:r>
      <w:r>
        <w:t xml:space="preserve"> </w:t>
      </w:r>
      <w:r>
        <w:t xml:space="preserve">substâncias sem aprovação como medicamento de uso humano, como BPC-157, Melanotan II e os agonistas múltiplos de GLP-1 ainda em estudo, como a retatrutida.</w:t>
      </w:r>
    </w:p>
    <w:p>
      <w:pPr>
        <w:numPr>
          <w:ilvl w:val="0"/>
          <w:numId w:val="1351"/>
        </w:numPr>
        <w:pStyle w:val="Compact"/>
      </w:pPr>
      <w:r>
        <w:rPr>
          <w:bCs/>
          <w:b/>
        </w:rPr>
        <w:t xml:space="preserve">Proibido (S4):</w:t>
      </w:r>
      <w:r>
        <w:t xml:space="preserve"> </w:t>
      </w:r>
      <w:r>
        <w:t xml:space="preserve">MOTS-c, como ativador da enzima AMPK.</w:t>
      </w:r>
    </w:p>
    <w:p>
      <w:pPr>
        <w:numPr>
          <w:ilvl w:val="0"/>
          <w:numId w:val="1351"/>
        </w:numPr>
        <w:pStyle w:val="Compact"/>
      </w:pPr>
      <w:r>
        <w:rPr>
          <w:bCs/>
          <w:b/>
        </w:rPr>
        <w:t xml:space="preserve">Não proibidos:</w:t>
      </w:r>
      <w:r>
        <w:t xml:space="preserve"> </w:t>
      </w:r>
      <w:r>
        <w:t xml:space="preserve">os medicamentos de GLP-1 aprovados. A semaglutida e a tirzepatida, porém, foram incluídas no programa de monitoramento da WADA para detectar um possível abuso; laboratórios já desenvolveram métodos de detecção para sangue e gotas de sangue seco</w:t>
      </w:r>
      <w:r>
        <w:rPr>
          <w:rStyle w:val="FootnoteReference"/>
        </w:rPr>
        <w:footnoteReference w:id="2815"/>
      </w:r>
      <w:r>
        <w:t xml:space="preserve">.</w:t>
      </w:r>
    </w:p>
    <w:p>
      <w:pPr>
        <w:pStyle w:val="FirstParagraph"/>
      </w:pPr>
      <w:r>
        <w:t xml:space="preserve">Os detalhes estão nos respectivos capítulos. Três pontos são importantes para todos os peptídeos.</w:t>
      </w:r>
    </w:p>
    <w:p>
      <w:pPr>
        <w:pStyle w:val="BodyText"/>
      </w:pPr>
      <w:r>
        <w:rPr>
          <w:bCs/>
          <w:b/>
        </w:rPr>
        <w:t xml:space="preserve">Produtos contaminados.</w:t>
      </w:r>
      <w:r>
        <w:t xml:space="preserve"> </w:t>
      </w:r>
      <w:r>
        <w:t xml:space="preserve">Um atleta é responsável por qualquer substância proibida em seu corpo – mesmo que ela venha de um produto rotulado incorretamente. As análises laboratoriais no capítulo</w:t>
      </w:r>
      <w:r>
        <w:t xml:space="preserve"> </w:t>
      </w:r>
      <w:r>
        <w:t xml:space="preserve">“</w:t>
      </w:r>
      <w:r>
        <w:t xml:space="preserve">Produtos do mercado cinza</w:t>
      </w:r>
      <w:r>
        <w:t xml:space="preserve">”</w:t>
      </w:r>
      <w:r>
        <w:t xml:space="preserve"> </w:t>
      </w:r>
      <w:r>
        <w:t xml:space="preserve">mostram que a mercadoria do mercado cinza frequentemente contém substâncias diferentes ou adicionais e que substâncias proibidas aparecem também em produtos apresentados como suplementos alimentares</w:t>
      </w:r>
      <w:r>
        <w:rPr>
          <w:rStyle w:val="FootnoteReference"/>
        </w:rPr>
        <w:footnoteReference w:id="2816"/>
      </w:r>
      <w:r>
        <w:t xml:space="preserve">.</w:t>
      </w:r>
    </w:p>
    <w:p>
      <w:pPr>
        <w:pStyle w:val="BodyText"/>
      </w:pPr>
      <w:r>
        <w:rPr>
          <w:bCs/>
          <w:b/>
        </w:rPr>
        <w:t xml:space="preserve">Variantes de designer.</w:t>
      </w:r>
      <w:r>
        <w:t xml:space="preserve"> </w:t>
      </w:r>
      <w:r>
        <w:t xml:space="preserve">Peptídeos modificados como Gly-GHRP-2 ou Gly-ipamorelina provavelmente têm o objetivo de burlar testes</w:t>
      </w:r>
      <w:r>
        <w:rPr>
          <w:rStyle w:val="FootnoteReference"/>
        </w:rPr>
        <w:footnoteReference w:id="2817"/>
      </w:r>
      <w:r>
        <w:t xml:space="preserve">. Seu efeito e sua segurança são completamente desconhecidos. A experiência mostra que os laboratórios antidoping atualizam seus métodos; além disso, as amostras são armazenadas a longo prazo e podem ser reanalisadas posteriormente.</w:t>
      </w:r>
    </w:p>
    <w:p>
      <w:pPr>
        <w:pStyle w:val="BodyText"/>
      </w:pPr>
      <w:r>
        <w:rPr>
          <w:bCs/>
          <w:b/>
        </w:rPr>
        <w:t xml:space="preserve">Benefício questionável.</w:t>
      </w:r>
      <w:r>
        <w:t xml:space="preserve"> </w:t>
      </w:r>
      <w:r>
        <w:t xml:space="preserve">Uma revisão sobre medicamentos à base de incretinas no esporte conclui que estudos clínicos não mostram uma melhora uniforme do desempenho físico em humanos e que 20 a 30% da perda de peso corresponde a massa magra</w:t>
      </w:r>
      <w:r>
        <w:rPr>
          <w:rStyle w:val="FootnoteReference"/>
        </w:rPr>
        <w:footnoteReference w:id="2818"/>
      </w:r>
      <w:r>
        <w:t xml:space="preserve">. Para os peptídeos regenerativos e os liberadores de hormônio do crescimento, uma revisão de medicina esportiva conclui que eles permanecem experimentais, com perfil de segurança incerto, qualidade de produto questionável e amplas proibições antidoping</w:t>
      </w:r>
      <w:r>
        <w:rPr>
          <w:rStyle w:val="FootnoteReference"/>
        </w:rPr>
        <w:footnoteReference w:id="2819"/>
      </w:r>
      <w:r>
        <w:t xml:space="preserve">.</w:t>
      </w:r>
    </w:p>
    <w:bookmarkEnd w:id="2820"/>
    <w:bookmarkStart w:id="2821" w:name="o-essencial-em-resumo-7"/>
    <w:p>
      <w:pPr>
        <w:pStyle w:val="Heading3"/>
      </w:pPr>
      <w:r>
        <w:t xml:space="preserve">O essencial em resumo</w:t>
      </w:r>
    </w:p>
    <w:p>
      <w:pPr>
        <w:numPr>
          <w:ilvl w:val="0"/>
          <w:numId w:val="1352"/>
        </w:numPr>
        <w:pStyle w:val="Compact"/>
      </w:pPr>
      <w:r>
        <w:t xml:space="preserve">Na gravidez, quase todos os peptídeos não foram estudados ou não são indicados. Para uma exposição acidental a medicamentos de GLP-1, os dados são predominantemente tranquilizadores, mas incertos.</w:t>
      </w:r>
    </w:p>
    <w:p>
      <w:pPr>
        <w:numPr>
          <w:ilvl w:val="0"/>
          <w:numId w:val="1352"/>
        </w:numPr>
        <w:pStyle w:val="Compact"/>
      </w:pPr>
      <w:r>
        <w:t xml:space="preserve">A tirzepatida pode reduzir a absorção da pílula; com a semaglutida isso não foi encontrado. Vômitos e diarreia prejudicam a ingestão de qualquer comprimido.</w:t>
      </w:r>
    </w:p>
    <w:p>
      <w:pPr>
        <w:numPr>
          <w:ilvl w:val="0"/>
          <w:numId w:val="1352"/>
        </w:numPr>
        <w:pStyle w:val="Compact"/>
      </w:pPr>
      <w:r>
        <w:t xml:space="preserve">Com medicamentos de GLP-1, o estômago permanece cheio com mais frequência. Antes de anestesias e endoscopias, a equipe de tratamento precisa saber disso.</w:t>
      </w:r>
    </w:p>
    <w:p>
      <w:pPr>
        <w:numPr>
          <w:ilvl w:val="0"/>
          <w:numId w:val="1352"/>
        </w:numPr>
        <w:pStyle w:val="Compact"/>
      </w:pPr>
      <w:r>
        <w:t xml:space="preserve">Em combinação com insulina ou sulfonilureias, o risco de hipoglicemia aumenta.</w:t>
      </w:r>
    </w:p>
    <w:p>
      <w:pPr>
        <w:numPr>
          <w:ilvl w:val="0"/>
          <w:numId w:val="1352"/>
        </w:numPr>
        <w:pStyle w:val="Compact"/>
      </w:pPr>
      <w:r>
        <w:t xml:space="preserve">Adolescentes chamam a atenção nos dados dos centros toxicológicos por uso indevido intencional; em transtornos alimentares, medicamentos de GLP-1 em regra não devem ser usados.</w:t>
      </w:r>
    </w:p>
    <w:p>
      <w:pPr>
        <w:numPr>
          <w:ilvl w:val="0"/>
          <w:numId w:val="1352"/>
        </w:numPr>
        <w:pStyle w:val="Compact"/>
      </w:pPr>
      <w:r>
        <w:t xml:space="preserve">Cerca de um quarto da perda de peso com medicamentos de GLP-1 corresponde a massa magra; se isso tem consequências funcionais está em aberto.</w:t>
      </w:r>
    </w:p>
    <w:p>
      <w:pPr>
        <w:numPr>
          <w:ilvl w:val="0"/>
          <w:numId w:val="1352"/>
        </w:numPr>
        <w:pStyle w:val="Compact"/>
      </w:pPr>
      <w:r>
        <w:t xml:space="preserve">Para atletas, a maioria dos peptídeos é proibida, e produtos do mercado cinza trazem ainda o risco de substâncias dopantes não declaradas.</w:t>
      </w:r>
    </w:p>
    <w:bookmarkEnd w:id="2821"/>
    <w:bookmarkEnd w:id="2822"/>
    <w:bookmarkEnd w:id="2823"/>
    <w:bookmarkStart w:id="2975" w:name="parte-v-futuro"/>
    <w:p>
      <w:pPr>
        <w:pStyle w:val="Heading1"/>
      </w:pPr>
      <w:r>
        <w:t xml:space="preserve">Parte V – Futuro</w:t>
      </w:r>
    </w:p>
    <w:p>
      <w:pPr>
        <w:pStyle w:val="FirstParagraph"/>
      </w:pPr>
      <w:r>
        <w:t xml:space="preserve">As partes anteriores descreveram o que se sabe hoje sobre peptídeos. Esta última parte olha para a frente: quais substâncias estão nos grandes estudos que terminam nos próximos anos? As injeções serão substituídas por comprimidos? O que significam as patentes que expiram para os preços e o abastecimento? E quais desenvolvimentos são de esperar até 2035?</w:t>
      </w:r>
    </w:p>
    <w:p>
      <w:pPr>
        <w:pStyle w:val="BodyText"/>
      </w:pPr>
      <w:r>
        <w:t xml:space="preserve">Afirmações sobre o futuro são rigorosamente separadas neste livro.</w:t>
      </w:r>
      <w:r>
        <w:t xml:space="preserve"> </w:t>
      </w:r>
      <w:r>
        <w:rPr>
          <w:bCs/>
          <w:b/>
        </w:rPr>
        <w:t xml:space="preserve">Assegurado</w:t>
      </w:r>
      <w:r>
        <w:t xml:space="preserve"> </w:t>
      </w:r>
      <w:r>
        <w:t xml:space="preserve">é o que está inscrito em um registro de estudos, publicado em um estudo revisado por pares ou decidido por autoridades. Também isso é apenas um retrato instantâneo: estudos são prolongados, reduzidos ou interrompidos, e datas de término planejadas frequentemente se deslocam por anos. Todo o resto é</w:t>
      </w:r>
      <w:r>
        <w:t xml:space="preserve"> </w:t>
      </w:r>
      <w:r>
        <w:rPr>
          <w:bCs/>
          <w:b/>
        </w:rPr>
        <w:t xml:space="preserve">avaliação do autor</w:t>
      </w:r>
      <w:r>
        <w:t xml:space="preserve"> </w:t>
      </w:r>
      <w:r>
        <w:t xml:space="preserve">e é expressamente identificado como tal. A pesquisa reflete a situação de outubro de 2026.</w:t>
      </w:r>
    </w:p>
    <w:bookmarkStart w:id="2865" w:name="o-pipeline-o-que-está-em-fase-2-e-3"/>
    <w:p>
      <w:pPr>
        <w:pStyle w:val="Heading2"/>
      </w:pPr>
      <w:r>
        <w:t xml:space="preserve">O pipeline: o que está em fase 2 e 3</w:t>
      </w:r>
    </w:p>
    <w:p>
      <w:pPr>
        <w:pStyle w:val="FirstParagraph"/>
      </w:pPr>
      <w:r>
        <w:t xml:space="preserve">A indústria farmacêutica chama de</w:t>
      </w:r>
      <w:r>
        <w:t xml:space="preserve"> </w:t>
      </w:r>
      <w:r>
        <w:t xml:space="preserve">“</w:t>
      </w:r>
      <w:r>
        <w:t xml:space="preserve">pipeline</w:t>
      </w:r>
      <w:r>
        <w:t xml:space="preserve">”</w:t>
      </w:r>
      <w:r>
        <w:t xml:space="preserve"> </w:t>
      </w:r>
      <w:r>
        <w:t xml:space="preserve">o conjunto das substâncias em desenvolvimento. As etapas são explicadas na Parte I: na</w:t>
      </w:r>
      <w:r>
        <w:t xml:space="preserve"> </w:t>
      </w:r>
      <w:r>
        <w:rPr>
          <w:bCs/>
          <w:b/>
        </w:rPr>
        <w:t xml:space="preserve">fase 1</w:t>
      </w:r>
      <w:r>
        <w:t xml:space="preserve">, uma substância é em geral testada quanto à tolerabilidade em poucas pessoas saudáveis; na</w:t>
      </w:r>
      <w:r>
        <w:t xml:space="preserve"> </w:t>
      </w:r>
      <w:r>
        <w:rPr>
          <w:bCs/>
          <w:b/>
        </w:rPr>
        <w:t xml:space="preserve">fase 2</w:t>
      </w:r>
      <w:r>
        <w:t xml:space="preserve">, em algumas centenas de doentes quanto à eficácia e à dose adequada; na</w:t>
      </w:r>
      <w:r>
        <w:t xml:space="preserve"> </w:t>
      </w:r>
      <w:r>
        <w:rPr>
          <w:bCs/>
          <w:b/>
        </w:rPr>
        <w:t xml:space="preserve">fase 3</w:t>
      </w:r>
      <w:r>
        <w:t xml:space="preserve">, em milhares, para a aprovação. A</w:t>
      </w:r>
      <w:r>
        <w:t xml:space="preserve"> </w:t>
      </w:r>
      <w:r>
        <w:rPr>
          <w:bCs/>
          <w:b/>
        </w:rPr>
        <w:t xml:space="preserve">fase 4</w:t>
      </w:r>
      <w:r>
        <w:t xml:space="preserve"> </w:t>
      </w:r>
      <w:r>
        <w:t xml:space="preserve">designa estudos com medicamentos já aprovados. Quem quer saber o que pode chegar ao mercado nos próximos cinco anos precisa olhar sobretudo para a fase 3.</w:t>
      </w:r>
    </w:p>
    <w:bookmarkStart w:id="2826" w:name="como-a-análise-foi-feita"/>
    <w:p>
      <w:pPr>
        <w:pStyle w:val="Heading3"/>
      </w:pPr>
      <w:r>
        <w:t xml:space="preserve">Como a análise foi feita</w:t>
      </w:r>
    </w:p>
    <w:p>
      <w:pPr>
        <w:pStyle w:val="FirstParagraph"/>
      </w:pPr>
      <w:r>
        <w:t xml:space="preserve">A base são as listas de registros do ClinicalTrials.gov, consultadas em outubro de 2026 para as 58 substâncias deste livro (ver Metodologia no apêndice). Um pequeno programa de análise filtrou delas todos os registros que</w:t>
      </w:r>
    </w:p>
    <w:p>
      <w:pPr>
        <w:numPr>
          <w:ilvl w:val="0"/>
          <w:numId w:val="1353"/>
        </w:numPr>
        <w:pStyle w:val="Compact"/>
      </w:pPr>
      <w:r>
        <w:t xml:space="preserve">descrevem um estudo</w:t>
      </w:r>
      <w:r>
        <w:t xml:space="preserve"> </w:t>
      </w:r>
      <w:r>
        <w:rPr>
          <w:bCs/>
          <w:b/>
        </w:rPr>
        <w:t xml:space="preserve">intervencional</w:t>
      </w:r>
      <w:r>
        <w:t xml:space="preserve">, ou seja, um estudo em que uma substância é administrada de forma intencional (não mera observação), e</w:t>
      </w:r>
    </w:p>
    <w:p>
      <w:pPr>
        <w:numPr>
          <w:ilvl w:val="0"/>
          <w:numId w:val="1353"/>
        </w:numPr>
        <w:pStyle w:val="Compact"/>
      </w:pPr>
      <w:r>
        <w:t xml:space="preserve">estão marcados como</w:t>
      </w:r>
      <w:r>
        <w:t xml:space="preserve"> </w:t>
      </w:r>
      <w:r>
        <w:rPr>
          <w:bCs/>
          <w:b/>
        </w:rPr>
        <w:t xml:space="preserve">em andamento</w:t>
      </w:r>
      <w:r>
        <w:t xml:space="preserve">: recrutando, ativo sem novo recrutamento, ainda não recrutando ou participação apenas por convite.</w:t>
      </w:r>
    </w:p>
    <w:p>
      <w:pPr>
        <w:pStyle w:val="FirstParagraph"/>
      </w:pPr>
      <w:r>
        <w:t xml:space="preserve">Estudos que aparecem em várias substâncias – como uma comparação de retatrutida com tirzepatida – foram contados apenas uma vez.</w:t>
      </w:r>
    </w:p>
    <w:p>
      <w:pPr>
        <w:pStyle w:val="BodyText"/>
      </w:pPr>
      <w:r>
        <w:rPr>
          <w:bCs/>
          <w:b/>
        </w:rPr>
        <w:t xml:space="preserve">O que foi excluído – e por quê:</w:t>
      </w:r>
    </w:p>
    <w:p>
      <w:pPr>
        <w:numPr>
          <w:ilvl w:val="0"/>
          <w:numId w:val="1354"/>
        </w:numPr>
        <w:pStyle w:val="Compact"/>
      </w:pPr>
      <w:r>
        <w:rPr>
          <w:bCs/>
          <w:b/>
        </w:rPr>
        <w:t xml:space="preserve">Oito registros do patrocinador</w:t>
      </w:r>
      <w:r>
        <w:rPr>
          <w:bCs/>
          <w:b/>
        </w:rPr>
        <w:t xml:space="preserve"> </w:t>
      </w:r>
      <w:r>
        <w:rPr>
          <w:bCs/>
          <w:b/>
        </w:rPr>
        <w:t xml:space="preserve">“</w:t>
      </w:r>
      <w:r>
        <w:rPr>
          <w:bCs/>
          <w:b/>
        </w:rPr>
        <w:t xml:space="preserve">Hudson Biotech</w:t>
      </w:r>
      <w:r>
        <w:rPr>
          <w:bCs/>
          <w:b/>
        </w:rPr>
        <w:t xml:space="preserve">”</w:t>
      </w:r>
      <w:r>
        <w:t xml:space="preserve"> </w:t>
      </w:r>
      <w:r>
        <w:t xml:space="preserve">(um para cada uma destas: BPC-157, GHK-Cu, Melanotan II, MOTS-c, retatrutida, TB-500, tesamorelina e tirzepatida). Um registro desse patrocinador se descreve, em sua própria descrição, como exemplo fictício (ver capítulos BPC-157 e TB-500). Nenhum desses registros é considerado neste livro como estudo real.</w:t>
      </w:r>
    </w:p>
    <w:p>
      <w:pPr>
        <w:numPr>
          <w:ilvl w:val="0"/>
          <w:numId w:val="1354"/>
        </w:numPr>
        <w:pStyle w:val="Compact"/>
      </w:pPr>
      <w:r>
        <w:rPr>
          <w:bCs/>
          <w:b/>
        </w:rPr>
        <w:t xml:space="preserve">Todos os 1.000 resultados para o termo de busca</w:t>
      </w:r>
      <w:r>
        <w:rPr>
          <w:bCs/>
          <w:b/>
        </w:rPr>
        <w:t xml:space="preserve"> </w:t>
      </w:r>
      <w:r>
        <w:rPr>
          <w:bCs/>
          <w:b/>
        </w:rPr>
        <w:t xml:space="preserve">“</w:t>
      </w:r>
      <w:r>
        <w:rPr>
          <w:bCs/>
          <w:b/>
        </w:rPr>
        <w:t xml:space="preserve">gonadorelina</w:t>
      </w:r>
      <w:r>
        <w:rPr>
          <w:bCs/>
          <w:b/>
        </w:rPr>
        <w:t xml:space="preserve">”</w:t>
      </w:r>
      <w:r>
        <w:rPr>
          <w:bCs/>
          <w:b/>
        </w:rPr>
        <w:t xml:space="preserve">.</w:t>
      </w:r>
      <w:r>
        <w:t xml:space="preserve"> </w:t>
      </w:r>
      <w:r>
        <w:t xml:space="preserve">Eles se referem, em sua grande maioria, a variantes sintéticas do hormônio GnRH (como leuprorrelina ou triptorrelina) no tratamento do câncer de próstata e de mama ou na medicina reprodutiva – ou seja, outros medicamentos. Os poucos registros sobre GnRH natural são discutidos no capítulo Gonadorelina; nenhum deles é um estudo de fase 3 em andamento.</w:t>
      </w:r>
    </w:p>
    <w:p>
      <w:pPr>
        <w:pStyle w:val="FirstParagraph"/>
      </w:pPr>
      <w:r>
        <w:rPr>
          <w:bCs/>
          <w:b/>
        </w:rPr>
        <w:t xml:space="preserve">O que não foi excluído, mas foi verificado:</w:t>
      </w:r>
      <w:r>
        <w:t xml:space="preserve"> </w:t>
      </w:r>
      <w:r>
        <w:t xml:space="preserve">para glutationa, colágeno e carnosina, os termos de busca são tão gerais que muitos resultados citam a substância apenas como componente de uma mistura, como comparador ou como variável medida. Assim, sob glutationa aparece um grande estudo sobre dengue, porque nele se testa a N-acetilcisteína – um precursor da glutationa</w:t>
      </w:r>
      <w:r>
        <w:rPr>
          <w:rStyle w:val="FootnoteReference"/>
        </w:rPr>
        <w:footnoteReference w:id="2824"/>
      </w:r>
      <w:r>
        <w:t xml:space="preserve">. Sob larazotida aparecem dois estudos sobre uma substância completamente diferente contra a doença de Fabry</w:t>
      </w:r>
      <w:r>
        <w:rPr>
          <w:rStyle w:val="FootnoteReference"/>
        </w:rPr>
        <w:footnoteReference w:id="2825"/>
      </w:r>
      <w:r>
        <w:t xml:space="preserve">. Esses resultados estão incluídos nos números totais, mas não foram contados na avaliação como estudos com peptídeos.</w:t>
      </w:r>
    </w:p>
    <w:p>
      <w:pPr>
        <w:pStyle w:val="BodyText"/>
      </w:pPr>
      <w:r>
        <w:rPr>
          <w:bCs/>
          <w:b/>
        </w:rPr>
        <w:t xml:space="preserve">Dois limites da análise:</w:t>
      </w:r>
      <w:r>
        <w:t xml:space="preserve"> </w:t>
      </w:r>
      <w:r>
        <w:t xml:space="preserve">primeiro, nem todos os patrocinadores informam a conclusão de seu estudo em tempo hábil; alguns registros com data de término em 2025 ainda constam como</w:t>
      </w:r>
      <w:r>
        <w:t xml:space="preserve"> </w:t>
      </w:r>
      <w:r>
        <w:t xml:space="preserve">“</w:t>
      </w:r>
      <w:r>
        <w:t xml:space="preserve">em andamento</w:t>
      </w:r>
      <w:r>
        <w:t xml:space="preserve">”</w:t>
      </w:r>
      <w:r>
        <w:t xml:space="preserve"> </w:t>
      </w:r>
      <w:r>
        <w:t xml:space="preserve">no registro. Segundo, a consulta abrange apenas as 58 substâncias deste livro. Moléculas novas sem capítulo próprio só aparecem quando competem com uma dessas substâncias. Por isso, para os novos princípios de ação mais abaixo, fez-se uma busca direcionada adicional.</w:t>
      </w:r>
    </w:p>
    <w:bookmarkEnd w:id="2826"/>
    <w:bookmarkStart w:id="2834" w:name="o-resultado-em-números"/>
    <w:p>
      <w:pPr>
        <w:pStyle w:val="Heading3"/>
      </w:pPr>
      <w:r>
        <w:t xml:space="preserve">O resultado em números</w:t>
      </w:r>
    </w:p>
    <w:p>
      <w:pPr>
        <w:pStyle w:val="FirstParagraph"/>
      </w:pPr>
      <w:r>
        <w:t xml:space="preserve">Após as exclusões, restaram 730 estudos intervencionais em andamento. Deles, 568 – bem mais de três quartos – referem-se a substâncias do grupo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estudos em andamento no total</w:t>
            </w:r>
          </w:p>
        </w:tc>
        <w:tc>
          <w:tcPr/>
          <w:p>
            <w:pPr>
              <w:pStyle w:val="Compact"/>
              <w:jc w:val="left"/>
            </w:pPr>
            <w:r>
              <w:t xml:space="preserve">dos quais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sem indicação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Dos 157 estudos de fase 3 em andamento, 68 ainda estavam recrutando, 54 estavam ativos sem novas inclusões e 35 ainda não haviam começado. Somando os estudos combinados de fase 2/3, há 176 estudos tardios; 157 deles (142 em fase 3, 15 em fase 2/3) – quase nove em cada dez – pertencem ao grupo A.</w:t>
      </w:r>
    </w:p>
    <w:p>
      <w:pPr>
        <w:pStyle w:val="BodyText"/>
      </w:pPr>
      <w:r>
        <w:t xml:space="preserve">No grupo A, aproximadamente um em cada três desses estudos tardios é conduzido por universidades e hospitais, os demais por empresas. As datas de término planejadas distribuem-se assim: 21 estudos devem terminar em 2026, 49 em 2027, 41 em 2028 e 44 entre 2029 e 2033. A verdadeira onda de novos resultados está, portanto, por vir em 2027 e 2028.</w:t>
      </w:r>
    </w:p>
    <w:p>
      <w:pPr>
        <w:pStyle w:val="BodyText"/>
      </w:pPr>
      <w:r>
        <w:rPr>
          <w:bCs/>
          <w:b/>
        </w:rPr>
        <w:t xml:space="preserve">Os grupos B a F</w:t>
      </w:r>
      <w:r>
        <w:t xml:space="preserve"> </w:t>
      </w:r>
      <w:r>
        <w:t xml:space="preserve">têm um aspecto completamente diferente. Após a revisão dos registros, restam apenas cinco estudos de fase 3 em andamento em que uma substância deste livro é de fato a substância testada: timosina alfa-1 após cirurgia de câncer colorretal</w:t>
      </w:r>
      <w:r>
        <w:rPr>
          <w:rStyle w:val="FootnoteReference"/>
        </w:rPr>
        <w:footnoteReference w:id="2827"/>
      </w:r>
      <w:r>
        <w:t xml:space="preserve">, colírio de timosina beta-4 na ceratopatia neurotrófica</w:t>
      </w:r>
      <w:r>
        <w:rPr>
          <w:rStyle w:val="FootnoteReference"/>
        </w:rPr>
        <w:footnoteReference w:id="2828"/>
      </w:r>
      <w:r>
        <w:t xml:space="preserve">, elamipretida na degeneração macular seca</w:t>
      </w:r>
      <w:r>
        <w:rPr>
          <w:rStyle w:val="FootnoteReference"/>
        </w:rPr>
        <w:footnoteReference w:id="2829"/>
      </w:r>
      <w:r>
        <w:t xml:space="preserve">, afamelanotida no vitiligo</w:t>
      </w:r>
      <w:r>
        <w:rPr>
          <w:rStyle w:val="FootnoteReference"/>
        </w:rPr>
        <w:footnoteReference w:id="2830"/>
      </w:r>
      <w:r>
        <w:t xml:space="preserve"> </w:t>
      </w:r>
      <w:r>
        <w:t xml:space="preserve">e ibutamoreno, que não é peptídeo, em crianças com deficiência de hormônio do crescimento</w:t>
      </w:r>
      <w:r>
        <w:rPr>
          <w:rStyle w:val="FootnoteReference"/>
        </w:rPr>
        <w:footnoteReference w:id="2831"/>
      </w:r>
      <w:r>
        <w:t xml:space="preserve">. Somam-se alguns estudos combinados de fase 2/3, como sobre spray nasal de ocitocina na dor crônica</w:t>
      </w:r>
      <w:r>
        <w:rPr>
          <w:rStyle w:val="FootnoteReference"/>
        </w:rPr>
        <w:footnoteReference w:id="2832"/>
      </w:r>
      <w:r>
        <w:t xml:space="preserve"> </w:t>
      </w:r>
      <w:r>
        <w:t xml:space="preserve">e sobre timosina alfa-1 na falha repetida de implantação após fertilização in vitro</w:t>
      </w:r>
      <w:r>
        <w:rPr>
          <w:rStyle w:val="FootnoteReference"/>
        </w:rPr>
        <w:footnoteReference w:id="2833"/>
      </w:r>
      <w:r>
        <w:t xml:space="preserve">. Para os</w:t>
      </w:r>
      <w:r>
        <w:t xml:space="preserve"> </w:t>
      </w:r>
      <w:r>
        <w:t xml:space="preserve">“</w:t>
      </w:r>
      <w:r>
        <w:t xml:space="preserve">peptídeos de pesquisa</w:t>
      </w:r>
      <w:r>
        <w:t xml:space="preserve">”</w:t>
      </w:r>
      <w:r>
        <w:t xml:space="preserve"> </w:t>
      </w:r>
      <w:r>
        <w:t xml:space="preserve">mais populares na internet – BPC-157, CJC-1295, ipamorelina, Epitalon, Semax, Selank – não há nenhum estudo de fase 3 em andamento.</w:t>
      </w:r>
    </w:p>
    <w:bookmarkEnd w:id="2834"/>
    <w:bookmarkStart w:id="2835" w:name="X972637188199d00b0d4a8dad9e001126e140e71"/>
    <w:p>
      <w:pPr>
        <w:pStyle w:val="Heading3"/>
      </w:pPr>
      <w:r>
        <w:t xml:space="preserve">Os principais estudos de fase 3 em andamento</w:t>
      </w:r>
    </w:p>
    <w:p>
      <w:pPr>
        <w:pStyle w:val="FirstParagraph"/>
      </w:pPr>
      <w:r>
        <w:t xml:space="preserve">As tabelas a seguir mostram uma seleção por tamanho e importância.</w:t>
      </w:r>
      <w:r>
        <w:t xml:space="preserve"> </w:t>
      </w:r>
      <w:r>
        <w:t xml:space="preserve">“</w:t>
      </w:r>
      <w:r>
        <w:t xml:space="preserve">Término previsto</w:t>
      </w:r>
      <w:r>
        <w:t xml:space="preserve">”</w:t>
      </w:r>
      <w:r>
        <w:t xml:space="preserve"> </w:t>
      </w:r>
      <w:r>
        <w:t xml:space="preserve">é o término do estudo indicado no registro (situação em outubro de 2026); o desfecho principal é frequentemente analisado alguns meses antes, e as publicações costumam vir de meio ano a um ano depois.</w:t>
      </w:r>
    </w:p>
    <w:p>
      <w:pPr>
        <w:pStyle w:val="BodyText"/>
      </w:pPr>
      <w:r>
        <w:rPr>
          <w:bCs/>
          <w:b/>
        </w:rPr>
        <w:t xml:space="preserve">Metabolismo e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TRIUMPH-5, NCT06662383</w:t>
            </w:r>
          </w:p>
        </w:tc>
        <w:tc>
          <w:tcPr/>
          <w:p>
            <w:pPr>
              <w:pStyle w:val="Compact"/>
              <w:jc w:val="left"/>
            </w:pPr>
            <w:r>
              <w:t xml:space="preserve">Retatrutida vs. tirzepatida</w:t>
            </w:r>
          </w:p>
        </w:tc>
        <w:tc>
          <w:tcPr/>
          <w:p>
            <w:pPr>
              <w:pStyle w:val="Compact"/>
              <w:jc w:val="left"/>
            </w:pPr>
            <w:r>
              <w:t xml:space="preserve">perda de peso, 800 adultos</w:t>
            </w:r>
          </w:p>
        </w:tc>
        <w:tc>
          <w:tcPr/>
          <w:p>
            <w:pPr>
              <w:pStyle w:val="Compact"/>
              <w:jc w:val="left"/>
            </w:pPr>
            <w:r>
              <w:t xml:space="preserve">dezembro de 2026</w:t>
            </w:r>
          </w:p>
        </w:tc>
      </w:tr>
      <w:tr>
        <w:tc>
          <w:tcPr/>
          <w:p>
            <w:pPr>
              <w:pStyle w:val="Compact"/>
              <w:jc w:val="left"/>
            </w:pPr>
            <w:r>
              <w:t xml:space="preserve">MARITIME-1, NCT06858839</w:t>
            </w:r>
          </w:p>
        </w:tc>
        <w:tc>
          <w:tcPr/>
          <w:p>
            <w:pPr>
              <w:pStyle w:val="Compact"/>
              <w:jc w:val="left"/>
            </w:pPr>
            <w:r>
              <w:t xml:space="preserve">Maridebarte cafraglutida</w:t>
            </w:r>
          </w:p>
        </w:tc>
        <w:tc>
          <w:tcPr/>
          <w:p>
            <w:pPr>
              <w:pStyle w:val="Compact"/>
              <w:jc w:val="left"/>
            </w:pPr>
            <w:r>
              <w:t xml:space="preserve">perda de peso sem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eventos cardiovasculares e morte, 15.374 participantes</w:t>
            </w:r>
          </w:p>
        </w:tc>
        <w:tc>
          <w:tcPr/>
          <w:p>
            <w:pPr>
              <w:pStyle w:val="Compact"/>
              <w:jc w:val="left"/>
            </w:pPr>
            <w:r>
              <w:t xml:space="preserve">outubro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eventos cardiovasculares, 7.101 participantes</w:t>
            </w:r>
          </w:p>
        </w:tc>
        <w:tc>
          <w:tcPr/>
          <w:p>
            <w:pPr>
              <w:pStyle w:val="Compact"/>
              <w:jc w:val="left"/>
            </w:pPr>
            <w:r>
              <w:t xml:space="preserve">outubro de 2027</w:t>
            </w:r>
          </w:p>
        </w:tc>
      </w:tr>
      <w:tr>
        <w:tc>
          <w:tcPr/>
          <w:p>
            <w:pPr>
              <w:pStyle w:val="Compact"/>
              <w:jc w:val="left"/>
            </w:pPr>
            <w:r>
              <w:t xml:space="preserve">NCT07564414</w:t>
            </w:r>
          </w:p>
        </w:tc>
        <w:tc>
          <w:tcPr/>
          <w:p>
            <w:pPr>
              <w:pStyle w:val="Compact"/>
              <w:jc w:val="left"/>
            </w:pPr>
            <w:r>
              <w:t xml:space="preserve">CagriSema (doses mais altas) vs. semaglutida</w:t>
            </w:r>
          </w:p>
        </w:tc>
        <w:tc>
          <w:tcPr/>
          <w:p>
            <w:pPr>
              <w:pStyle w:val="Compact"/>
              <w:jc w:val="left"/>
            </w:pPr>
            <w:r>
              <w:t xml:space="preserve">perda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manutenção do peso após a perda,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eventos cardíacos e renais, 10.000 participantes</w:t>
            </w:r>
          </w:p>
        </w:tc>
        <w:tc>
          <w:tcPr/>
          <w:p>
            <w:pPr>
              <w:pStyle w:val="Compact"/>
              <w:jc w:val="left"/>
            </w:pPr>
            <w:r>
              <w:t xml:space="preserve">fevereiro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esteatose hepática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complicações hepáticas na cirrose, 1.590 participantes</w:t>
            </w:r>
          </w:p>
        </w:tc>
        <w:tc>
          <w:tcPr/>
          <w:p>
            <w:pPr>
              <w:pStyle w:val="Compact"/>
              <w:jc w:val="left"/>
            </w:pPr>
            <w:r>
              <w:t xml:space="preserve">junho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perda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Maridebarte cafraglutida</w:t>
            </w:r>
          </w:p>
        </w:tc>
        <w:tc>
          <w:tcPr/>
          <w:p>
            <w:pPr>
              <w:pStyle w:val="Compact"/>
              <w:jc w:val="left"/>
            </w:pPr>
            <w:r>
              <w:t xml:space="preserve">eventos cardiovasculares, 12.800 participantes</w:t>
            </w:r>
          </w:p>
        </w:tc>
        <w:tc>
          <w:tcPr/>
          <w:p>
            <w:pPr>
              <w:pStyle w:val="Compact"/>
              <w:jc w:val="left"/>
            </w:pPr>
            <w:r>
              <w:t xml:space="preserve">setembro de 2030</w:t>
            </w:r>
          </w:p>
        </w:tc>
      </w:tr>
      <w:tr>
        <w:tc>
          <w:tcPr/>
          <w:p>
            <w:pPr>
              <w:pStyle w:val="Compact"/>
              <w:jc w:val="left"/>
            </w:pPr>
            <w:r>
              <w:t xml:space="preserve">MARITIME-HF, NCT07037459</w:t>
            </w:r>
          </w:p>
        </w:tc>
        <w:tc>
          <w:tcPr/>
          <w:p>
            <w:pPr>
              <w:pStyle w:val="Compact"/>
              <w:jc w:val="left"/>
            </w:pPr>
            <w:r>
              <w:t xml:space="preserve">Maridebarte cafraglutida</w:t>
            </w:r>
          </w:p>
        </w:tc>
        <w:tc>
          <w:tcPr/>
          <w:p>
            <w:pPr>
              <w:pStyle w:val="Compact"/>
              <w:jc w:val="left"/>
            </w:pPr>
            <w:r>
              <w:t xml:space="preserve">insuficiência cardíaca com obesidade, 5.056 participantes</w:t>
            </w:r>
          </w:p>
        </w:tc>
        <w:tc>
          <w:tcPr/>
          <w:p>
            <w:pPr>
              <w:pStyle w:val="Compact"/>
              <w:jc w:val="left"/>
            </w:pPr>
            <w:r>
              <w:t xml:space="preserve">setembro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eventos cardiovasculares, 8.500 planejados</w:t>
            </w:r>
          </w:p>
        </w:tc>
        <w:tc>
          <w:tcPr/>
          <w:p>
            <w:pPr>
              <w:pStyle w:val="Compact"/>
              <w:jc w:val="left"/>
            </w:pPr>
            <w:r>
              <w:t xml:space="preserve">setembro de 2030</w:t>
            </w:r>
          </w:p>
        </w:tc>
      </w:tr>
      <w:tr>
        <w:tc>
          <w:tcPr/>
          <w:p>
            <w:pPr>
              <w:pStyle w:val="Compact"/>
              <w:jc w:val="left"/>
            </w:pPr>
            <w:r>
              <w:t xml:space="preserve">ATTAIN-Outcomes, NCT07241390</w:t>
            </w:r>
          </w:p>
        </w:tc>
        <w:tc>
          <w:tcPr/>
          <w:p>
            <w:pPr>
              <w:pStyle w:val="Compact"/>
              <w:jc w:val="left"/>
            </w:pPr>
            <w:r>
              <w:t xml:space="preserve">Orforglipron (não é peptídeo)</w:t>
            </w:r>
          </w:p>
        </w:tc>
        <w:tc>
          <w:tcPr/>
          <w:p>
            <w:pPr>
              <w:pStyle w:val="Compact"/>
              <w:jc w:val="left"/>
            </w:pPr>
            <w:r>
              <w:t xml:space="preserve">eventos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com fibrose, 1.800 participantes</w:t>
            </w:r>
          </w:p>
        </w:tc>
        <w:tc>
          <w:tcPr/>
          <w:p>
            <w:pPr>
              <w:pStyle w:val="Compact"/>
              <w:jc w:val="left"/>
            </w:pPr>
            <w:r>
              <w:t xml:space="preserve">dezembro de 2031</w:t>
            </w:r>
          </w:p>
        </w:tc>
      </w:tr>
      <w:tr>
        <w:tc>
          <w:tcPr/>
          <w:p>
            <w:pPr>
              <w:pStyle w:val="Compact"/>
              <w:jc w:val="left"/>
            </w:pPr>
            <w:r>
              <w:t xml:space="preserve">SYNERGY-Outcomes, NCT07165028</w:t>
            </w:r>
          </w:p>
        </w:tc>
        <w:tc>
          <w:tcPr/>
          <w:p>
            <w:pPr>
              <w:pStyle w:val="Compact"/>
              <w:jc w:val="left"/>
            </w:pPr>
            <w:r>
              <w:t xml:space="preserve">Tirzepatida e retatrutida</w:t>
            </w:r>
          </w:p>
        </w:tc>
        <w:tc>
          <w:tcPr/>
          <w:p>
            <w:pPr>
              <w:pStyle w:val="Compact"/>
              <w:jc w:val="left"/>
            </w:pPr>
            <w:r>
              <w:t xml:space="preserve">eventos hepáticos graves, 4.500 participantes</w:t>
            </w:r>
          </w:p>
        </w:tc>
        <w:tc>
          <w:tcPr/>
          <w:p>
            <w:pPr>
              <w:pStyle w:val="Compact"/>
              <w:jc w:val="left"/>
            </w:pPr>
            <w:r>
              <w:t xml:space="preserve">agosto de 2032</w:t>
            </w:r>
          </w:p>
        </w:tc>
      </w:tr>
    </w:tbl>
    <w:p>
      <w:pPr>
        <w:pStyle w:val="BodyText"/>
      </w:pPr>
      <w:r>
        <w:rPr>
          <w:bCs/>
          <w:b/>
        </w:rPr>
        <w:t xml:space="preserve">Outros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 / NCT</w:t>
            </w:r>
          </w:p>
        </w:tc>
        <w:tc>
          <w:tcPr/>
          <w:p>
            <w:pPr>
              <w:pStyle w:val="Compact"/>
              <w:jc w:val="left"/>
            </w:pPr>
            <w:r>
              <w:t xml:space="preserve">Substância</w:t>
            </w:r>
          </w:p>
        </w:tc>
        <w:tc>
          <w:tcPr/>
          <w:p>
            <w:pPr>
              <w:pStyle w:val="Compact"/>
              <w:jc w:val="left"/>
            </w:pPr>
            <w:r>
              <w:t xml:space="preserve">Questão</w:t>
            </w:r>
          </w:p>
        </w:tc>
        <w:tc>
          <w:tcPr/>
          <w:p>
            <w:pPr>
              <w:pStyle w:val="Compact"/>
              <w:jc w:val="left"/>
            </w:pPr>
            <w:r>
              <w:t xml:space="preserve">Término previsto</w:t>
            </w:r>
          </w:p>
        </w:tc>
      </w:tr>
      <w:tr>
        <w:tc>
          <w:tcPr/>
          <w:p>
            <w:pPr>
              <w:pStyle w:val="Compact"/>
              <w:jc w:val="left"/>
            </w:pPr>
            <w:r>
              <w:t xml:space="preserve">SEER-2, NCT05555589</w:t>
            </w:r>
          </w:p>
        </w:tc>
        <w:tc>
          <w:tcPr/>
          <w:p>
            <w:pPr>
              <w:pStyle w:val="Compact"/>
              <w:jc w:val="left"/>
            </w:pPr>
            <w:r>
              <w:t xml:space="preserve">Timosina beta-4 (colírio)</w:t>
            </w:r>
          </w:p>
        </w:tc>
        <w:tc>
          <w:tcPr/>
          <w:p>
            <w:pPr>
              <w:pStyle w:val="Compact"/>
              <w:jc w:val="left"/>
            </w:pPr>
            <w:r>
              <w:t xml:space="preserve">cicatrização da córnea, 70 participantes</w:t>
            </w:r>
          </w:p>
        </w:tc>
        <w:tc>
          <w:tcPr/>
          <w:p>
            <w:pPr>
              <w:pStyle w:val="Compact"/>
              <w:jc w:val="left"/>
            </w:pPr>
            <w:r>
              <w:t xml:space="preserve">maio de 2026 (resultado pendente)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vitiligo com fototerapia, 200 participantes</w:t>
            </w:r>
          </w:p>
        </w:tc>
        <w:tc>
          <w:tcPr/>
          <w:p>
            <w:pPr>
              <w:pStyle w:val="Compact"/>
              <w:jc w:val="left"/>
            </w:pPr>
            <w:r>
              <w:t xml:space="preserve">junho de 2026 (resultado pendente)</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sobrevida livre de doença após câncer colorretal, 2.500 participantes</w:t>
            </w:r>
          </w:p>
        </w:tc>
        <w:tc>
          <w:tcPr/>
          <w:p>
            <w:pPr>
              <w:pStyle w:val="Compact"/>
              <w:jc w:val="left"/>
            </w:pPr>
            <w:r>
              <w:t xml:space="preserve">março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degeneração macular seca, 313 participantes</w:t>
            </w:r>
          </w:p>
        </w:tc>
        <w:tc>
          <w:tcPr/>
          <w:p>
            <w:pPr>
              <w:pStyle w:val="Compact"/>
              <w:jc w:val="left"/>
            </w:pPr>
            <w:r>
              <w:t xml:space="preserve">setembro de 2027</w:t>
            </w:r>
          </w:p>
        </w:tc>
      </w:tr>
      <w:tr>
        <w:tc>
          <w:tcPr/>
          <w:p>
            <w:pPr>
              <w:pStyle w:val="Compact"/>
              <w:jc w:val="left"/>
            </w:pPr>
            <w:r>
              <w:t xml:space="preserve">NCT06948214</w:t>
            </w:r>
          </w:p>
        </w:tc>
        <w:tc>
          <w:tcPr/>
          <w:p>
            <w:pPr>
              <w:pStyle w:val="Compact"/>
              <w:jc w:val="left"/>
            </w:pPr>
            <w:r>
              <w:t xml:space="preserve">Ibutamoreno (LUM-201, não é peptídeo)</w:t>
            </w:r>
          </w:p>
        </w:tc>
        <w:tc>
          <w:tcPr/>
          <w:p>
            <w:pPr>
              <w:pStyle w:val="Compact"/>
              <w:jc w:val="left"/>
            </w:pPr>
            <w:r>
              <w:t xml:space="preserve">crescimento em crianças com deficiência hormonal, 150 participantes</w:t>
            </w:r>
          </w:p>
        </w:tc>
        <w:tc>
          <w:tcPr/>
          <w:p>
            <w:pPr>
              <w:pStyle w:val="Compact"/>
              <w:jc w:val="left"/>
            </w:pPr>
            <w:r>
              <w:t xml:space="preserve">janeiro de 2028</w:t>
            </w:r>
          </w:p>
        </w:tc>
      </w:tr>
    </w:tbl>
    <w:p>
      <w:pPr>
        <w:pStyle w:val="BodyText"/>
      </w:pPr>
      <w:r>
        <w:t xml:space="preserve">Detalhes sobre cada estudo estão na seção</w:t>
      </w:r>
      <w:r>
        <w:t xml:space="preserve"> </w:t>
      </w:r>
      <w:r>
        <w:t xml:space="preserve">“</w:t>
      </w:r>
      <w:r>
        <w:t xml:space="preserve">Estudos em andamento e perspectivas</w:t>
      </w:r>
      <w:r>
        <w:t xml:space="preserve">”</w:t>
      </w:r>
      <w:r>
        <w:t xml:space="preserve"> </w:t>
      </w:r>
      <w:r>
        <w:t xml:space="preserve">do respectivo capítulo.</w:t>
      </w:r>
    </w:p>
    <w:bookmarkEnd w:id="2835"/>
    <w:bookmarkStart w:id="2845" w:name="o-que-o-registro-revela-sobre-a-direção"/>
    <w:p>
      <w:pPr>
        <w:pStyle w:val="Heading3"/>
      </w:pPr>
      <w:r>
        <w:t xml:space="preserve">O que o registro revela sobre a direção</w:t>
      </w:r>
    </w:p>
    <w:p>
      <w:pPr>
        <w:pStyle w:val="FirstParagraph"/>
      </w:pPr>
      <w:r>
        <w:rPr>
          <w:bCs/>
          <w:b/>
        </w:rPr>
        <w:t xml:space="preserve">Da balança aos desfechos duros.</w:t>
      </w:r>
      <w:r>
        <w:t xml:space="preserve"> </w:t>
      </w:r>
      <w:r>
        <w:t xml:space="preserve">A primeira geração de estudos de emagrecimento media sobretudo quilogramas. Os grandes estudos dos próximos anos perguntam se infartos, AVCs, insuficiência cardíaca, insuficiência renal ou cirrose hepática se tornarão mais raros. Todos os seis estudos de fase 3 em andamento do grupo A com mais de 5.000 participantes cada são estudos de desfechos desse tipo. Para os planos e sistemas de saúde que decidem sobre o reembolso, esses resultados são mais importantes do que qualquer recorde de perda de peso.</w:t>
      </w:r>
    </w:p>
    <w:p>
      <w:pPr>
        <w:pStyle w:val="BodyText"/>
      </w:pPr>
      <w:r>
        <w:rPr>
          <w:bCs/>
          <w:b/>
        </w:rPr>
        <w:t xml:space="preserve">Comparações diretas.</w:t>
      </w:r>
      <w:r>
        <w:t xml:space="preserve"> </w:t>
      </w:r>
      <w:r>
        <w:t xml:space="preserve">Novas substâncias precisam cada vez mais se medir com as estabelecidas, não apenas com placebo: retatrutida contra tirzepatida</w:t>
      </w:r>
      <w:r>
        <w:rPr>
          <w:rStyle w:val="FootnoteReference"/>
        </w:rPr>
        <w:footnoteReference w:id="2836"/>
      </w:r>
      <w:r>
        <w:t xml:space="preserve">, zenagamtida contra semaglutida (AMAZE 7, NCT07668414), maridebarte cafraglutida contra semaglutida no diabetes tipo 2 (MARITIME-T2D-3, NCT07866066). Também novos fornecedores competem diretamente: a Roche testa o agonista duplo GLP-1/GIP enicepatida contra a tirzepatida</w:t>
      </w:r>
      <w:r>
        <w:rPr>
          <w:rStyle w:val="FootnoteReference"/>
        </w:rPr>
        <w:footnoteReference w:id="2837"/>
      </w:r>
      <w:r>
        <w:t xml:space="preserve">, a empresa Kailera a substância ribupatida contra a semaglutida (KaiNETIC-3, NCT07284979), a AstraZeneca a substância de uso diário elecogliprona contra a semaglutida em comprimido (Eluminate-2, NCT07662213).</w:t>
      </w:r>
    </w:p>
    <w:p>
      <w:pPr>
        <w:pStyle w:val="BodyText"/>
      </w:pPr>
      <w:r>
        <w:rPr>
          <w:bCs/>
          <w:b/>
        </w:rPr>
        <w:t xml:space="preserve">Manter o peso em vez de apenas perdê-lo.</w:t>
      </w:r>
      <w:r>
        <w:t xml:space="preserve"> </w:t>
      </w:r>
      <w:r>
        <w:t xml:space="preserve">Vários estudos testam expressamente o período após a perda de peso: retatrutida para manutenção do peso (TRIUMPH-6, NCT06859268), um estudo de longo prazo com CagriSema por dois anos mais extensão</w:t>
      </w:r>
      <w:r>
        <w:rPr>
          <w:rStyle w:val="FootnoteReference"/>
        </w:rPr>
        <w:footnoteReference w:id="2838"/>
      </w:r>
      <w:r>
        <w:t xml:space="preserve">, a troca de outros medicamentos de GLP-1 para a maridebarte cafraglutida, administrada mensalmente</w:t>
      </w:r>
      <w:r>
        <w:rPr>
          <w:rStyle w:val="FootnoteReference"/>
        </w:rPr>
        <w:footnoteReference w:id="2839"/>
      </w:r>
      <w:r>
        <w:t xml:space="preserve">, ou para a berobenatida, uma substância experimental da Pfizer de injeção mensal</w:t>
      </w:r>
      <w:r>
        <w:rPr>
          <w:rStyle w:val="FootnoteReference"/>
        </w:rPr>
        <w:footnoteReference w:id="2840"/>
      </w:r>
      <w:r>
        <w:t xml:space="preserve">. O pano de fundo são estudos como o SURMOUNT-4: quem suspendeu a tirzepatida após 36 semanas recuperou no ano seguinte, em média, 14,0% do peso, enquanto, com o tratamento continuado, o peso caiu mais 5,5%</w:t>
      </w:r>
      <w:r>
        <w:rPr>
          <w:rStyle w:val="FootnoteReference"/>
        </w:rPr>
        <w:footnoteReference w:id="2841"/>
      </w:r>
      <w:r>
        <w:t xml:space="preserve">.</w:t>
      </w:r>
    </w:p>
    <w:p>
      <w:pPr>
        <w:pStyle w:val="BodyText"/>
      </w:pPr>
      <w:r>
        <w:rPr>
          <w:bCs/>
          <w:b/>
        </w:rPr>
        <w:t xml:space="preserve">Novos países, novas moléculas.</w:t>
      </w:r>
      <w:r>
        <w:t xml:space="preserve"> </w:t>
      </w:r>
      <w:r>
        <w:t xml:space="preserve">Grande parte dos novos estudos de fase 3 vem de empresas chinesas que testam substâncias próprias baseadas em GLP-1 contra semaglutida ou dulaglutida – como a bofanglutida, injetada a cada duas semanas (BALANCE-OBS, NCT07622810), ou a proteína de fusão de exendina-4 JY09</w:t>
      </w:r>
      <w:r>
        <w:rPr>
          <w:rStyle w:val="FootnoteReference"/>
        </w:rPr>
        <w:footnoteReference w:id="2842"/>
      </w:r>
      <w:r>
        <w:t xml:space="preserve">. O mercado se torna, portanto, mais amplo, não apenas mais potente.</w:t>
      </w:r>
    </w:p>
    <w:p>
      <w:pPr>
        <w:pStyle w:val="BodyText"/>
      </w:pPr>
      <w:r>
        <w:rPr>
          <w:bCs/>
          <w:b/>
        </w:rPr>
        <w:t xml:space="preserve">Crianças e adolescentes.</w:t>
      </w:r>
      <w:r>
        <w:t xml:space="preserve"> </w:t>
      </w:r>
      <w:r>
        <w:t xml:space="preserve">Para quase todas as grandes substâncias há estudos em andamento em adolescentes, em parte também em crianças, como para tirzepatida</w:t>
      </w:r>
      <w:r>
        <w:rPr>
          <w:rStyle w:val="FootnoteReference"/>
        </w:rPr>
        <w:footnoteReference w:id="2843"/>
      </w:r>
      <w:r>
        <w:t xml:space="preserve">, orforglipron</w:t>
      </w:r>
      <w:r>
        <w:rPr>
          <w:rStyle w:val="FootnoteReference"/>
        </w:rPr>
        <w:footnoteReference w:id="2844"/>
      </w:r>
      <w:r>
        <w:t xml:space="preserve"> </w:t>
      </w:r>
      <w:r>
        <w:t xml:space="preserve">e CagriSema (NCT07253285, término previsto para 2033).</w:t>
      </w:r>
    </w:p>
    <w:p>
      <w:pPr>
        <w:pStyle w:val="BodyText"/>
      </w:pPr>
      <w:r>
        <w:rPr>
          <w:bCs/>
          <w:b/>
        </w:rPr>
        <w:t xml:space="preserve">E fora do metabolismo?</w:t>
      </w:r>
      <w:r>
        <w:t xml:space="preserve"> </w:t>
      </w:r>
      <w:r>
        <w:t xml:space="preserve">Aqui o pipeline é escasso. Onde um peptídeo não é patenteável, já é vendido como suplemento alimentar ou só existe no mercado cinza, quase ninguém financia estudos de aprovação caros. Isso explica por que justamente os peptídeos mais discutidos na internet praticamente não aparecem nos registros.</w:t>
      </w:r>
    </w:p>
    <w:bookmarkEnd w:id="2845"/>
    <w:bookmarkStart w:id="2863" w:name="novos-princípios-de-ação"/>
    <w:p>
      <w:pPr>
        <w:pStyle w:val="Heading3"/>
      </w:pPr>
      <w:r>
        <w:t xml:space="preserve">Novos princípios de ação</w:t>
      </w:r>
    </w:p>
    <w:bookmarkStart w:id="2849" w:name="agonistas-triplos"/>
    <w:p>
      <w:pPr>
        <w:pStyle w:val="Heading4"/>
      </w:pPr>
      <w:r>
        <w:t xml:space="preserve">Agonistas triplos</w:t>
      </w:r>
    </w:p>
    <w:p>
      <w:pPr>
        <w:pStyle w:val="FirstParagraph"/>
      </w:pPr>
      <w:r>
        <w:t xml:space="preserve">A retatrutida ativa três receptores ao mesmo tempo: GLP-1, GIP e glucagon. O componente de glucagon deve aumentar o gasto energético e a degradação de gordura no fígado. No estudo de fase 2 com 338 adultos, o peso caiu após 48 semanas, na dose mais alta estudada, 24,2%, com placebo 2,1%</w:t>
      </w:r>
      <w:r>
        <w:rPr>
          <w:rStyle w:val="FootnoteReference"/>
        </w:rPr>
        <w:footnoteReference w:id="2846"/>
      </w:r>
      <w:r>
        <w:t xml:space="preserve">. O primeiro estudo de fase 3, TRIUMPH-1, com 2.339 adultos, confirmou isso: após 80 semanas, a perda de peso foi, conforme a dose, de 17,6 a 25,0%, com placebo 3,9%. Em participantes com artrose de joelho, as dores diminuíram; na apneia do sono, o número de pausas respiratórias</w:t>
      </w:r>
      <w:r>
        <w:rPr>
          <w:rStyle w:val="FootnoteReference"/>
        </w:rPr>
        <w:footnoteReference w:id="2847"/>
      </w:r>
      <w:r>
        <w:t xml:space="preserve">. Se essa perda de peso adicional também leva a menos eventos cardíacos e renais deverá ser mostrado pelo TRIUMPH-Outcomes até 2029</w:t>
      </w:r>
      <w:r>
        <w:rPr>
          <w:rStyle w:val="FootnoteReference"/>
        </w:rPr>
        <w:footnoteReference w:id="2848"/>
      </w:r>
      <w:r>
        <w:t xml:space="preserve">. Detalhes e efeitos colaterais são descritos no capítulo Retatrutida.</w:t>
      </w:r>
    </w:p>
    <w:bookmarkEnd w:id="2849"/>
    <w:bookmarkStart w:id="2854" w:name="amilina-a-quarta-via-hormonal"/>
    <w:p>
      <w:pPr>
        <w:pStyle w:val="Heading4"/>
      </w:pPr>
      <w:r>
        <w:t xml:space="preserve">Amilina: a quarta via hormonal</w:t>
      </w:r>
    </w:p>
    <w:p>
      <w:pPr>
        <w:pStyle w:val="FirstParagraph"/>
      </w:pPr>
      <w:r>
        <w:t xml:space="preserve">A amilina é secretada junto com a insulina e age no tronco cerebral promovendo saciedade. Há três linhas de desenvolvimento a distinguir:</w:t>
      </w:r>
    </w:p>
    <w:p>
      <w:pPr>
        <w:numPr>
          <w:ilvl w:val="0"/>
          <w:numId w:val="1355"/>
        </w:numPr>
        <w:pStyle w:val="Compact"/>
      </w:pPr>
      <w:r>
        <w:rPr>
          <w:bCs/>
          <w:b/>
        </w:rPr>
        <w:t xml:space="preserve">Combinação em uma injeção:</w:t>
      </w:r>
      <w:r>
        <w:t xml:space="preserve"> </w:t>
      </w:r>
      <w:r>
        <w:t xml:space="preserve">o CagriSema une o análogo de amilina cagrilintida à semaglutida. No REDEFINE 1, com 3.417 adultos, o peso caiu após 68 semanas 20,4%, com placebo 3,0%; queixas gastrointestinais ocorreram em 79,6% contra 39,9%</w:t>
      </w:r>
      <w:r>
        <w:rPr>
          <w:rStyle w:val="FootnoteReference"/>
        </w:rPr>
        <w:footnoteReference w:id="2850"/>
      </w:r>
      <w:r>
        <w:t xml:space="preserve">.</w:t>
      </w:r>
    </w:p>
    <w:p>
      <w:pPr>
        <w:numPr>
          <w:ilvl w:val="0"/>
          <w:numId w:val="1355"/>
        </w:numPr>
        <w:pStyle w:val="Compact"/>
      </w:pPr>
      <w:r>
        <w:rPr>
          <w:bCs/>
          <w:b/>
        </w:rPr>
        <w:t xml:space="preserve">Uma molécula para dois receptores:</w:t>
      </w:r>
      <w:r>
        <w:t xml:space="preserve"> </w:t>
      </w:r>
      <w:r>
        <w:t xml:space="preserve">a amicretina, desde 2026 zenagamtida, ativa ao mesmo tempo receptores de GLP-1 e de amilina. Em um pequeno estudo de fase 1b/2a com 125 participantes, o peso caiu, no nível de dose mais alto, 24,3% após 36 semanas</w:t>
      </w:r>
      <w:r>
        <w:rPr>
          <w:rStyle w:val="FootnoteReference"/>
        </w:rPr>
        <w:footnoteReference w:id="2851"/>
      </w:r>
      <w:r>
        <w:t xml:space="preserve">. O programa de fase 3 AMAZE está em andamento desde 2026.</w:t>
      </w:r>
    </w:p>
    <w:p>
      <w:pPr>
        <w:numPr>
          <w:ilvl w:val="0"/>
          <w:numId w:val="1355"/>
        </w:numPr>
        <w:pStyle w:val="Compact"/>
      </w:pPr>
      <w:r>
        <w:rPr>
          <w:bCs/>
          <w:b/>
        </w:rPr>
        <w:t xml:space="preserve">Amilina isolada:</w:t>
      </w:r>
      <w:r>
        <w:t xml:space="preserve"> </w:t>
      </w:r>
      <w:r>
        <w:t xml:space="preserve">aqui a esperança é uma tolerabilidade melhor. A eloralintida, um agonista seletivo do receptor de amilina da Lilly, levou em um estudo de fase 2 com 263 adultos, após 48 semanas, a 9 a 20% de perda de peso contra 0,4% com placebo; náusea e cansaço foram, conforme a dose, claramente mais frequentes do que com placebo</w:t>
      </w:r>
      <w:r>
        <w:rPr>
          <w:rStyle w:val="FootnoteReference"/>
        </w:rPr>
        <w:footnoteReference w:id="2852"/>
      </w:r>
      <w:r>
        <w:t xml:space="preserve">. A petrelintida, da Zealand Pharma, reduziu o peso no estudo de fase 2 ZUPREME 1, com 493 participantes, em 7,9 a 9,8% após 28 semanas (placebo 1,7%). Náusea ocorreu em 20% contra 6%, mas vômitos não foram mais frequentes do que com placebo</w:t>
      </w:r>
      <w:r>
        <w:rPr>
          <w:rStyle w:val="FootnoteReference"/>
        </w:rPr>
        <w:footnoteReference w:id="2853"/>
      </w:r>
      <w:r>
        <w:t xml:space="preserve">.</w:t>
      </w:r>
    </w:p>
    <w:p>
      <w:pPr>
        <w:pStyle w:val="FirstParagraph"/>
      </w:pPr>
      <w:r>
        <w:t xml:space="preserve">As duas substâncias de amilina pura já estão em fase 3: a eloralintida no ENLIGHTEN-1, com 1.980 participantes planejados (NCT07321886, término em julho de 2030), a petrelintida no ZUPREME-3, com 3.900 participantes planejados, sob a liderança da Roche (NCT07843498, término em março de 2029). A Lilly testa ainda uma combinação de eloralintida e tirzepatida (AMPLIFY-1, NCT07881432, 2.115 participantes planejados).</w:t>
      </w:r>
    </w:p>
    <w:bookmarkEnd w:id="2854"/>
    <w:bookmarkStart w:id="2857" w:name="conjugados-anticorpo-peptídeo"/>
    <w:p>
      <w:pPr>
        <w:pStyle w:val="Heading4"/>
      </w:pPr>
      <w:r>
        <w:t xml:space="preserve">Conjugados anticorpo-peptídeo</w:t>
      </w:r>
    </w:p>
    <w:p>
      <w:pPr>
        <w:pStyle w:val="FirstParagraph"/>
      </w:pPr>
      <w:r>
        <w:t xml:space="preserve">Peptídeos são degradados rapidamente no corpo e eliminados pelos rins. Uma solução é acoplá-los a um anticorpo, que permanece semanas no sangue. Uma revisão descreve esses conjugados anticorpo-peptídeo como uma classe de substâncias nova e própria: diferentemente das proteínas de fusão, o peptídeo é produzido quimicamente e só depois ligado ao anticorpo, de modo que pode conter também componentes incomuns</w:t>
      </w:r>
      <w:r>
        <w:rPr>
          <w:rStyle w:val="FootnoteReference"/>
        </w:rPr>
        <w:footnoteReference w:id="2855"/>
      </w:r>
      <w:r>
        <w:t xml:space="preserve">.</w:t>
      </w:r>
    </w:p>
    <w:p>
      <w:pPr>
        <w:pStyle w:val="BodyText"/>
      </w:pPr>
      <w:r>
        <w:t xml:space="preserve">O exemplo mais conhecido é a maridebarte cafraglutida (MariTide). Ela une um anticorpo que bloqueia o receptor de GIP a peptídeos semelhantes ao GLP-1, que ativam o receptor de GLP-1. No estudo de fase 2 com 592 participantes, foi injetada a cada quatro ou oito semanas. Após 52 semanas, a perda de peso sem diabetes foi de 12,3 a 16,2% (placebo 2,5%), com diabetes tipo 2 de 8,4 a 12,3% (placebo 1,7%). Queixas gastrointestinais foram frequentes, mas mais raras quando a dose foi aumentada lentamente</w:t>
      </w:r>
      <w:r>
        <w:rPr>
          <w:rStyle w:val="FootnoteReference"/>
        </w:rPr>
        <w:footnoteReference w:id="2856"/>
      </w:r>
      <w:r>
        <w:t xml:space="preserve">. O conceito é: menos injeções em vez de efeito máximo.</w:t>
      </w:r>
    </w:p>
    <w:bookmarkEnd w:id="2857"/>
    <w:bookmarkStart w:id="2861" w:name="poupar-os-músculos-ao-emagrecer"/>
    <w:p>
      <w:pPr>
        <w:pStyle w:val="Heading4"/>
      </w:pPr>
      <w:r>
        <w:t xml:space="preserve">Poupar os músculos ao emagrecer</w:t>
      </w:r>
    </w:p>
    <w:p>
      <w:pPr>
        <w:pStyle w:val="FirstParagraph"/>
      </w:pPr>
      <w:r>
        <w:t xml:space="preserve">Em toda perda de peso intensa, perde-se também massa muscular e óssea. Uma abordagem é o anticorpo</w:t>
      </w:r>
      <w:r>
        <w:t xml:space="preserve"> </w:t>
      </w:r>
      <w:r>
        <w:rPr>
          <w:bCs/>
          <w:b/>
        </w:rPr>
        <w:t xml:space="preserve">bimagrumabe</w:t>
      </w:r>
      <w:r>
        <w:t xml:space="preserve">, que bloqueia os receptores de ativina tipo II – interruptores que freiam o crescimento muscular. O bimagrumabe não é um peptídeo, mas é combinado de forma direcionada com medicamentos peptídicos.</w:t>
      </w:r>
    </w:p>
    <w:p>
      <w:pPr>
        <w:numPr>
          <w:ilvl w:val="0"/>
          <w:numId w:val="1356"/>
        </w:numPr>
        <w:pStyle w:val="Compact"/>
      </w:pPr>
      <w:r>
        <w:t xml:space="preserve">Em um estudo de fase 2 com 75 adultos com diabetes tipo 2 e sobrepeso, a massa gorda caiu com bimagrumabe isolado, após 48 semanas, 20,5%, enquanto a massa magra aumentou 3,6% (placebo −0,5% e −0,8%)</w:t>
      </w:r>
      <w:r>
        <w:rPr>
          <w:rStyle w:val="FootnoteReference"/>
        </w:rPr>
        <w:footnoteReference w:id="2858"/>
      </w:r>
      <w:r>
        <w:t xml:space="preserve">.</w:t>
      </w:r>
    </w:p>
    <w:p>
      <w:pPr>
        <w:numPr>
          <w:ilvl w:val="0"/>
          <w:numId w:val="1356"/>
        </w:numPr>
        <w:pStyle w:val="Compact"/>
      </w:pPr>
      <w:r>
        <w:t xml:space="preserve">Em um estudo de fase 2 com 507 adultos com obesidade, a perda de peso após 48 semanas foi de 9,3 kg com bimagrumabe isolado, 14,2 kg com semaglutida isolada e 17,8 kg com a combinação (placebo 3,3 kg). Efeitos colaterais frequentes do bimagrumabe foram cãibras musculares, diarreia e acne</w:t>
      </w:r>
      <w:r>
        <w:rPr>
          <w:rStyle w:val="FootnoteReference"/>
        </w:rPr>
        <w:footnoteReference w:id="2859"/>
      </w:r>
      <w:r>
        <w:t xml:space="preserve">.</w:t>
      </w:r>
    </w:p>
    <w:p>
      <w:pPr>
        <w:pStyle w:val="FirstParagraph"/>
      </w:pPr>
      <w:r>
        <w:t xml:space="preserve">A Lilly testa agora o bimagrumabe com tirzepatida (NCT06643728, 252 participantes, término em janeiro de 2027). Um estudo menor no Massachusetts General Hospital investiga a mesma combinação com foco na composição corporal e nos ossos</w:t>
      </w:r>
      <w:r>
        <w:rPr>
          <w:rStyle w:val="FootnoteReference"/>
        </w:rPr>
        <w:footnoteReference w:id="2860"/>
      </w:r>
      <w:r>
        <w:t xml:space="preserve">. Se mais massa muscular no exame de imagem significa também mais força, menos quedas ou menos fraturas ainda não está comprovado. Estudos de fase 3 não constam do registro.</w:t>
      </w:r>
    </w:p>
    <w:bookmarkEnd w:id="2861"/>
    <w:bookmarkStart w:id="2862" w:name="comprimidos"/>
    <w:p>
      <w:pPr>
        <w:pStyle w:val="Heading4"/>
      </w:pPr>
      <w:r>
        <w:t xml:space="preserve">Comprimidos</w:t>
      </w:r>
    </w:p>
    <w:p>
      <w:pPr>
        <w:pStyle w:val="FirstParagraph"/>
      </w:pPr>
      <w:r>
        <w:t xml:space="preserve">Talvez a mudança de maiores consequências não diga respeito ao receptor, mas à via de entrada no corpo: comprimidos com peptídeos e pequenas moléculas que agem como peptídeos. A esse tema é dedicado o próximo capítulo.</w:t>
      </w:r>
    </w:p>
    <w:bookmarkEnd w:id="2862"/>
    <w:bookmarkEnd w:id="2863"/>
    <w:bookmarkStart w:id="2864" w:name="o-essencial-em-resumo-8"/>
    <w:p>
      <w:pPr>
        <w:pStyle w:val="Heading3"/>
      </w:pPr>
      <w:r>
        <w:t xml:space="preserve">O essencial em resumo</w:t>
      </w:r>
    </w:p>
    <w:p>
      <w:pPr>
        <w:numPr>
          <w:ilvl w:val="0"/>
          <w:numId w:val="1357"/>
        </w:numPr>
        <w:pStyle w:val="Compact"/>
      </w:pPr>
      <w:r>
        <w:t xml:space="preserve">Após a exclusão de registros fictícios e alheios ao tema, estão em andamento 730 estudos intervencionais com as substâncias deste livro, entre eles 157 em fase 3.</w:t>
      </w:r>
    </w:p>
    <w:p>
      <w:pPr>
        <w:numPr>
          <w:ilvl w:val="0"/>
          <w:numId w:val="1357"/>
        </w:numPr>
        <w:pStyle w:val="Compact"/>
      </w:pPr>
      <w:r>
        <w:t xml:space="preserve">Quase nove em cada dez estudos tardios referem-se a metabolismo e peso. Para os populares peptídeos do mercado cinza, não há nenhum estudo de fase 3 em andamento.</w:t>
      </w:r>
    </w:p>
    <w:p>
      <w:pPr>
        <w:numPr>
          <w:ilvl w:val="0"/>
          <w:numId w:val="1357"/>
        </w:numPr>
        <w:pStyle w:val="Compact"/>
      </w:pPr>
      <w:r>
        <w:t xml:space="preserve">Os grandes estudos cardiovasculares, renais e hepáticos terminam entre 2027 e 2032. Só eles mostrarão se as novas substâncias fazem mais do que reduzir o peso.</w:t>
      </w:r>
    </w:p>
    <w:p>
      <w:pPr>
        <w:numPr>
          <w:ilvl w:val="0"/>
          <w:numId w:val="1357"/>
        </w:numPr>
        <w:pStyle w:val="Compact"/>
      </w:pPr>
      <w:r>
        <w:t xml:space="preserve">Novos princípios de ação – agonistas triplos, amilina, conjugados anticorpo-peptídeo, proteção muscular – estão comprovados em estudos de fase 2, e a maioria está em fase 3. Uma aprovação não está assegurada para nenhuma dessas novas substâncias.</w:t>
      </w:r>
    </w:p>
    <w:bookmarkEnd w:id="2864"/>
    <w:bookmarkEnd w:id="2865"/>
    <w:bookmarkStart w:id="2901" w:name="comprimidos-em-vez-de-injeções"/>
    <w:p>
      <w:pPr>
        <w:pStyle w:val="Heading2"/>
      </w:pPr>
      <w:r>
        <w:t xml:space="preserve">Comprimidos em vez de injeções</w:t>
      </w:r>
    </w:p>
    <w:p>
      <w:pPr>
        <w:pStyle w:val="FirstParagraph"/>
      </w:pPr>
      <w:r>
        <w:t xml:space="preserve">Quase todos os medicamentos peptídicos deste livro são injetados. Há uma razão simples para isso: o trato gastrointestinal é feito para decompor proteínas e peptídeos em seus componentes. O que faz sentido para a alimentação torna um peptídeo inutilizável como medicamento antes de ele chegar ao sangue. A Parte I descreveu esses obstáculos em detalhe (capítulo</w:t>
      </w:r>
      <w:r>
        <w:t xml:space="preserve"> </w:t>
      </w:r>
      <w:r>
        <w:t xml:space="preserve">“</w:t>
      </w:r>
      <w:r>
        <w:t xml:space="preserve">Como os peptídeos entram no corpo</w:t>
      </w:r>
      <w:r>
        <w:t xml:space="preserve">”</w:t>
      </w:r>
      <w:r>
        <w:t xml:space="preserve">).</w:t>
      </w:r>
    </w:p>
    <w:p>
      <w:pPr>
        <w:pStyle w:val="BodyText"/>
      </w:pPr>
      <w:r>
        <w:t xml:space="preserve">Que mesmo assim se pesquise intensamente em comprimidos tem vários motivos. Muitas pessoas não gostam de se injetar. Injeções geralmente precisam ser refrigeradas, e canetas são caras de fabricar. E como os medicamentos contra a obesidade, segundo o conhecimento atual, precisam ser tomados de forma contínua para fazer efeito, toda facilidade para o tratamento de longo prazo conta. Uma revisão descreve que formas orais de insulina, calcitonina, paratormônio e vasopressina já foram testadas em estudos clínicos e que somente a semaglutida trouxe o avanço para uma substância de uso amplo</w:t>
      </w:r>
      <w:r>
        <w:rPr>
          <w:rStyle w:val="FootnoteReference"/>
        </w:rPr>
        <w:footnoteReference w:id="2866"/>
      </w:r>
      <w:r>
        <w:t xml:space="preserve">.</w:t>
      </w:r>
    </w:p>
    <w:p>
      <w:pPr>
        <w:pStyle w:val="BodyText"/>
      </w:pPr>
      <w:r>
        <w:t xml:space="preserve">Hoje há dois caminhos fundamentalmente diferentes para o comprimido: protege-se um</w:t>
      </w:r>
      <w:r>
        <w:t xml:space="preserve"> </w:t>
      </w:r>
      <w:r>
        <w:rPr>
          <w:bCs/>
          <w:b/>
        </w:rPr>
        <w:t xml:space="preserve">peptídeo</w:t>
      </w:r>
      <w:r>
        <w:t xml:space="preserve"> </w:t>
      </w:r>
      <w:r>
        <w:t xml:space="preserve">de modo que ao menos uma pequena parte seja absorvida – ou substitui-se o peptídeo por uma</w:t>
      </w:r>
      <w:r>
        <w:t xml:space="preserve"> </w:t>
      </w:r>
      <w:r>
        <w:rPr>
          <w:bCs/>
          <w:b/>
        </w:rPr>
        <w:t xml:space="preserve">pequena molécula</w:t>
      </w:r>
      <w:r>
        <w:t xml:space="preserve">, que passa do intestino para o sangue como um medicamento comum e ainda assim age no mesmo receptor.</w:t>
      </w:r>
    </w:p>
    <w:bookmarkStart w:id="2881" w:name="Xe32a5d58a6aade5ffbb6b6ef7f04502b485febc"/>
    <w:p>
      <w:pPr>
        <w:pStyle w:val="Heading3"/>
      </w:pPr>
      <w:r>
        <w:t xml:space="preserve">Caminho 1: peptídeo mais intensificador de absorção</w:t>
      </w:r>
    </w:p>
    <w:bookmarkStart w:id="2868" w:name="o-princípio"/>
    <w:p>
      <w:pPr>
        <w:pStyle w:val="Heading4"/>
      </w:pPr>
      <w:r>
        <w:t xml:space="preserve">O princípio</w:t>
      </w:r>
    </w:p>
    <w:p>
      <w:pPr>
        <w:pStyle w:val="FirstParagraph"/>
      </w:pPr>
      <w:r>
        <w:t xml:space="preserve">Um</w:t>
      </w:r>
      <w:r>
        <w:t xml:space="preserve"> </w:t>
      </w:r>
      <w:r>
        <w:rPr>
          <w:bCs/>
          <w:b/>
        </w:rPr>
        <w:t xml:space="preserve">intensificador de absorção</w:t>
      </w:r>
      <w:r>
        <w:t xml:space="preserve"> </w:t>
      </w:r>
      <w:r>
        <w:t xml:space="preserve">(termo técnico: intensificador de permeação) é um excipiente que torna a mucosa temporariamente mais permeável ou protege o peptídeo da degradação. No comprimido de semaglutida, esse é o excipiente</w:t>
      </w:r>
      <w:r>
        <w:t xml:space="preserve"> </w:t>
      </w:r>
      <w:r>
        <w:rPr>
          <w:bCs/>
          <w:b/>
        </w:rPr>
        <w:t xml:space="preserve">SNAC</w:t>
      </w:r>
      <w:r>
        <w:t xml:space="preserve">. Ele eleva o pH no entorno imediato do comprimido, atenua a ativação da enzima digestiva pepsina e faz com que a semaglutida esteja presente como molécula isolada, que é absorvida mais facilmente. Mesmo assim, segundo uma revisão, apenas cerca de 0,4 a 1% da substância chega ao sangue – e isso apenas em jejum e com pouca água. Após uma refeição, praticamente não se detecta semaglutida no sangue</w:t>
      </w:r>
      <w:r>
        <w:rPr>
          <w:rStyle w:val="FootnoteReference"/>
        </w:rPr>
        <w:footnoteReference w:id="2867"/>
      </w:r>
      <w:r>
        <w:t xml:space="preserve">. Daí resultam as regras rígidas de tomada que constam da bula profissional.</w:t>
      </w:r>
    </w:p>
    <w:bookmarkEnd w:id="2868"/>
    <w:bookmarkStart w:id="2870" w:name="o-comprimido-de-semaglutida-na-obesidade"/>
    <w:p>
      <w:pPr>
        <w:pStyle w:val="Heading4"/>
      </w:pPr>
      <w:r>
        <w:t xml:space="preserve">O comprimido de semaglutida na obesidade</w:t>
      </w:r>
    </w:p>
    <w:p>
      <w:pPr>
        <w:pStyle w:val="FirstParagraph"/>
      </w:pPr>
      <w:r>
        <w:t xml:space="preserve">Para o diabetes tipo 2, o comprimido de semaglutida (Rybelsus) está aprovado na UE desde 2020. Para a obesidade, foram testadas doses mais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Participantes e desenho</w:t>
            </w:r>
          </w:p>
        </w:tc>
        <w:tc>
          <w:tcPr/>
          <w:p>
            <w:pPr>
              <w:pStyle w:val="Compact"/>
              <w:jc w:val="left"/>
            </w:pPr>
            <w:r>
              <w:t xml:space="preserve">Duração</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sem diabetes, comprimido contra placebo</w:t>
            </w:r>
          </w:p>
        </w:tc>
        <w:tc>
          <w:tcPr/>
          <w:p>
            <w:pPr>
              <w:pStyle w:val="Compact"/>
              <w:jc w:val="left"/>
            </w:pPr>
            <w:r>
              <w:t xml:space="preserve">68 semanas</w:t>
            </w:r>
          </w:p>
        </w:tc>
        <w:tc>
          <w:tcPr/>
          <w:p>
            <w:pPr>
              <w:pStyle w:val="Compact"/>
              <w:jc w:val="left"/>
            </w:pPr>
            <w:r>
              <w:t xml:space="preserve">−15,1% de peso vs. −2,4%</w:t>
            </w:r>
          </w:p>
        </w:tc>
      </w:tr>
      <w:tr>
        <w:tc>
          <w:tcPr/>
          <w:p>
            <w:pPr>
              <w:pStyle w:val="Compact"/>
              <w:jc w:val="left"/>
            </w:pPr>
            <w:r>
              <w:t xml:space="preserve">OASIS 4 (Wharton 2025), PMID 40934115</w:t>
            </w:r>
          </w:p>
        </w:tc>
        <w:tc>
          <w:tcPr/>
          <w:p>
            <w:pPr>
              <w:pStyle w:val="Compact"/>
              <w:jc w:val="left"/>
            </w:pPr>
            <w:r>
              <w:t xml:space="preserve">307 adultos sem diabetes, dose de comprimido mais baixa contra placebo</w:t>
            </w:r>
          </w:p>
        </w:tc>
        <w:tc>
          <w:tcPr/>
          <w:p>
            <w:pPr>
              <w:pStyle w:val="Compact"/>
              <w:jc w:val="left"/>
            </w:pPr>
            <w:r>
              <w:t xml:space="preserve">64 semanas</w:t>
            </w:r>
          </w:p>
        </w:tc>
        <w:tc>
          <w:tcPr/>
          <w:p>
            <w:pPr>
              <w:pStyle w:val="Compact"/>
              <w:jc w:val="left"/>
            </w:pPr>
            <w:r>
              <w:t xml:space="preserve">−13,6% vs. −2,2%</w:t>
            </w:r>
          </w:p>
        </w:tc>
      </w:tr>
      <w:tr>
        <w:tc>
          <w:tcPr/>
          <w:p>
            <w:pPr>
              <w:pStyle w:val="Compact"/>
              <w:jc w:val="left"/>
            </w:pPr>
            <w:r>
              <w:t xml:space="preserve">Para comparação: STEP 1 (Wilding 2021), PMID 33567185</w:t>
            </w:r>
          </w:p>
        </w:tc>
        <w:tc>
          <w:tcPr/>
          <w:p>
            <w:pPr>
              <w:pStyle w:val="Compact"/>
              <w:jc w:val="left"/>
            </w:pPr>
            <w:r>
              <w:t xml:space="preserve">1.961 adultos sem diabetes, injeção semanal contra placebo</w:t>
            </w:r>
          </w:p>
        </w:tc>
        <w:tc>
          <w:tcPr/>
          <w:p>
            <w:pPr>
              <w:pStyle w:val="Compact"/>
              <w:jc w:val="left"/>
            </w:pPr>
            <w:r>
              <w:t xml:space="preserve">68 semanas</w:t>
            </w:r>
          </w:p>
        </w:tc>
        <w:tc>
          <w:tcPr/>
          <w:p>
            <w:pPr>
              <w:pStyle w:val="Compact"/>
              <w:jc w:val="left"/>
            </w:pPr>
            <w:r>
              <w:t xml:space="preserve">−14,9% vs. −2,4%</w:t>
            </w:r>
          </w:p>
        </w:tc>
      </w:tr>
    </w:tbl>
    <w:p>
      <w:pPr>
        <w:pStyle w:val="BodyText"/>
      </w:pPr>
      <w:r>
        <w:t xml:space="preserve">Nos dois estudos com comprimido, queixas gastrointestinais foram frequentes: 80% contra 46% com placebo no OASIS 1, 74,0% contra 42,2% no OASIS 4. O estudo OASIS 4 é, segundo o capítulo Semaglutida, a base do comprimido de Wegovy aprovado nos EUA (verificar a situação atual da aprovação). Outro estudo de fase 3 com o comprimido está em andamento (OASIS 5, NCT07770841, término em abril de 2028).</w:t>
      </w:r>
    </w:p>
    <w:p>
      <w:pPr>
        <w:pStyle w:val="BodyText"/>
      </w:pPr>
      <w:r>
        <w:t xml:space="preserve">Os números ficam próximos dos da injeção. Falta, no entanto, uma grande comparação direta entre comprimido e injeção na obesidade, e comparações cruzadas entre estudos são apenas uma orientação aproximada.</w:t>
      </w:r>
    </w:p>
    <w:p>
      <w:pPr>
        <w:pStyle w:val="BodyText"/>
      </w:pPr>
      <w:r>
        <w:rPr>
          <w:bCs/>
          <w:b/>
        </w:rPr>
        <w:t xml:space="preserve">Uma desvantagem raramente mencionada:</w:t>
      </w:r>
      <w:r>
        <w:t xml:space="preserve"> </w:t>
      </w:r>
      <w:r>
        <w:t xml:space="preserve">como apenas uma fração é absorvida, o comprimido precisa de muitas vezes mais substância. Uma estimativa de custos para genéricos após a expiração da patente chegou, para a semaglutida injetável, a 28 a 140 dólares americanos por pessoa por ano, e para o comprimido a 186 a 380 dólares americanos</w:t>
      </w:r>
      <w:r>
        <w:rPr>
          <w:rStyle w:val="FootnoteReference"/>
        </w:rPr>
        <w:footnoteReference w:id="2869"/>
      </w:r>
      <w:r>
        <w:t xml:space="preserve">. O comprimido não é, portanto, automaticamente a solução mais barata (mais sobre isso no capítulo</w:t>
      </w:r>
      <w:r>
        <w:t xml:space="preserve"> </w:t>
      </w:r>
      <w:r>
        <w:t xml:space="preserve">“</w:t>
      </w:r>
      <w:r>
        <w:t xml:space="preserve">Patentes, genéricos e preços</w:t>
      </w:r>
      <w:r>
        <w:t xml:space="preserve">”</w:t>
      </w:r>
      <w:r>
        <w:t xml:space="preserve">).</w:t>
      </w:r>
    </w:p>
    <w:bookmarkEnd w:id="2870"/>
    <w:bookmarkStart w:id="2872" w:name="desfechos-duros-soul"/>
    <w:p>
      <w:pPr>
        <w:pStyle w:val="Heading4"/>
      </w:pPr>
      <w:r>
        <w:t xml:space="preserve">Desfechos duros: SOUL</w:t>
      </w:r>
    </w:p>
    <w:p>
      <w:pPr>
        <w:pStyle w:val="FirstParagraph"/>
      </w:pPr>
      <w:r>
        <w:t xml:space="preserve">Para o diabetes tipo 2, o benefício do comprimido de semaglutida para além da glicemia está comprovado. No SOUL, com 9.650 pessoas com diabetes tipo 2 e doença vascular ou renal, eventos cardiovasculares graves ocorreram, ao longo de um tempo médio de acompanhamento de cerca de quatro anos, em 12,0% com o comprimido e em 13,8% com placebo (hazard ratio 0,86). Os desfechos renais confirmatórios não diferiram significativamente</w:t>
      </w:r>
      <w:r>
        <w:rPr>
          <w:rStyle w:val="FootnoteReference"/>
        </w:rPr>
        <w:footnoteReference w:id="2871"/>
      </w:r>
      <w:r>
        <w:t xml:space="preserve">. Para pessoas com obesidade sem diabetes, ainda não há um estudo desse tipo com o comprimido.</w:t>
      </w:r>
    </w:p>
    <w:bookmarkEnd w:id="2872"/>
    <w:bookmarkStart w:id="2875" w:name="amilina-e-glp-1-em-comprimido"/>
    <w:p>
      <w:pPr>
        <w:pStyle w:val="Heading4"/>
      </w:pPr>
      <w:r>
        <w:t xml:space="preserve">Amilina e GLP-1 em comprimido</w:t>
      </w:r>
    </w:p>
    <w:p>
      <w:pPr>
        <w:pStyle w:val="FirstParagraph"/>
      </w:pPr>
      <w:r>
        <w:t xml:space="preserve">A Novo Nordisk desenvolve também a amicretina (desde 2026 zenagamtida) em comprimido. Segundo a publicação do estudo, o peptídeo age nos receptores de GLP-1, de amilina e de calcitonina. Em um estudo de fase 2 com 186 adultos com diabetes tipo 2, a HbA1c caiu após 36 semanas, nos três grupos de dose, de 0,5 a 1,1 ponto percentual a mais do que com placebo. Queixas gastrointestinais ocorreram, conforme a dose, em 26 a 47% (placebo 23%); eventos adversos graves afetaram 4% com zenagamtida e ninguém com placebo</w:t>
      </w:r>
      <w:r>
        <w:rPr>
          <w:rStyle w:val="FootnoteReference"/>
        </w:rPr>
        <w:footnoteReference w:id="2873"/>
      </w:r>
      <w:r>
        <w:t xml:space="preserve">. O estudo de fase 3 AMAZE 9 testa o comprimido no sobrepeso com 950 participantes (NCT07720271, término em agosto de 2028). Um estudo de fase 1 investiga expressamente como a quantidade de água e o momento da refeição influenciam a absorção</w:t>
      </w:r>
      <w:r>
        <w:rPr>
          <w:rStyle w:val="FootnoteReference"/>
        </w:rPr>
        <w:footnoteReference w:id="2874"/>
      </w:r>
      <w:r>
        <w:t xml:space="preserve"> </w:t>
      </w:r>
      <w:r>
        <w:t xml:space="preserve">– um indício de que também esse comprimido deverá estar sujeito a regras de tomada.</w:t>
      </w:r>
    </w:p>
    <w:bookmarkEnd w:id="2875"/>
    <w:bookmarkStart w:id="2880" w:name="peptídeos-orais-fora-do-metabolismo"/>
    <w:p>
      <w:pPr>
        <w:pStyle w:val="Heading4"/>
      </w:pPr>
      <w:r>
        <w:t xml:space="preserve">Peptídeos orais fora do metabolismo</w:t>
      </w:r>
    </w:p>
    <w:p>
      <w:pPr>
        <w:pStyle w:val="FirstParagraph"/>
      </w:pPr>
      <w:r>
        <w:t xml:space="preserve">O avanço não se limita aos emagrecedores. Dois exemplos mostram que os peptídeos orais estão se tornando uma classe de medicamentos própria:</w:t>
      </w:r>
    </w:p>
    <w:p>
      <w:pPr>
        <w:numPr>
          <w:ilvl w:val="0"/>
          <w:numId w:val="1358"/>
        </w:numPr>
        <w:pStyle w:val="Compact"/>
      </w:pPr>
      <w:r>
        <w:t xml:space="preserve">A</w:t>
      </w:r>
      <w:r>
        <w:t xml:space="preserve"> </w:t>
      </w:r>
      <w:r>
        <w:rPr>
          <w:bCs/>
          <w:b/>
        </w:rPr>
        <w:t xml:space="preserve">enlicitida</w:t>
      </w:r>
      <w:r>
        <w:t xml:space="preserve"> </w:t>
      </w:r>
      <w:r>
        <w:t xml:space="preserve">é um peptídeo em forma de anel (macrocíclico) que inibe a proteína PCSK9 e, assim, reduz o colesterol LDL. Até agora, esses inibidores só existiam como injeção (anticorpos). A substância foi encontrada com um método que vasculha bibliotecas muito grandes de peptídeos em busca de parceiros de ligação adequados e, em seguida, otimizada quimicamente de forma direcionada</w:t>
      </w:r>
      <w:r>
        <w:rPr>
          <w:rStyle w:val="FootnoteReference"/>
        </w:rPr>
        <w:footnoteReference w:id="2876"/>
      </w:r>
      <w:r>
        <w:t xml:space="preserve">. No estudo de fase 3 CORALreef Lipids, com 2.909 participantes, o colesterol LDL caiu 57,1% após 24 semanas; com placebo, subiu 3,0%. Eventos adversos ocorreram com frequência semelhante nos dois grupos</w:t>
      </w:r>
      <w:r>
        <w:rPr>
          <w:rStyle w:val="FootnoteReference"/>
        </w:rPr>
        <w:footnoteReference w:id="2877"/>
      </w:r>
      <w:r>
        <w:t xml:space="preserve">. Se isso também previne infartos e AVCs deverá ser mostrado pelo CORALreef Outcomes, com 14.550 participantes (NCT06008756, término em novembro de 2031).</w:t>
      </w:r>
    </w:p>
    <w:p>
      <w:pPr>
        <w:numPr>
          <w:ilvl w:val="0"/>
          <w:numId w:val="1358"/>
        </w:numPr>
        <w:pStyle w:val="Compact"/>
      </w:pPr>
      <w:r>
        <w:t xml:space="preserve">O</w:t>
      </w:r>
      <w:r>
        <w:t xml:space="preserve"> </w:t>
      </w:r>
      <w:r>
        <w:rPr>
          <w:bCs/>
          <w:b/>
        </w:rPr>
        <w:t xml:space="preserve">icotrokinra</w:t>
      </w:r>
      <w:r>
        <w:t xml:space="preserve"> </w:t>
      </w:r>
      <w:r>
        <w:t xml:space="preserve">é um peptídeo oral que bloqueia o receptor do mensageiro inflamatório interleucina-23. No estudo de fase 3 ICONIC-LEAD, com 684 adultos e adolescentes com psoríase moderada a grave, 65% alcançaram após 16 semanas uma pele (quase) sem lesões, contra 8% com placebo; eventos adversos foram igualmente frequentes nos dois grupos (49%)</w:t>
      </w:r>
      <w:r>
        <w:rPr>
          <w:rStyle w:val="FootnoteReference"/>
        </w:rPr>
        <w:footnoteReference w:id="2878"/>
      </w:r>
      <w:r>
        <w:t xml:space="preserve">. Em março de 2026, o icotrokinra foi aprovado nos EUA; na UE, a avaliação estava em andamento (Keam 2026, PMID 42243571; verificar a situação atual). Notável é o caminho até lá: segundo uma investigação farmacológica, o icotrokinra dispensa intensificadores de absorção. Em experimentos com animais, apenas 0,1 a 0,3% chegaram ao sangue, e ainda assim um efeito em todo o corpo foi mensurável, porque o peptídeo é muito estável e muito potente</w:t>
      </w:r>
      <w:r>
        <w:rPr>
          <w:rStyle w:val="FootnoteReference"/>
        </w:rPr>
        <w:footnoteReference w:id="2879"/>
      </w:r>
      <w:r>
        <w:t xml:space="preserve">. Estudos na colite ulcerativa estão em andamento (ICONIC-UC, NCT07196748).</w:t>
      </w:r>
    </w:p>
    <w:p>
      <w:pPr>
        <w:pStyle w:val="FirstParagraph"/>
      </w:pPr>
      <w:r>
        <w:t xml:space="preserve">Nenhuma das duas substâncias é um peptídeo do mercado cinza; são moléculas projetadas de forma direcionada, testadas por anos em grandes estudos. Com os peptídeos</w:t>
      </w:r>
      <w:r>
        <w:t xml:space="preserve"> </w:t>
      </w:r>
      <w:r>
        <w:t xml:space="preserve">“</w:t>
      </w:r>
      <w:r>
        <w:t xml:space="preserve">orais</w:t>
      </w:r>
      <w:r>
        <w:t xml:space="preserve">”</w:t>
      </w:r>
      <w:r>
        <w:t xml:space="preserve"> </w:t>
      </w:r>
      <w:r>
        <w:t xml:space="preserve">oferecidos na internet, não têm nada em comum.</w:t>
      </w:r>
    </w:p>
    <w:bookmarkEnd w:id="2880"/>
    <w:bookmarkEnd w:id="2881"/>
    <w:bookmarkStart w:id="2890" w:name="Xb31955930a5c277ba557ec487dbe607dc894add"/>
    <w:p>
      <w:pPr>
        <w:pStyle w:val="Heading3"/>
      </w:pPr>
      <w:r>
        <w:t xml:space="preserve">Caminho 2: pequenas moléculas em vez de peptídeos</w:t>
      </w:r>
    </w:p>
    <w:bookmarkStart w:id="2887" w:name="orforglipron"/>
    <w:p>
      <w:pPr>
        <w:pStyle w:val="Heading4"/>
      </w:pPr>
      <w:r>
        <w:t xml:space="preserve">Orforglipron</w:t>
      </w:r>
    </w:p>
    <w:p>
      <w:pPr>
        <w:pStyle w:val="FirstParagraph"/>
      </w:pPr>
      <w:r>
        <w:t xml:space="preserve">A orforglipron não é um peptídeo, mas uma pequena molécula produzida quimicamente que ativa o receptor de GLP-1 (em detalhe no capítulo Orforglipron, na Parte II · A). Ela é tomada como um comprimido comum, uma vez ao dia, segundo os estudos sem levar em conta refeições ou quantidade de água</w:t>
      </w:r>
      <w:r>
        <w:rPr>
          <w:rStyle w:val="FootnoteReference"/>
        </w:rPr>
        <w:footnoteReference w:id="2882"/>
      </w:r>
      <w:r>
        <w:t xml:space="preserve">.</w:t>
      </w:r>
    </w:p>
    <w:p>
      <w:pPr>
        <w:numPr>
          <w:ilvl w:val="0"/>
          <w:numId w:val="1359"/>
        </w:numPr>
        <w:pStyle w:val="Compact"/>
      </w:pPr>
      <w:r>
        <w:rPr>
          <w:bCs/>
          <w:b/>
        </w:rPr>
        <w:t xml:space="preserve">Peso:</w:t>
      </w:r>
      <w:r>
        <w:t xml:space="preserve"> </w:t>
      </w:r>
      <w:r>
        <w:t xml:space="preserve">no ATTAIN-1, com 3.127 adultos com obesidade, o peso caiu após 72 semanas, na dose mais alta, 11,2%, com placebo 2,1%. Por efeitos colaterais, abandonaram 5,3 a 10,3% (placebo 2,7%)</w:t>
      </w:r>
      <w:r>
        <w:rPr>
          <w:rStyle w:val="FootnoteReference"/>
        </w:rPr>
        <w:footnoteReference w:id="2883"/>
      </w:r>
      <w:r>
        <w:t xml:space="preserve">.</w:t>
      </w:r>
    </w:p>
    <w:p>
      <w:pPr>
        <w:numPr>
          <w:ilvl w:val="0"/>
          <w:numId w:val="1359"/>
        </w:numPr>
        <w:pStyle w:val="Compact"/>
      </w:pPr>
      <w:r>
        <w:rPr>
          <w:bCs/>
          <w:b/>
        </w:rPr>
        <w:t xml:space="preserve">Glicemia:</w:t>
      </w:r>
      <w:r>
        <w:t xml:space="preserve"> </w:t>
      </w:r>
      <w:r>
        <w:t xml:space="preserve">na comparação aberta com o comprimido de semaglutida (ACHIEVE-3, 1.698 participantes), a orforglipron reduziu mais a HbA1c após 52 semanas, nas doses mais altas de cada um, 1,91 contra 1,47 ponto percentual</w:t>
      </w:r>
      <w:r>
        <w:rPr>
          <w:rStyle w:val="FootnoteReference"/>
        </w:rPr>
        <w:footnoteReference w:id="2884"/>
      </w:r>
      <w:r>
        <w:t xml:space="preserve">.</w:t>
      </w:r>
    </w:p>
    <w:p>
      <w:pPr>
        <w:numPr>
          <w:ilvl w:val="0"/>
          <w:numId w:val="1359"/>
        </w:numPr>
        <w:pStyle w:val="Compact"/>
      </w:pPr>
      <w:r>
        <w:rPr>
          <w:bCs/>
          <w:b/>
        </w:rPr>
        <w:t xml:space="preserve">Manter o peso:</w:t>
      </w:r>
      <w:r>
        <w:t xml:space="preserve"> </w:t>
      </w:r>
      <w:r>
        <w:t xml:space="preserve">no ATTAIN-MAINTAIN, participantes passaram, após uma perda de peso com tirzepatida ou semaglutida injetáveis, para orforglipron ou placebo. Após 52 semanas, mantiveram com orforglipron 74,7% e 79,3%, respectivamente, da sua perda de peso, com placebo 49,2% e 37,6%. Não houve um grupo que simplesmente continuasse recebendo a injeção; os próprios autores citam isso como limitação</w:t>
      </w:r>
      <w:r>
        <w:rPr>
          <w:rStyle w:val="FootnoteReference"/>
        </w:rPr>
        <w:footnoteReference w:id="2885"/>
      </w:r>
      <w:r>
        <w:t xml:space="preserve">.</w:t>
      </w:r>
    </w:p>
    <w:p>
      <w:pPr>
        <w:numPr>
          <w:ilvl w:val="0"/>
          <w:numId w:val="1359"/>
        </w:numPr>
        <w:pStyle w:val="Compact"/>
      </w:pPr>
      <w:r>
        <w:rPr>
          <w:bCs/>
          <w:b/>
        </w:rPr>
        <w:t xml:space="preserve">Fígado:</w:t>
      </w:r>
      <w:r>
        <w:t xml:space="preserve"> </w:t>
      </w:r>
      <w:r>
        <w:t xml:space="preserve">em pequenas moléculas de GLP-1, os valores hepáticos eram uma preocupação especial. Uma análise agrupada de sete estudos de fase 3 com 11.220 participantes não encontrou, para a orforglipron, nenhum caso que preenchesse os critérios de lesão hepática induzida por medicamento</w:t>
      </w:r>
      <w:r>
        <w:rPr>
          <w:rStyle w:val="FootnoteReference"/>
        </w:rPr>
        <w:footnoteReference w:id="2886"/>
      </w:r>
      <w:r>
        <w:t xml:space="preserve">.</w:t>
      </w:r>
    </w:p>
    <w:bookmarkEnd w:id="2887"/>
    <w:bookmarkStart w:id="2889" w:name="nem-toda-pequena-molécula-chega-lá"/>
    <w:p>
      <w:pPr>
        <w:pStyle w:val="Heading4"/>
      </w:pPr>
      <w:r>
        <w:t xml:space="preserve">Nem toda pequena molécula chega lá</w:t>
      </w:r>
    </w:p>
    <w:p>
      <w:pPr>
        <w:pStyle w:val="FirstParagraph"/>
      </w:pPr>
      <w:r>
        <w:t xml:space="preserve">Que o caminho é difícil mostra a</w:t>
      </w:r>
      <w:r>
        <w:t xml:space="preserve"> </w:t>
      </w:r>
      <w:r>
        <w:rPr>
          <w:bCs/>
          <w:b/>
        </w:rPr>
        <w:t xml:space="preserve">danugliprona</w:t>
      </w:r>
      <w:r>
        <w:t xml:space="preserve">, da Pfizer. Em um estudo de fase 2b com 628 adultos com obesidade, em que os comprimidos eram tomados duas vezes ao dia, o peso caiu, é verdade, bem mais do que com placebo, mas apenas 39,3% concluíram o tratamento; cerca de 38% abandonaram por efeitos colaterais</w:t>
      </w:r>
      <w:r>
        <w:rPr>
          <w:rStyle w:val="FootnoteReference"/>
        </w:rPr>
        <w:footnoteReference w:id="2888"/>
      </w:r>
      <w:r>
        <w:t xml:space="preserve">. Segundo comunicados do fabricante, o desenvolvimento foi interrompido. Outras empresas desenvolvem comprimidos próprios; a AstraZeneca, por exemplo, testa a substância elecogliprona em um estudo de fase 3 contra o comprimido de semaglutida (Eluminate-2, NCT07662213).</w:t>
      </w:r>
    </w:p>
    <w:bookmarkEnd w:id="2889"/>
    <w:bookmarkEnd w:id="2890"/>
    <w:bookmarkStart w:id="2892" w:name="X3e06df08970ee610d7bb862f8b8cd9b6bb59d2e"/>
    <w:p>
      <w:pPr>
        <w:pStyle w:val="Heading3"/>
      </w:pPr>
      <w:r>
        <w:t xml:space="preserve">Comprimido peptídico ou pequena molécula: uma comparação</w:t>
      </w:r>
    </w:p>
    <w:p>
      <w:pPr>
        <w:pStyle w:val="FirstParagraph"/>
      </w:pPr>
      <w:r>
        <w:t xml:space="preserve">Falta uma comparação direta do comprimido de semaglutida com a orforglipron na obesidade. Uma análise comparou as duas indiretamente, cotejando os dados individuais do OASIS 4 com os dados agregados publicados do ATTAIN-1. Segundo ela, a perda de peso com o comprimido de semaglutida foi cerca de 3 pontos percentuais maior, e abandonos por efeitos colaterais foram mais frequentes com orforglipron</w:t>
      </w:r>
      <w:r>
        <w:rPr>
          <w:rStyle w:val="FootnoteReference"/>
        </w:rPr>
        <w:footnoteReference w:id="2891"/>
      </w:r>
      <w:r>
        <w:t xml:space="preserve">. Essas comparações indiretas devem ser lidas com cautela: apenas para um dos dois estudos havia dados individuais disponíveis, e eram os do programa da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Injeção peptídica</w:t>
            </w:r>
          </w:p>
        </w:tc>
        <w:tc>
          <w:tcPr/>
          <w:p>
            <w:pPr>
              <w:pStyle w:val="Compact"/>
              <w:jc w:val="left"/>
            </w:pPr>
            <w:r>
              <w:t xml:space="preserve">Comprimido peptídico</w:t>
            </w:r>
          </w:p>
        </w:tc>
        <w:tc>
          <w:tcPr/>
          <w:p>
            <w:pPr>
              <w:pStyle w:val="Compact"/>
              <w:jc w:val="left"/>
            </w:pPr>
            <w:r>
              <w:t xml:space="preserve">Pequena molécula</w:t>
            </w:r>
          </w:p>
        </w:tc>
      </w:tr>
      <w:tr>
        <w:tc>
          <w:tcPr/>
          <w:p>
            <w:pPr>
              <w:pStyle w:val="Compact"/>
              <w:jc w:val="left"/>
            </w:pPr>
            <w:r>
              <w:t xml:space="preserve">Exemplo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Tomada</w:t>
            </w:r>
          </w:p>
        </w:tc>
        <w:tc>
          <w:tcPr/>
          <w:p>
            <w:pPr>
              <w:pStyle w:val="Compact"/>
              <w:jc w:val="left"/>
            </w:pPr>
            <w:r>
              <w:t xml:space="preserve">semanal a mensal</w:t>
            </w:r>
          </w:p>
        </w:tc>
        <w:tc>
          <w:tcPr/>
          <w:p>
            <w:pPr>
              <w:pStyle w:val="Compact"/>
              <w:jc w:val="left"/>
            </w:pPr>
            <w:r>
              <w:t xml:space="preserve">diária, em jejum, com regras de tomada</w:t>
            </w:r>
          </w:p>
        </w:tc>
        <w:tc>
          <w:tcPr/>
          <w:p>
            <w:pPr>
              <w:pStyle w:val="Compact"/>
              <w:jc w:val="left"/>
            </w:pPr>
            <w:r>
              <w:t xml:space="preserve">diária, sem regras alimentares</w:t>
            </w:r>
          </w:p>
        </w:tc>
      </w:tr>
      <w:tr>
        <w:tc>
          <w:tcPr/>
          <w:p>
            <w:pPr>
              <w:pStyle w:val="Compact"/>
              <w:jc w:val="left"/>
            </w:pPr>
            <w:r>
              <w:t xml:space="preserve">Necessidade de substância</w:t>
            </w:r>
          </w:p>
        </w:tc>
        <w:tc>
          <w:tcPr/>
          <w:p>
            <w:pPr>
              <w:pStyle w:val="Compact"/>
              <w:jc w:val="left"/>
            </w:pPr>
            <w:r>
              <w:t xml:space="preserve">baixa</w:t>
            </w:r>
          </w:p>
        </w:tc>
        <w:tc>
          <w:tcPr/>
          <w:p>
            <w:pPr>
              <w:pStyle w:val="Compact"/>
              <w:jc w:val="left"/>
            </w:pPr>
            <w:r>
              <w:t xml:space="preserve">muito alta (absorção de cerca de 1%)</w:t>
            </w:r>
          </w:p>
        </w:tc>
        <w:tc>
          <w:tcPr/>
          <w:p>
            <w:pPr>
              <w:pStyle w:val="Compact"/>
              <w:jc w:val="left"/>
            </w:pPr>
            <w:r>
              <w:t xml:space="preserve">normal para comprimidos</w:t>
            </w:r>
          </w:p>
        </w:tc>
      </w:tr>
      <w:tr>
        <w:tc>
          <w:tcPr/>
          <w:p>
            <w:pPr>
              <w:pStyle w:val="Compact"/>
              <w:jc w:val="left"/>
            </w:pPr>
            <w:r>
              <w:t xml:space="preserve">Perda de peso nos estudos</w:t>
            </w:r>
          </w:p>
        </w:tc>
        <w:tc>
          <w:tcPr/>
          <w:p>
            <w:pPr>
              <w:pStyle w:val="Compact"/>
              <w:jc w:val="left"/>
            </w:pPr>
            <w:r>
              <w:t xml:space="preserve">a mais alta</w:t>
            </w:r>
          </w:p>
        </w:tc>
        <w:tc>
          <w:tcPr/>
          <w:p>
            <w:pPr>
              <w:pStyle w:val="Compact"/>
              <w:jc w:val="left"/>
            </w:pPr>
            <w:r>
              <w:t xml:space="preserve">semelhante à da injeção de semaglutida</w:t>
            </w:r>
          </w:p>
        </w:tc>
        <w:tc>
          <w:tcPr/>
          <w:p>
            <w:pPr>
              <w:pStyle w:val="Compact"/>
              <w:jc w:val="left"/>
            </w:pPr>
            <w:r>
              <w:t xml:space="preserve">um pouco menor</w:t>
            </w:r>
          </w:p>
        </w:tc>
      </w:tr>
      <w:tr>
        <w:tc>
          <w:tcPr/>
          <w:p>
            <w:pPr>
              <w:pStyle w:val="Compact"/>
              <w:jc w:val="left"/>
            </w:pPr>
            <w:r>
              <w:t xml:space="preserve">Degradação, interações</w:t>
            </w:r>
          </w:p>
        </w:tc>
        <w:tc>
          <w:tcPr/>
          <w:p>
            <w:pPr>
              <w:pStyle w:val="Compact"/>
              <w:jc w:val="left"/>
            </w:pPr>
            <w:r>
              <w:t xml:space="preserve">como proteína, quase sem interações</w:t>
            </w:r>
          </w:p>
        </w:tc>
        <w:tc>
          <w:tcPr/>
          <w:p>
            <w:pPr>
              <w:pStyle w:val="Compact"/>
              <w:jc w:val="left"/>
            </w:pPr>
            <w:r>
              <w:t xml:space="preserve">como proteína</w:t>
            </w:r>
          </w:p>
        </w:tc>
        <w:tc>
          <w:tcPr/>
          <w:p>
            <w:pPr>
              <w:pStyle w:val="Compact"/>
              <w:jc w:val="left"/>
            </w:pPr>
            <w:r>
              <w:t xml:space="preserve">por enzimas hepáticas, interações possíveis</w:t>
            </w:r>
          </w:p>
        </w:tc>
      </w:tr>
      <w:tr>
        <w:tc>
          <w:tcPr/>
          <w:p>
            <w:pPr>
              <w:pStyle w:val="Compact"/>
              <w:jc w:val="left"/>
            </w:pPr>
            <w:r>
              <w:t xml:space="preserve">Desfechos duros</w:t>
            </w:r>
          </w:p>
        </w:tc>
        <w:tc>
          <w:tcPr/>
          <w:p>
            <w:pPr>
              <w:pStyle w:val="Compact"/>
              <w:jc w:val="left"/>
            </w:pPr>
            <w:r>
              <w:t xml:space="preserve">comprovados para várias substâncias</w:t>
            </w:r>
          </w:p>
        </w:tc>
        <w:tc>
          <w:tcPr/>
          <w:p>
            <w:pPr>
              <w:pStyle w:val="Compact"/>
              <w:jc w:val="left"/>
            </w:pPr>
            <w:r>
              <w:t xml:space="preserve">comprovados no diabetes tipo 2 (SOUL)</w:t>
            </w:r>
          </w:p>
        </w:tc>
        <w:tc>
          <w:tcPr/>
          <w:p>
            <w:pPr>
              <w:pStyle w:val="Compact"/>
              <w:jc w:val="left"/>
            </w:pPr>
            <w:r>
              <w:t xml:space="preserve">estudo de desfechos em andamento até 2031</w:t>
            </w:r>
          </w:p>
        </w:tc>
      </w:tr>
    </w:tbl>
    <w:p>
      <w:pPr>
        <w:pStyle w:val="BodyText"/>
      </w:pPr>
      <w:r>
        <w:t xml:space="preserve">O ponto</w:t>
      </w:r>
      <w:r>
        <w:t xml:space="preserve"> </w:t>
      </w:r>
      <w:r>
        <w:t xml:space="preserve">“</w:t>
      </w:r>
      <w:r>
        <w:t xml:space="preserve">interações</w:t>
      </w:r>
      <w:r>
        <w:t xml:space="preserve">”</w:t>
      </w:r>
      <w:r>
        <w:t xml:space="preserve"> </w:t>
      </w:r>
      <w:r>
        <w:t xml:space="preserve">merece uma explicação: peptídeos são degradados no corpo como outras proteínas. Pequenas moléculas como a orforglipron, por outro lado, são metabolizadas por enzimas hepáticas, pelas quais passam também muitos outros medicamentos. Por isso, foram realizados numerosos estudos de interação para a orforglipron (ver capítulo Orforglipron).</w:t>
      </w:r>
    </w:p>
    <w:bookmarkEnd w:id="2892"/>
    <w:bookmarkStart w:id="2898" w:name="questões-em-aberto"/>
    <w:p>
      <w:pPr>
        <w:pStyle w:val="Heading3"/>
      </w:pPr>
      <w:r>
        <w:t xml:space="preserve">Questões em aberto</w:t>
      </w:r>
    </w:p>
    <w:p>
      <w:pPr>
        <w:pStyle w:val="FirstParagraph"/>
      </w:pPr>
      <w:r>
        <w:rPr>
          <w:bCs/>
          <w:b/>
        </w:rPr>
        <w:t xml:space="preserve">Toma-se um comprimido diário com mais regularidade do que uma injeção semanal?</w:t>
      </w:r>
      <w:r>
        <w:t xml:space="preserve"> </w:t>
      </w:r>
      <w:r>
        <w:t xml:space="preserve">Isso não está de forma alguma decidido. Quem troca uma injeção por semana por sete comprimidos tem sete oportunidades por semana de esquecer uma dose. No comprimido de semaglutida, soma-se que uma refeição cedo demais pode praticamente impedir a absorção</w:t>
      </w:r>
      <w:r>
        <w:rPr>
          <w:rStyle w:val="FootnoteReference"/>
        </w:rPr>
        <w:footnoteReference w:id="2893"/>
      </w:r>
      <w:r>
        <w:t xml:space="preserve">. Como isso afeta o efeito no dia a dia, os estudos de aprovação, com seus participantes acompanhados de perto, não mostram.</w:t>
      </w:r>
    </w:p>
    <w:p>
      <w:pPr>
        <w:pStyle w:val="BodyText"/>
      </w:pPr>
      <w:r>
        <w:rPr>
          <w:bCs/>
          <w:b/>
        </w:rPr>
        <w:t xml:space="preserve">Há desfechos duros para comprimidos na obesidade?</w:t>
      </w:r>
      <w:r>
        <w:t xml:space="preserve"> </w:t>
      </w:r>
      <w:r>
        <w:t xml:space="preserve">Ainda não. O SOUL envolveu pessoas com diabetes tipo 2. O estudo cardiovascular com orforglipron vai até 2031</w:t>
      </w:r>
      <w:r>
        <w:rPr>
          <w:rStyle w:val="FootnoteReference"/>
        </w:rPr>
        <w:footnoteReference w:id="2894"/>
      </w:r>
      <w:r>
        <w:t xml:space="preserve">, e a orforglipron está sendo testada até em pessoas com sobrepeso, para impedir a progressão para obesidade ou para doenças decorrentes (ATTAIN-NOW, NCT07794579, 2.001 participantes, término em setembro de 2030).</w:t>
      </w:r>
    </w:p>
    <w:p>
      <w:pPr>
        <w:pStyle w:val="BodyText"/>
      </w:pPr>
      <w:r>
        <w:rPr>
          <w:bCs/>
          <w:b/>
        </w:rPr>
        <w:t xml:space="preserve">O comprimido é o recurso para a manutenção?</w:t>
      </w:r>
      <w:r>
        <w:t xml:space="preserve"> </w:t>
      </w:r>
      <w:r>
        <w:t xml:space="preserve">O ATTAIN-MAINTAIN sugere que a troca da injeção por um comprimido pode manter grande parte da perda de peso. Se isso é tão bom quanto continuar com a injeção não foi testado.</w:t>
      </w:r>
    </w:p>
    <w:p>
      <w:pPr>
        <w:pStyle w:val="BodyText"/>
      </w:pPr>
      <w:r>
        <w:rPr>
          <w:bCs/>
          <w:b/>
        </w:rPr>
        <w:t xml:space="preserve">Os comprimidos ficarão mais baratos?</w:t>
      </w:r>
      <w:r>
        <w:t xml:space="preserve"> </w:t>
      </w:r>
      <w:r>
        <w:t xml:space="preserve">Para pequenas moléculas, isso é plausível, porque são produzidas com procedimentos padrão da química. Para comprimidos peptídicos, a estimativa de custos aponta antes no sentido contrário, porque eles precisam de muito mais substância</w:t>
      </w:r>
      <w:r>
        <w:rPr>
          <w:rStyle w:val="FootnoteReference"/>
        </w:rPr>
        <w:footnoteReference w:id="2895"/>
      </w:r>
      <w:r>
        <w:t xml:space="preserve">. Preços concretos na Europa estão em aberto.</w:t>
      </w:r>
    </w:p>
    <w:p>
      <w:pPr>
        <w:pStyle w:val="BodyText"/>
      </w:pPr>
      <w:r>
        <w:rPr>
          <w:bCs/>
          <w:b/>
        </w:rPr>
        <w:t xml:space="preserve">E as gotas, comprimidos orodispersíveis e sprays nasais da internet?</w:t>
      </w:r>
      <w:r>
        <w:t xml:space="preserve"> </w:t>
      </w:r>
      <w:r>
        <w:t xml:space="preserve">Aqui, cautela é recomendável. Uma investigação de preparações magistrais produzidas nos EUA encontrou preparações de semaglutida ou tirzepatida para uso sublingual e como comprimidos orodispersíveis, para as quais não há evidências de eficácia e segurança</w:t>
      </w:r>
      <w:r>
        <w:rPr>
          <w:rStyle w:val="FootnoteReference"/>
        </w:rPr>
        <w:footnoteReference w:id="2896"/>
      </w:r>
      <w:r>
        <w:t xml:space="preserve">. Cópias de semaglutida oral continham, em uma análise laboratorial, em parte bem menos substância do que o declarado e liberavam a substância e o SNAC de forma diferente do original</w:t>
      </w:r>
      <w:r>
        <w:rPr>
          <w:rStyle w:val="FootnoteReference"/>
        </w:rPr>
        <w:footnoteReference w:id="2897"/>
      </w:r>
      <w:r>
        <w:t xml:space="preserve">. Um peptídeo vendido</w:t>
      </w:r>
      <w:r>
        <w:t xml:space="preserve"> </w:t>
      </w:r>
      <w:r>
        <w:t xml:space="preserve">“</w:t>
      </w:r>
      <w:r>
        <w:t xml:space="preserve">em comprimido</w:t>
      </w:r>
      <w:r>
        <w:t xml:space="preserve">”</w:t>
      </w:r>
      <w:r>
        <w:t xml:space="preserve"> </w:t>
      </w:r>
      <w:r>
        <w:t xml:space="preserve">dificilmente é absorvido sem uma formulação testada – isso vale para a semaglutida tanto quanto para o BPC-157 ou outros peptídeos do mercado cinza.</w:t>
      </w:r>
    </w:p>
    <w:bookmarkEnd w:id="2898"/>
    <w:bookmarkStart w:id="2899" w:name="avaliação-do-autor"/>
    <w:p>
      <w:pPr>
        <w:pStyle w:val="Heading3"/>
      </w:pPr>
      <w:r>
        <w:t xml:space="preserve">Avaliação do autor</w:t>
      </w:r>
    </w:p>
    <w:p>
      <w:pPr>
        <w:pStyle w:val="FirstParagraph"/>
      </w:pPr>
      <w:r>
        <w:t xml:space="preserve">A injeção não vai desaparecer, mas seu monopólio acabou. Para a fase de perda de peso intensa, as substâncias injetáveis devem continuar à frente nos próximos anos, porque são as que mais produzem efeito nos estudos e os dados cardiovasculares até agora existem quase exclusivamente para elas. Para a manutenção ao longo de anos, para pessoas com medo de agulhas e para países sem cadeia de frio confiável, os comprimidos, por outro lado, são um avanço real. Se vão se impor mais os comprimidos peptídicos ou as pequenas moléculas será decidido menos pelo efeito do que pelo preço, pela comodidade de uso e pela segurança a longo prazo. Isso é uma avaliação; assegurado é apenas que os dois caminhos estão sendo testados em grandes estudos de fase 3.</w:t>
      </w:r>
    </w:p>
    <w:bookmarkEnd w:id="2899"/>
    <w:bookmarkStart w:id="2900" w:name="o-essencial-em-resumo-9"/>
    <w:p>
      <w:pPr>
        <w:pStyle w:val="Heading3"/>
      </w:pPr>
      <w:r>
        <w:t xml:space="preserve">O essencial em resumo</w:t>
      </w:r>
    </w:p>
    <w:p>
      <w:pPr>
        <w:numPr>
          <w:ilvl w:val="0"/>
          <w:numId w:val="1360"/>
        </w:numPr>
        <w:pStyle w:val="Compact"/>
      </w:pPr>
      <w:r>
        <w:t xml:space="preserve">Peptídeos em comprimido só funcionam com grande esforço técnico. No comprimido de semaglutida, cerca de 1% da substância chega ao sangue; mesmo assim, ele alcança nos estudos perdas de peso semelhantes às da injeção.</w:t>
      </w:r>
    </w:p>
    <w:p>
      <w:pPr>
        <w:numPr>
          <w:ilvl w:val="0"/>
          <w:numId w:val="1360"/>
        </w:numPr>
        <w:pStyle w:val="Compact"/>
      </w:pPr>
      <w:r>
        <w:t xml:space="preserve">Pequenas moléculas como a orforglipron contornam o problema, mas produziram nos estudos um pouco menos de perda de peso e são degradadas por enzimas hepáticas.</w:t>
      </w:r>
    </w:p>
    <w:p>
      <w:pPr>
        <w:numPr>
          <w:ilvl w:val="0"/>
          <w:numId w:val="1360"/>
        </w:numPr>
        <w:pStyle w:val="Compact"/>
      </w:pPr>
      <w:r>
        <w:t xml:space="preserve">Peptídeos orais estão se tornando uma classe de medicamentos própria também fora do metabolismo, por exemplo contra o colesterol alto (enlicitida) e a psoríase (icotrokinra).</w:t>
      </w:r>
    </w:p>
    <w:p>
      <w:pPr>
        <w:numPr>
          <w:ilvl w:val="0"/>
          <w:numId w:val="1360"/>
        </w:numPr>
        <w:pStyle w:val="Compact"/>
      </w:pPr>
      <w:r>
        <w:t xml:space="preserve">Em aberto estão os dados de longo prazo, os desfechos duros na obesidade, a adesão ao tratamento no dia a dia e os preços.</w:t>
      </w:r>
    </w:p>
    <w:p>
      <w:pPr>
        <w:numPr>
          <w:ilvl w:val="0"/>
          <w:numId w:val="1360"/>
        </w:numPr>
        <w:pStyle w:val="Compact"/>
      </w:pPr>
      <w:r>
        <w:t xml:space="preserve">Medicamentos devem ser usados apenas com acompanhamento médico e conforme a bula profissional; peptídeos</w:t>
      </w:r>
      <w:r>
        <w:t xml:space="preserve"> </w:t>
      </w:r>
      <w:r>
        <w:t xml:space="preserve">“</w:t>
      </w:r>
      <w:r>
        <w:t xml:space="preserve">orais</w:t>
      </w:r>
      <w:r>
        <w:t xml:space="preserve">”</w:t>
      </w:r>
      <w:r>
        <w:t xml:space="preserve"> </w:t>
      </w:r>
      <w:r>
        <w:t xml:space="preserve">do mercado cinza não têm nada a ver com esses desenvolvimentos.</w:t>
      </w:r>
    </w:p>
    <w:bookmarkEnd w:id="2900"/>
    <w:bookmarkEnd w:id="2901"/>
    <w:bookmarkStart w:id="2928" w:name="patentes-genéricos-e-preços"/>
    <w:p>
      <w:pPr>
        <w:pStyle w:val="Heading2"/>
      </w:pPr>
      <w:r>
        <w:t xml:space="preserve">Patentes, genéricos e preços</w:t>
      </w:r>
    </w:p>
    <w:p>
      <w:pPr>
        <w:pStyle w:val="FirstParagraph"/>
      </w:pPr>
      <w:r>
        <w:t xml:space="preserve">Se um medicamento funciona é decidido pelos estudos. Se ele chega às pessoas é decidido por patentes, preços, cadeias de suprimento e planos de saúde. Nos medicamentos de GLP-1, essa segunda parte da história é quase tão dramática quanto a primeira: falta de abastecimento, um mercado de cópias de farmácias nos EUA, falsificações no mundo todo – e, em 2026, a expiração das primeiras patentes de semaglutida em grandes países.</w:t>
      </w:r>
    </w:p>
    <w:p>
      <w:pPr>
        <w:pStyle w:val="BodyText"/>
      </w:pPr>
      <w:r>
        <w:rPr>
          <w:bCs/>
          <w:b/>
        </w:rPr>
        <w:t xml:space="preserve">Uma observação importante antes de tudo:</w:t>
      </w:r>
      <w:r>
        <w:t xml:space="preserve"> </w:t>
      </w:r>
      <w:r>
        <w:t xml:space="preserve">preços, prazos de patentes e regras de reembolso mudam rapidamente e só estão parcialmente documentados em trabalhos científicos. Onde este capítulo faz afirmações sem comprovação em estudos, elas estão identificadas com</w:t>
      </w:r>
      <w:r>
        <w:t xml:space="preserve"> </w:t>
      </w:r>
      <w:r>
        <w:t xml:space="preserve">“</w:t>
      </w:r>
      <w:r>
        <w:t xml:space="preserve">situação em 2026, verificar</w:t>
      </w:r>
      <w:r>
        <w:t xml:space="preserve">”</w:t>
      </w:r>
      <w:r>
        <w:t xml:space="preserve">. Preços concretos em euros deliberadamente não são citados, porque variam conforme o país, a embalagem e o momento.</w:t>
      </w:r>
    </w:p>
    <w:bookmarkStart w:id="2903" w:name="Xd6cf4ff6e7c5ffbdcdd9d6afed4f7753b80bbc3"/>
    <w:p>
      <w:pPr>
        <w:pStyle w:val="Heading3"/>
      </w:pPr>
      <w:r>
        <w:t xml:space="preserve">Patentes, genéricos e biossimilares: os conceitos</w:t>
      </w:r>
    </w:p>
    <w:p>
      <w:pPr>
        <w:pStyle w:val="FirstParagraph"/>
      </w:pPr>
      <w:r>
        <w:t xml:space="preserve">Uma</w:t>
      </w:r>
      <w:r>
        <w:t xml:space="preserve"> </w:t>
      </w:r>
      <w:r>
        <w:rPr>
          <w:bCs/>
          <w:b/>
        </w:rPr>
        <w:t xml:space="preserve">patente</w:t>
      </w:r>
      <w:r>
        <w:t xml:space="preserve"> </w:t>
      </w:r>
      <w:r>
        <w:t xml:space="preserve">dá ao fabricante, por um tempo limitado, o direito exclusivo de vender uma substância. Na UE e nos EUA, o prazo básico é de 20 anos a partir do depósito; como o desenvolvimento leva muitos anos, ele pode ser prorrogado em até cinco anos para medicamentos por meio de um certificado complementar de proteção. Além da patente da própria substância, há frequentemente outras patentes sobre processos de fabricação, formas farmacêuticas ou canetas.</w:t>
      </w:r>
    </w:p>
    <w:p>
      <w:pPr>
        <w:pStyle w:val="BodyText"/>
      </w:pPr>
      <w:r>
        <w:t xml:space="preserve">Após o fim da proteção, outros fabricantes podem oferecer cópias:</w:t>
      </w:r>
    </w:p>
    <w:p>
      <w:pPr>
        <w:numPr>
          <w:ilvl w:val="0"/>
          <w:numId w:val="1361"/>
        </w:numPr>
        <w:pStyle w:val="Compact"/>
      </w:pPr>
      <w:r>
        <w:rPr>
          <w:bCs/>
          <w:b/>
        </w:rPr>
        <w:t xml:space="preserve">Genéricos</w:t>
      </w:r>
      <w:r>
        <w:t xml:space="preserve"> </w:t>
      </w:r>
      <w:r>
        <w:t xml:space="preserve">são cópias de substâncias produzidas quimicamente. Precisam demonstrar que contêm a mesma substância e que ela tem a mesma disponibilidade no corpo; novos grandes estudos de eficácia não são necessários.</w:t>
      </w:r>
    </w:p>
    <w:p>
      <w:pPr>
        <w:numPr>
          <w:ilvl w:val="0"/>
          <w:numId w:val="1361"/>
        </w:numPr>
        <w:pStyle w:val="Compact"/>
      </w:pPr>
      <w:r>
        <w:rPr>
          <w:bCs/>
          <w:b/>
        </w:rPr>
        <w:t xml:space="preserve">Biossimilares</w:t>
      </w:r>
      <w:r>
        <w:t xml:space="preserve"> </w:t>
      </w:r>
      <w:r>
        <w:t xml:space="preserve">são sucessores de substâncias produzidas biologicamente, como anticorpos ou proteínas de fusão. Como a produção biológica nunca fornece moléculas totalmente idênticas, sua aprovação é mais trabalhosa.</w:t>
      </w:r>
    </w:p>
    <w:p>
      <w:pPr>
        <w:pStyle w:val="FirstParagraph"/>
      </w:pPr>
      <w:r>
        <w:t xml:space="preserve">Peptídeos curtos como a liraglutida ou a semaglutida ficam no meio: podem ser produzidos por engenharia genética ou quimicamente. Isso tem consequências práticas. Uma análise laboratorial comparou 16 cópias injetáveis e 8 orais de semaglutida, bem como 2 cópias de liraglutida, com os originais. Encontrou novas impurezas, em vários comprimidos de semaglutida bem menos substância do que o declarado e, na liraglutida, uma tendência maior à agregação</w:t>
      </w:r>
      <w:r>
        <w:rPr>
          <w:rStyle w:val="FootnoteReference"/>
        </w:rPr>
        <w:footnoteReference w:id="2902"/>
      </w:r>
      <w:r>
        <w:t xml:space="preserve">. Se as diferenças têm significado clínico é, segundo os autores, desconhecido. Mas a análise mostra por que as autoridades examinam com atenção as cópias de peptídeos.</w:t>
      </w:r>
    </w:p>
    <w:bookmarkEnd w:id="2903"/>
    <w:bookmarkStart w:id="2905" w:name="liraglutida-o-primeiro-genérico-de-glp-1"/>
    <w:p>
      <w:pPr>
        <w:pStyle w:val="Heading3"/>
      </w:pPr>
      <w:r>
        <w:t xml:space="preserve">Liraglutida: o primeiro genérico de GLP-1</w:t>
      </w:r>
    </w:p>
    <w:p>
      <w:pPr>
        <w:pStyle w:val="FirstParagraph"/>
      </w:pPr>
      <w:r>
        <w:t xml:space="preserve">A liraglutida é a primeira substância de GLP-1 cuja proteção expirou em grandes mercados. Nos EUA, há desde 2024 genéricos da forma para diabetes (Victoza) e desde 2025 também da forma para obesidade (Saxenda) no mercado. Na Europa, cópias vêm sendo acrescentadas aos poucos; a situação difere conforme o país (ver capítulo Liraglutida).</w:t>
      </w:r>
    </w:p>
    <w:p>
      <w:pPr>
        <w:pStyle w:val="BodyText"/>
      </w:pPr>
      <w:r>
        <w:t xml:space="preserve">Para o abastecimento, isso tem dois lados. Por um lado, uma substância com benefício cardiovascular comprovado no diabetes tipo 2 fica mais barata. Por outro, a liraglutida precisa ser injetada diariamente e age bem menos sobre o peso do que a semaglutida: no STEP 8, o peso caiu em média 15,8% com semaglutida semanal e 6,4% com liraglutida diária; pelo menos um quinto do peso foi perdido por 38,5% contra 6,0%</w:t>
      </w:r>
      <w:r>
        <w:rPr>
          <w:rStyle w:val="FootnoteReference"/>
        </w:rPr>
        <w:footnoteReference w:id="2904"/>
      </w:r>
      <w:r>
        <w:t xml:space="preserve">. Para pessoas que não podem pagar o medicamento mais novo, um medicamento mais antigo e barato pode ainda assim ser a melhor escolha do que nenhum.</w:t>
      </w:r>
    </w:p>
    <w:bookmarkEnd w:id="2905"/>
    <w:bookmarkStart w:id="2910" w:name="semaglutida-2026-como-ano-de-virada"/>
    <w:p>
      <w:pPr>
        <w:pStyle w:val="Heading3"/>
      </w:pPr>
      <w:r>
        <w:t xml:space="preserve">Semaglutida: 2026 como ano de virada</w:t>
      </w:r>
    </w:p>
    <w:p>
      <w:pPr>
        <w:pStyle w:val="FirstParagraph"/>
      </w:pPr>
      <w:r>
        <w:t xml:space="preserve">Para a semaglutida, as patentes expiram em 2026 em vários grandes países fora da UE e dos EUA, entre eles, segundo o capítulo Semaglutida, Canadá, China, Índia e Brasil. Uma análise de bancos de dados de patentes chegou ao seguinte quadro</w:t>
      </w:r>
      <w:r>
        <w:rPr>
          <w:rStyle w:val="FootnoteReference"/>
        </w:rPr>
        <w:footnoteReference w:id="2906"/>
      </w:r>
      <w:r>
        <w:t xml:space="preserve">:</w:t>
      </w:r>
    </w:p>
    <w:p>
      <w:pPr>
        <w:numPr>
          <w:ilvl w:val="0"/>
          <w:numId w:val="1362"/>
        </w:numPr>
        <w:pStyle w:val="Compact"/>
      </w:pPr>
      <w:r>
        <w:t xml:space="preserve">Em doze países, a proteção patentária termina em 2026. Neles vivem 47% das pessoas com obesidade e 49% das pessoas com diabetes tipo 2 no mundo.</w:t>
      </w:r>
    </w:p>
    <w:p>
      <w:pPr>
        <w:numPr>
          <w:ilvl w:val="0"/>
          <w:numId w:val="1362"/>
        </w:numPr>
        <w:pStyle w:val="Compact"/>
      </w:pPr>
      <w:r>
        <w:t xml:space="preserve">Em 150 outros países, os autores não encontraram nenhum depósito de patente.</w:t>
      </w:r>
    </w:p>
    <w:p>
      <w:pPr>
        <w:numPr>
          <w:ilvl w:val="0"/>
          <w:numId w:val="1362"/>
        </w:numPr>
        <w:pStyle w:val="Compact"/>
      </w:pPr>
      <w:r>
        <w:t xml:space="preserve">Até o final de 2026, cópias injetáveis de semaglutida poderiam, assim, estar disponíveis em 162 países, nos quais vivem 69% das pessoas com diabetes tipo 2 e 84% das pessoas com obesidade clínica.</w:t>
      </w:r>
    </w:p>
    <w:p>
      <w:pPr>
        <w:numPr>
          <w:ilvl w:val="0"/>
          <w:numId w:val="1362"/>
        </w:numPr>
        <w:pStyle w:val="Compact"/>
      </w:pPr>
      <w:r>
        <w:t xml:space="preserve">A partir de dados sobre remessas de substância ativa da Índia, estimaram os custos de produção: um ano de semaglutida injetável poderia ser oferecido como genérico por 28 a 140 dólares americanos por pessoa, o comprimido por 186 a 380 dólares americanos. A caneta representava uma parte desproporcionalmente grande dos custos.</w:t>
      </w:r>
    </w:p>
    <w:p>
      <w:pPr>
        <w:pStyle w:val="FirstParagraph"/>
      </w:pPr>
      <w:r>
        <w:t xml:space="preserve">Os próprios autores ressaltam que os custos da caneta, outras patentes e sistemas de saúde frágeis podem, mesmo assim, limitar o acesso. Quanto os genéricos podem baixar os preços mostra uma análise da Índia: ali, os preços de inibidores do SGLT2 e de agonistas do receptor de GLP-1 caíram cerca de 60 a 90% após a expiração da patente. Entre preços de genéricos indianos e preços de tabela norte-americanos, os autores encontraram diferenças de 15 a 65 vezes. Mas apontam também que genéricos de diferentes fabricantes podem diferir em qualidade e em absorção no corpo</w:t>
      </w:r>
      <w:r>
        <w:rPr>
          <w:rStyle w:val="FootnoteReference"/>
        </w:rPr>
        <w:footnoteReference w:id="2907"/>
      </w:r>
      <w:r>
        <w:t xml:space="preserve">.</w:t>
      </w:r>
    </w:p>
    <w:p>
      <w:pPr>
        <w:pStyle w:val="BodyText"/>
      </w:pPr>
      <w:r>
        <w:rPr>
          <w:bCs/>
          <w:b/>
        </w:rPr>
        <w:t xml:space="preserve">Na UE e nos EUA,</w:t>
      </w:r>
      <w:r>
        <w:t xml:space="preserve"> </w:t>
      </w:r>
      <w:r>
        <w:t xml:space="preserve">genéricos de semaglutida só são esperados por volta de 2031/2032. Para leitores na Áustria e na Alemanha, isso significa: um genérico de semaglutida vendido legalmente no Canadá ou na Índia não é ali um medicamento aprovado. As regras de importação para uso pessoal são estritas (ver capítulo</w:t>
      </w:r>
      <w:r>
        <w:t xml:space="preserve"> </w:t>
      </w:r>
      <w:r>
        <w:t xml:space="preserve">“</w:t>
      </w:r>
      <w:r>
        <w:t xml:space="preserve">Marco legal</w:t>
      </w:r>
      <w:r>
        <w:t xml:space="preserve">”</w:t>
      </w:r>
      <w:r>
        <w:t xml:space="preserve"> </w:t>
      </w:r>
      <w:r>
        <w:t xml:space="preserve">na Parte I), e ofertas online que invocam esses genéricos são uma porta de entrada típica para falsificações (ver capítulo</w:t>
      </w:r>
      <w:r>
        <w:t xml:space="preserve"> </w:t>
      </w:r>
      <w:r>
        <w:t xml:space="preserve">“</w:t>
      </w:r>
      <w:r>
        <w:t xml:space="preserve">O mercado cinza</w:t>
      </w:r>
      <w:r>
        <w:t xml:space="preserve">”</w:t>
      </w:r>
      <w:r>
        <w:t xml:space="preserve">).</w:t>
      </w:r>
    </w:p>
    <w:p>
      <w:pPr>
        <w:pStyle w:val="BodyText"/>
      </w:pPr>
      <w:r>
        <w:rPr>
          <w:bCs/>
          <w:b/>
        </w:rPr>
        <w:t xml:space="preserve">Um sinal político:</w:t>
      </w:r>
      <w:r>
        <w:t xml:space="preserve"> </w:t>
      </w:r>
      <w:r>
        <w:t xml:space="preserve">a Organização Mundial da Saúde incluiu semaglutida, liraglutida, dulaglutida e tirzepatida em setembro de 2025 em sua lista de medicamentos essenciais. Uma análise vê nisso um passo que deve facilitar negociações de preço e o desenvolvimento de genéricos em países de baixa e média renda; ao mesmo tempo, cita a falta de recursos, a infraestrutura frágil e o risco de uso acrítico como obstáculos</w:t>
      </w:r>
      <w:r>
        <w:rPr>
          <w:rStyle w:val="FootnoteReference"/>
        </w:rPr>
        <w:footnoteReference w:id="2908"/>
      </w:r>
      <w:r>
        <w:t xml:space="preserve">. Em sua primeira diretriz sobre terapias com GLP-1 na obesidade, a OMS faz uma recomendação condicional para o tratamento de longo prazo junto com terapia comportamental intensiva. Como razões para a restrição, cita, entre outras, dados de longo prazo limitados, custos e a questão do acesso equitativo</w:t>
      </w:r>
      <w:r>
        <w:rPr>
          <w:rStyle w:val="FootnoteReference"/>
        </w:rPr>
        <w:footnoteReference w:id="2909"/>
      </w:r>
      <w:r>
        <w:t xml:space="preserve">.</w:t>
      </w:r>
    </w:p>
    <w:bookmarkEnd w:id="2910"/>
    <w:bookmarkStart w:id="2911" w:name="tirzepatida-e-os-sucessores"/>
    <w:p>
      <w:pPr>
        <w:pStyle w:val="Heading3"/>
      </w:pPr>
      <w:r>
        <w:t xml:space="preserve">Tirzepatida e os sucessores</w:t>
      </w:r>
    </w:p>
    <w:p>
      <w:pPr>
        <w:pStyle w:val="FirstParagraph"/>
      </w:pPr>
      <w:r>
        <w:t xml:space="preserve">Para a tirzepatida e todas as substâncias mais novas – retatrutida, CagriSema, amicretina, maridebarte cafraglutida, orforglipron – não se espera uma expiração de patente nesta década. Para a tirzepatida, segundo informações do setor, genéricos são esperados no mínimo na segunda metade da década de 2030. Disso resulta um padrão previsível: as substâncias mais antigas ficam mais baratas, as mais potentes continuam caras.</w:t>
      </w:r>
    </w:p>
    <w:bookmarkEnd w:id="2911"/>
    <w:bookmarkStart w:id="2915" w:name="o-fim-do-compounding-nos-eua"/>
    <w:p>
      <w:pPr>
        <w:pStyle w:val="Heading3"/>
      </w:pPr>
      <w:r>
        <w:t xml:space="preserve">O fim do compounding nos EUA</w:t>
      </w:r>
    </w:p>
    <w:p>
      <w:pPr>
        <w:pStyle w:val="FirstParagraph"/>
      </w:pPr>
      <w:r>
        <w:t xml:space="preserve">Durante as faltas oficiais de abastecimento, farmácias norte-americanas puderam preparar elas próprias semaglutida e tirzepatida (</w:t>
      </w:r>
      <w:r>
        <w:t xml:space="preserve">“</w:t>
      </w:r>
      <w:r>
        <w:t xml:space="preserve">compounding</w:t>
      </w:r>
      <w:r>
        <w:t xml:space="preserve">”</w:t>
      </w:r>
      <w:r>
        <w:t xml:space="preserve">, ver Parte I). Disso surgiu um grande mercado. Uma investigação no estado norte-americano do Colorado encontrou, na primavera de 2024, 93 empresas com 188 unidades que promoviam esses preparados – em geral como spas médicos ou serviços de emagrecimento. 41 desses sites faziam referência, nas descrições dos produtos, à aprovação da FDA, embora os preparados não a tivessem. Um fornecedor promovia uma mistura com BPC-157, substância que a FDA classificou como inadequada para compounding</w:t>
      </w:r>
      <w:r>
        <w:rPr>
          <w:rStyle w:val="FootnoteReference"/>
        </w:rPr>
        <w:footnoteReference w:id="2912"/>
      </w:r>
      <w:r>
        <w:t xml:space="preserve">.</w:t>
      </w:r>
    </w:p>
    <w:p>
      <w:pPr>
        <w:pStyle w:val="BodyText"/>
      </w:pPr>
      <w:r>
        <w:t xml:space="preserve">Depois que a FDA declarou encerradas as faltas de abastecimento – para a tirzepatida no final de 2024, para a semaglutida no início de 2025 –, os prazos de transição para cópias dos preparados aprovados expiraram ao longo de 2025. Desde então, só são permitidas preparações que diferem dos preparados aprovados. Uma análise encontrou 33 desses produtos, entre eles misturas com vitamina B12, glicina ou um laxante, além de gotas e comprimidos orodispersíveis, cujo benefício e segurança são em grande parte desconhecidos</w:t>
      </w:r>
      <w:r>
        <w:rPr>
          <w:rStyle w:val="FootnoteReference"/>
        </w:rPr>
        <w:footnoteReference w:id="2913"/>
      </w:r>
      <w:r>
        <w:t xml:space="preserve">. Um laboratório encontrou em misturas de tirzepatida com B12 de diferentes fornecedores uma impureza até então desconhecida, que surge de uma reação química entre a tirzepatida e determinadas formas de B12; que consequências ela tem para a saúde é desconhecido</w:t>
      </w:r>
      <w:r>
        <w:rPr>
          <w:rStyle w:val="FootnoteReference"/>
        </w:rPr>
        <w:footnoteReference w:id="2914"/>
      </w:r>
      <w:r>
        <w:t xml:space="preserve">.</w:t>
      </w:r>
    </w:p>
    <w:p>
      <w:pPr>
        <w:pStyle w:val="BodyText"/>
      </w:pPr>
      <w:r>
        <w:t xml:space="preserve">O compounding, portanto, não desapareceu, mas se deslocou para um nicho em que aditivos</w:t>
      </w:r>
      <w:r>
        <w:t xml:space="preserve"> </w:t>
      </w:r>
      <w:r>
        <w:t xml:space="preserve">“</w:t>
      </w:r>
      <w:r>
        <w:t xml:space="preserve">personalizados</w:t>
      </w:r>
      <w:r>
        <w:t xml:space="preserve">”</w:t>
      </w:r>
      <w:r>
        <w:t xml:space="preserve"> </w:t>
      </w:r>
      <w:r>
        <w:t xml:space="preserve">fornecem a base legal. Na Europa, não existe um sistema comparável.</w:t>
      </w:r>
    </w:p>
    <w:bookmarkEnd w:id="2915"/>
    <w:bookmarkStart w:id="2918" w:name="falta-de-abastecimento"/>
    <w:p>
      <w:pPr>
        <w:pStyle w:val="Heading3"/>
      </w:pPr>
      <w:r>
        <w:t xml:space="preserve">Falta de abastecimento</w:t>
      </w:r>
    </w:p>
    <w:p>
      <w:pPr>
        <w:pStyle w:val="FirstParagraph"/>
      </w:pPr>
      <w:r>
        <w:t xml:space="preserve">A partir de 2022, a demanda por semaglutida e, mais tarde, por tirzepatida superou a produção. Pessoas com diabetes tipo 2 temporariamente não conseguiam obter seus medicamentos. Na Alemanha e na Áustria, autoridades e sociedades médicas pediram que o Ozempic fosse reservado a pessoas com diabetes tipo 2 e não prescrito para mera perda de peso.</w:t>
      </w:r>
    </w:p>
    <w:p>
      <w:pPr>
        <w:pStyle w:val="BodyText"/>
      </w:pPr>
      <w:r>
        <w:t xml:space="preserve">Qual era a proporção de prescrições fora da aprovação? Um estudo de registros nacional da Dinamarca dá uma resposta. O número de novos usuários de Ozempic aumentou fortemente a partir de 2022, até um pico de 10 por 1.000 adultos por ano no início de 2023. Em 2022, um terço dos novos usuários não tinha diabetes tipo 2 documentado; em 2023, essa proporção voltou a cair. Os autores concluem que as prescrições para perda de peso explicam apenas uma parte menor da falta</w:t>
      </w:r>
      <w:r>
        <w:rPr>
          <w:rStyle w:val="FootnoteReference"/>
        </w:rPr>
        <w:footnoteReference w:id="2916"/>
      </w:r>
      <w:r>
        <w:t xml:space="preserve">.</w:t>
      </w:r>
    </w:p>
    <w:p>
      <w:pPr>
        <w:pStyle w:val="BodyText"/>
      </w:pPr>
      <w:r>
        <w:t xml:space="preserve">Faltas de abastecimento têm consequências diretas para o tratamento. Em uma investigação norte-americana com 288 pessoas que suspenderam semaglutida ou tirzepatida para perda de peso no primeiro ano, 11,8% citaram a falta de abastecimento como motivo principal. Os motivos mais frequentes, porém, foram problemas de custo ou de seguro (47,6%), seguidos de efeitos colaterais (14,6%); 2,4% mudaram para um preparado de farmácia de manipulação</w:t>
      </w:r>
      <w:r>
        <w:rPr>
          <w:rStyle w:val="FootnoteReference"/>
        </w:rPr>
        <w:footnoteReference w:id="2917"/>
      </w:r>
      <w:r>
        <w:t xml:space="preserve">.</w:t>
      </w:r>
    </w:p>
    <w:p>
      <w:pPr>
        <w:pStyle w:val="BodyText"/>
      </w:pPr>
      <w:r>
        <w:t xml:space="preserve">Os fabricantes ampliaram fortemente desde então sua capacidade de produção, e as faltas oficiais são consideradas encerradas nos EUA. Na Europa, a situação varia conforme o preparado e o país.</w:t>
      </w:r>
    </w:p>
    <w:bookmarkEnd w:id="2918"/>
    <w:bookmarkStart w:id="2923" w:name="X706bb7a21014179179a43f1f266e9af8d859026"/>
    <w:p>
      <w:pPr>
        <w:pStyle w:val="Heading3"/>
      </w:pPr>
      <w:r>
        <w:t xml:space="preserve">Preços: quanto vale um medicamento para emagrecer?</w:t>
      </w:r>
    </w:p>
    <w:p>
      <w:pPr>
        <w:pStyle w:val="FirstParagraph"/>
      </w:pPr>
      <w:r>
        <w:t xml:space="preserve">Nos EUA, os preços de tabela dos medicamentos de GLP-1 são bem mais altos do que na Europa. Trabalhos de economia da saúde dos EUA perguntam, por isso, se o benefício justifica o preço:</w:t>
      </w:r>
    </w:p>
    <w:p>
      <w:pPr>
        <w:numPr>
          <w:ilvl w:val="0"/>
          <w:numId w:val="1363"/>
        </w:numPr>
        <w:pStyle w:val="Compact"/>
      </w:pPr>
      <w:r>
        <w:t xml:space="preserve">Um modelo para adultos norte-americanos concluiu que tirzepatida e semaglutida evitariam, ao longo da vida, muitos casos de diabetes e doenças cardiovasculares, mas não eram custo-efetivas aos preços líquidos da época. Para atingir um limiar usual, os preços teriam de cair mais 30,5% (tirzepatida) e 81,9% (semaglutida), respectivamente</w:t>
      </w:r>
      <w:r>
        <w:rPr>
          <w:rStyle w:val="FootnoteReference"/>
        </w:rPr>
        <w:footnoteReference w:id="2919"/>
      </w:r>
      <w:r>
        <w:t xml:space="preserve">.</w:t>
      </w:r>
    </w:p>
    <w:p>
      <w:pPr>
        <w:numPr>
          <w:ilvl w:val="0"/>
          <w:numId w:val="1363"/>
        </w:numPr>
        <w:pStyle w:val="Compact"/>
      </w:pPr>
      <w:r>
        <w:t xml:space="preserve">Uma metanálise de nove estudos de economia da saúde de países de alta renda concluiu que os agonistas do receptor de GLP-1 para o tratamento da obesidade sem diabetes em geral não são custo-efetivos do ponto de vista dos pagadores; em subgrupos e em períodos mais longos, isso poderia ser diferente</w:t>
      </w:r>
      <w:r>
        <w:rPr>
          <w:rStyle w:val="FootnoteReference"/>
        </w:rPr>
        <w:footnoteReference w:id="2920"/>
      </w:r>
      <w:r>
        <w:t xml:space="preserve">.</w:t>
      </w:r>
    </w:p>
    <w:p>
      <w:pPr>
        <w:numPr>
          <w:ilvl w:val="0"/>
          <w:numId w:val="1363"/>
        </w:numPr>
        <w:pStyle w:val="Compact"/>
      </w:pPr>
      <w:r>
        <w:t xml:space="preserve">Para pessoas sem diabetes que já tiveram um infarto ou AVC, um modelo foi mais favorável: ao preço pago por quem pagava do próprio bolso nos EUA no momento da análise, a semaglutida seria custo-efetiva nesse grupo</w:t>
      </w:r>
      <w:r>
        <w:rPr>
          <w:rStyle w:val="FootnoteReference"/>
        </w:rPr>
        <w:footnoteReference w:id="2921"/>
      </w:r>
      <w:r>
        <w:t xml:space="preserve">.</w:t>
      </w:r>
    </w:p>
    <w:p>
      <w:pPr>
        <w:pStyle w:val="FirstParagraph"/>
      </w:pPr>
      <w:r>
        <w:t xml:space="preserve">Esses cálculos dependem muito das premissas de preço, e os preços estão mudando. Nos EUA, os fabricantes introduziram desde 2025 ofertas diretas bem mais baratas para quem paga do próprio bolso e firmaram acordos de preço com o governo; a semaglutida é, além disso, objeto das negociações estatais de preço do programa para aposentados Medicare. O quanto a cobertura dos custos influencia o uso mostra uma análise norte-americana: depois que o Wegovy foi aprovado em março de 2024 para a redução do risco cardiovascular e coberto pelo Medicare para essa aplicação, o número de embalagens de Wegovy dispensadas pelo Medicare aumentou, em termos relativos, 598,1%</w:t>
      </w:r>
      <w:r>
        <w:rPr>
          <w:rStyle w:val="FootnoteReference"/>
        </w:rPr>
        <w:footnoteReference w:id="2922"/>
      </w:r>
      <w:r>
        <w:t xml:space="preserve">.</w:t>
      </w:r>
    </w:p>
    <w:p>
      <w:pPr>
        <w:pStyle w:val="BodyText"/>
      </w:pPr>
      <w:r>
        <w:rPr>
          <w:bCs/>
          <w:b/>
        </w:rPr>
        <w:t xml:space="preserve">Avaliação do autor:</w:t>
      </w:r>
      <w:r>
        <w:t xml:space="preserve"> </w:t>
      </w:r>
      <w:r>
        <w:t xml:space="preserve">os preços dos medicamentos baseados em GLP-1 vão cair nos próximos anos – por meio de genéricos de substâncias mais antigas, da concorrência entre fabricantes, de comprimidos de pequenas moléculas e de pressão política. Isso será mais perceptível em países com expiração precoce de patentes. Na UE, a grande queda de preços deverá vir apenas com os genéricos de semaglutida no início da década de 2030.</w:t>
      </w:r>
    </w:p>
    <w:bookmarkEnd w:id="2923"/>
    <w:bookmarkStart w:id="2924" w:name="reembolso-na-alemanha-e-na-áustria"/>
    <w:p>
      <w:pPr>
        <w:pStyle w:val="Heading3"/>
      </w:pPr>
      <w:r>
        <w:t xml:space="preserve">Reembolso na Alemanha e na Áustria</w:t>
      </w:r>
    </w:p>
    <w:p>
      <w:pPr>
        <w:pStyle w:val="FirstParagraph"/>
      </w:pPr>
      <w:r>
        <w:rPr>
          <w:bCs/>
          <w:b/>
        </w:rPr>
        <w:t xml:space="preserve">Alemanha:</w:t>
      </w:r>
      <w:r>
        <w:t xml:space="preserve"> </w:t>
      </w:r>
      <w:r>
        <w:t xml:space="preserve">no diabetes tipo 2, o seguro de saúde obrigatório cobre os custos de medicamentos de GLP-1 aprovados, como Ozempic, Rybelsus, Trulicity ou Mounjaro, dentro dos limites da aprovação. Medicamentos que servem predominantemente à redução de peso, por outro lado, estão excluídos do reembolso pelo § 34 SGB V; Wegovy, Saxenda e Mounjaro para controle do peso precisam, por isso, em regra ser pagos pelos próprios segurados do sistema obrigatório. Se essa regra será alterada para pessoas com alto risco cardiovascular é discutido no âmbito político e da autogestão. Seguros de saúde privados decidem segundo suas próprias condições contratuais.</w:t>
      </w:r>
    </w:p>
    <w:p>
      <w:pPr>
        <w:pStyle w:val="BodyText"/>
      </w:pPr>
      <w:r>
        <w:rPr>
          <w:bCs/>
          <w:b/>
        </w:rPr>
        <w:t xml:space="preserve">Áustria:</w:t>
      </w:r>
      <w:r>
        <w:t xml:space="preserve"> </w:t>
      </w:r>
      <w:r>
        <w:t xml:space="preserve">para o diabetes tipo 2, os medicamentos de GLP-1 são reembolsáveis, mas a cobertura está em parte vinculada a condições ou a uma autorização do plano de saúde. Para o mero controle do peso, os custos em regra não são cobertos, ou apenas em casos excepcionais.</w:t>
      </w:r>
    </w:p>
    <w:p>
      <w:pPr>
        <w:pStyle w:val="BodyText"/>
      </w:pPr>
      <w:r>
        <w:t xml:space="preserve">Nos dois países vale: se um tratamento é reembolsado depende da indicação, dos achados clínicos e da situação legal atual. O médico responsável e o plano de saúde são os interlocutores certos. Uma prescrição para perda de peso com um preparado aprovado apenas para diabetes é um uso fora da aprovação e não é reembolsada.</w:t>
      </w:r>
    </w:p>
    <w:bookmarkEnd w:id="2924"/>
    <w:bookmarkStart w:id="2926" w:name="o-que-isso-significa-para-os-pacientes"/>
    <w:p>
      <w:pPr>
        <w:pStyle w:val="Heading3"/>
      </w:pPr>
      <w:r>
        <w:t xml:space="preserve">O que isso significa para os pacientes</w:t>
      </w:r>
    </w:p>
    <w:p>
      <w:pPr>
        <w:numPr>
          <w:ilvl w:val="0"/>
          <w:numId w:val="1364"/>
        </w:numPr>
        <w:pStyle w:val="Compact"/>
      </w:pPr>
      <w:r>
        <w:rPr>
          <w:bCs/>
          <w:b/>
        </w:rPr>
        <w:t xml:space="preserve">Mais barato não significa mercado cinza.</w:t>
      </w:r>
      <w:r>
        <w:t xml:space="preserve"> </w:t>
      </w:r>
      <w:r>
        <w:t xml:space="preserve">Com a expiração de patentes em outros países, vão aumentar as ofertas que invocam</w:t>
      </w:r>
      <w:r>
        <w:t xml:space="preserve"> </w:t>
      </w:r>
      <w:r>
        <w:t xml:space="preserve">“</w:t>
      </w:r>
      <w:r>
        <w:t xml:space="preserve">genéricos</w:t>
      </w:r>
      <w:r>
        <w:t xml:space="preserve">”</w:t>
      </w:r>
      <w:r>
        <w:t xml:space="preserve">. Para a Áustria e a Alemanha, apenas preparados aprovados ali e vindos de farmácias são medicamentos verificados.</w:t>
      </w:r>
    </w:p>
    <w:p>
      <w:pPr>
        <w:numPr>
          <w:ilvl w:val="0"/>
          <w:numId w:val="1364"/>
        </w:numPr>
        <w:pStyle w:val="Compact"/>
      </w:pPr>
      <w:r>
        <w:rPr>
          <w:bCs/>
          <w:b/>
        </w:rPr>
        <w:t xml:space="preserve">Suspender por motivos de custo é frequente – e tem consequências.</w:t>
      </w:r>
      <w:r>
        <w:t xml:space="preserve"> </w:t>
      </w:r>
      <w:r>
        <w:t xml:space="preserve">Na extensão do STEP 1, os participantes recuperaram, um ano após a suspensão da semaglutida, em média dois terços da perda de peso, e as melhoras na pressão arterial e nos exames de sangue regrediram em grande parte</w:t>
      </w:r>
      <w:r>
        <w:rPr>
          <w:rStyle w:val="FootnoteReference"/>
        </w:rPr>
        <w:footnoteReference w:id="2925"/>
      </w:r>
      <w:r>
        <w:t xml:space="preserve">. Quem pensa em suspender por motivos de custo deve discutir isso com o médico.</w:t>
      </w:r>
    </w:p>
    <w:p>
      <w:pPr>
        <w:numPr>
          <w:ilvl w:val="0"/>
          <w:numId w:val="1364"/>
        </w:numPr>
        <w:pStyle w:val="Compact"/>
      </w:pPr>
      <w:r>
        <w:rPr>
          <w:bCs/>
          <w:b/>
        </w:rPr>
        <w:t xml:space="preserve">Substâncias mais antigas não são inúteis.</w:t>
      </w:r>
      <w:r>
        <w:t xml:space="preserve"> </w:t>
      </w:r>
      <w:r>
        <w:t xml:space="preserve">Liraglutida ou dulaglutida são bem estudadas e têm, no diabetes tipo 2, um benefício cardiovascular comprovado. Qual substância é adequada em cada caso é uma decisão médica.</w:t>
      </w:r>
    </w:p>
    <w:bookmarkEnd w:id="2926"/>
    <w:bookmarkStart w:id="2927" w:name="o-essencial-em-resumo-10"/>
    <w:p>
      <w:pPr>
        <w:pStyle w:val="Heading3"/>
      </w:pPr>
      <w:r>
        <w:t xml:space="preserve">O essencial em resumo</w:t>
      </w:r>
    </w:p>
    <w:p>
      <w:pPr>
        <w:numPr>
          <w:ilvl w:val="0"/>
          <w:numId w:val="1365"/>
        </w:numPr>
        <w:pStyle w:val="Compact"/>
      </w:pPr>
      <w:r>
        <w:t xml:space="preserve">Em 2026, a proteção patentária da semaglutida termina em países onde vive quase metade das pessoas com obesidade. Genéricos poderiam custar ali uma fração dos preços atuais; na UE e nos EUA, eles só são esperados por volta de 2031/2032 (verificar).</w:t>
      </w:r>
    </w:p>
    <w:p>
      <w:pPr>
        <w:numPr>
          <w:ilvl w:val="0"/>
          <w:numId w:val="1365"/>
        </w:numPr>
        <w:pStyle w:val="Compact"/>
      </w:pPr>
      <w:r>
        <w:t xml:space="preserve">Para a liraglutida já existem genéricos; a tirzepatida e todas as substâncias mais novas devem continuar protegidas por patente até bem dentro da década de 2030.</w:t>
      </w:r>
    </w:p>
    <w:p>
      <w:pPr>
        <w:numPr>
          <w:ilvl w:val="0"/>
          <w:numId w:val="1365"/>
        </w:numPr>
        <w:pStyle w:val="Compact"/>
      </w:pPr>
      <w:r>
        <w:t xml:space="preserve">O compounding norte-americano com cópias de preparados aprovados está em grande parte encerrado após o fim das faltas; restam preparações modificadas com aditivos não testados.</w:t>
      </w:r>
    </w:p>
    <w:p>
      <w:pPr>
        <w:numPr>
          <w:ilvl w:val="0"/>
          <w:numId w:val="1365"/>
        </w:numPr>
        <w:pStyle w:val="Compact"/>
      </w:pPr>
      <w:r>
        <w:t xml:space="preserve">Os custos são, nos estudos, o motivo mais frequente para interromper um tratamento. Na Alemanha, medicamentos para emagrecer estão excluídos do reembolso; na Áustria, o reembolso é apenas restrito.</w:t>
      </w:r>
    </w:p>
    <w:bookmarkEnd w:id="2927"/>
    <w:bookmarkEnd w:id="2928"/>
    <w:bookmarkStart w:id="2974" w:name="prognósticos-de-2030-a-2035"/>
    <w:p>
      <w:pPr>
        <w:pStyle w:val="Heading2"/>
      </w:pPr>
      <w:r>
        <w:t xml:space="preserve">Prognósticos de 2030 a 2035</w:t>
      </w:r>
    </w:p>
    <w:p>
      <w:pPr>
        <w:pStyle w:val="FirstParagraph"/>
      </w:pPr>
      <w:r>
        <w:t xml:space="preserve">Previsões na medicina têm um histórico de acertos ruim. Este livro também conhece exemplos: experimentos com animais e dados observacionais davam esperança de que os medicamentos de GLP-1 freassem o declínio cognitivo no Alzheimer. Nos dois estudos de fase 3 evoke e evoke+, com um total de 3.808 participantes, porém, a doença progrediu com comprimidos de semaglutida tão rapidamente quanto com placebo</w:t>
      </w:r>
      <w:r>
        <w:rPr>
          <w:rStyle w:val="FootnoteReference"/>
        </w:rPr>
        <w:footnoteReference w:id="2929"/>
      </w:r>
      <w:r>
        <w:t xml:space="preserve">. No Parkinson, o estudo de fase 3 Exenatide-PD3, com 194 participantes, não encontrou indício de que a exenatida retarde a progressão</w:t>
      </w:r>
      <w:r>
        <w:rPr>
          <w:rStyle w:val="FootnoteReference"/>
        </w:rPr>
        <w:footnoteReference w:id="2930"/>
      </w:r>
      <w:r>
        <w:t xml:space="preserve">.</w:t>
      </w:r>
    </w:p>
    <w:p>
      <w:pPr>
        <w:pStyle w:val="BodyText"/>
      </w:pPr>
      <w:r>
        <w:t xml:space="preserve">Este capítulo separa, por isso, rigorosamente em cada seção:</w:t>
      </w:r>
    </w:p>
    <w:p>
      <w:pPr>
        <w:numPr>
          <w:ilvl w:val="0"/>
          <w:numId w:val="1366"/>
        </w:numPr>
        <w:pStyle w:val="Compact"/>
      </w:pPr>
      <w:r>
        <w:rPr>
          <w:bCs/>
          <w:b/>
        </w:rPr>
        <w:t xml:space="preserve">Assegurado:</w:t>
      </w:r>
      <w:r>
        <w:t xml:space="preserve"> </w:t>
      </w:r>
      <w:r>
        <w:t xml:space="preserve">o que está inscrito em registros de estudos (com data de término planejada), o que está publicado em estudos revisados por pares e o que foi decidido por autoridades. Também o que está assegurado pode mudar – datas de término se deslocam, estudos são interrompidos.</w:t>
      </w:r>
    </w:p>
    <w:p>
      <w:pPr>
        <w:numPr>
          <w:ilvl w:val="0"/>
          <w:numId w:val="1366"/>
        </w:numPr>
        <w:pStyle w:val="Compact"/>
      </w:pPr>
      <w:r>
        <w:rPr>
          <w:bCs/>
          <w:b/>
        </w:rPr>
        <w:t xml:space="preserve">Avaliação do autor:</w:t>
      </w:r>
      <w:r>
        <w:t xml:space="preserve"> </w:t>
      </w:r>
      <w:r>
        <w:t xml:space="preserve">uma expectativa fundamentada que pode estar errada. Ela é identificada como tal e fundamentada em cada caso.</w:t>
      </w:r>
    </w:p>
    <w:p>
      <w:pPr>
        <w:pStyle w:val="FirstParagraph"/>
      </w:pPr>
      <w:r>
        <w:t xml:space="preserve">Os dados de registro refletem a situação de outubro de 2026.</w:t>
      </w:r>
    </w:p>
    <w:bookmarkStart w:id="2940" w:name="grupo-a-metabolismo-e-peso"/>
    <w:p>
      <w:pPr>
        <w:pStyle w:val="Heading3"/>
      </w:pPr>
      <w:r>
        <w:t xml:space="preserve">Grupo A – Metabolismo e peso</w:t>
      </w:r>
    </w:p>
    <w:p>
      <w:pPr>
        <w:pStyle w:val="FirstParagraph"/>
      </w:pPr>
      <w:r>
        <w:rPr>
          <w:bCs/>
          <w:b/>
        </w:rPr>
        <w:t xml:space="preserve">Assegurado:</w:t>
      </w:r>
    </w:p>
    <w:p>
      <w:pPr>
        <w:numPr>
          <w:ilvl w:val="0"/>
          <w:numId w:val="1367"/>
        </w:numPr>
        <w:pStyle w:val="Compact"/>
      </w:pPr>
      <w:r>
        <w:t xml:space="preserve">Até 2032 terminam pelo menos nove grandes estudos de desfechos e hepáticos: SURMOUNT-MMO, sobre tirzepatida</w:t>
      </w:r>
      <w:r>
        <w:rPr>
          <w:rStyle w:val="FootnoteReference"/>
        </w:rPr>
        <w:footnoteReference w:id="2931"/>
      </w:r>
      <w:r>
        <w:t xml:space="preserve">, e REDEFINE 3, sobre CagriSema</w:t>
      </w:r>
      <w:r>
        <w:rPr>
          <w:rStyle w:val="FootnoteReference"/>
        </w:rPr>
        <w:footnoteReference w:id="2932"/>
      </w:r>
      <w:r>
        <w:t xml:space="preserve">, em 2027; TRIUMPH-Outcomes, sobre retatrutida</w:t>
      </w:r>
      <w:r>
        <w:rPr>
          <w:rStyle w:val="FootnoteReference"/>
        </w:rPr>
        <w:footnoteReference w:id="2933"/>
      </w:r>
      <w:r>
        <w:t xml:space="preserve">, e LIVERAGE-Cirrhosis, sobre survodutida</w:t>
      </w:r>
      <w:r>
        <w:rPr>
          <w:rStyle w:val="FootnoteReference"/>
        </w:rPr>
        <w:footnoteReference w:id="2934"/>
      </w:r>
      <w:r>
        <w:t xml:space="preserve">, em 2029; MARITIME-CV e MARITIME-HF, sobre maridebarte cafraglutida</w:t>
      </w:r>
      <w:r>
        <w:rPr>
          <w:rStyle w:val="FootnoteReference"/>
        </w:rPr>
        <w:footnoteReference w:id="2935"/>
      </w:r>
      <w:r>
        <w:t xml:space="preserve">, bem como AMBIENCE, sobre zenagamtida</w:t>
      </w:r>
      <w:r>
        <w:rPr>
          <w:rStyle w:val="FootnoteReference"/>
        </w:rPr>
        <w:footnoteReference w:id="2936"/>
      </w:r>
      <w:r>
        <w:t xml:space="preserve">, em 2030; ATTAIN-Outcomes, sobre orforglipron</w:t>
      </w:r>
      <w:r>
        <w:rPr>
          <w:rStyle w:val="FootnoteReference"/>
        </w:rPr>
        <w:footnoteReference w:id="2937"/>
      </w:r>
      <w:r>
        <w:t xml:space="preserve">, em 2031; e SYNERGY-Outcomes, sobre tirzepatida e retatrutida</w:t>
      </w:r>
      <w:r>
        <w:rPr>
          <w:rStyle w:val="FootnoteReference"/>
        </w:rPr>
        <w:footnoteReference w:id="2938"/>
      </w:r>
      <w:r>
        <w:t xml:space="preserve">, em 2032.</w:t>
      </w:r>
    </w:p>
    <w:p>
      <w:pPr>
        <w:numPr>
          <w:ilvl w:val="0"/>
          <w:numId w:val="1367"/>
        </w:numPr>
        <w:pStyle w:val="Compact"/>
      </w:pPr>
      <w:r>
        <w:t xml:space="preserve">Substâncias de amilina pura estão em fase 3: eloralintida (ENLIGHTEN-1, NCT07321886, término em 2030) e petrelintida (ZUPREME-3, NCT07843498, término em 2029).</w:t>
      </w:r>
    </w:p>
    <w:p>
      <w:pPr>
        <w:numPr>
          <w:ilvl w:val="0"/>
          <w:numId w:val="1367"/>
        </w:numPr>
        <w:pStyle w:val="Compact"/>
      </w:pPr>
      <w:r>
        <w:t xml:space="preserve">Para CagriSema e orforglipron, segundo os respectivos capítulos, pedidos de aprovação foram apresentados ou anunciados; para a retatrutida, são esperados após a conclusão do TRIUMPH-1 e do TRIUMPH-2 (situação em outubro de 2026, verificar).</w:t>
      </w:r>
    </w:p>
    <w:p>
      <w:pPr>
        <w:numPr>
          <w:ilvl w:val="0"/>
          <w:numId w:val="1367"/>
        </w:numPr>
        <w:pStyle w:val="Compact"/>
      </w:pPr>
      <w:r>
        <w:t xml:space="preserve">Em doze países, a proteção patentária da semaglutida termina em 2026, entre eles grandes mercados fora da UE e dos EUA</w:t>
      </w:r>
      <w:r>
        <w:rPr>
          <w:rStyle w:val="FootnoteReference"/>
        </w:rPr>
        <w:footnoteReference w:id="2939"/>
      </w:r>
      <w:r>
        <w:t xml:space="preserve">. Na UE e nos EUA, genéricos são esperados por volta de 2031/2032.</w:t>
      </w:r>
    </w:p>
    <w:p>
      <w:pPr>
        <w:pStyle w:val="FirstParagraph"/>
      </w:pPr>
      <w:r>
        <w:rPr>
          <w:bCs/>
          <w:b/>
        </w:rPr>
        <w:t xml:space="preserve">Avaliação do autor:</w:t>
      </w:r>
      <w:r>
        <w:t xml:space="preserve"> </w:t>
      </w:r>
      <w:r>
        <w:t xml:space="preserve">até 2030, várias novas classes de substâncias deverão estar aprovadas na UE – pelo menos uma combinação com amilina, um agonista triplo e uma pequena molécula em comprimido. Justificativa: os programas de fase 3 estão bem avançados, os resultados publicados até agora são claramente positivos, e os fabricantes apresentaram ou anunciaram pedidos de aprovação. Uma perda de peso média de 20 a 25% em estudos não deverá mais ser exceção. Mais importante do que um novo recorde, porém, será a pergunta sobre qual substância é adequada para qual pessoa: quem precisa sobretudo de proteção cardíaca, quem tem esteatose hepática, quem quer evitar injeções, quem tolera mal efeitos colaterais. Entre 2030 e 2035, espero preços claramente mais baixos para a semaglutida na Europa por meio de genéricos, enquanto as substâncias mais novas continuarão caras. Considero real o risco de um atendimento de duas classes – os medicamentos mais potentes para quem paga do próprio bolso, os mais antigos para todos os demais.</w:t>
      </w:r>
    </w:p>
    <w:bookmarkEnd w:id="2940"/>
    <w:bookmarkStart w:id="2943" w:name="X30581d2b51d17be6088b9f5f6b1d8868efe8367"/>
    <w:p>
      <w:pPr>
        <w:pStyle w:val="Heading3"/>
      </w:pPr>
      <w:r>
        <w:t xml:space="preserve">Grupo B – Cura, regeneração e sistema imunológico</w:t>
      </w:r>
    </w:p>
    <w:p>
      <w:pPr>
        <w:pStyle w:val="FirstParagraph"/>
      </w:pPr>
      <w:r>
        <w:rPr>
          <w:bCs/>
          <w:b/>
        </w:rPr>
        <w:t xml:space="preserve">Assegurado:</w:t>
      </w:r>
    </w:p>
    <w:p>
      <w:pPr>
        <w:numPr>
          <w:ilvl w:val="0"/>
          <w:numId w:val="1368"/>
        </w:numPr>
        <w:pStyle w:val="Compact"/>
      </w:pPr>
      <w:r>
        <w:t xml:space="preserve">O estudo de fase 3 sobre timosina alfa-1 após cirurgia de câncer colorretal, com 2.500 participantes, deve terminar em março de 2027</w:t>
      </w:r>
      <w:r>
        <w:rPr>
          <w:rStyle w:val="FootnoteReference"/>
        </w:rPr>
        <w:footnoteReference w:id="2941"/>
      </w:r>
      <w:r>
        <w:t xml:space="preserve">.</w:t>
      </w:r>
    </w:p>
    <w:p>
      <w:pPr>
        <w:numPr>
          <w:ilvl w:val="0"/>
          <w:numId w:val="1368"/>
        </w:numPr>
        <w:pStyle w:val="Compact"/>
      </w:pPr>
      <w:r>
        <w:t xml:space="preserve">O estudo de fase 3 SEER-2, com colírio de timosina beta-4 na ceratopatia neurotrófica, estava concluído em maio de 2026 segundo o registro; resultados não estavam disponíveis em outubro de 2026</w:t>
      </w:r>
      <w:r>
        <w:rPr>
          <w:rStyle w:val="FootnoteReference"/>
        </w:rPr>
        <w:footnoteReference w:id="2942"/>
      </w:r>
      <w:r>
        <w:t xml:space="preserve">.</w:t>
      </w:r>
    </w:p>
    <w:p>
      <w:pPr>
        <w:numPr>
          <w:ilvl w:val="0"/>
          <w:numId w:val="1368"/>
        </w:numPr>
        <w:pStyle w:val="Compact"/>
      </w:pPr>
      <w:r>
        <w:t xml:space="preserve">Um estudo chinês de fase 2 com timosina beta-4 recombinante após infarto do miocárdio está planejado (NCT07586865, 189 participantes, término em maio de 2028).</w:t>
      </w:r>
    </w:p>
    <w:p>
      <w:pPr>
        <w:numPr>
          <w:ilvl w:val="0"/>
          <w:numId w:val="1368"/>
        </w:numPr>
        <w:pStyle w:val="Compact"/>
      </w:pPr>
      <w:r>
        <w:t xml:space="preserve">Para o BPC-157, está registrado um pequeno estudo randomizado com 30 participantes após cirurgias de ombro, que ainda não começou (NCT07803250, término planejado para agosto de 2027).</w:t>
      </w:r>
    </w:p>
    <w:p>
      <w:pPr>
        <w:pStyle w:val="FirstParagraph"/>
      </w:pPr>
      <w:r>
        <w:rPr>
          <w:bCs/>
          <w:b/>
        </w:rPr>
        <w:t xml:space="preserve">Avaliação do autor:</w:t>
      </w:r>
      <w:r>
        <w:t xml:space="preserve"> </w:t>
      </w:r>
      <w:r>
        <w:t xml:space="preserve">até 2035, considero muito improvável uma aprovação de BPC-157, TB-500 ou KPV na UE. Justificativa: não há programas de fase 2 ou fase 3, nenhum fabricante com interesse perceptível em aprovação, e mesmo um resultado positivo do pequeno estudo de ombro seria apenas um primeiro indício. Mais realista é uma aprovação de nicho para colírio de timosina beta-4 em uma doença rara da córnea, caso o SEER-2 seja positivo. A timosina alfa-1 poderia ter um papel maior no acompanhamento oncológico na China se o estudo de câncer colorretal for positivo – mas, devido à falta de duplo-cegamento, com ressalvas.</w:t>
      </w:r>
    </w:p>
    <w:bookmarkEnd w:id="2943"/>
    <w:bookmarkStart w:id="2945" w:name="grupo-c-eixo-do-hormônio-do-crescimento"/>
    <w:p>
      <w:pPr>
        <w:pStyle w:val="Heading3"/>
      </w:pPr>
      <w:r>
        <w:t xml:space="preserve">Grupo C – Eixo do hormônio do crescimento</w:t>
      </w:r>
    </w:p>
    <w:p>
      <w:pPr>
        <w:pStyle w:val="FirstParagraph"/>
      </w:pPr>
      <w:r>
        <w:rPr>
          <w:bCs/>
          <w:b/>
        </w:rPr>
        <w:t xml:space="preserve">Assegurado:</w:t>
      </w:r>
    </w:p>
    <w:p>
      <w:pPr>
        <w:numPr>
          <w:ilvl w:val="0"/>
          <w:numId w:val="1369"/>
        </w:numPr>
        <w:pStyle w:val="Compact"/>
      </w:pPr>
      <w:r>
        <w:t xml:space="preserve">O ibutamoreno (não é peptídeo) está sendo testado como LUM-201 em um estudo de fase 3 com 150 crianças com deficiência de hormônio do crescimento (NCT06948214, término em janeiro de 2028). Um estudo de fase 2 com 202 idosos com obesidade deverá investigar o LUM-201 em associação à semaglutida (NCT07754045, término em fevereiro de 2028).</w:t>
      </w:r>
    </w:p>
    <w:p>
      <w:pPr>
        <w:numPr>
          <w:ilvl w:val="0"/>
          <w:numId w:val="1369"/>
        </w:numPr>
        <w:pStyle w:val="Compact"/>
      </w:pPr>
      <w:r>
        <w:t xml:space="preserve">O registro de longo prazo da mecasermina segue até o final de 2027</w:t>
      </w:r>
      <w:r>
        <w:rPr>
          <w:rStyle w:val="FootnoteReference"/>
        </w:rPr>
        <w:footnoteReference w:id="2944"/>
      </w:r>
      <w:r>
        <w:t xml:space="preserve">.</w:t>
      </w:r>
    </w:p>
    <w:p>
      <w:pPr>
        <w:numPr>
          <w:ilvl w:val="0"/>
          <w:numId w:val="1369"/>
        </w:numPr>
        <w:pStyle w:val="Compact"/>
      </w:pPr>
      <w:r>
        <w:t xml:space="preserve">Para sermorelina, CJC-1295, ipamorelina, GHRP-2, GHRP-6, hexarelina e IGF-1 LR3, nenhum estudo em andamento está registrado (ver os respectivos capítulos).</w:t>
      </w:r>
    </w:p>
    <w:p>
      <w:pPr>
        <w:pStyle w:val="FirstParagraph"/>
      </w:pPr>
      <w:r>
        <w:rPr>
          <w:bCs/>
          <w:b/>
        </w:rPr>
        <w:t xml:space="preserve">Avaliação do autor:</w:t>
      </w:r>
      <w:r>
        <w:t xml:space="preserve"> </w:t>
      </w:r>
      <w:r>
        <w:t xml:space="preserve">considero improvável, até 2035, uma nova aprovação de um peptídeo liberador de hormônio do crescimento para adultos. Justificativa: as substâncias são antigas, quase não patenteáveis, e as questões de segurança em torno de níveis de IGF-1 permanentemente elevados (ver Parte IV) tornam grandes estudos caros e arriscados. Interessante é outra tendência: como a perda de peso intensa também custa músculos, o eixo do hormônio do crescimento poderia receber nova atenção como possível proteção muscular – o estudo com LUM-201 e semaglutida é um primeiro exemplo. Se disso surgirá um benefício está completamente em aberto.</w:t>
      </w:r>
    </w:p>
    <w:bookmarkEnd w:id="2945"/>
    <w:bookmarkStart w:id="2949" w:name="grupo-d-cérebro-sono-e-longevidade"/>
    <w:p>
      <w:pPr>
        <w:pStyle w:val="Heading3"/>
      </w:pPr>
      <w:r>
        <w:t xml:space="preserve">Grupo D – Cérebro, sono e longevidade</w:t>
      </w:r>
    </w:p>
    <w:p>
      <w:pPr>
        <w:pStyle w:val="FirstParagraph"/>
      </w:pPr>
      <w:r>
        <w:rPr>
          <w:bCs/>
          <w:b/>
        </w:rPr>
        <w:t xml:space="preserve">Assegurado:</w:t>
      </w:r>
    </w:p>
    <w:p>
      <w:pPr>
        <w:numPr>
          <w:ilvl w:val="0"/>
          <w:numId w:val="1370"/>
        </w:numPr>
        <w:pStyle w:val="Compact"/>
      </w:pPr>
      <w:r>
        <w:t xml:space="preserve">A elamipretida (SS-31) está aprovada nos EUA desde setembro de 2025, de forma acelerada, para a síndrome de Barth, vinculada a um estudo confirmatório (4TAZPower, NCT07531251, término em novembro de 2029). O estudo de fase 3 ReNEW, na degeneração macular seca, deve terminar em setembro de 2027</w:t>
      </w:r>
      <w:r>
        <w:rPr>
          <w:rStyle w:val="FootnoteReference"/>
        </w:rPr>
        <w:footnoteReference w:id="2946"/>
      </w:r>
      <w:r>
        <w:t xml:space="preserve">.</w:t>
      </w:r>
    </w:p>
    <w:p>
      <w:pPr>
        <w:numPr>
          <w:ilvl w:val="0"/>
          <w:numId w:val="1370"/>
        </w:numPr>
        <w:pStyle w:val="Compact"/>
      </w:pPr>
      <w:r>
        <w:t xml:space="preserve">Sobre o Cerebrolysin, há apenas estudos menores em andamento, como no CADASIL</w:t>
      </w:r>
      <w:r>
        <w:rPr>
          <w:rStyle w:val="FootnoteReference"/>
        </w:rPr>
        <w:footnoteReference w:id="2947"/>
      </w:r>
      <w:r>
        <w:t xml:space="preserve">.</w:t>
      </w:r>
    </w:p>
    <w:p>
      <w:pPr>
        <w:numPr>
          <w:ilvl w:val="0"/>
          <w:numId w:val="1370"/>
        </w:numPr>
        <w:pStyle w:val="Compact"/>
      </w:pPr>
      <w:r>
        <w:t xml:space="preserve">Para Semax, Selank, Dihexa, DSIP, Pinealon, humanina, FOXO4-DRI e MOTS-c, nenhum estudo confiavelmente registrado com administração da substância consta do registro. Para o Epitalon, há apenas um estudo não controlado em que ele é um de cinco componentes de um sérum para a pele</w:t>
      </w:r>
      <w:r>
        <w:rPr>
          <w:rStyle w:val="FootnoteReference"/>
        </w:rPr>
        <w:footnoteReference w:id="2948"/>
      </w:r>
      <w:r>
        <w:t xml:space="preserve">.</w:t>
      </w:r>
    </w:p>
    <w:p>
      <w:pPr>
        <w:numPr>
          <w:ilvl w:val="0"/>
          <w:numId w:val="1370"/>
        </w:numPr>
        <w:pStyle w:val="Compact"/>
      </w:pPr>
      <w:r>
        <w:t xml:space="preserve">Nos EUA, a classificação de vários desses peptídeos para preparações magistrais está sendo reavaliada (ver capítulos Semax e Dihexa; Willis 2026, PMID 42752426).</w:t>
      </w:r>
    </w:p>
    <w:p>
      <w:pPr>
        <w:pStyle w:val="FirstParagraph"/>
      </w:pPr>
      <w:r>
        <w:rPr>
          <w:bCs/>
          <w:b/>
        </w:rPr>
        <w:t xml:space="preserve">Avaliação do autor:</w:t>
      </w:r>
      <w:r>
        <w:t xml:space="preserve"> </w:t>
      </w:r>
      <w:r>
        <w:t xml:space="preserve">os peptídeos da longevidade deverão permanecer até 2035 o que são hoje: substâncias com dados interessantes em animais e grande demanda online, mas sem comprovação de benefício em humanos. Justificativa: estudos sobre</w:t>
      </w:r>
      <w:r>
        <w:t xml:space="preserve"> </w:t>
      </w:r>
      <w:r>
        <w:t xml:space="preserve">“</w:t>
      </w:r>
      <w:r>
        <w:t xml:space="preserve">envelhecimento saudável</w:t>
      </w:r>
      <w:r>
        <w:t xml:space="preserve">”</w:t>
      </w:r>
      <w:r>
        <w:t xml:space="preserve"> </w:t>
      </w:r>
      <w:r>
        <w:t xml:space="preserve">precisam de muitos anos e de desfechos claros, que ainda quase não existem para isso; nenhum fabricante tem um programa perceptível. Se autoridades norte-americanas liberarem peptídeos isolados para preparações magistrais, isso aumentaria a difusão sem melhorar os dados. A elamipretida é a única substância deste grupo com um caminho realista para uma aprovação mais ampla, e isso apenas se o ReNEW for positivo.</w:t>
      </w:r>
    </w:p>
    <w:bookmarkEnd w:id="2949"/>
    <w:bookmarkStart w:id="2951" w:name="Xfcd7f4dcec7b36735a25fa86b3f41f02803c218"/>
    <w:p>
      <w:pPr>
        <w:pStyle w:val="Heading3"/>
      </w:pPr>
      <w:r>
        <w:t xml:space="preserve">Grupo E – Hormônios, sexualidade e pigmentação</w:t>
      </w:r>
    </w:p>
    <w:p>
      <w:pPr>
        <w:pStyle w:val="FirstParagraph"/>
      </w:pPr>
      <w:r>
        <w:rPr>
          <w:bCs/>
          <w:b/>
        </w:rPr>
        <w:t xml:space="preserve">Assegurado:</w:t>
      </w:r>
    </w:p>
    <w:p>
      <w:pPr>
        <w:numPr>
          <w:ilvl w:val="0"/>
          <w:numId w:val="1371"/>
        </w:numPr>
        <w:pStyle w:val="Compact"/>
      </w:pPr>
      <w:r>
        <w:t xml:space="preserve">O estudo de fase 3 sobre afamelanotida no vitiligo, com 200 participantes, estava concluído em junho de 2026 segundo o registro; resultados revisados por pares não estavam disponíveis em outubro de 2026</w:t>
      </w:r>
      <w:r>
        <w:rPr>
          <w:rStyle w:val="FootnoteReference"/>
        </w:rPr>
        <w:footnoteReference w:id="2950"/>
      </w:r>
      <w:r>
        <w:t xml:space="preserve">.</w:t>
      </w:r>
    </w:p>
    <w:p>
      <w:pPr>
        <w:numPr>
          <w:ilvl w:val="0"/>
          <w:numId w:val="1371"/>
        </w:numPr>
        <w:pStyle w:val="Compact"/>
      </w:pPr>
      <w:r>
        <w:t xml:space="preserve">A kisspeptina está sendo investigada em pequenos estudos de fase 2 na deficiência hormonal congênita (NCT05896293, término em maio de 2028) e na amenorreia hipotalâmica (NCT07224438, término em maio de 2030).</w:t>
      </w:r>
    </w:p>
    <w:p>
      <w:pPr>
        <w:numPr>
          <w:ilvl w:val="0"/>
          <w:numId w:val="1371"/>
        </w:numPr>
        <w:pStyle w:val="Compact"/>
      </w:pPr>
      <w:r>
        <w:t xml:space="preserve">O spray nasal de ocitocina está sendo testado como complemento de uma terapia de casal no transtorno de estresse pós-traumático, com 240 participantes (NCT06194851, término em setembro de 2028).</w:t>
      </w:r>
    </w:p>
    <w:p>
      <w:pPr>
        <w:pStyle w:val="FirstParagraph"/>
      </w:pPr>
      <w:r>
        <w:rPr>
          <w:bCs/>
          <w:b/>
        </w:rPr>
        <w:t xml:space="preserve">Avaliação do autor:</w:t>
      </w:r>
      <w:r>
        <w:t xml:space="preserve"> </w:t>
      </w:r>
      <w:r>
        <w:t xml:space="preserve">o mais provável até 2030 é uma ampliação da aprovação da afamelanotida para o vitiligo – caso o estudo de fase 3 seja positivo. A kisspeptina deverá continuar sendo uma ferramenta de pesquisa e diagnóstico; uma aprovação até 2035 pressupõe estudos comparativos maiores, que até agora faltam. Para o spray nasal de ocitocina, não espero aprovação para autismo ou ansiedade social, no máximo evidências para aplicações bem delimitadas em combinação com psicoterapia. O Melanotan II continuará sendo um produto do mercado cinza.</w:t>
      </w:r>
    </w:p>
    <w:bookmarkEnd w:id="2951"/>
    <w:bookmarkStart w:id="2952" w:name="grupo-f-colágeno-nutrição-e-cosmética"/>
    <w:p>
      <w:pPr>
        <w:pStyle w:val="Heading3"/>
      </w:pPr>
      <w:r>
        <w:t xml:space="preserve">Grupo F – Colágeno, nutrição e cosmética</w:t>
      </w:r>
    </w:p>
    <w:p>
      <w:pPr>
        <w:pStyle w:val="FirstParagraph"/>
      </w:pPr>
      <w:r>
        <w:rPr>
          <w:bCs/>
          <w:b/>
        </w:rPr>
        <w:t xml:space="preserve">Assegurado:</w:t>
      </w:r>
    </w:p>
    <w:p>
      <w:pPr>
        <w:numPr>
          <w:ilvl w:val="0"/>
          <w:numId w:val="1372"/>
        </w:numPr>
        <w:pStyle w:val="Compact"/>
      </w:pPr>
      <w:r>
        <w:t xml:space="preserve">Um estudo controlado por placebo com 204 participantes testa hidrolisado de colágeno na artrose de joelho; o desfecho principal é a dor (NCT04998188, término em dezembro de 2027).</w:t>
      </w:r>
    </w:p>
    <w:p>
      <w:pPr>
        <w:numPr>
          <w:ilvl w:val="0"/>
          <w:numId w:val="1372"/>
        </w:numPr>
        <w:pStyle w:val="Compact"/>
      </w:pPr>
      <w:r>
        <w:t xml:space="preserve">Um estudo de fase 1/2 com 144 participantes investiga a carnosina na doença arterial obstrutiva periférica; o desfecho principal é a distância percorrida em seis minutos (NCT06480760, término em outubro de 2028).</w:t>
      </w:r>
    </w:p>
    <w:p>
      <w:pPr>
        <w:numPr>
          <w:ilvl w:val="0"/>
          <w:numId w:val="1372"/>
        </w:numPr>
        <w:pStyle w:val="Compact"/>
      </w:pPr>
      <w:r>
        <w:t xml:space="preserve">Para lactotripeptídeos, Matrixyl e Argireline, nenhum estudo em andamento está registrado.</w:t>
      </w:r>
    </w:p>
    <w:p>
      <w:pPr>
        <w:pStyle w:val="FirstParagraph"/>
      </w:pPr>
      <w:r>
        <w:rPr>
          <w:bCs/>
          <w:b/>
        </w:rPr>
        <w:t xml:space="preserve">Avaliação do autor:</w:t>
      </w:r>
      <w:r>
        <w:t xml:space="preserve"> </w:t>
      </w:r>
      <w:r>
        <w:t xml:space="preserve">este grupo continuará sendo alimento e cosmético; aprovações como medicamento não são de esperar, porque os produtos já são de venda livre e ninguém teria de arcar com os custos de um programa de aprovação. O que poderia mudar é a qualidade das evidências: estudos com financiamento independente e registro prévio, como o da artrose de joelho, mostrarão se os pequenos efeitos de estudos financiados por fabricantes se sustentam. Espero que os efeitos nesses estudos sejam antes menores.</w:t>
      </w:r>
    </w:p>
    <w:bookmarkEnd w:id="2952"/>
    <w:bookmarkStart w:id="2971" w:name="temas-transversais"/>
    <w:p>
      <w:pPr>
        <w:pStyle w:val="Heading3"/>
      </w:pPr>
      <w:r>
        <w:t xml:space="preserve">Temas transversais</w:t>
      </w:r>
    </w:p>
    <w:bookmarkStart w:id="2954" w:name="dados-de-longo-prazo"/>
    <w:p>
      <w:pPr>
        <w:pStyle w:val="Heading4"/>
      </w:pPr>
      <w:r>
        <w:t xml:space="preserve">Dados de longo prazo</w:t>
      </w:r>
    </w:p>
    <w:p>
      <w:pPr>
        <w:pStyle w:val="FirstParagraph"/>
      </w:pPr>
      <w:r>
        <w:rPr>
          <w:bCs/>
          <w:b/>
        </w:rPr>
        <w:t xml:space="preserve">Assegurado:</w:t>
      </w:r>
      <w:r>
        <w:t xml:space="preserve"> </w:t>
      </w:r>
      <w:r>
        <w:t xml:space="preserve">a diretriz da OMS sobre terapias com GLP-1 na obesidade faz apenas uma recomendação condicional e cita dados de longo prazo limitados como um dos motivos</w:t>
      </w:r>
      <w:r>
        <w:rPr>
          <w:rStyle w:val="FootnoteReference"/>
        </w:rPr>
        <w:footnoteReference w:id="2953"/>
      </w:r>
      <w:r>
        <w:t xml:space="preserve">. Os estudos de desfechos em andamento acompanham seus participantes por vários anos, mas quase nenhum por mais de dez anos.</w:t>
      </w:r>
    </w:p>
    <w:p>
      <w:pPr>
        <w:pStyle w:val="BodyText"/>
      </w:pPr>
      <w:r>
        <w:rPr>
          <w:bCs/>
          <w:b/>
        </w:rPr>
        <w:t xml:space="preserve">Avaliação do autor:</w:t>
      </w:r>
      <w:r>
        <w:t xml:space="preserve"> </w:t>
      </w:r>
      <w:r>
        <w:t xml:space="preserve">até 2035, dados de dez anos virão sobretudo de registros nacionais e de dados de planos de saúde, não de estudos randomizados. Eles captarão melhor os efeitos colaterais raros, mas terão mais dificuldade em separar causa e efeito. Em crianças e adolescentes, para os quais vários estudos vão até o início da década de 2030, a questão das consequências de longo prazo é particularmente urgente.</w:t>
      </w:r>
    </w:p>
    <w:bookmarkEnd w:id="2954"/>
    <w:bookmarkStart w:id="2959" w:name="terapia-de-manutenção"/>
    <w:p>
      <w:pPr>
        <w:pStyle w:val="Heading4"/>
      </w:pPr>
      <w:r>
        <w:t xml:space="preserve">Terapia de manutenção</w:t>
      </w:r>
    </w:p>
    <w:p>
      <w:pPr>
        <w:pStyle w:val="FirstParagraph"/>
      </w:pPr>
      <w:r>
        <w:rPr>
          <w:bCs/>
          <w:b/>
        </w:rPr>
        <w:t xml:space="preserve">Assegurado:</w:t>
      </w:r>
      <w:r>
        <w:t xml:space="preserve"> </w:t>
      </w:r>
      <w:r>
        <w:t xml:space="preserve">após a suspensão, grande parte do peso perdido volta. Na extensão do STEP 1, foram em média dois terços um ano após o fim do tratamento com semaglutida</w:t>
      </w:r>
      <w:r>
        <w:rPr>
          <w:rStyle w:val="FootnoteReference"/>
        </w:rPr>
        <w:footnoteReference w:id="2955"/>
      </w:r>
      <w:r>
        <w:t xml:space="preserve">. No SURMOUNT-4, participantes recuperaram, após a troca de tirzepatida por placebo, 14,0% do peso no ano seguinte</w:t>
      </w:r>
      <w:r>
        <w:rPr>
          <w:rStyle w:val="FootnoteReference"/>
        </w:rPr>
        <w:footnoteReference w:id="2956"/>
      </w:r>
      <w:r>
        <w:t xml:space="preserve">. A troca da injeção pela orforglipron manteve, no ATTAIN-MAINTAIN, grande parte da perda de peso</w:t>
      </w:r>
      <w:r>
        <w:rPr>
          <w:rStyle w:val="FootnoteReference"/>
        </w:rPr>
        <w:footnoteReference w:id="2957"/>
      </w:r>
      <w:r>
        <w:t xml:space="preserve">. Outros estudos sobre manutenção do peso estão em andamento (TRIUMPH-6, NCT06859268; troca por substâncias mensais, NCT07575399, NCT07845500). Modelos sugerem que administrações menos frequentes poderiam manter parte do efeito; isso ainda não foi testado em estudos e não é base para alterações do tratamento por conta própria</w:t>
      </w:r>
      <w:r>
        <w:rPr>
          <w:rStyle w:val="FootnoteReference"/>
        </w:rPr>
        <w:footnoteReference w:id="2958"/>
      </w:r>
      <w:r>
        <w:t xml:space="preserve">.</w:t>
      </w:r>
    </w:p>
    <w:p>
      <w:pPr>
        <w:pStyle w:val="BodyText"/>
      </w:pPr>
      <w:r>
        <w:rPr>
          <w:bCs/>
          <w:b/>
        </w:rPr>
        <w:t xml:space="preserve">Avaliação do autor:</w:t>
      </w:r>
      <w:r>
        <w:t xml:space="preserve"> </w:t>
      </w:r>
      <w:r>
        <w:t xml:space="preserve">até 2030, um modelo em etapas vai se impor: primeiro uma fase com uma substância muito eficaz, depois uma manutenção com um comprimido, uma preparação mensal ou uma intensidade menor. Justificativa: vários fabricantes testam exatamente essa sequência, e ela é atraente para os pagadores. Se a manutenção será necessária por toda a vida ou se, em algumas pessoas, uma suspensão sem grande recuperação de peso será possível continuará sendo uma das questões em aberto mais importantes.</w:t>
      </w:r>
    </w:p>
    <w:bookmarkEnd w:id="2959"/>
    <w:bookmarkStart w:id="2961" w:name="personalização"/>
    <w:p>
      <w:pPr>
        <w:pStyle w:val="Heading4"/>
      </w:pPr>
      <w:r>
        <w:t xml:space="preserve">Personalização</w:t>
      </w:r>
    </w:p>
    <w:p>
      <w:pPr>
        <w:pStyle w:val="FirstParagraph"/>
      </w:pPr>
      <w:r>
        <w:rPr>
          <w:bCs/>
          <w:b/>
        </w:rPr>
        <w:t xml:space="preserve">Assegurado:</w:t>
      </w:r>
      <w:r>
        <w:t xml:space="preserve"> </w:t>
      </w:r>
      <w:r>
        <w:t xml:space="preserve">a medicina de precisão na obesidade já existe para formas genéticas raras: a setmelanotida está aprovada apenas para determinados defeitos genéticos (ver capítulo Setmelanotida). A orforglipron está sendo testada em um estudo com 2.001 participantes com sobrepeso para impedir a progressão para obesidade ou para doenças decorrentes (ATTAIN-NOW, NCT07794579, término em setembro de 2030). A OMS anuncia que vai elaborar a seguir critérios sobre quem deve ser tratado primeiro quando os recursos forem limitados</w:t>
      </w:r>
      <w:r>
        <w:rPr>
          <w:rStyle w:val="FootnoteReference"/>
        </w:rPr>
        <w:footnoteReference w:id="2960"/>
      </w:r>
      <w:r>
        <w:t xml:space="preserve">.</w:t>
      </w:r>
    </w:p>
    <w:p>
      <w:pPr>
        <w:pStyle w:val="BodyText"/>
      </w:pPr>
      <w:r>
        <w:rPr>
          <w:bCs/>
          <w:b/>
        </w:rPr>
        <w:t xml:space="preserve">Avaliação do autor:</w:t>
      </w:r>
      <w:r>
        <w:t xml:space="preserve"> </w:t>
      </w:r>
      <w:r>
        <w:t xml:space="preserve">um teste confiável que diga de antemão quem responde bem a qual substância não está à vista até 2030. A personalização será, de início, pragmática: segundo doenças associadas, tolerabilidade, disposição para injeções e custos. A questão de se medicamentos devem ser usados já antes do surgimento da obesidade continuará sendo controversa do ponto de vista ético e econômico.</w:t>
      </w:r>
    </w:p>
    <w:bookmarkEnd w:id="2961"/>
    <w:bookmarkStart w:id="2965" w:name="regulação-do-mercado-cinza"/>
    <w:p>
      <w:pPr>
        <w:pStyle w:val="Heading4"/>
      </w:pPr>
      <w:r>
        <w:t xml:space="preserve">Regulação do mercado cinza</w:t>
      </w:r>
    </w:p>
    <w:p>
      <w:pPr>
        <w:pStyle w:val="FirstParagraph"/>
      </w:pPr>
      <w:r>
        <w:rPr>
          <w:bCs/>
          <w:b/>
        </w:rPr>
        <w:t xml:space="preserve">Assegurado:</w:t>
      </w:r>
      <w:r>
        <w:t xml:space="preserve"> </w:t>
      </w:r>
      <w:r>
        <w:t xml:space="preserve">as análises laboratoriais e os relatos de caso das Partes I e IV mostram falsificações, erros de dose e impurezas. Hoje também substâncias não aprovadas como retatrutida e zenagamtida são vendidas online</w:t>
      </w:r>
      <w:r>
        <w:rPr>
          <w:rStyle w:val="FootnoteReference"/>
        </w:rPr>
        <w:footnoteReference w:id="2962"/>
      </w:r>
      <w:r>
        <w:t xml:space="preserve">. Nos EUA, cópias de farmácia de semaglutida e tirzepatida foram em grande parte encerradas após o fim das faltas de abastecimento; preparações modificadas continuam existindo</w:t>
      </w:r>
      <w:r>
        <w:rPr>
          <w:rStyle w:val="FootnoteReference"/>
        </w:rPr>
        <w:footnoteReference w:id="2963"/>
      </w:r>
      <w:r>
        <w:t xml:space="preserve">. A classificação de peptídeos para preparações magistrais está sendo renegociada nos EUA</w:t>
      </w:r>
      <w:r>
        <w:rPr>
          <w:rStyle w:val="FootnoteReference"/>
        </w:rPr>
        <w:footnoteReference w:id="2964"/>
      </w:r>
      <w:r>
        <w:t xml:space="preserve">.</w:t>
      </w:r>
    </w:p>
    <w:p>
      <w:pPr>
        <w:pStyle w:val="BodyText"/>
      </w:pPr>
      <w:r>
        <w:rPr>
          <w:bCs/>
          <w:b/>
        </w:rPr>
        <w:t xml:space="preserve">Avaliação do autor:</w:t>
      </w:r>
      <w:r>
        <w:t xml:space="preserve"> </w:t>
      </w:r>
      <w:r>
        <w:t xml:space="preserve">o mercado cinza não desaparecerá até 2035, mas vai mudar. Preços em queda para medicamentos aprovados deverão reduzir o incentivo a falsificações de semaglutida. Ao mesmo tempo, toda nova substância que causar sensação em estudos será oferecida como</w:t>
      </w:r>
      <w:r>
        <w:t xml:space="preserve"> </w:t>
      </w:r>
      <w:r>
        <w:t xml:space="preserve">“</w:t>
      </w:r>
      <w:r>
        <w:t xml:space="preserve">research peptide</w:t>
      </w:r>
      <w:r>
        <w:t xml:space="preserve">”</w:t>
      </w:r>
      <w:r>
        <w:t xml:space="preserve"> </w:t>
      </w:r>
      <w:r>
        <w:t xml:space="preserve">já antes de sua aprovação. Espero controles mais rigorosos de comerciantes online e de meios de pagamento na UE, mas nenhuma solução eficaz enquanto forem possíveis encomendas de países com fiscalização fraca.</w:t>
      </w:r>
    </w:p>
    <w:bookmarkEnd w:id="2965"/>
    <w:bookmarkStart w:id="2970" w:name="X4d53fe752cc6770ec98bc8dc72b7d886f71d2e2"/>
    <w:p>
      <w:pPr>
        <w:pStyle w:val="Heading4"/>
      </w:pPr>
      <w:r>
        <w:t xml:space="preserve">Inteligência artificial no design de peptídeos</w:t>
      </w:r>
    </w:p>
    <w:p>
      <w:pPr>
        <w:pStyle w:val="FirstParagraph"/>
      </w:pPr>
      <w:r>
        <w:rPr>
          <w:bCs/>
          <w:b/>
        </w:rPr>
        <w:t xml:space="preserve">Assegurado:</w:t>
      </w:r>
      <w:r>
        <w:t xml:space="preserve"> </w:t>
      </w:r>
      <w:r>
        <w:t xml:space="preserve">até agora, todas as evidências publicadas vêm de experimentos de laboratório e com animais. Uma equipe de pesquisa projetou, com métodos de aprendizado de máquina, 10.000 novos agonistas do receptor de GLP-1, selecionou 60 no computador e os testou em laboratório; dois candidatos agiram em camundongos cerca de três vezes mais tempo do que a semaglutida</w:t>
      </w:r>
      <w:r>
        <w:rPr>
          <w:rStyle w:val="FootnoteReference"/>
        </w:rPr>
        <w:footnoteReference w:id="2966"/>
      </w:r>
      <w:r>
        <w:t xml:space="preserve">. Outro método projetou peptídeos em forma de anel que se ligam de forma direcionada a proteínas predefinidas; as estruturas determinadas em laboratório coincidiram de perto com os modelos computacionais</w:t>
      </w:r>
      <w:r>
        <w:rPr>
          <w:rStyle w:val="FootnoteReference"/>
        </w:rPr>
        <w:footnoteReference w:id="2967"/>
      </w:r>
      <w:r>
        <w:t xml:space="preserve">. Com um modelo de aprendizado, foram derivados de peptídeos bacterianos novos peptídeos antimicrobianos, um dos quais reduziu em mais de 95% a carga bacteriana em camundongos com uma infecção da coxa</w:t>
      </w:r>
      <w:r>
        <w:rPr>
          <w:rStyle w:val="FootnoteReference"/>
        </w:rPr>
        <w:footnoteReference w:id="2968"/>
      </w:r>
      <w:r>
        <w:t xml:space="preserve">. O peptídeo oral anti-PCSK9 enlicitida foi encontrado com outro método de alto rendimento e já está em fase 3</w:t>
      </w:r>
      <w:r>
        <w:rPr>
          <w:rStyle w:val="FootnoteReference"/>
        </w:rPr>
        <w:footnoteReference w:id="2969"/>
      </w:r>
      <w:r>
        <w:t xml:space="preserve">.</w:t>
      </w:r>
    </w:p>
    <w:p>
      <w:pPr>
        <w:pStyle w:val="BodyText"/>
      </w:pPr>
      <w:r>
        <w:rPr>
          <w:bCs/>
          <w:b/>
        </w:rPr>
        <w:t xml:space="preserve">Avaliação do autor:</w:t>
      </w:r>
      <w:r>
        <w:t xml:space="preserve"> </w:t>
      </w:r>
      <w:r>
        <w:t xml:space="preserve">até 2030, os primeiros peptídeos projetados com métodos de IA estarão em estudos iniciais em humanos; uma aprovação até 2035 é possível, mas não provável, porque mesmo uma molécula encontrada rapidamente precisa passar por todas as fases clínicas. A IA encurta a busca por candidatos, não o teste em humanos. Para os leitores, isso significa: ofertas que prometem</w:t>
      </w:r>
      <w:r>
        <w:t xml:space="preserve"> </w:t>
      </w:r>
      <w:r>
        <w:t xml:space="preserve">“</w:t>
      </w:r>
      <w:r>
        <w:t xml:space="preserve">peptídeos otimizados por IA</w:t>
      </w:r>
      <w:r>
        <w:t xml:space="preserve">”</w:t>
      </w:r>
      <w:r>
        <w:t xml:space="preserve"> </w:t>
      </w:r>
      <w:r>
        <w:t xml:space="preserve">são publicidade, não comprovação de eficácia.</w:t>
      </w:r>
    </w:p>
    <w:bookmarkEnd w:id="2970"/>
    <w:bookmarkEnd w:id="2971"/>
    <w:bookmarkStart w:id="2972" w:name="Xa99152bfaf05fa2d4533b0dc5ee7b8220e7d8fb"/>
    <w:p>
      <w:pPr>
        <w:pStyle w:val="Heading3"/>
      </w:pPr>
      <w:r>
        <w:t xml:space="preserve">Linha do tempo: o que está anunciado no registro até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Evento esperado segundo o registro</w:t>
            </w:r>
          </w:p>
        </w:tc>
        <w:tc>
          <w:tcPr/>
          <w:p>
            <w:pPr>
              <w:pStyle w:val="Compact"/>
              <w:jc w:val="left"/>
            </w:pPr>
            <w:r>
              <w:t xml:space="preserve">Substância</w:t>
            </w:r>
          </w:p>
        </w:tc>
        <w:tc>
          <w:tcPr/>
          <w:p>
            <w:pPr>
              <w:pStyle w:val="Compact"/>
              <w:jc w:val="left"/>
            </w:pPr>
            <w:r>
              <w:t xml:space="preserve">Estudo</w:t>
            </w:r>
          </w:p>
        </w:tc>
      </w:tr>
      <w:tr>
        <w:tc>
          <w:tcPr/>
          <w:p>
            <w:pPr>
              <w:pStyle w:val="Compact"/>
              <w:jc w:val="left"/>
            </w:pPr>
            <w:r>
              <w:t xml:space="preserve">2026/2027</w:t>
            </w:r>
          </w:p>
        </w:tc>
        <w:tc>
          <w:tcPr/>
          <w:p>
            <w:pPr>
              <w:pStyle w:val="Compact"/>
              <w:jc w:val="left"/>
            </w:pPr>
            <w:r>
              <w:t xml:space="preserve">resultados da comparação direta com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sem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acompanhamento após câncer colorretal</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degeneração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crescimento em crianças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eventos cardíacos e renais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insuficiência cardíaca</w:t>
            </w:r>
          </w:p>
        </w:tc>
        <w:tc>
          <w:tcPr/>
          <w:p>
            <w:pPr>
              <w:pStyle w:val="Compact"/>
              <w:jc w:val="left"/>
            </w:pPr>
            <w:r>
              <w:t xml:space="preserve">Maridebarte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(peptídeo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Os anos são os términos de estudo indicados no registro. As publicações costumam vir depois, e adiamentos são frequentes.</w:t>
      </w:r>
    </w:p>
    <w:bookmarkEnd w:id="2972"/>
    <w:bookmarkStart w:id="2973" w:name="conclusão-do-livro"/>
    <w:p>
      <w:pPr>
        <w:pStyle w:val="Heading3"/>
      </w:pPr>
      <w:r>
        <w:t xml:space="preserve">Conclusão do livro</w:t>
      </w:r>
    </w:p>
    <w:p>
      <w:pPr>
        <w:pStyle w:val="FirstParagraph"/>
      </w:pPr>
      <w:r>
        <w:t xml:space="preserve">Dos peptídeos deste livro, apenas poucos comprovaram em grandes estudos em humanos o que são capazes de fazer – à frente de todos, os medicamentos baseados em GLP-1, cujo benefício está comprovado até a redução de eventos cardiovasculares. Para a maioria dos peptídeos promovidos na internet como remédios milagrosos para cicatrização, músculos ou vida longa, por outro lado, há apenas experimentos com animais, estudos pequenos ou nenhum dado – e também nenhum grande estudo em andamento que vá mudar isso em breve. O futuro da medicina com peptídeos não se decide, portanto, em lojas online, mas nos estudos de desfechos que terminam entre 2027 e 2032. Quem se interessa por um peptídeo faz bem em se orientar por três perguntas: existem estudos randomizados em humanos, o produto é um medicamento verificado e há um médico acompanhando o uso?</w:t>
      </w:r>
    </w:p>
    <w:bookmarkEnd w:id="2973"/>
    <w:bookmarkEnd w:id="2974"/>
    <w:bookmarkEnd w:id="2975"/>
    <w:bookmarkStart w:id="2995" w:name="glossário"/>
    <w:p>
      <w:pPr>
        <w:pStyle w:val="Heading1"/>
      </w:pPr>
      <w:r>
        <w:t xml:space="preserve">Glossário</w:t>
      </w:r>
    </w:p>
    <w:p>
      <w:pPr>
        <w:pStyle w:val="FirstParagraph"/>
      </w:pPr>
      <w:r>
        <w:t xml:space="preserve">As explicações a seguir são deliberadamente breves. Apresentações mais detalhadas estão nos capítulos da Parte I, em especial em</w:t>
      </w:r>
      <w:r>
        <w:t xml:space="preserve"> </w:t>
      </w:r>
      <w:r>
        <w:t xml:space="preserve">“</w:t>
      </w:r>
      <w:r>
        <w:t xml:space="preserve">O que são peptídeos – e o que não são</w:t>
      </w:r>
      <w:r>
        <w:t xml:space="preserve">”</w:t>
      </w:r>
      <w:r>
        <w:t xml:space="preserve"> </w:t>
      </w:r>
      <w:r>
        <w:t xml:space="preserve">e</w:t>
      </w:r>
      <w:r>
        <w:t xml:space="preserve"> </w:t>
      </w:r>
      <w:r>
        <w:t xml:space="preserve">“</w:t>
      </w:r>
      <w:r>
        <w:t xml:space="preserve">Como ler estudos corretamente</w:t>
      </w:r>
      <w:r>
        <w:t xml:space="preserve">”</w:t>
      </w:r>
      <w:r>
        <w:t xml:space="preserve">.</w:t>
      </w:r>
    </w:p>
    <w:bookmarkStart w:id="2976" w:name="a"/>
    <w:p>
      <w:pPr>
        <w:pStyle w:val="Heading3"/>
      </w:pPr>
      <w:r>
        <w:t xml:space="preserve">A</w:t>
      </w:r>
    </w:p>
    <w:p>
      <w:pPr>
        <w:pStyle w:val="FirstParagraph"/>
      </w:pPr>
      <w:r>
        <w:rPr>
          <w:bCs/>
          <w:b/>
        </w:rPr>
        <w:t xml:space="preserve">Acromegalia</w:t>
      </w:r>
      <w:r>
        <w:t xml:space="preserve">: doença causada por uma superprodução permanente de hormônio do crescimento na idade adulta, em geral por um tumor benigno da hipófise. São típicos o aumento das mãos, dos pés e dos traços faciais.</w:t>
      </w:r>
    </w:p>
    <w:p>
      <w:pPr>
        <w:pStyle w:val="BodyText"/>
      </w:pPr>
      <w:r>
        <w:rPr>
          <w:bCs/>
          <w:b/>
        </w:rPr>
        <w:t xml:space="preserve">Agonista</w:t>
      </w:r>
      <w:r>
        <w:t xml:space="preserve">: uma substância que se liga a um receptor e o ativa, ou seja, desencadeia um sinal. A semaglutida, por exemplo, é um agonista do receptor de GLP-1.</w:t>
      </w:r>
    </w:p>
    <w:p>
      <w:pPr>
        <w:pStyle w:val="BodyText"/>
      </w:pPr>
      <w:r>
        <w:rPr>
          <w:bCs/>
          <w:b/>
        </w:rPr>
        <w:t xml:space="preserve">Agonista do receptor de GLP-1</w:t>
      </w:r>
      <w:r>
        <w:t xml:space="preserve">: uma substância que ativa o receptor de GLP-1, por exemplo exenatida, liraglutida, dulaglutida ou semaglutida.</w:t>
      </w:r>
    </w:p>
    <w:p>
      <w:pPr>
        <w:pStyle w:val="BodyText"/>
      </w:pPr>
      <w:r>
        <w:rPr>
          <w:bCs/>
          <w:b/>
        </w:rPr>
        <w:t xml:space="preserve">Albumina</w:t>
      </w:r>
      <w:r>
        <w:t xml:space="preserve">: a proteína mais abundante do plasma sanguíneo. Alguns medicamentos peptídicos são construídos de modo a se ligar à albumina e, com isso, permanecer mais tempo no corpo.</w:t>
      </w:r>
    </w:p>
    <w:p>
      <w:pPr>
        <w:pStyle w:val="BodyText"/>
      </w:pPr>
      <w:r>
        <w:rPr>
          <w:bCs/>
          <w:b/>
        </w:rPr>
        <w:t xml:space="preserve">Amilina</w:t>
      </w:r>
      <w:r>
        <w:t xml:space="preserve">: um hormônio peptídico secretado pelo pâncreas junto com a insulina, que influencia, entre outros, a saciedade e o esvaziamento gástrico. Variantes como a pranlintida e a cagrilintida são usadas ou pesquisadas como medicamentos.</w:t>
      </w:r>
    </w:p>
    <w:p>
      <w:pPr>
        <w:pStyle w:val="BodyText"/>
      </w:pPr>
      <w:r>
        <w:rPr>
          <w:bCs/>
          <w:b/>
        </w:rPr>
        <w:t xml:space="preserve">Aminoácido</w:t>
      </w:r>
      <w:r>
        <w:t xml:space="preserve">: componente básico de peptídeos e proteínas. O ser humano usa essencialmente 20 aminoácidos padrão, que são unidos em cadeias por ligações peptídicas.</w:t>
      </w:r>
    </w:p>
    <w:p>
      <w:pPr>
        <w:pStyle w:val="BodyText"/>
      </w:pPr>
      <w:r>
        <w:rPr>
          <w:bCs/>
          <w:b/>
        </w:rPr>
        <w:t xml:space="preserve">Análise por intenção de tratar</w:t>
      </w:r>
      <w:r>
        <w:t xml:space="preserve">: análise de um estudo em que todos os participantes são contados no grupo para o qual foram designados – mesmo que tenham interrompido o tratamento. É considerada uma estimativa mais realista do efeito no dia a dia.</w:t>
      </w:r>
    </w:p>
    <w:p>
      <w:pPr>
        <w:pStyle w:val="BodyText"/>
      </w:pPr>
      <w:r>
        <w:rPr>
          <w:bCs/>
          <w:b/>
        </w:rPr>
        <w:t xml:space="preserve">Análogo</w:t>
      </w:r>
      <w:r>
        <w:t xml:space="preserve">: uma molécula que imita um modelo natural, mas foi modificada de forma direcionada – por exemplo, para torná-la mais estável ou de ação mais longa.</w:t>
      </w:r>
    </w:p>
    <w:p>
      <w:pPr>
        <w:pStyle w:val="BodyText"/>
      </w:pPr>
      <w:r>
        <w:rPr>
          <w:bCs/>
          <w:b/>
        </w:rPr>
        <w:t xml:space="preserve">Angiogênese</w:t>
      </w:r>
      <w:r>
        <w:t xml:space="preserve">: formação de novos vasos sanguíneos. É importante para a cicatrização de feridas, mas também pode favorecer o crescimento de tumores.</w:t>
      </w:r>
    </w:p>
    <w:p>
      <w:pPr>
        <w:pStyle w:val="BodyText"/>
      </w:pPr>
      <w:r>
        <w:rPr>
          <w:bCs/>
          <w:b/>
        </w:rPr>
        <w:t xml:space="preserve">Antagonista</w:t>
      </w:r>
      <w:r>
        <w:t xml:space="preserve">: uma substância que se liga a um receptor sem ativá-lo e, com isso, bloqueia o efeito de mensageiros do próprio corpo.</w:t>
      </w:r>
    </w:p>
    <w:p>
      <w:pPr>
        <w:pStyle w:val="BodyText"/>
      </w:pPr>
      <w:r>
        <w:rPr>
          <w:bCs/>
          <w:b/>
        </w:rPr>
        <w:t xml:space="preserve">Anticorpos</w:t>
      </w:r>
      <w:r>
        <w:t xml:space="preserve">: moléculas proteicas do sistema imunológico que se ligam de forma específica a estruturas estranhas. Anticorpos formados contra medicamentos peptídicos podem atenuar seu efeito ou desencadear reações.</w:t>
      </w:r>
    </w:p>
    <w:p>
      <w:pPr>
        <w:pStyle w:val="BodyText"/>
      </w:pPr>
      <w:r>
        <w:rPr>
          <w:bCs/>
          <w:b/>
        </w:rPr>
        <w:t xml:space="preserve">Aprovação</w:t>
      </w:r>
      <w:r>
        <w:t xml:space="preserve">: a autorização oficial para colocar um medicamento no mercado, após a avaliação de qualidade, eficácia e segurança.</w:t>
      </w:r>
    </w:p>
    <w:p>
      <w:pPr>
        <w:pStyle w:val="BodyText"/>
      </w:pPr>
      <w:r>
        <w:rPr>
          <w:bCs/>
          <w:b/>
        </w:rPr>
        <w:t xml:space="preserve">Autorização de uso terapêutico (TUE)</w:t>
      </w:r>
      <w:r>
        <w:t xml:space="preserve">: uma autorização médica excepcional no esporte, que permite o uso de um medicamento proibido, mas clinicamente necessário.</w:t>
      </w:r>
    </w:p>
    <w:bookmarkEnd w:id="2976"/>
    <w:bookmarkStart w:id="2977" w:name="b"/>
    <w:p>
      <w:pPr>
        <w:pStyle w:val="Heading3"/>
      </w:pPr>
      <w:r>
        <w:t xml:space="preserve">B</w:t>
      </w:r>
    </w:p>
    <w:p>
      <w:pPr>
        <w:pStyle w:val="FirstParagraph"/>
      </w:pPr>
      <w:r>
        <w:rPr>
          <w:bCs/>
          <w:b/>
        </w:rPr>
        <w:t xml:space="preserve">Biodisponibilidade</w:t>
      </w:r>
      <w:r>
        <w:t xml:space="preserve">: a proporção de uma substância administrada que chega inalterada à circulação sanguínea. Em uma infusão na veia, ela é de 100%; em comprimidos de peptídeos, muitas vezes de apenas poucos por cento ou menos.</w:t>
      </w:r>
    </w:p>
    <w:p>
      <w:pPr>
        <w:pStyle w:val="BodyText"/>
      </w:pPr>
      <w:r>
        <w:rPr>
          <w:bCs/>
          <w:b/>
        </w:rPr>
        <w:t xml:space="preserve">Biossimilar</w:t>
      </w:r>
      <w:r>
        <w:t xml:space="preserve">: uma preparação sucessora de um medicamento biológico após o fim da proteção patentária. Precisa ser comprovadamente muito semelhante ao original em qualidade, eficácia e segurança.</w:t>
      </w:r>
    </w:p>
    <w:p>
      <w:pPr>
        <w:pStyle w:val="BodyText"/>
      </w:pPr>
      <w:r>
        <w:rPr>
          <w:bCs/>
          <w:b/>
        </w:rPr>
        <w:t xml:space="preserve">Bula profissional</w:t>
      </w:r>
      <w:r>
        <w:t xml:space="preserve">: a informação aprovada pelas autoridades sobre um medicamento aprovado, destinada a médicos e farmácias, com indicações, posologia, contraindicações e efeitos colaterais.</w:t>
      </w:r>
    </w:p>
    <w:bookmarkEnd w:id="2977"/>
    <w:bookmarkStart w:id="2978" w:name="c"/>
    <w:p>
      <w:pPr>
        <w:pStyle w:val="Heading3"/>
      </w:pPr>
      <w:r>
        <w:t xml:space="preserve">C</w:t>
      </w:r>
    </w:p>
    <w:p>
      <w:pPr>
        <w:pStyle w:val="FirstParagraph"/>
      </w:pPr>
      <w:r>
        <w:rPr>
          <w:bCs/>
          <w:b/>
        </w:rPr>
        <w:t xml:space="preserve">C-terminal</w:t>
      </w:r>
      <w:r>
        <w:t xml:space="preserve">: a extremidade de uma cadeia peptídica com o grupo ácido livre. As sequências de peptídeos são escritas do N-terminal para o C-terminal.</w:t>
      </w:r>
    </w:p>
    <w:p>
      <w:pPr>
        <w:pStyle w:val="BodyText"/>
      </w:pPr>
      <w:r>
        <w:rPr>
          <w:bCs/>
          <w:b/>
        </w:rPr>
        <w:t xml:space="preserve">Cegamento</w:t>
      </w:r>
      <w:r>
        <w:t xml:space="preserve">: a ocultação da distribuição entre os grupos para participantes e/ou equipe do estudo, a fim de evitar efeitos de expectativa.</w:t>
      </w:r>
    </w:p>
    <w:p>
      <w:pPr>
        <w:pStyle w:val="BodyText"/>
      </w:pPr>
      <w:r>
        <w:rPr>
          <w:bCs/>
          <w:b/>
        </w:rPr>
        <w:t xml:space="preserve">Compounding</w:t>
      </w:r>
      <w:r>
        <w:t xml:space="preserve">: nos EUA, a preparação de medicamentos pelas próprias farmácias, por exemplo em caso de falta de abastecimento. Essas preparações não são medicamentos industrializados aprovados.</w:t>
      </w:r>
    </w:p>
    <w:p>
      <w:pPr>
        <w:pStyle w:val="BodyText"/>
      </w:pPr>
      <w:r>
        <w:rPr>
          <w:bCs/>
          <w:b/>
        </w:rPr>
        <w:t xml:space="preserve">Conflito de interesses</w:t>
      </w:r>
      <w:r>
        <w:t xml:space="preserve">: uma situação em que interesses financeiros ou de outro tipo poderiam influenciar o julgamento de pesquisadores ou autores, por exemplo pelo financiamento de um estudo pelo fabricante.</w:t>
      </w:r>
    </w:p>
    <w:p>
      <w:pPr>
        <w:pStyle w:val="BodyText"/>
      </w:pPr>
      <w:r>
        <w:rPr>
          <w:bCs/>
          <w:b/>
        </w:rPr>
        <w:t xml:space="preserve">Cosmético</w:t>
      </w:r>
      <w:r>
        <w:t xml:space="preserve">: um produto de uso externo que limpa, cuida, protege ou altera a aparência. Não pode reivindicar efeito medicamentoso e não precisa de aprovação na UE.</w:t>
      </w:r>
    </w:p>
    <w:bookmarkEnd w:id="2978"/>
    <w:bookmarkStart w:id="2979" w:name="d"/>
    <w:p>
      <w:pPr>
        <w:pStyle w:val="Heading3"/>
      </w:pPr>
      <w:r>
        <w:t xml:space="preserve">D</w:t>
      </w:r>
    </w:p>
    <w:p>
      <w:pPr>
        <w:pStyle w:val="FirstParagraph"/>
      </w:pPr>
      <w:r>
        <w:rPr>
          <w:bCs/>
          <w:b/>
        </w:rPr>
        <w:t xml:space="preserve">Dalton</w:t>
      </w:r>
      <w:r>
        <w:t xml:space="preserve">: unidade de medida da massa de moléculas. Um aminoácido em uma cadeia peptídica pesa em média um pouco mais de 100 daltons.</w:t>
      </w:r>
    </w:p>
    <w:p>
      <w:pPr>
        <w:pStyle w:val="BodyText"/>
      </w:pPr>
      <w:r>
        <w:rPr>
          <w:bCs/>
          <w:b/>
        </w:rPr>
        <w:t xml:space="preserve">Desfecho</w:t>
      </w:r>
      <w:r>
        <w:t xml:space="preserve">: a característica pela qual se mede, em um estudo, o sucesso de um tratamento, como perda de peso, glicemia ou infartos. O mais importante é definido como desfecho primário antes do início do estudo.</w:t>
      </w:r>
    </w:p>
    <w:p>
      <w:pPr>
        <w:pStyle w:val="BodyText"/>
      </w:pPr>
      <w:r>
        <w:rPr>
          <w:bCs/>
          <w:b/>
        </w:rPr>
        <w:t xml:space="preserve">Desfecho duro</w:t>
      </w:r>
      <w:r>
        <w:t xml:space="preserve">: um resultado de estudo que importa diretamente para os pacientes, como morte, infarto, AVC ou fratura óssea.</w:t>
      </w:r>
    </w:p>
    <w:p>
      <w:pPr>
        <w:pStyle w:val="BodyText"/>
      </w:pPr>
      <w:r>
        <w:rPr>
          <w:bCs/>
          <w:b/>
        </w:rPr>
        <w:t xml:space="preserve">Desfecho substituto</w:t>
      </w:r>
      <w:r>
        <w:t xml:space="preserve">: um valor medido usado em lugar de um evento clinicamente relevante, por exemplo a glicemia em vez do infarto. Melhoras de um desfecho substituto não significam automaticamente um benefício para os pacientes.</w:t>
      </w:r>
    </w:p>
    <w:p>
      <w:pPr>
        <w:pStyle w:val="BodyText"/>
      </w:pPr>
      <w:r>
        <w:rPr>
          <w:bCs/>
          <w:b/>
        </w:rPr>
        <w:t xml:space="preserve">Diabetes tipo 2</w:t>
      </w:r>
      <w:r>
        <w:t xml:space="preserve">: a forma mais comum de diabetes, em que o corpo usa a insulina de forma menos eficaz e o pâncreas não produz o suficiente para compensar. Frequentemente associado ao excesso de peso.</w:t>
      </w:r>
    </w:p>
    <w:p>
      <w:pPr>
        <w:pStyle w:val="BodyText"/>
      </w:pPr>
      <w:r>
        <w:rPr>
          <w:bCs/>
          <w:b/>
        </w:rPr>
        <w:t xml:space="preserve">Dipeptidil peptidase-4 (DPP-4)</w:t>
      </w:r>
      <w:r>
        <w:t xml:space="preserve">: uma enzima que degrada rapidamente, entre outros, o hormônio intestinal GLP-1. Inibidores dessa enzima (gliptinas) são usados como comprimidos para diabetes.</w:t>
      </w:r>
    </w:p>
    <w:p>
      <w:pPr>
        <w:pStyle w:val="BodyText"/>
      </w:pPr>
      <w:r>
        <w:rPr>
          <w:bCs/>
          <w:b/>
        </w:rPr>
        <w:t xml:space="preserve">Duplo-cego</w:t>
      </w:r>
      <w:r>
        <w:t xml:space="preserve">: um estudo em que nem os participantes nem a equipe do estudo sabem quem recebe a substância ativa e quem recebe placebo. Isso reduz a influência das expectativas sobre os resultados.</w:t>
      </w:r>
    </w:p>
    <w:bookmarkEnd w:id="2979"/>
    <w:bookmarkStart w:id="2980" w:name="e"/>
    <w:p>
      <w:pPr>
        <w:pStyle w:val="Heading3"/>
      </w:pPr>
      <w:r>
        <w:t xml:space="preserve">E</w:t>
      </w:r>
    </w:p>
    <w:p>
      <w:pPr>
        <w:pStyle w:val="FirstParagraph"/>
      </w:pPr>
      <w:r>
        <w:rPr>
          <w:bCs/>
          <w:b/>
        </w:rPr>
        <w:t xml:space="preserve">ECR (ensaio clínico randomizado)</w:t>
      </w:r>
      <w:r>
        <w:t xml:space="preserve">: um estudo com distribuição aleatória entre um grupo de tratamento e um grupo controle. É considerado o caminho mais confiável para comprovar o efeito de um tratamento.</w:t>
      </w:r>
    </w:p>
    <w:p>
      <w:pPr>
        <w:pStyle w:val="BodyText"/>
      </w:pPr>
      <w:r>
        <w:rPr>
          <w:bCs/>
          <w:b/>
        </w:rPr>
        <w:t xml:space="preserve">Efeito placebo</w:t>
      </w:r>
      <w:r>
        <w:t xml:space="preserve">: uma melhora de queixas que não se deve a uma substância ativa, mas a expectativas, atenção recebida ou à evolução natural.</w:t>
      </w:r>
    </w:p>
    <w:p>
      <w:pPr>
        <w:pStyle w:val="BodyText"/>
      </w:pPr>
      <w:r>
        <w:rPr>
          <w:bCs/>
          <w:b/>
        </w:rPr>
        <w:t xml:space="preserve">Endotoxinas</w:t>
      </w:r>
      <w:r>
        <w:t xml:space="preserve">: componentes termoestáveis da parede celular de determinadas bactérias. Se chegam ao sangue, podem desencadear febre, inflamações e reações circulatórias; continuam ativas mesmo depois que as bactérias foram mortas.</w:t>
      </w:r>
    </w:p>
    <w:p>
      <w:pPr>
        <w:pStyle w:val="BodyText"/>
      </w:pPr>
      <w:r>
        <w:rPr>
          <w:bCs/>
          <w:b/>
        </w:rPr>
        <w:t xml:space="preserve">Espectrometria de massas</w:t>
      </w:r>
      <w:r>
        <w:t xml:space="preserve">: um método de medição que determina moléculas pela sua massa. Com ele, peptídeos em produtos e em líquidos corporais podem ser identificados de forma inequívoca, por exemplo em controles antidoping.</w:t>
      </w:r>
    </w:p>
    <w:p>
      <w:pPr>
        <w:pStyle w:val="BodyText"/>
      </w:pPr>
      <w:r>
        <w:rPr>
          <w:bCs/>
          <w:b/>
        </w:rPr>
        <w:t xml:space="preserve">Esterilidade</w:t>
      </w:r>
      <w:r>
        <w:t xml:space="preserve">: ausência de microrganismos vivos. Um produto estéril pode, ainda assim, conter endotoxinas.</w:t>
      </w:r>
    </w:p>
    <w:p>
      <w:pPr>
        <w:pStyle w:val="BodyText"/>
      </w:pPr>
      <w:r>
        <w:rPr>
          <w:bCs/>
          <w:b/>
        </w:rPr>
        <w:t xml:space="preserve">Estimando</w:t>
      </w:r>
      <w:r>
        <w:t xml:space="preserve">: uma descrição precisa de qual efeito do tratamento é estimado em um estudo – por exemplo, independentemente de os participantes interromperem o tratamento, ou apenas para o período de uso efetivo.</w:t>
      </w:r>
    </w:p>
    <w:p>
      <w:pPr>
        <w:pStyle w:val="BodyText"/>
      </w:pPr>
      <w:r>
        <w:rPr>
          <w:bCs/>
          <w:b/>
        </w:rPr>
        <w:t xml:space="preserve">Estudo aberto</w:t>
      </w:r>
      <w:r>
        <w:t xml:space="preserve">: um estudo sem cegamento, em que participantes e equipe do estudo sabem qual tratamento é administrado.</w:t>
      </w:r>
    </w:p>
    <w:p>
      <w:pPr>
        <w:pStyle w:val="BodyText"/>
      </w:pPr>
      <w:r>
        <w:rPr>
          <w:bCs/>
          <w:b/>
        </w:rPr>
        <w:t xml:space="preserve">Estudo de coorte</w:t>
      </w:r>
      <w:r>
        <w:t xml:space="preserve">: um estudo observacional que acompanha um grupo de pessoas por um período mais longo e compara com que frequência determinados eventos ocorrem conforme diferentes características ou tratamentos.</w:t>
      </w:r>
    </w:p>
    <w:p>
      <w:pPr>
        <w:pStyle w:val="BodyText"/>
      </w:pPr>
      <w:r>
        <w:rPr>
          <w:bCs/>
          <w:b/>
        </w:rPr>
        <w:t xml:space="preserve">Estudos pré-clínicos</w:t>
      </w:r>
      <w:r>
        <w:t xml:space="preserve">: investigações em laboratório e em animais realizadas antes dos primeiros estudos em humanos.</w:t>
      </w:r>
    </w:p>
    <w:p>
      <w:pPr>
        <w:pStyle w:val="BodyText"/>
      </w:pPr>
      <w:r>
        <w:rPr>
          <w:bCs/>
          <w:b/>
        </w:rPr>
        <w:t xml:space="preserve">EudraVigilance</w:t>
      </w:r>
      <w:r>
        <w:t xml:space="preserve">: o banco de dados da Agência Europeia de Medicamentos para notificações de suspeitas de efeitos colaterais.</w:t>
      </w:r>
    </w:p>
    <w:p>
      <w:pPr>
        <w:pStyle w:val="BodyText"/>
      </w:pPr>
      <w:r>
        <w:rPr>
          <w:bCs/>
          <w:b/>
        </w:rPr>
        <w:t xml:space="preserve">Evento adverso</w:t>
      </w:r>
      <w:r>
        <w:t xml:space="preserve">: qualquer problema de saúde que ocorra durante um estudo, independentemente de ter sido causado pelo tratamento. Só a comparação com o grupo controle mostra se uma relação é provável.</w:t>
      </w:r>
    </w:p>
    <w:bookmarkEnd w:id="2980"/>
    <w:bookmarkStart w:id="2981" w:name="f"/>
    <w:p>
      <w:pPr>
        <w:pStyle w:val="Heading3"/>
      </w:pPr>
      <w:r>
        <w:t xml:space="preserve">F</w:t>
      </w:r>
    </w:p>
    <w:p>
      <w:pPr>
        <w:pStyle w:val="FirstParagraph"/>
      </w:pPr>
      <w:r>
        <w:rPr>
          <w:bCs/>
          <w:b/>
        </w:rPr>
        <w:t xml:space="preserve">FAERS</w:t>
      </w:r>
      <w:r>
        <w:t xml:space="preserve">: o sistema de notificação da agência norte-americana de medicamentos FDA para suspeitas de efeitos colaterais.</w:t>
      </w:r>
    </w:p>
    <w:p>
      <w:pPr>
        <w:pStyle w:val="BodyText"/>
      </w:pPr>
      <w:r>
        <w:rPr>
          <w:bCs/>
          <w:b/>
        </w:rPr>
        <w:t xml:space="preserve">Farmacocinética</w:t>
      </w:r>
      <w:r>
        <w:t xml:space="preserve">: o estudo do que o corpo faz com uma substância – absorção, distribuição, degradação e eliminação.</w:t>
      </w:r>
    </w:p>
    <w:p>
      <w:pPr>
        <w:pStyle w:val="BodyText"/>
      </w:pPr>
      <w:r>
        <w:rPr>
          <w:bCs/>
          <w:b/>
        </w:rPr>
        <w:t xml:space="preserve">Farmacodinâmica</w:t>
      </w:r>
      <w:r>
        <w:t xml:space="preserve">: o estudo do que uma substância provoca no corpo – ou seja, seus efeitos e mecanismos de ação.</w:t>
      </w:r>
    </w:p>
    <w:p>
      <w:pPr>
        <w:pStyle w:val="BodyText"/>
      </w:pPr>
      <w:r>
        <w:rPr>
          <w:bCs/>
          <w:b/>
        </w:rPr>
        <w:t xml:space="preserve">Farmacovigilância</w:t>
      </w:r>
      <w:r>
        <w:t xml:space="preserve">: o monitoramento sistemático de medicamentos após a aprovação, para reconhecer e avaliar efeitos colaterais.</w:t>
      </w:r>
    </w:p>
    <w:p>
      <w:pPr>
        <w:pStyle w:val="BodyText"/>
      </w:pPr>
      <w:r>
        <w:rPr>
          <w:bCs/>
          <w:b/>
        </w:rPr>
        <w:t xml:space="preserve">Fases do estudo</w:t>
      </w:r>
      <w:r>
        <w:t xml:space="preserve">: as etapas do teste de medicamentos em humanos, da fase 1 (tolerabilidade em poucas pessoas) à fase 3 (grandes estudos comparativos) e à fase 4 (observação após a aprovação).</w:t>
      </w:r>
    </w:p>
    <w:p>
      <w:pPr>
        <w:pStyle w:val="BodyText"/>
      </w:pPr>
      <w:r>
        <w:rPr>
          <w:bCs/>
          <w:b/>
        </w:rPr>
        <w:t xml:space="preserve">Fator de confusão (confounding)</w:t>
      </w:r>
      <w:r>
        <w:t xml:space="preserve">: um fator relacionado tanto a um tratamento quanto a um resultado e que, assim, pode gerar uma associação aparente. Problema típico dos estudos observacionais.</w:t>
      </w:r>
    </w:p>
    <w:bookmarkEnd w:id="2981"/>
    <w:bookmarkStart w:id="2982" w:name="g"/>
    <w:p>
      <w:pPr>
        <w:pStyle w:val="Heading3"/>
      </w:pPr>
      <w:r>
        <w:t xml:space="preserve">G</w:t>
      </w:r>
    </w:p>
    <w:p>
      <w:pPr>
        <w:pStyle w:val="FirstParagraph"/>
      </w:pPr>
      <w:r>
        <w:rPr>
          <w:bCs/>
          <w:b/>
        </w:rPr>
        <w:t xml:space="preserve">GHRH (hormônio liberador do hormônio do crescimento)</w:t>
      </w:r>
      <w:r>
        <w:t xml:space="preserve">: um hormônio do hipotálamo que estimula a hipófise a secretar hormônio do crescimento. Sermorelina, tesamorelina e CJC-1295 derivam dele.</w:t>
      </w:r>
    </w:p>
    <w:p>
      <w:pPr>
        <w:pStyle w:val="BodyText"/>
      </w:pPr>
      <w:r>
        <w:rPr>
          <w:bCs/>
          <w:b/>
        </w:rPr>
        <w:t xml:space="preserve">GHRP (peptídeos liberadores do hormônio do crescimento)</w:t>
      </w:r>
      <w:r>
        <w:t xml:space="preserve">: um grupo de peptídeos sintéticos que aumentam a secreção de hormônio do crescimento por meio do receptor de grelina, como GHRP-2, GHRP-6, hexarelina e ipamorelina.</w:t>
      </w:r>
    </w:p>
    <w:p>
      <w:pPr>
        <w:pStyle w:val="BodyText"/>
      </w:pPr>
      <w:r>
        <w:rPr>
          <w:bCs/>
          <w:b/>
        </w:rPr>
        <w:t xml:space="preserve">GIP (polipeptídeo insulinotrópico dependente de glicose)</w:t>
      </w:r>
      <w:r>
        <w:t xml:space="preserve">: um hormônio intestinal do grupo das incretinas. A tirzepatida ativa, além do receptor de GLP-1, também o receptor de GIP.</w:t>
      </w:r>
    </w:p>
    <w:p>
      <w:pPr>
        <w:pStyle w:val="BodyText"/>
      </w:pPr>
      <w:r>
        <w:rPr>
          <w:bCs/>
          <w:b/>
        </w:rPr>
        <w:t xml:space="preserve">GLP-1 (peptídeo semelhante ao glucagon 1)</w:t>
      </w:r>
      <w:r>
        <w:t xml:space="preserve">: um hormônio intestinal secretado após as refeições, que aumenta a liberação de insulina de forma dependente da glicemia, retarda o esvaziamento gástrico e influencia a sensação de saciedade.</w:t>
      </w:r>
    </w:p>
    <w:p>
      <w:pPr>
        <w:pStyle w:val="BodyText"/>
      </w:pPr>
      <w:r>
        <w:rPr>
          <w:bCs/>
          <w:b/>
        </w:rPr>
        <w:t xml:space="preserve">Glucagon</w:t>
      </w:r>
      <w:r>
        <w:t xml:space="preserve">: um hormônio peptídico do pâncreas que eleva a glicemia. Algumas substâncias novas ativam adicionalmente o receptor de glucagon.</w:t>
      </w:r>
    </w:p>
    <w:p>
      <w:pPr>
        <w:pStyle w:val="BodyText"/>
      </w:pPr>
      <w:r>
        <w:rPr>
          <w:bCs/>
          <w:b/>
        </w:rPr>
        <w:t xml:space="preserve">GnRH (hormônio liberador de gonadotrofinas)</w:t>
      </w:r>
      <w:r>
        <w:t xml:space="preserve">: um hormônio do hipotálamo que regula a secreção de LH e FSH, os hormônios que controlam os hormônios sexuais. A gonadorelina é uma forma sintética.</w:t>
      </w:r>
    </w:p>
    <w:p>
      <w:pPr>
        <w:pStyle w:val="BodyText"/>
      </w:pPr>
      <w:r>
        <w:rPr>
          <w:bCs/>
          <w:b/>
        </w:rPr>
        <w:t xml:space="preserve">Grelina</w:t>
      </w:r>
      <w:r>
        <w:t xml:space="preserve">: um hormônio peptídico produzido sobretudo no estômago, que desencadeia a fome e estimula a secreção de hormônio do crescimento.</w:t>
      </w:r>
    </w:p>
    <w:p>
      <w:pPr>
        <w:pStyle w:val="BodyText"/>
      </w:pPr>
      <w:r>
        <w:rPr>
          <w:bCs/>
          <w:b/>
        </w:rPr>
        <w:t xml:space="preserve">Grupo controle</w:t>
      </w:r>
      <w:r>
        <w:t xml:space="preserve">: o grupo de comparação em um estudo, que não recebe substância ativa, recebe um placebo ou um tratamento padrão.</w:t>
      </w:r>
    </w:p>
    <w:bookmarkEnd w:id="2982"/>
    <w:bookmarkStart w:id="2983" w:name="h"/>
    <w:p>
      <w:pPr>
        <w:pStyle w:val="Heading3"/>
      </w:pPr>
      <w:r>
        <w:t xml:space="preserve">H</w:t>
      </w:r>
    </w:p>
    <w:p>
      <w:pPr>
        <w:pStyle w:val="FirstParagraph"/>
      </w:pPr>
      <w:r>
        <w:rPr>
          <w:bCs/>
          <w:b/>
        </w:rPr>
        <w:t xml:space="preserve">Hazard ratio (razão de risco)</w:t>
      </w:r>
      <w:r>
        <w:t xml:space="preserve">: uma medida de como o risco de um evento ao longo do tempo difere entre dois grupos. Um valor de 0,80 significa um risco relativo cerca de 20% menor.</w:t>
      </w:r>
    </w:p>
    <w:p>
      <w:pPr>
        <w:pStyle w:val="BodyText"/>
      </w:pPr>
      <w:r>
        <w:rPr>
          <w:bCs/>
          <w:b/>
        </w:rPr>
        <w:t xml:space="preserve">HbA1c</w:t>
      </w:r>
      <w:r>
        <w:t xml:space="preserve">: a proporção do pigmento vermelho do sangue à qual o açúcar está ligado. Reflete a glicemia média dos últimos dois a três meses e é um importante desfecho substituto em estudos de diabetes.</w:t>
      </w:r>
    </w:p>
    <w:p>
      <w:pPr>
        <w:pStyle w:val="BodyText"/>
      </w:pPr>
      <w:r>
        <w:rPr>
          <w:bCs/>
          <w:b/>
        </w:rPr>
        <w:t xml:space="preserve">Hidrolisado</w:t>
      </w:r>
      <w:r>
        <w:t xml:space="preserve">: uma mistura de fragmentos que surge quando proteínas são clivadas com enzimas ou ácido. Os peptídeos de colágeno são obtidos dessa forma.</w:t>
      </w:r>
    </w:p>
    <w:p>
      <w:pPr>
        <w:pStyle w:val="BodyText"/>
      </w:pPr>
      <w:r>
        <w:rPr>
          <w:bCs/>
          <w:b/>
        </w:rPr>
        <w:t xml:space="preserve">Hipófise</w:t>
      </w:r>
      <w:r>
        <w:t xml:space="preserve">: uma pequena glândula hormonal na base do crânio que secreta, entre outros, o hormônio do crescimento e os hormônios de controle da tireoide, das suprarrenais e das gônadas.</w:t>
      </w:r>
    </w:p>
    <w:p>
      <w:pPr>
        <w:pStyle w:val="BodyText"/>
      </w:pPr>
      <w:r>
        <w:rPr>
          <w:bCs/>
          <w:b/>
        </w:rPr>
        <w:t xml:space="preserve">Hipoglicemia</w:t>
      </w:r>
      <w:r>
        <w:t xml:space="preserve">: nível de açúcar no sangue baixo demais. Pode levar a tremores, sudorese, confusão e perda de consciência e é uma emergência.</w:t>
      </w:r>
    </w:p>
    <w:p>
      <w:pPr>
        <w:pStyle w:val="BodyText"/>
      </w:pPr>
      <w:r>
        <w:rPr>
          <w:bCs/>
          <w:b/>
        </w:rPr>
        <w:t xml:space="preserve">Hipotálamo</w:t>
      </w:r>
      <w:r>
        <w:t xml:space="preserve">: uma região do cérebro que controla a hipófise por meio de hormônios liberadores e participa da regulação da fome, da sede, do sono e da temperatura corporal.</w:t>
      </w:r>
    </w:p>
    <w:p>
      <w:pPr>
        <w:pStyle w:val="BodyText"/>
      </w:pPr>
      <w:r>
        <w:rPr>
          <w:bCs/>
          <w:b/>
        </w:rPr>
        <w:t xml:space="preserve">Hormônio do crescimento (somatotropina)</w:t>
      </w:r>
      <w:r>
        <w:t xml:space="preserve">: uma proteína da hipófise que influencia o crescimento, o metabolismo e a composição corporal. Muitos peptídeos deste livro supostamente aumentam sua secreção.</w:t>
      </w:r>
    </w:p>
    <w:p>
      <w:pPr>
        <w:pStyle w:val="BodyText"/>
      </w:pPr>
      <w:r>
        <w:rPr>
          <w:bCs/>
          <w:b/>
        </w:rPr>
        <w:t xml:space="preserve">HPLC (cromatografia líquida de alta eficiência)</w:t>
      </w:r>
      <w:r>
        <w:t xml:space="preserve">: um método de laboratório com o qual se podem separar misturas de substâncias e determinar a pureza de peptídeos.</w:t>
      </w:r>
    </w:p>
    <w:bookmarkEnd w:id="2983"/>
    <w:bookmarkStart w:id="2984" w:name="i"/>
    <w:p>
      <w:pPr>
        <w:pStyle w:val="Heading3"/>
      </w:pPr>
      <w:r>
        <w:t xml:space="preserve">I</w:t>
      </w:r>
    </w:p>
    <w:p>
      <w:pPr>
        <w:pStyle w:val="FirstParagraph"/>
      </w:pPr>
      <w:r>
        <w:rPr>
          <w:bCs/>
          <w:b/>
        </w:rPr>
        <w:t xml:space="preserve">IGF-1 (fator de crescimento semelhante à insulina tipo 1)</w:t>
      </w:r>
      <w:r>
        <w:t xml:space="preserve">: um fator de crescimento produzido sobretudo no fígado sob a influência do hormônio do crescimento. Medeia muitos efeitos do hormônio do crescimento e serve como exame laboratorial para avaliá-lo.</w:t>
      </w:r>
    </w:p>
    <w:p>
      <w:pPr>
        <w:pStyle w:val="BodyText"/>
      </w:pPr>
      <w:r>
        <w:rPr>
          <w:bCs/>
          <w:b/>
        </w:rPr>
        <w:t xml:space="preserve">IMC (índice de massa corporal)</w:t>
      </w:r>
      <w:r>
        <w:t xml:space="preserve">: peso corporal em quilogramas dividido pelo quadrado da altura em metros. Medida aproximada para baixo peso, peso normal e excesso de peso.</w:t>
      </w:r>
    </w:p>
    <w:p>
      <w:pPr>
        <w:pStyle w:val="BodyText"/>
      </w:pPr>
      <w:r>
        <w:rPr>
          <w:bCs/>
          <w:b/>
        </w:rPr>
        <w:t xml:space="preserve">Impureza</w:t>
      </w:r>
      <w:r>
        <w:t xml:space="preserve">: componentes indesejados de um produto, como cadeias peptídicas defeituosas da síntese, resíduos de solventes, metais ou componentes bacterianos.</w:t>
      </w:r>
    </w:p>
    <w:p>
      <w:pPr>
        <w:pStyle w:val="BodyText"/>
      </w:pPr>
      <w:r>
        <w:rPr>
          <w:bCs/>
          <w:b/>
        </w:rPr>
        <w:t xml:space="preserve">Imunogenicidade</w:t>
      </w:r>
      <w:r>
        <w:t xml:space="preserve">: a propriedade de uma substância de desencadear uma reação do sistema imunológico, como a formação de anticorpos.</w:t>
      </w:r>
    </w:p>
    <w:p>
      <w:pPr>
        <w:pStyle w:val="BodyText"/>
      </w:pPr>
      <w:r>
        <w:rPr>
          <w:bCs/>
          <w:b/>
        </w:rPr>
        <w:t xml:space="preserve">In vitro</w:t>
      </w:r>
      <w:r>
        <w:t xml:space="preserve">:</w:t>
      </w:r>
      <w:r>
        <w:t xml:space="preserve"> </w:t>
      </w:r>
      <w:r>
        <w:t xml:space="preserve">“</w:t>
      </w:r>
      <w:r>
        <w:t xml:space="preserve">no vidro</w:t>
      </w:r>
      <w:r>
        <w:t xml:space="preserve">”</w:t>
      </w:r>
      <w:r>
        <w:t xml:space="preserve"> </w:t>
      </w:r>
      <w:r>
        <w:t xml:space="preserve">– experimentos em laboratório com células, tecidos ou moléculas isoladas, fora de um organismo vivo.</w:t>
      </w:r>
    </w:p>
    <w:p>
      <w:pPr>
        <w:pStyle w:val="BodyText"/>
      </w:pPr>
      <w:r>
        <w:rPr>
          <w:bCs/>
          <w:b/>
        </w:rPr>
        <w:t xml:space="preserve">Incretinas</w:t>
      </w:r>
      <w:r>
        <w:t xml:space="preserve">: hormônios intestinais que aumentam a secreção de insulina após uma refeição. Os mais importantes são o GLP-1 e o GIP.</w:t>
      </w:r>
    </w:p>
    <w:p>
      <w:pPr>
        <w:pStyle w:val="BodyText"/>
      </w:pPr>
      <w:r>
        <w:rPr>
          <w:bCs/>
          <w:b/>
        </w:rPr>
        <w:t xml:space="preserve">Insulina</w:t>
      </w:r>
      <w:r>
        <w:t xml:space="preserve">: um hormônio peptídico do pâncreas com 51 aminoácidos, que reduz a glicemia. Foi, em 1922, o primeiro peptídeo usado como medicamento.</w:t>
      </w:r>
    </w:p>
    <w:p>
      <w:pPr>
        <w:pStyle w:val="BodyText"/>
      </w:pPr>
      <w:r>
        <w:rPr>
          <w:bCs/>
          <w:b/>
        </w:rPr>
        <w:t xml:space="preserve">Intervalo de confiança</w:t>
      </w:r>
      <w:r>
        <w:t xml:space="preserve">: uma faixa em torno de um resultado de estudo na qual o valor verdadeiro se encontra com determinada probabilidade (em geral 95%). Intervalos largos indicam uma estimativa incerta.</w:t>
      </w:r>
    </w:p>
    <w:bookmarkEnd w:id="2984"/>
    <w:bookmarkStart w:id="2985" w:name="l"/>
    <w:p>
      <w:pPr>
        <w:pStyle w:val="Heading3"/>
      </w:pPr>
      <w:r>
        <w:t xml:space="preserve">L</w:t>
      </w:r>
    </w:p>
    <w:p>
      <w:pPr>
        <w:pStyle w:val="FirstParagraph"/>
      </w:pPr>
      <w:r>
        <w:rPr>
          <w:bCs/>
          <w:b/>
        </w:rPr>
        <w:t xml:space="preserve">Ligação peptídica</w:t>
      </w:r>
      <w:r>
        <w:t xml:space="preserve">: a ligação química entre o grupo ácido de um aminoácido e o grupo amino do seguinte, em cuja formação é liberada água.</w:t>
      </w:r>
    </w:p>
    <w:p>
      <w:pPr>
        <w:pStyle w:val="BodyText"/>
      </w:pPr>
      <w:r>
        <w:rPr>
          <w:bCs/>
          <w:b/>
        </w:rPr>
        <w:t xml:space="preserve">Liofilizado</w:t>
      </w:r>
      <w:r>
        <w:t xml:space="preserve">: um pó seco por congelamento. Muitos peptídeos são armazenados nessa forma e precisam ser dissolvidos em um líquido antes do uso.</w:t>
      </w:r>
    </w:p>
    <w:bookmarkEnd w:id="2985"/>
    <w:bookmarkStart w:id="2986" w:name="m"/>
    <w:p>
      <w:pPr>
        <w:pStyle w:val="Heading3"/>
      </w:pPr>
      <w:r>
        <w:t xml:space="preserve">M</w:t>
      </w:r>
    </w:p>
    <w:p>
      <w:pPr>
        <w:pStyle w:val="FirstParagraph"/>
      </w:pPr>
      <w:r>
        <w:rPr>
          <w:bCs/>
          <w:b/>
        </w:rPr>
        <w:t xml:space="preserve">Medicamento</w:t>
      </w:r>
      <w:r>
        <w:t xml:space="preserve">: uma substância ou preparação destinada a curar, aliviar ou prevenir doenças ou que influencia funções do corpo de forma farmacológica, imunológica ou metabólica. Na UE, um medicamento precisa de aprovação antes de ser vendido.</w:t>
      </w:r>
    </w:p>
    <w:p>
      <w:pPr>
        <w:pStyle w:val="BodyText"/>
      </w:pPr>
      <w:r>
        <w:rPr>
          <w:bCs/>
          <w:b/>
        </w:rPr>
        <w:t xml:space="preserve">Medicamento biológico</w:t>
      </w:r>
      <w:r>
        <w:t xml:space="preserve">: um medicamento cuja substância ativa é produzida com a ajuda de células vivas, por exemplo por engenharia genética em bactérias ou em células de mamíferos. Muitos peptídeos maiores e todos os medicamentos à base de anticorpos pertencem a esse grupo.</w:t>
      </w:r>
    </w:p>
    <w:p>
      <w:pPr>
        <w:pStyle w:val="BodyText"/>
      </w:pPr>
      <w:r>
        <w:rPr>
          <w:bCs/>
          <w:b/>
        </w:rPr>
        <w:t xml:space="preserve">Medicamento por apresentação</w:t>
      </w:r>
      <w:r>
        <w:t xml:space="preserve">: termo jurídico para um produto considerado medicamento porque é apresentado ou promovido como remédio contra doenças.</w:t>
      </w:r>
    </w:p>
    <w:p>
      <w:pPr>
        <w:pStyle w:val="BodyText"/>
      </w:pPr>
      <w:r>
        <w:rPr>
          <w:bCs/>
          <w:b/>
        </w:rPr>
        <w:t xml:space="preserve">Medicamento por função</w:t>
      </w:r>
      <w:r>
        <w:t xml:space="preserve">: termo jurídico para um produto considerado medicamento em razão de seu efeito farmacológico, imunológico ou metabólico – independentemente de como é promovido.</w:t>
      </w:r>
    </w:p>
    <w:p>
      <w:pPr>
        <w:pStyle w:val="BodyText"/>
      </w:pPr>
      <w:r>
        <w:rPr>
          <w:bCs/>
          <w:b/>
        </w:rPr>
        <w:t xml:space="preserve">Meia-vida</w:t>
      </w:r>
      <w:r>
        <w:t xml:space="preserve">: o tempo após o qual metade de uma substância foi degradada ou eliminada do corpo. Ela determina em grande parte com que frequência um medicamento precisa ser administrado.</w:t>
      </w:r>
    </w:p>
    <w:p>
      <w:pPr>
        <w:pStyle w:val="BodyText"/>
      </w:pPr>
      <w:r>
        <w:rPr>
          <w:bCs/>
          <w:b/>
        </w:rPr>
        <w:t xml:space="preserve">Metanálise</w:t>
      </w:r>
      <w:r>
        <w:t xml:space="preserve">: um resumo estatístico dos resultados de vários estudos sobre a mesma questão. Ela só é tão boa quanto os estudos que entram nela.</w:t>
      </w:r>
    </w:p>
    <w:p>
      <w:pPr>
        <w:pStyle w:val="BodyText"/>
      </w:pPr>
      <w:r>
        <w:rPr>
          <w:bCs/>
          <w:b/>
        </w:rPr>
        <w:t xml:space="preserve">Mimético</w:t>
      </w:r>
      <w:r>
        <w:t xml:space="preserve">: uma substância que imita o efeito de outra sem ter sua estrutura – por exemplo, uma pequena molécula que ativa um receptor como um hormônio peptídico.</w:t>
      </w:r>
    </w:p>
    <w:bookmarkEnd w:id="2986"/>
    <w:bookmarkStart w:id="2987" w:name="n"/>
    <w:p>
      <w:pPr>
        <w:pStyle w:val="Heading3"/>
      </w:pPr>
      <w:r>
        <w:t xml:space="preserve">N</w:t>
      </w:r>
    </w:p>
    <w:p>
      <w:pPr>
        <w:pStyle w:val="FirstParagraph"/>
      </w:pPr>
      <w:r>
        <w:rPr>
          <w:bCs/>
          <w:b/>
        </w:rPr>
        <w:t xml:space="preserve">N-terminal</w:t>
      </w:r>
      <w:r>
        <w:t xml:space="preserve">: o início de uma cadeia peptídica, com o grupo amino livre.</w:t>
      </w:r>
    </w:p>
    <w:p>
      <w:pPr>
        <w:pStyle w:val="BodyText"/>
      </w:pPr>
      <w:r>
        <w:rPr>
          <w:bCs/>
          <w:b/>
        </w:rPr>
        <w:t xml:space="preserve">Nível de evidência</w:t>
      </w:r>
      <w:r>
        <w:t xml:space="preserve">: neste livro, uma classificação de A a D sobre quão bem o efeito de um peptídeo em humanos está comprovado. A significa vários grandes estudos randomizados e aprovação; D, exclusivamente estudos em animais e de laboratório.</w:t>
      </w:r>
    </w:p>
    <w:p>
      <w:pPr>
        <w:pStyle w:val="BodyText"/>
      </w:pPr>
      <w:r>
        <w:rPr>
          <w:bCs/>
          <w:b/>
        </w:rPr>
        <w:t xml:space="preserve">Novel Food</w:t>
      </w:r>
      <w:r>
        <w:t xml:space="preserve">: na UE, um alimento ou ingrediente que não era consumido em quantidade significativa antes de 15 de maio de 1997. Esses produtos precisam de aprovação antes da venda.</w:t>
      </w:r>
    </w:p>
    <w:p>
      <w:pPr>
        <w:pStyle w:val="BodyText"/>
      </w:pPr>
      <w:r>
        <w:rPr>
          <w:bCs/>
          <w:b/>
        </w:rPr>
        <w:t xml:space="preserve">Número NCT</w:t>
      </w:r>
      <w:r>
        <w:t xml:space="preserve">: o número de identificação de um estudo no registro ClinicalTrials.gov, composto por</w:t>
      </w:r>
      <w:r>
        <w:t xml:space="preserve"> </w:t>
      </w:r>
      <w:r>
        <w:t xml:space="preserve">“</w:t>
      </w:r>
      <w:r>
        <w:t xml:space="preserve">NCT</w:t>
      </w:r>
      <w:r>
        <w:t xml:space="preserve">”</w:t>
      </w:r>
      <w:r>
        <w:t xml:space="preserve"> </w:t>
      </w:r>
      <w:r>
        <w:t xml:space="preserve">e oito dígitos.</w:t>
      </w:r>
    </w:p>
    <w:p>
      <w:pPr>
        <w:pStyle w:val="BodyText"/>
      </w:pPr>
      <w:r>
        <w:rPr>
          <w:bCs/>
          <w:b/>
        </w:rPr>
        <w:t xml:space="preserve">Número necessário para tratar (NNT)</w:t>
      </w:r>
      <w:r>
        <w:t xml:space="preserve">: o número de pessoas que precisam ser tratadas por determinado tempo para que uma pessoa evite um evento. É calculado a partir da redução absoluta do risco.</w:t>
      </w:r>
    </w:p>
    <w:bookmarkEnd w:id="2987"/>
    <w:bookmarkStart w:id="2988" w:name="o"/>
    <w:p>
      <w:pPr>
        <w:pStyle w:val="Heading3"/>
      </w:pPr>
      <w:r>
        <w:t xml:space="preserve">O</w:t>
      </w:r>
    </w:p>
    <w:p>
      <w:pPr>
        <w:pStyle w:val="FirstParagraph"/>
      </w:pPr>
      <w:r>
        <w:rPr>
          <w:bCs/>
          <w:b/>
        </w:rPr>
        <w:t xml:space="preserve">Obesidade</w:t>
      </w:r>
      <w:r>
        <w:t xml:space="preserve">: excesso de peso patológico, em geral definido como índice de massa corporal de 30 ou mais. É considerada uma doença crônica com risco aumentado de diabetes e de doenças cardiovasculares e articulares.</w:t>
      </w:r>
    </w:p>
    <w:p>
      <w:pPr>
        <w:pStyle w:val="BodyText"/>
      </w:pPr>
      <w:r>
        <w:rPr>
          <w:bCs/>
          <w:b/>
        </w:rPr>
        <w:t xml:space="preserve">Oligopeptídeo</w:t>
      </w:r>
      <w:r>
        <w:t xml:space="preserve">: um peptídeo curto, de cerca de dois a dez aminoácidos.</w:t>
      </w:r>
    </w:p>
    <w:bookmarkEnd w:id="2988"/>
    <w:bookmarkStart w:id="2989" w:name="p"/>
    <w:p>
      <w:pPr>
        <w:pStyle w:val="Heading3"/>
      </w:pPr>
      <w:r>
        <w:t xml:space="preserve">P</w:t>
      </w:r>
    </w:p>
    <w:p>
      <w:pPr>
        <w:pStyle w:val="FirstParagraph"/>
      </w:pPr>
      <w:r>
        <w:rPr>
          <w:bCs/>
          <w:b/>
        </w:rPr>
        <w:t xml:space="preserve">Pancreatite</w:t>
      </w:r>
      <w:r>
        <w:t xml:space="preserve">: inflamação do pâncreas. É discutida como possível efeito colateral raro dos medicamentos de GLP-1.</w:t>
      </w:r>
    </w:p>
    <w:p>
      <w:pPr>
        <w:pStyle w:val="BodyText"/>
      </w:pPr>
      <w:r>
        <w:rPr>
          <w:bCs/>
          <w:b/>
        </w:rPr>
        <w:t xml:space="preserve">Peptídeo</w:t>
      </w:r>
      <w:r>
        <w:t xml:space="preserve">: uma cadeia de aminoácidos unidos por ligações peptídicas. A partir de cerca de 50 aminoácidos, fala-se em geral de uma proteína.</w:t>
      </w:r>
    </w:p>
    <w:p>
      <w:pPr>
        <w:pStyle w:val="BodyText"/>
      </w:pPr>
      <w:r>
        <w:rPr>
          <w:bCs/>
          <w:b/>
        </w:rPr>
        <w:t xml:space="preserve">Peptídeo cíclico</w:t>
      </w:r>
      <w:r>
        <w:t xml:space="preserve">: um peptídeo cuja cadeia está fechada em um anel. Estruturas em anel tornam os peptídeos frequentemente mais estáveis frente a enzimas.</w:t>
      </w:r>
    </w:p>
    <w:p>
      <w:pPr>
        <w:pStyle w:val="BodyText"/>
      </w:pPr>
      <w:r>
        <w:rPr>
          <w:bCs/>
          <w:b/>
        </w:rPr>
        <w:t xml:space="preserve">Peptídeos antimicrobianos</w:t>
      </w:r>
      <w:r>
        <w:t xml:space="preserve">: peptídeos do próprio corpo que fazem parte da defesa imunológica inata e podem danificar bactérias, fungos ou vírus. Um exemplo é o LL-37.</w:t>
      </w:r>
    </w:p>
    <w:p>
      <w:pPr>
        <w:pStyle w:val="BodyText"/>
      </w:pPr>
      <w:r>
        <w:rPr>
          <w:bCs/>
          <w:b/>
        </w:rPr>
        <w:t xml:space="preserve">Pirâmide de evidências</w:t>
      </w:r>
      <w:r>
        <w:t xml:space="preserve">: uma hierarquia dos tipos de estudo segundo sua força probatória, de estudos de laboratório e em animais na base até metanálises de estudos randomizados no topo.</w:t>
      </w:r>
    </w:p>
    <w:p>
      <w:pPr>
        <w:pStyle w:val="BodyText"/>
      </w:pPr>
      <w:r>
        <w:rPr>
          <w:bCs/>
          <w:b/>
        </w:rPr>
        <w:t xml:space="preserve">Placebo</w:t>
      </w:r>
      <w:r>
        <w:t xml:space="preserve">: uma preparação simulada sem substância ativa, usada em estudos para comparação.</w:t>
      </w:r>
    </w:p>
    <w:p>
      <w:pPr>
        <w:pStyle w:val="BodyText"/>
      </w:pPr>
      <w:r>
        <w:rPr>
          <w:bCs/>
          <w:b/>
        </w:rPr>
        <w:t xml:space="preserve">PMID</w:t>
      </w:r>
      <w:r>
        <w:t xml:space="preserve">: o número de identificação do PubMed, um número único para cada registro no banco de dados bibliográfico PubMed.</w:t>
      </w:r>
    </w:p>
    <w:p>
      <w:pPr>
        <w:pStyle w:val="BodyText"/>
      </w:pPr>
      <w:r>
        <w:rPr>
          <w:bCs/>
          <w:b/>
        </w:rPr>
        <w:t xml:space="preserve">Polipeptídeo</w:t>
      </w:r>
      <w:r>
        <w:t xml:space="preserve">: uma cadeia peptídica mais longa, em geral com mais de dez aminoácidos.</w:t>
      </w:r>
    </w:p>
    <w:p>
      <w:pPr>
        <w:pStyle w:val="BodyText"/>
      </w:pPr>
      <w:r>
        <w:rPr>
          <w:bCs/>
          <w:b/>
        </w:rPr>
        <w:t xml:space="preserve">Preprint</w:t>
      </w:r>
      <w:r>
        <w:t xml:space="preserve">: um trabalho científico tornado público antes da revisão por especialistas.</w:t>
      </w:r>
    </w:p>
    <w:p>
      <w:pPr>
        <w:pStyle w:val="BodyText"/>
      </w:pPr>
      <w:r>
        <w:rPr>
          <w:bCs/>
          <w:b/>
        </w:rPr>
        <w:t xml:space="preserve">Protease</w:t>
      </w:r>
      <w:r>
        <w:t xml:space="preserve">: uma enzima que cliva ligações peptídicas e, assim, degrada proteínas e peptídeos. Também chamada de peptidase.</w:t>
      </w:r>
    </w:p>
    <w:p>
      <w:pPr>
        <w:pStyle w:val="BodyText"/>
      </w:pPr>
      <w:r>
        <w:rPr>
          <w:bCs/>
          <w:b/>
        </w:rPr>
        <w:t xml:space="preserve">Proteína</w:t>
      </w:r>
      <w:r>
        <w:t xml:space="preserve">: uma grande molécula proteica, em geral com mais de 50 aminoácidos, com um dobramento espacial definido.</w:t>
      </w:r>
    </w:p>
    <w:p>
      <w:pPr>
        <w:pStyle w:val="BodyText"/>
      </w:pPr>
      <w:r>
        <w:rPr>
          <w:bCs/>
          <w:b/>
        </w:rPr>
        <w:t xml:space="preserve">PubMed</w:t>
      </w:r>
      <w:r>
        <w:t xml:space="preserve">: um banco de dados bibliográfico de acesso livre da National Library of Medicine dos EUA, com milhões de registros da pesquisa biomédica.</w:t>
      </w:r>
    </w:p>
    <w:bookmarkEnd w:id="2989"/>
    <w:bookmarkStart w:id="2990" w:name="r"/>
    <w:p>
      <w:pPr>
        <w:pStyle w:val="Heading3"/>
      </w:pPr>
      <w:r>
        <w:t xml:space="preserve">R</w:t>
      </w:r>
    </w:p>
    <w:p>
      <w:pPr>
        <w:pStyle w:val="FirstParagraph"/>
      </w:pPr>
      <w:r>
        <w:rPr>
          <w:bCs/>
          <w:b/>
        </w:rPr>
        <w:t xml:space="preserve">Rabdomiólise</w:t>
      </w:r>
      <w:r>
        <w:t xml:space="preserve">: uma destruição do tecido muscular em que componentes do músculo chegam ao sangue e podem danificar os rins.</w:t>
      </w:r>
    </w:p>
    <w:p>
      <w:pPr>
        <w:pStyle w:val="BodyText"/>
      </w:pPr>
      <w:r>
        <w:rPr>
          <w:bCs/>
          <w:b/>
        </w:rPr>
        <w:t xml:space="preserve">Randomização</w:t>
      </w:r>
      <w:r>
        <w:t xml:space="preserve">: a distribuição aleatória dos participantes entre os grupos de um estudo. Ela garante que os grupos difiram sistematicamente apenas no tratamento.</w:t>
      </w:r>
    </w:p>
    <w:p>
      <w:pPr>
        <w:pStyle w:val="BodyText"/>
      </w:pPr>
      <w:r>
        <w:rPr>
          <w:bCs/>
          <w:b/>
        </w:rPr>
        <w:t xml:space="preserve">Receptor</w:t>
      </w:r>
      <w:r>
        <w:t xml:space="preserve">: uma molécula proteica, em geral na superfície da célula, à qual um mensageiro se liga, desencadeando assim um sinal dentro da célula.</w:t>
      </w:r>
    </w:p>
    <w:p>
      <w:pPr>
        <w:pStyle w:val="BodyText"/>
      </w:pPr>
      <w:r>
        <w:rPr>
          <w:bCs/>
          <w:b/>
        </w:rPr>
        <w:t xml:space="preserve">Receptores de melanocortina</w:t>
      </w:r>
      <w:r>
        <w:t xml:space="preserve">: uma família de receptores que influenciam, entre outros, a pigmentação da pele, o apetite e a função sexual. Afamelanotida, bremelanotida, Melanotan II e setmelanotida agem nesses receptores.</w:t>
      </w:r>
    </w:p>
    <w:p>
      <w:pPr>
        <w:pStyle w:val="BodyText"/>
      </w:pPr>
      <w:r>
        <w:rPr>
          <w:bCs/>
          <w:b/>
        </w:rPr>
        <w:t xml:space="preserve">Recombinante</w:t>
      </w:r>
      <w:r>
        <w:t xml:space="preserve">: produzido por engenharia genética, inserindo-se as instruções de construção de um peptídeo ou proteína em bactérias, leveduras ou outras células.</w:t>
      </w:r>
    </w:p>
    <w:p>
      <w:pPr>
        <w:pStyle w:val="BodyText"/>
      </w:pPr>
      <w:r>
        <w:rPr>
          <w:bCs/>
          <w:b/>
        </w:rPr>
        <w:t xml:space="preserve">Redução absoluta do risco</w:t>
      </w:r>
      <w:r>
        <w:t xml:space="preserve">: a diferença na frequência de um evento entre dois grupos, expressa em pontos percentuais. Se um risco cai de 8% para 6,5%, a redução absoluta do risco é de 1,5 ponto percentual.</w:t>
      </w:r>
    </w:p>
    <w:p>
      <w:pPr>
        <w:pStyle w:val="BodyText"/>
      </w:pPr>
      <w:r>
        <w:rPr>
          <w:bCs/>
          <w:b/>
        </w:rPr>
        <w:t xml:space="preserve">Registro de estudos</w:t>
      </w:r>
      <w:r>
        <w:t xml:space="preserve">: bancos de dados públicos em que estudos clínicos são inscritos antes do início, como o ClinicalTrials.gov ou o registro da UE.</w:t>
      </w:r>
    </w:p>
    <w:p>
      <w:pPr>
        <w:pStyle w:val="BodyText"/>
      </w:pPr>
      <w:r>
        <w:rPr>
          <w:bCs/>
          <w:b/>
        </w:rPr>
        <w:t xml:space="preserve">Relato de caso</w:t>
      </w:r>
      <w:r>
        <w:t xml:space="preserve">: a descrição de um único caso clínico em uma revista especializada. Relatos de caso são importantes para reconhecer efeitos colaterais raros, mas dizem pouco sobre eficácia.</w:t>
      </w:r>
    </w:p>
    <w:p>
      <w:pPr>
        <w:pStyle w:val="BodyText"/>
      </w:pPr>
      <w:r>
        <w:rPr>
          <w:bCs/>
          <w:b/>
        </w:rPr>
        <w:t xml:space="preserve">Research peptides</w:t>
      </w:r>
      <w:r>
        <w:t xml:space="preserve">: peptídeos vendidos com a indicação</w:t>
      </w:r>
      <w:r>
        <w:t xml:space="preserve"> </w:t>
      </w:r>
      <w:r>
        <w:t xml:space="preserve">“</w:t>
      </w:r>
      <w:r>
        <w:t xml:space="preserve">apenas para fins de pesquisa</w:t>
      </w:r>
      <w:r>
        <w:t xml:space="preserve">”</w:t>
      </w:r>
      <w:r>
        <w:t xml:space="preserve"> </w:t>
      </w:r>
      <w:r>
        <w:t xml:space="preserve">ou</w:t>
      </w:r>
      <w:r>
        <w:t xml:space="preserve"> </w:t>
      </w:r>
      <w:r>
        <w:t xml:space="preserve">“</w:t>
      </w:r>
      <w:r>
        <w:t xml:space="preserve">não destinado ao uso humano</w:t>
      </w:r>
      <w:r>
        <w:t xml:space="preserve">”</w:t>
      </w:r>
      <w:r>
        <w:t xml:space="preserve">, mas frequentemente a pessoas físicas. Não são medicamentos verificados.</w:t>
      </w:r>
    </w:p>
    <w:p>
      <w:pPr>
        <w:pStyle w:val="BodyText"/>
      </w:pPr>
      <w:r>
        <w:rPr>
          <w:bCs/>
          <w:b/>
        </w:rPr>
        <w:t xml:space="preserve">Revisão sistemática</w:t>
      </w:r>
      <w:r>
        <w:t xml:space="preserve">: um trabalho que, segundo regras definidas, busca, avalia e resume todos os estudos disponíveis sobre uma questão.</w:t>
      </w:r>
    </w:p>
    <w:p>
      <w:pPr>
        <w:pStyle w:val="BodyText"/>
      </w:pPr>
      <w:r>
        <w:rPr>
          <w:bCs/>
          <w:b/>
        </w:rPr>
        <w:t xml:space="preserve">Risco relativo</w:t>
      </w:r>
      <w:r>
        <w:t xml:space="preserve">: a razão entre a frequência de eventos em dois grupos. Um risco relativo de 0,5 significa uma redução pela metade – independentemente de quão frequente é o evento no geral.</w:t>
      </w:r>
    </w:p>
    <w:bookmarkEnd w:id="2990"/>
    <w:bookmarkStart w:id="2991" w:name="s"/>
    <w:p>
      <w:pPr>
        <w:pStyle w:val="Heading3"/>
      </w:pPr>
      <w:r>
        <w:t xml:space="preserve">S</w:t>
      </w:r>
    </w:p>
    <w:p>
      <w:pPr>
        <w:pStyle w:val="FirstParagraph"/>
      </w:pPr>
      <w:r>
        <w:rPr>
          <w:bCs/>
          <w:b/>
        </w:rPr>
        <w:t xml:space="preserve">Secretagogo</w:t>
      </w:r>
      <w:r>
        <w:t xml:space="preserve">: uma substância que estimula a secreção de outra. Secretagogos do hormônio do crescimento aumentam a liberação de hormônio do crescimento.</w:t>
      </w:r>
    </w:p>
    <w:p>
      <w:pPr>
        <w:pStyle w:val="BodyText"/>
      </w:pPr>
      <w:r>
        <w:rPr>
          <w:bCs/>
          <w:b/>
        </w:rPr>
        <w:t xml:space="preserve">Sequência</w:t>
      </w:r>
      <w:r>
        <w:t xml:space="preserve">: a ordem dos aminoácidos em uma cadeia peptídica. Ela determina as propriedades do peptídeo.</w:t>
      </w:r>
    </w:p>
    <w:p>
      <w:pPr>
        <w:pStyle w:val="BodyText"/>
      </w:pPr>
      <w:r>
        <w:rPr>
          <w:bCs/>
          <w:b/>
        </w:rPr>
        <w:t xml:space="preserve">Significância estatística</w:t>
      </w:r>
      <w:r>
        <w:t xml:space="preserve">: a afirmação de que uma diferença observada provavelmente não surgiu apenas por acaso. Ela nada diz sobre se a diferença é grande ou relevante.</w:t>
      </w:r>
    </w:p>
    <w:p>
      <w:pPr>
        <w:pStyle w:val="BodyText"/>
      </w:pPr>
      <w:r>
        <w:rPr>
          <w:bCs/>
          <w:b/>
        </w:rPr>
        <w:t xml:space="preserve">Síntese de peptídeos em fase sólida</w:t>
      </w:r>
      <w:r>
        <w:t xml:space="preserve">: processo químico em que uma cadeia peptídica é construída, componente por componente, sobre um material de suporte sólido. Base da produção da maioria dos peptídeos curtos.</w:t>
      </w:r>
    </w:p>
    <w:p>
      <w:pPr>
        <w:pStyle w:val="BodyText"/>
      </w:pPr>
      <w:r>
        <w:rPr>
          <w:bCs/>
          <w:b/>
        </w:rPr>
        <w:t xml:space="preserve">SNAC</w:t>
      </w:r>
      <w:r>
        <w:t xml:space="preserve">: um excipiente (N-[8-(2-hidroxibenzoil)amino]caprilato de sódio) que, no comprimido de semaglutida, possibilita a absorção do peptídeo no estômago.</w:t>
      </w:r>
    </w:p>
    <w:p>
      <w:pPr>
        <w:pStyle w:val="BodyText"/>
      </w:pPr>
      <w:r>
        <w:rPr>
          <w:bCs/>
          <w:b/>
        </w:rPr>
        <w:t xml:space="preserve">Subcutâneo</w:t>
      </w:r>
      <w:r>
        <w:t xml:space="preserve">: injetado sob a pele, no tecido adiposo subcutâneo. A via de administração mais comum para medicamentos peptídicos.</w:t>
      </w:r>
    </w:p>
    <w:p>
      <w:pPr>
        <w:pStyle w:val="BodyText"/>
      </w:pPr>
      <w:r>
        <w:rPr>
          <w:bCs/>
          <w:b/>
        </w:rPr>
        <w:t xml:space="preserve">Suplemento alimentar</w:t>
      </w:r>
      <w:r>
        <w:t xml:space="preserve">: um alimento destinado a complementar a alimentação normal com nutrientes ou outras substâncias. Não precisa de aprovação, mas não pode ter efeito farmacológico.</w:t>
      </w:r>
    </w:p>
    <w:bookmarkEnd w:id="2991"/>
    <w:bookmarkStart w:id="2992" w:name="u"/>
    <w:p>
      <w:pPr>
        <w:pStyle w:val="Heading3"/>
      </w:pPr>
      <w:r>
        <w:t xml:space="preserve">U</w:t>
      </w:r>
    </w:p>
    <w:p>
      <w:pPr>
        <w:pStyle w:val="FirstParagraph"/>
      </w:pPr>
      <w:r>
        <w:rPr>
          <w:bCs/>
          <w:b/>
        </w:rPr>
        <w:t xml:space="preserve">Uso off-label</w:t>
      </w:r>
      <w:r>
        <w:t xml:space="preserve">: o uso de um medicamento aprovado fora das indicações, posologias ou grupos de pessoas aprovados.</w:t>
      </w:r>
    </w:p>
    <w:bookmarkEnd w:id="2992"/>
    <w:bookmarkStart w:id="2993" w:name="v"/>
    <w:p>
      <w:pPr>
        <w:pStyle w:val="Heading3"/>
      </w:pPr>
      <w:r>
        <w:t xml:space="preserve">V</w:t>
      </w:r>
    </w:p>
    <w:p>
      <w:pPr>
        <w:pStyle w:val="FirstParagraph"/>
      </w:pPr>
      <w:r>
        <w:rPr>
          <w:bCs/>
          <w:b/>
        </w:rPr>
        <w:t xml:space="preserve">Valor p</w:t>
      </w:r>
      <w:r>
        <w:t xml:space="preserve">: uma medida estatística de quão provável seria uma diferença pelo menos tão grande se na realidade não houvesse efeito. Valores abaixo de 0,05 costumam ser considerados estatisticamente significativos.</w:t>
      </w:r>
    </w:p>
    <w:p>
      <w:pPr>
        <w:pStyle w:val="BodyText"/>
      </w:pPr>
      <w:r>
        <w:rPr>
          <w:bCs/>
          <w:b/>
        </w:rPr>
        <w:t xml:space="preserve">Viés de publicação</w:t>
      </w:r>
      <w:r>
        <w:t xml:space="preserve">: a distorção do quadro geral quando estudos com resultados positivos são publicados com mais frequência do que aqueles com resultados negativos.</w:t>
      </w:r>
    </w:p>
    <w:bookmarkEnd w:id="2993"/>
    <w:bookmarkStart w:id="2994" w:name="w"/>
    <w:p>
      <w:pPr>
        <w:pStyle w:val="Heading3"/>
      </w:pPr>
      <w:r>
        <w:t xml:space="preserve">W</w:t>
      </w:r>
    </w:p>
    <w:p>
      <w:pPr>
        <w:pStyle w:val="FirstParagraph"/>
      </w:pPr>
      <w:r>
        <w:rPr>
          <w:bCs/>
          <w:b/>
        </w:rPr>
        <w:t xml:space="preserve">WADA (Agência Mundial Antidoping)</w:t>
      </w:r>
      <w:r>
        <w:t xml:space="preserve">: a organização internacional que publica anualmente a lista de substâncias e métodos proibidos no esporte.</w:t>
      </w:r>
    </w:p>
    <w:bookmarkEnd w:id="2994"/>
    <w:bookmarkEnd w:id="2995"/>
    <w:bookmarkStart w:id="3011" w:name="metodologia"/>
    <w:p>
      <w:pPr>
        <w:pStyle w:val="Heading1"/>
      </w:pPr>
      <w:r>
        <w:t xml:space="preserve">Metodologia</w:t>
      </w:r>
    </w:p>
    <w:p>
      <w:pPr>
        <w:pStyle w:val="FirstParagraph"/>
      </w:pPr>
      <w:r>
        <w:t xml:space="preserve">Este apêndice descreve como os estudos para este livro foram buscados, selecionados e verificados. Ele deve permitir que você acompanhe a pesquisa e, se necessário, a repita ou atualize por conta própria.</w:t>
      </w:r>
    </w:p>
    <w:bookmarkStart w:id="2996" w:name="bancos-de-dados"/>
    <w:p>
      <w:pPr>
        <w:pStyle w:val="Heading3"/>
      </w:pPr>
      <w:r>
        <w:t xml:space="preserve">Bancos de dados</w:t>
      </w:r>
    </w:p>
    <w:p>
      <w:pPr>
        <w:pStyle w:val="FirstParagraph"/>
      </w:pPr>
      <w:r>
        <w:t xml:space="preserve">A base da pesquisa são dois bancos de dados de acesso livre:</w:t>
      </w:r>
    </w:p>
    <w:p>
      <w:pPr>
        <w:numPr>
          <w:ilvl w:val="0"/>
          <w:numId w:val="1373"/>
        </w:numPr>
        <w:pStyle w:val="Compact"/>
      </w:pPr>
      <w:r>
        <w:rPr>
          <w:bCs/>
          <w:b/>
        </w:rPr>
        <w:t xml:space="preserve">PubMed</w:t>
      </w:r>
      <w:r>
        <w:t xml:space="preserve"> </w:t>
      </w:r>
      <w:r>
        <w:t xml:space="preserve">(pubmed.ncbi.nlm.nih.gov), o banco de dados bibliográfico da National Library of Medicine dos EUA. Ele registra publicações de revistas biomédicas com título, autores, resumo (abstract) e palavras-chave. Cada registro tem um número único, o PMID.</w:t>
      </w:r>
    </w:p>
    <w:p>
      <w:pPr>
        <w:numPr>
          <w:ilvl w:val="0"/>
          <w:numId w:val="1373"/>
        </w:numPr>
        <w:pStyle w:val="Compact"/>
      </w:pPr>
      <w:r>
        <w:rPr>
          <w:bCs/>
          <w:b/>
        </w:rPr>
        <w:t xml:space="preserve">ClinicalTrials.gov</w:t>
      </w:r>
      <w:r>
        <w:t xml:space="preserve"> </w:t>
      </w:r>
      <w:r>
        <w:t xml:space="preserve">(clinicaltrials.gov), o registro de estudos dos National Institutes of Health dos EUA. Aqui, estudos clínicos de todo o mundo são registrados antes de seu início, com desenho, número planejado de participantes, desfechos e status. Cada estudo tem um número NCT.</w:t>
      </w:r>
    </w:p>
    <w:p>
      <w:pPr>
        <w:pStyle w:val="FirstParagraph"/>
      </w:pPr>
      <w:r>
        <w:t xml:space="preserve">Os dois bancos de dados foram consultados por meio de suas interfaces de programação oficiais e de acesso público: o PubMed pelos E-Utilities do National Center for Biotechnology Information, o ClinicalTrials.gov pela interface de programação na versão 2. Outros bancos de dados, como Embase, Cochrane Library, Web of Science, o registro de estudos da UE ou registros nacionais, não foram pesquisados sistematicamente.</w:t>
      </w:r>
    </w:p>
    <w:bookmarkEnd w:id="2996"/>
    <w:bookmarkStart w:id="2997" w:name="período-de-consulta"/>
    <w:p>
      <w:pPr>
        <w:pStyle w:val="Heading3"/>
      </w:pPr>
      <w:r>
        <w:t xml:space="preserve">Período de consulta</w:t>
      </w:r>
    </w:p>
    <w:p>
      <w:pPr>
        <w:pStyle w:val="FirstParagraph"/>
      </w:pPr>
      <w:r>
        <w:t xml:space="preserve">As consultas sistemáticas foram feitas em</w:t>
      </w:r>
      <w:r>
        <w:t xml:space="preserve"> </w:t>
      </w:r>
      <w:r>
        <w:rPr>
          <w:bCs/>
          <w:b/>
        </w:rPr>
        <w:t xml:space="preserve">outubro de 2026</w:t>
      </w:r>
      <w:r>
        <w:t xml:space="preserve">; a contagem dos resultados para todos os peptídeos é de 28 de outubro de 2026. Buscas complementares direcionadas sobre estudos, relatos de caso e revisões específicos foram realizadas no mesmo período. Estudos publicados posteriormente não foram considerados. A situação do livro é de novembro de 2026.</w:t>
      </w:r>
    </w:p>
    <w:bookmarkEnd w:id="2997"/>
    <w:bookmarkStart w:id="2998" w:name="estratégia-de-busca"/>
    <w:p>
      <w:pPr>
        <w:pStyle w:val="Heading3"/>
      </w:pPr>
      <w:r>
        <w:t xml:space="preserve">Estratégia de busca</w:t>
      </w:r>
    </w:p>
    <w:p>
      <w:pPr>
        <w:pStyle w:val="FirstParagraph"/>
      </w:pPr>
      <w:r>
        <w:t xml:space="preserve">Para cada um dos 58 peptídeos e substâncias de comparação, foi definido um termo de busca próprio no PubMed. Ele abrange o nome internacional da substância, bem como designações abreviadas, de código e comerciais usuais, e busca no título e no resumo (marcação</w:t>
      </w:r>
      <w:r>
        <w:t xml:space="preserve"> </w:t>
      </w:r>
      <w:r>
        <w:rPr>
          <w:rStyle w:val="VerbatimChar"/>
        </w:rPr>
        <w:t xml:space="preserve">[tiab]</w:t>
      </w:r>
      <w:r>
        <w:t xml:space="preserve">) ou apenas no título (</w:t>
      </w:r>
      <w:r>
        <w:rPr>
          <w:rStyle w:val="VerbatimChar"/>
        </w:rPr>
        <w:t xml:space="preserve">[ti]</w:t>
      </w:r>
      <w:r>
        <w:t xml:space="preserve">). No caso de termos ambíguos, o termo de busca foi restringido, por exemplo, nos peptídeos de colágeno, a trabalhos sobre ingestão ou, na kisspeptina, a trabalhos sobre administração do peptídeo.</w:t>
      </w:r>
    </w:p>
    <w:p>
      <w:pPr>
        <w:pStyle w:val="BodyText"/>
      </w:pPr>
      <w:r>
        <w:t xml:space="preserve">A esse termo de busca foram aplicados três filtros:</w:t>
      </w:r>
    </w:p>
    <w:p>
      <w:pPr>
        <w:pStyle w:val="BodyText"/>
      </w:pPr>
      <w:r>
        <w:rPr>
          <w:bCs/>
          <w:b/>
        </w:rPr>
        <w:t xml:space="preserve">Estudos em humanos.</w:t>
      </w:r>
      <w:r>
        <w:t xml:space="preserve"> </w:t>
      </w:r>
      <w:r>
        <w:t xml:space="preserve">Para encontrar estudos clínicos em humanos, o termo de busca foi combinado com o seguinte filtro:</w:t>
      </w:r>
    </w:p>
    <w:p>
      <w:pPr>
        <w:pStyle w:val="BodyText"/>
      </w:pPr>
      <w:r>
        <w:rPr>
          <w:rStyle w:val="VerbatimChar"/>
        </w:rPr>
        <w:t xml:space="preserve">(clinical trial[pt] OR randomized controlled trial[pt]) AND humans[mh]</w:t>
      </w:r>
    </w:p>
    <w:p>
      <w:pPr>
        <w:pStyle w:val="BodyText"/>
      </w:pPr>
      <w:r>
        <w:t xml:space="preserve">A parte</w:t>
      </w:r>
      <w:r>
        <w:t xml:space="preserve"> </w:t>
      </w:r>
      <w:r>
        <w:rPr>
          <w:rStyle w:val="VerbatimChar"/>
        </w:rPr>
        <w:t xml:space="preserve">[pt]</w:t>
      </w:r>
      <w:r>
        <w:t xml:space="preserve"> </w:t>
      </w:r>
      <w:r>
        <w:t xml:space="preserve">busca pelo tipo de publicação que o PubMed atribui a cada artigo;</w:t>
      </w:r>
      <w:r>
        <w:t xml:space="preserve"> </w:t>
      </w:r>
      <w:r>
        <w:rPr>
          <w:rStyle w:val="VerbatimChar"/>
        </w:rPr>
        <w:t xml:space="preserve">humans[mh]</w:t>
      </w:r>
      <w:r>
        <w:t xml:space="preserve"> </w:t>
      </w:r>
      <w:r>
        <w:t xml:space="preserve">representa o descritor</w:t>
      </w:r>
      <w:r>
        <w:t xml:space="preserve"> </w:t>
      </w:r>
      <w:r>
        <w:t xml:space="preserve">“</w:t>
      </w:r>
      <w:r>
        <w:t xml:space="preserve">seres humanos</w:t>
      </w:r>
      <w:r>
        <w:t xml:space="preserve">”</w:t>
      </w:r>
      <w:r>
        <w:t xml:space="preserve"> </w:t>
      </w:r>
      <w:r>
        <w:t xml:space="preserve">no sistema de descritores MeSH. Com isso, são encontrados artigos marcados como estudo clínico ou como ensaio clínico randomizado e que se referem a seres humanos.</w:t>
      </w:r>
    </w:p>
    <w:p>
      <w:pPr>
        <w:pStyle w:val="BodyText"/>
      </w:pPr>
      <w:r>
        <w:rPr>
          <w:bCs/>
          <w:b/>
        </w:rPr>
        <w:t xml:space="preserve">Metanálises e revisões.</w:t>
      </w:r>
      <w:r>
        <w:t xml:space="preserve"> </w:t>
      </w:r>
      <w:r>
        <w:t xml:space="preserve">Para trabalhos de síntese, o termo de busca foi combinado com este filtro:</w:t>
      </w:r>
    </w:p>
    <w:p>
      <w:pPr>
        <w:pStyle w:val="BodyText"/>
      </w:pPr>
      <w:r>
        <w:rPr>
          <w:rStyle w:val="VerbatimChar"/>
        </w:rPr>
        <w:t xml:space="preserve">(meta-analysis[pt] OR systematic review[pt])</w:t>
      </w:r>
    </w:p>
    <w:p>
      <w:pPr>
        <w:pStyle w:val="BodyText"/>
      </w:pPr>
      <w:r>
        <w:rPr>
          <w:bCs/>
          <w:b/>
        </w:rPr>
        <w:t xml:space="preserve">Pré-clínica.</w:t>
      </w:r>
      <w:r>
        <w:t xml:space="preserve"> </w:t>
      </w:r>
      <w:r>
        <w:t xml:space="preserve">Para peptídeos com menos de 25 estudos em humanos encontrados, foram avaliados adicionalmente os demais trabalhos mais relevantes sem o filtro de estudos em humanos, para captar estudos em animais e de laboratório, relatos de caso e análises de produtos do mercado cinza.</w:t>
      </w:r>
    </w:p>
    <w:p>
      <w:pPr>
        <w:pStyle w:val="BodyText"/>
      </w:pPr>
      <w:r>
        <w:rPr>
          <w:bCs/>
          <w:b/>
        </w:rPr>
        <w:t xml:space="preserve">Estudos de registro.</w:t>
      </w:r>
      <w:r>
        <w:t xml:space="preserve"> </w:t>
      </w:r>
      <w:r>
        <w:t xml:space="preserve">No ClinicalTrials.gov, foi usado para cada peptídeo um termo de busca próprio, em geral simples, com o nome da substância. Foram incluídos todos os registros, independentemente de status e fase do estudo.</w:t>
      </w:r>
    </w:p>
    <w:p>
      <w:pPr>
        <w:pStyle w:val="BodyText"/>
      </w:pPr>
      <w:r>
        <w:t xml:space="preserve">Além dessas buscas automatizadas, para cada capítulo buscaram-se de forma direcionada os mais importantes estudos de aprovação e de desfechos, grandes metanálises, programas de estudos (por exemplo STEP, SURMOUNT ou SELECT), dados de segurança, relatos de caso e análises laboratoriais de produtos do mercado cinza. Para a Parte I, foram pesquisados ainda trabalhos sobre a história da medicina com peptídeos, as formas farmacêuticas, a metodologia de estudos e o mercado cinza.</w:t>
      </w:r>
    </w:p>
    <w:bookmarkEnd w:id="2998"/>
    <w:bookmarkStart w:id="3005" w:name="termos-de-busca-por-peptídeo"/>
    <w:p>
      <w:pPr>
        <w:pStyle w:val="Heading3"/>
      </w:pPr>
      <w:r>
        <w:t xml:space="preserve">Termos de busca por peptídeo</w:t>
      </w:r>
    </w:p>
    <w:p>
      <w:pPr>
        <w:pStyle w:val="FirstParagraph"/>
      </w:pPr>
      <w:r>
        <w:t xml:space="preserve">As tabelas a seguir reproduzem os termos de busca do PubMed usados na consulta sistemática. A cada termo foram acrescentados os filtros descritos acima. Um asterisco no fim da palavra representa quaisquer terminações,</w:t>
      </w:r>
      <w:r>
        <w:t xml:space="preserve"> </w:t>
      </w:r>
      <w:r>
        <w:rPr>
          <w:rStyle w:val="VerbatimChar"/>
        </w:rPr>
        <w:t xml:space="preserve">OR</w:t>
      </w:r>
      <w:r>
        <w:t xml:space="preserve"> </w:t>
      </w:r>
      <w:r>
        <w:t xml:space="preserve">une designações alternativas,</w:t>
      </w:r>
      <w:r>
        <w:t xml:space="preserve"> </w:t>
      </w:r>
      <w:r>
        <w:rPr>
          <w:rStyle w:val="VerbatimChar"/>
        </w:rPr>
        <w:t xml:space="preserve">AND</w:t>
      </w:r>
      <w:r>
        <w:t xml:space="preserve"> </w:t>
      </w:r>
      <w:r>
        <w:t xml:space="preserve">restringe a busca.</w:t>
      </w:r>
    </w:p>
    <w:bookmarkStart w:id="2999"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ou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Maridebarte cafraglutida (MariTide)</w:t>
            </w:r>
          </w:p>
        </w:tc>
        <w:tc>
          <w:tcPr/>
          <w:p>
            <w:pPr>
              <w:pStyle w:val="Compact"/>
              <w:jc w:val="left"/>
            </w:pPr>
            <w:r>
              <w:rPr>
                <w:rStyle w:val="VerbatimChar"/>
              </w:rPr>
              <w:t xml:space="preserve">maridebart[tiab] OR AMG 133[tiab]</w:t>
            </w:r>
          </w:p>
        </w:tc>
      </w:tr>
      <w:tr>
        <w:tc>
          <w:tcPr/>
          <w:p>
            <w:pPr>
              <w:pStyle w:val="Compact"/>
              <w:jc w:val="left"/>
            </w:pPr>
            <w:r>
              <w:t xml:space="preserve">Pranlintida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(comparação)</w:t>
            </w:r>
          </w:p>
        </w:tc>
        <w:tc>
          <w:tcPr/>
          <w:p>
            <w:pPr>
              <w:pStyle w:val="Compact"/>
              <w:jc w:val="left"/>
            </w:pPr>
            <w:r>
              <w:rPr>
                <w:rStyle w:val="VerbatimChar"/>
              </w:rPr>
              <w:t xml:space="preserve">orforglipron[tiab]</w:t>
            </w:r>
          </w:p>
        </w:tc>
      </w:tr>
    </w:tbl>
    <w:bookmarkEnd w:id="2999"/>
    <w:bookmarkStart w:id="3000" w:name="X050ea5fae4c16254c388d7eac1a2daf58c61776"/>
    <w:p>
      <w:pPr>
        <w:pStyle w:val="Heading4"/>
      </w:pPr>
      <w:r>
        <w:t xml:space="preserve">B. Cura, regeneração e sistema imunológico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ou timogen</w:t>
            </w:r>
          </w:p>
        </w:tc>
        <w:tc>
          <w:tcPr/>
          <w:p>
            <w:pPr>
              <w:pStyle w:val="Compact"/>
              <w:jc w:val="left"/>
            </w:pPr>
            <w:r>
              <w:rPr>
                <w:rStyle w:val="VerbatimChar"/>
              </w:rPr>
              <w:t xml:space="preserve">thymalin[tiab] OR thymogen[tiab]</w:t>
            </w:r>
          </w:p>
        </w:tc>
      </w:tr>
    </w:tbl>
    <w:bookmarkEnd w:id="3000"/>
    <w:bookmarkStart w:id="3001" w:name="c.-eixo-do-hormônio-do-crescimento-1"/>
    <w:p>
      <w:pPr>
        <w:pStyle w:val="Heading4"/>
      </w:pPr>
      <w:r>
        <w:t xml:space="preserve">C. Eixo do hormônio do crescimento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(comparação)</w:t>
            </w:r>
          </w:p>
        </w:tc>
        <w:tc>
          <w:tcPr/>
          <w:p>
            <w:pPr>
              <w:pStyle w:val="Compact"/>
              <w:jc w:val="left"/>
            </w:pPr>
            <w:r>
              <w:rPr>
                <w:rStyle w:val="VerbatimChar"/>
              </w:rPr>
              <w:t xml:space="preserve">ibutamoren[tiab] OR MK-677[tiab] OR MK-0677[tiab]</w:t>
            </w:r>
          </w:p>
        </w:tc>
      </w:tr>
    </w:tbl>
    <w:bookmarkEnd w:id="3001"/>
    <w:bookmarkStart w:id="3002" w:name="d.-cérebro-sono-e-longevidade-1"/>
    <w:p>
      <w:pPr>
        <w:pStyle w:val="Heading4"/>
      </w:pPr>
      <w:r>
        <w:t xml:space="preserve">D. Cérebro, sono e longevidade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Glutationa</w:t>
            </w:r>
          </w:p>
        </w:tc>
        <w:tc>
          <w:tcPr/>
          <w:p>
            <w:pPr>
              <w:pStyle w:val="Compact"/>
              <w:jc w:val="left"/>
            </w:pPr>
            <w:r>
              <w:rPr>
                <w:rStyle w:val="VerbatimChar"/>
              </w:rPr>
              <w:t xml:space="preserve">glutathione[ti] AND (supplementation[tiab] OR oral[tiab] OR intravenous[tiab])</w:t>
            </w:r>
          </w:p>
        </w:tc>
      </w:tr>
    </w:tbl>
    <w:bookmarkEnd w:id="3002"/>
    <w:bookmarkStart w:id="3003" w:name="e.-hormônios-sexualidade-e-pigmentação-1"/>
    <w:p>
      <w:pPr>
        <w:pStyle w:val="Heading4"/>
      </w:pPr>
      <w:r>
        <w:t xml:space="preserve">E. Hormônios, sexualidade e pigmentação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3"/>
    <w:bookmarkStart w:id="3004" w:name="f.-colágeno-nutrição-e-cosmética-1"/>
    <w:p>
      <w:pPr>
        <w:pStyle w:val="Heading4"/>
      </w:pPr>
      <w:r>
        <w:t xml:space="preserve">F. Colágeno, nutrição e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Peptídeo</w:t>
            </w:r>
          </w:p>
        </w:tc>
        <w:tc>
          <w:tcPr/>
          <w:p>
            <w:pPr>
              <w:pStyle w:val="Compact"/>
              <w:jc w:val="left"/>
            </w:pPr>
            <w:r>
              <w:t xml:space="preserve">Termo de busca no PubMed</w:t>
            </w:r>
          </w:p>
        </w:tc>
      </w:tr>
      <w:tr>
        <w:tc>
          <w:tcPr/>
          <w:p>
            <w:pPr>
              <w:pStyle w:val="Compact"/>
              <w:jc w:val="left"/>
            </w:pPr>
            <w:r>
              <w:t xml:space="preserve">Hidrolisado de colágeno ou peptídeos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Lactotripeptídeos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(peptídeo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pentapeptídeo-4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hexapeptídeo-8 (Argireline)</w:t>
            </w:r>
          </w:p>
        </w:tc>
        <w:tc>
          <w:tcPr/>
          <w:p>
            <w:pPr>
              <w:pStyle w:val="Compact"/>
              <w:jc w:val="left"/>
            </w:pPr>
            <w:r>
              <w:rPr>
                <w:rStyle w:val="VerbatimChar"/>
              </w:rPr>
              <w:t xml:space="preserve">acetyl hexapeptide[tiab] OR argireline[tiab]</w:t>
            </w:r>
          </w:p>
        </w:tc>
      </w:tr>
    </w:tbl>
    <w:bookmarkEnd w:id="3004"/>
    <w:bookmarkEnd w:id="3005"/>
    <w:bookmarkStart w:id="3006" w:name="volume-de-resultados"/>
    <w:p>
      <w:pPr>
        <w:pStyle w:val="Heading3"/>
      </w:pPr>
      <w:r>
        <w:t xml:space="preserve">Volume de resultados</w:t>
      </w:r>
    </w:p>
    <w:p>
      <w:pPr>
        <w:pStyle w:val="FirstParagraph"/>
      </w:pPr>
      <w:r>
        <w:t xml:space="preserve">No total, as 58 consultas resultaram em 3.216 resultados com o filtro de estudos em humanos e em 1.739 resultados com o filtro de metanálises e revisões. No ClinicalTrials.gov, foram encontrados 4.879 registros. Essas somas contêm contagens múltiplas, porque alguns estudos se referem a vários peptídeos – como estudos comparativos entre semaglutida e tirzepatida. Os números por peptídeo são citados no início da seção</w:t>
      </w:r>
      <w:r>
        <w:t xml:space="preserve"> </w:t>
      </w:r>
      <w:r>
        <w:t xml:space="preserve">“</w:t>
      </w:r>
      <w:r>
        <w:t xml:space="preserve">Estudos em humanos</w:t>
      </w:r>
      <w:r>
        <w:t xml:space="preserve">”</w:t>
      </w:r>
      <w:r>
        <w:t xml:space="preserve"> </w:t>
      </w:r>
      <w:r>
        <w:t xml:space="preserve">de cada capítulo.</w:t>
      </w:r>
    </w:p>
    <w:p>
      <w:pPr>
        <w:pStyle w:val="BodyText"/>
      </w:pPr>
      <w:r>
        <w:t xml:space="preserve">A distribuição é muito desigual: aos medicamentos de GLP-1 aprovados correspondem centenas de estudos em humanos; para muitos peptídeos do mercado cinza, por outro lado, nenhum ou apenas um punhado.</w:t>
      </w:r>
    </w:p>
    <w:bookmarkEnd w:id="3006"/>
    <w:bookmarkStart w:id="3007" w:name="seleção-e-avaliação"/>
    <w:p>
      <w:pPr>
        <w:pStyle w:val="Heading3"/>
      </w:pPr>
      <w:r>
        <w:t xml:space="preserve">Seleção e avaliação</w:t>
      </w:r>
    </w:p>
    <w:p>
      <w:pPr>
        <w:pStyle w:val="FirstParagraph"/>
      </w:pPr>
      <w:r>
        <w:t xml:space="preserve">Para cada peptídeo, todos os resultados com o filtro de estudos em humanos foram registrados como lista resumida (título, ano, revista, primeiro autor ou primeira autora); eles formam a base do índice de estudos no apêndice. Os estudos em humanos e as revisões mais importantes segundo a relevância do PubMed foram lidos e avaliados com seus resumos, complementados pelos trabalhos buscados de forma direcionada.</w:t>
      </w:r>
    </w:p>
    <w:p>
      <w:pPr>
        <w:pStyle w:val="BodyText"/>
      </w:pPr>
      <w:r>
        <w:t xml:space="preserve">Para a apresentação no texto, vale:</w:t>
      </w:r>
    </w:p>
    <w:p>
      <w:pPr>
        <w:numPr>
          <w:ilvl w:val="0"/>
          <w:numId w:val="1374"/>
        </w:numPr>
        <w:pStyle w:val="Compact"/>
      </w:pPr>
      <w:r>
        <w:t xml:space="preserve">Cada estudo citado foi lido com base em seu registro no PubMed ou em seu registro de estudo.</w:t>
      </w:r>
    </w:p>
    <w:p>
      <w:pPr>
        <w:numPr>
          <w:ilvl w:val="0"/>
          <w:numId w:val="1374"/>
        </w:numPr>
        <w:pStyle w:val="Compact"/>
      </w:pPr>
      <w:r>
        <w:t xml:space="preserve">Números – como número de participantes, percentuais, variações de peso ou valores p – vêm exclusivamente do resumo da publicação ou do registro do estudo. O que não está comprovado ali não é citado como número.</w:t>
      </w:r>
    </w:p>
    <w:p>
      <w:pPr>
        <w:numPr>
          <w:ilvl w:val="0"/>
          <w:numId w:val="1374"/>
        </w:numPr>
        <w:pStyle w:val="Compact"/>
      </w:pPr>
      <w:r>
        <w:t xml:space="preserve">Textos completos não foram avaliados sistematicamente. Detalhes que só constam do texto completo, como taxas individuais de efeitos colaterais ou subgrupos, faltam por isso em parte.</w:t>
      </w:r>
    </w:p>
    <w:p>
      <w:pPr>
        <w:numPr>
          <w:ilvl w:val="0"/>
          <w:numId w:val="1374"/>
        </w:numPr>
        <w:pStyle w:val="Compact"/>
      </w:pPr>
      <w:r>
        <w:t xml:space="preserve">Resultados em animais e de laboratório são expressamente identificados como tais.</w:t>
      </w:r>
    </w:p>
    <w:p>
      <w:pPr>
        <w:numPr>
          <w:ilvl w:val="0"/>
          <w:numId w:val="1374"/>
        </w:numPr>
        <w:pStyle w:val="Compact"/>
      </w:pPr>
      <w:r>
        <w:t xml:space="preserve">Para estudos em andamento, relata-se apenas o que consta do registro. Eles são identificados como</w:t>
      </w:r>
      <w:r>
        <w:t xml:space="preserve"> </w:t>
      </w:r>
      <w:r>
        <w:rPr>
          <w:iCs/>
          <w:i/>
        </w:rPr>
        <w:t xml:space="preserve">assegurados</w:t>
      </w:r>
      <w:r>
        <w:t xml:space="preserve"> </w:t>
      </w:r>
      <w:r>
        <w:t xml:space="preserve">(registrados, em andamento), e prognósticos próprios como</w:t>
      </w:r>
      <w:r>
        <w:t xml:space="preserve"> </w:t>
      </w:r>
      <w:r>
        <w:rPr>
          <w:iCs/>
          <w:i/>
        </w:rPr>
        <w:t xml:space="preserve">avaliação</w:t>
      </w:r>
      <w:r>
        <w:t xml:space="preserve">.</w:t>
      </w:r>
    </w:p>
    <w:bookmarkEnd w:id="3007"/>
    <w:bookmarkStart w:id="3008" w:name="níveis-de-evidência"/>
    <w:p>
      <w:pPr>
        <w:pStyle w:val="Heading3"/>
      </w:pPr>
      <w:r>
        <w:t xml:space="preserve">Níveis de evidência</w:t>
      </w:r>
    </w:p>
    <w:p>
      <w:pPr>
        <w:pStyle w:val="FirstParagraph"/>
      </w:pPr>
      <w:r>
        <w:t xml:space="preserve">Cada peptídeo recebeu um nível de evidência segundo os seguintes critérios: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Nível</w:t>
            </w:r>
          </w:p>
        </w:tc>
        <w:tc>
          <w:tcPr/>
          <w:p>
            <w:pPr>
              <w:pStyle w:val="Compact"/>
              <w:jc w:val="left"/>
            </w:pPr>
            <w:r>
              <w:t xml:space="preserve">Critério</w:t>
            </w:r>
          </w:p>
        </w:tc>
      </w:tr>
      <w:tr>
        <w:tc>
          <w:tcPr/>
          <w:p>
            <w:pPr>
              <w:pStyle w:val="Compact"/>
              <w:jc w:val="left"/>
            </w:pPr>
            <w:r>
              <w:t xml:space="preserve">A</w:t>
            </w:r>
          </w:p>
        </w:tc>
        <w:tc>
          <w:tcPr/>
          <w:p>
            <w:pPr>
              <w:pStyle w:val="Compact"/>
              <w:jc w:val="left"/>
            </w:pPr>
            <w:r>
              <w:t xml:space="preserve">vários grandes estudos randomizados em humanos, aprovação como medicamento</w:t>
            </w:r>
          </w:p>
        </w:tc>
      </w:tr>
      <w:tr>
        <w:tc>
          <w:tcPr/>
          <w:p>
            <w:pPr>
              <w:pStyle w:val="Compact"/>
              <w:jc w:val="left"/>
            </w:pPr>
            <w:r>
              <w:t xml:space="preserve">B</w:t>
            </w:r>
          </w:p>
        </w:tc>
        <w:tc>
          <w:tcPr/>
          <w:p>
            <w:pPr>
              <w:pStyle w:val="Compact"/>
              <w:jc w:val="left"/>
            </w:pPr>
            <w:r>
              <w:t xml:space="preserve">estudos randomizados isolados em humanos</w:t>
            </w:r>
          </w:p>
        </w:tc>
      </w:tr>
      <w:tr>
        <w:tc>
          <w:tcPr/>
          <w:p>
            <w:pPr>
              <w:pStyle w:val="Compact"/>
              <w:jc w:val="left"/>
            </w:pPr>
            <w:r>
              <w:t xml:space="preserve">C</w:t>
            </w:r>
          </w:p>
        </w:tc>
        <w:tc>
          <w:tcPr/>
          <w:p>
            <w:pPr>
              <w:pStyle w:val="Compact"/>
              <w:jc w:val="left"/>
            </w:pPr>
            <w:r>
              <w:t xml:space="preserve">apenas estudos pequenos ou não controlados em humanos</w:t>
            </w:r>
          </w:p>
        </w:tc>
      </w:tr>
      <w:tr>
        <w:tc>
          <w:tcPr/>
          <w:p>
            <w:pPr>
              <w:pStyle w:val="Compact"/>
              <w:jc w:val="left"/>
            </w:pPr>
            <w:r>
              <w:t xml:space="preserve">D</w:t>
            </w:r>
          </w:p>
        </w:tc>
        <w:tc>
          <w:tcPr/>
          <w:p>
            <w:pPr>
              <w:pStyle w:val="Compact"/>
              <w:jc w:val="left"/>
            </w:pPr>
            <w:r>
              <w:t xml:space="preserve">apenas estudos em animais e de laboratório</w:t>
            </w:r>
          </w:p>
        </w:tc>
      </w:tr>
    </w:tbl>
    <w:p>
      <w:pPr>
        <w:pStyle w:val="BodyText"/>
      </w:pPr>
      <w:r>
        <w:t xml:space="preserve">A classificação refere-se aos dados em humanos como um todo e à aplicação estudada mais importante. É uma avaliação do autor com base nos estudos analisados, e não uma classificação oficial.</w:t>
      </w:r>
    </w:p>
    <w:bookmarkEnd w:id="3008"/>
    <w:bookmarkStart w:id="3009" w:name="limites-da-metodologia"/>
    <w:p>
      <w:pPr>
        <w:pStyle w:val="Heading3"/>
      </w:pPr>
      <w:r>
        <w:t xml:space="preserve">Limites da metodologia</w:t>
      </w:r>
    </w:p>
    <w:p>
      <w:pPr>
        <w:pStyle w:val="FirstParagraph"/>
      </w:pPr>
      <w:r>
        <w:t xml:space="preserve">Como toda pesquisa bibliográfica, também esta tem limites, que você deve considerar na leitura:</w:t>
      </w:r>
    </w:p>
    <w:p>
      <w:pPr>
        <w:pStyle w:val="BodyText"/>
      </w:pPr>
      <w:r>
        <w:rPr>
          <w:bCs/>
          <w:b/>
        </w:rPr>
        <w:t xml:space="preserve">Resultados não equivalem a estudos independentes.</w:t>
      </w:r>
      <w:r>
        <w:t xml:space="preserve"> </w:t>
      </w:r>
      <w:r>
        <w:t xml:space="preserve">Um grande estudo é frequentemente publicado em vários artigos – resultado principal, subgrupos, acompanhamento, qualidade de vida. Cada um desses artigos é um resultado próprio. Inversamente, estudos podem estar reunidos em um único artigo. Os números de resultados refletem, por isso, a ordem de grandeza da pesquisa, não o número exato de estudos independentes.</w:t>
      </w:r>
    </w:p>
    <w:p>
      <w:pPr>
        <w:pStyle w:val="BodyText"/>
      </w:pPr>
      <w:r>
        <w:rPr>
          <w:bCs/>
          <w:b/>
        </w:rPr>
        <w:t xml:space="preserve">Os tipos de publicação nem sempre estão corretos.</w:t>
      </w:r>
      <w:r>
        <w:t xml:space="preserve"> </w:t>
      </w:r>
      <w:r>
        <w:t xml:space="preserve">O filtro de estudos em humanos baseia-se na indexação feita pelo PubMed. Alguns estudos não estão marcados como estudo clínico e por isso faltam; alguns trabalhos marcados como estudo clínico são, examinados mais de perto, estudos observacionais ou trabalhos de laboratório com material humano. Artigos muito recentes muitas vezes ainda não estão completamente indexados.</w:t>
      </w:r>
    </w:p>
    <w:p>
      <w:pPr>
        <w:pStyle w:val="BodyText"/>
      </w:pPr>
      <w:r>
        <w:rPr>
          <w:bCs/>
          <w:b/>
        </w:rPr>
        <w:t xml:space="preserve">Termos de busca podem ter lacunas.</w:t>
      </w:r>
      <w:r>
        <w:t xml:space="preserve"> </w:t>
      </w:r>
      <w:r>
        <w:t xml:space="preserve">Um termo de busca só encontra o que está descrito no título ou no resumo com as palavras escolhidas. Estudos que mencionam uma substância apenas sob um nome de código ou com outra grafia podem faltar. Inversamente, siglas ambíguas como</w:t>
      </w:r>
      <w:r>
        <w:t xml:space="preserve"> </w:t>
      </w:r>
      <w:r>
        <w:t xml:space="preserve">“</w:t>
      </w:r>
      <w:r>
        <w:t xml:space="preserve">KPV</w:t>
      </w:r>
      <w:r>
        <w:t xml:space="preserve">”</w:t>
      </w:r>
      <w:r>
        <w:t xml:space="preserve"> </w:t>
      </w:r>
      <w:r>
        <w:t xml:space="preserve">ou</w:t>
      </w:r>
      <w:r>
        <w:t xml:space="preserve"> </w:t>
      </w:r>
      <w:r>
        <w:t xml:space="preserve">“</w:t>
      </w:r>
      <w:r>
        <w:t xml:space="preserve">SS-31</w:t>
      </w:r>
      <w:r>
        <w:t xml:space="preserve">”</w:t>
      </w:r>
      <w:r>
        <w:t xml:space="preserve"> </w:t>
      </w:r>
      <w:r>
        <w:t xml:space="preserve">podem captar também trabalhos sobre temas completamente diferentes. Para os capítulos, os resultados foram, por isso, revisados e não adotados sem verificação.</w:t>
      </w:r>
    </w:p>
    <w:p>
      <w:pPr>
        <w:pStyle w:val="BodyText"/>
      </w:pPr>
      <w:r>
        <w:rPr>
          <w:bCs/>
          <w:b/>
        </w:rPr>
        <w:t xml:space="preserve">Idiomas.</w:t>
      </w:r>
      <w:r>
        <w:t xml:space="preserve"> </w:t>
      </w:r>
      <w:r>
        <w:t xml:space="preserve">O PubMed registra predominantemente revistas em língua inglesa. Trabalhos publicados apenas em outros idiomas e em revistas não indexadas estão em grande parte ausentes. Isso afeta especialmente alguns peptídeos pesquisados e usados sobretudo na Rússia ou em outros países do Leste Europeu, como Semax, Selank, Epitalon ou timalina. Para eles, a situação real dos estudos é possivelmente mais ampla, mas difícil de verificar para leitores internacionais.</w:t>
      </w:r>
    </w:p>
    <w:p>
      <w:pPr>
        <w:pStyle w:val="BodyText"/>
      </w:pPr>
      <w:r>
        <w:rPr>
          <w:bCs/>
          <w:b/>
        </w:rPr>
        <w:t xml:space="preserve">Estudos não publicados.</w:t>
      </w:r>
      <w:r>
        <w:t xml:space="preserve"> </w:t>
      </w:r>
      <w:r>
        <w:t xml:space="preserve">Estudos que nunca foram publicados não constam do PubMed. O registro ClinicalTrials.gov ajuda a reconhecer essas lacunas, mas não abrange todos os estudos do mundo.</w:t>
      </w:r>
    </w:p>
    <w:p>
      <w:pPr>
        <w:pStyle w:val="BodyText"/>
      </w:pPr>
      <w:r>
        <w:rPr>
          <w:bCs/>
          <w:b/>
        </w:rPr>
        <w:t xml:space="preserve">Apenas resumos.</w:t>
      </w:r>
      <w:r>
        <w:t xml:space="preserve"> </w:t>
      </w:r>
      <w:r>
        <w:t xml:space="preserve">A avaliação baseia-se nos resumos. Eles reproduzem os resultados principais, mas podem apresentar de forma abreviada limitações, efeitos colaterais ou fraquezas metodológicas.</w:t>
      </w:r>
    </w:p>
    <w:p>
      <w:pPr>
        <w:pStyle w:val="BodyText"/>
      </w:pPr>
      <w:r>
        <w:rPr>
          <w:bCs/>
          <w:b/>
        </w:rPr>
        <w:t xml:space="preserve">Retrato instantâneo.</w:t>
      </w:r>
      <w:r>
        <w:t xml:space="preserve"> </w:t>
      </w:r>
      <w:r>
        <w:t xml:space="preserve">A pesquisa reflete a situação de outubro de 2026. Em campos de crescimento rápido, como o dos medicamentos de GLP-1, novos estudos são publicados toda semana.</w:t>
      </w:r>
    </w:p>
    <w:bookmarkEnd w:id="3009"/>
    <w:bookmarkStart w:id="3010" w:name="controle-de-qualidade"/>
    <w:p>
      <w:pPr>
        <w:pStyle w:val="Heading3"/>
      </w:pPr>
      <w:r>
        <w:t xml:space="preserve">Controle de qualidade</w:t>
      </w:r>
    </w:p>
    <w:p>
      <w:pPr>
        <w:pStyle w:val="FirstParagraph"/>
      </w:pPr>
      <w:r>
        <w:t xml:space="preserve">As consultas aos bancos de dados foram feitas pelas interfaces citadas, com programas auxiliares escritos especificamente para isso. Para a avaliação, valeram regras obrigatórias: cada estudo no texto é citado com PMID ou número NCT; cada número precisa vir de um resumo ou registro de estudo efetivamente consultado; estudos só podem ser citados se seu registro tiver sido consultado e lido antes.</w:t>
      </w:r>
    </w:p>
    <w:p>
      <w:pPr>
        <w:pStyle w:val="BodyText"/>
      </w:pPr>
      <w:r>
        <w:t xml:space="preserve">Além disso, cada capítulo foi verificado com um programa de controle. Ele consulta, para cada PMID e número NCT citado no texto, o registro no PubMed ou no ClinicalTrials.gov e aponta como erro quando um número não existe. Compara também o primeiro autor ou a primeira autora e o ano de publicação, que constam do texto antes do PMID, com o registro do banco de dados e indica divergências. Por fim, procura formulações inadmissíveis, como promessas de cura, recomendações de dose ou indicações de onde comprar. Um capítulo só era considerado pronto quando essa verificação passava sem erros. Além disso, o programa verifica se um trabalho citado foi retratado nesse meio-tempo; esses trabalhos estão expressamente identificados no texto. Para concluir, cerca de 1.450 trechos com números foram comparados um a um com os resumos e, quando necessário, corrigidos.</w:t>
      </w:r>
    </w:p>
    <w:p>
      <w:pPr>
        <w:pStyle w:val="BodyText"/>
      </w:pPr>
      <w:r>
        <w:t xml:space="preserve">Essa verificação garante que cada fonte citada existe e está corretamente atribuída. Ela não pode excluir completamente que um resultado esteja reproduzido no texto de forma abreviada ou ambígua. Por isso, todas as fontes estão indicadas de modo que você possa consultá-las por conta própria – como fazer isso está explicado na seção</w:t>
      </w:r>
      <w:r>
        <w:t xml:space="preserve"> </w:t>
      </w:r>
      <w:r>
        <w:t xml:space="preserve">“</w:t>
      </w:r>
      <w:r>
        <w:t xml:space="preserve">Sobre este livro</w:t>
      </w:r>
      <w:r>
        <w:t xml:space="preserve">”</w:t>
      </w:r>
      <w:r>
        <w:t xml:space="preserve">, no início.</w:t>
      </w:r>
    </w:p>
    <w:bookmarkEnd w:id="3010"/>
    <w:bookmarkEnd w:id="3011"/>
    <w:bookmarkStart w:id="3070" w:name="índice-de-estudos"/>
    <w:p>
      <w:pPr>
        <w:pStyle w:val="Heading1"/>
      </w:pPr>
      <w:r>
        <w:t xml:space="preserve">Índice de estudos</w:t>
      </w:r>
    </w:p>
    <w:p>
      <w:pPr>
        <w:pStyle w:val="FirstParagraph"/>
      </w:pPr>
      <w:r>
        <w:t xml:space="preserve">Este índice lista todas as publicações de estudos clínicos em humanos que a pesquisa encontrou no PubMed para cada peptídeo (consulta de outubro de 2026; filtros, ver Metodologia). Títulos e periódicos estão no idioma original. Cada estudo pode ser consultado pelo seu PMID em pubmed.ncbi.nlm.nih.gov. Nem toda entrada é um estudo independente: alguns estudos foram analisados e publicados mais de uma vez.</w:t>
      </w:r>
      <w:r>
        <w:t xml:space="preserve"> </w:t>
      </w:r>
      <w:r>
        <w:t xml:space="preserve">Total: 3.216 entradas.</w:t>
      </w:r>
    </w:p>
    <w:bookmarkStart w:id="3012" w:name="exenatida-437"/>
    <w:p>
      <w:pPr>
        <w:pStyle w:val="Heading2"/>
      </w:pPr>
      <w:r>
        <w:t xml:space="preserve">Exenatida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2"/>
    <w:bookmarkStart w:id="3013" w:name="liraglutida-613"/>
    <w:p>
      <w:pPr>
        <w:pStyle w:val="Heading2"/>
      </w:pPr>
      <w:r>
        <w:t xml:space="preserve">Liraglutida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3"/>
    <w:bookmarkStart w:id="3014" w:name="dulaglutida-158"/>
    <w:p>
      <w:pPr>
        <w:pStyle w:val="Heading2"/>
      </w:pPr>
      <w:r>
        <w:t xml:space="preserve">Dulaglutida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4"/>
    <w:bookmarkStart w:id="3015" w:name="semaglutida-342"/>
    <w:p>
      <w:pPr>
        <w:pStyle w:val="Heading2"/>
      </w:pPr>
      <w:r>
        <w:t xml:space="preserve">Semaglutida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5"/>
    <w:bookmarkStart w:id="3016" w:name="tirzepatida-144"/>
    <w:p>
      <w:pPr>
        <w:pStyle w:val="Heading2"/>
      </w:pPr>
      <w:r>
        <w:t xml:space="preserve">Tirzepatida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6"/>
    <w:bookmarkStart w:id="3017" w:name="retatrutida-10"/>
    <w:p>
      <w:pPr>
        <w:pStyle w:val="Heading2"/>
      </w:pPr>
      <w:r>
        <w:t xml:space="preserve">Retatrutida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7"/>
    <w:bookmarkStart w:id="3018" w:name="survodutida-10"/>
    <w:p>
      <w:pPr>
        <w:pStyle w:val="Heading2"/>
      </w:pPr>
      <w:r>
        <w:t xml:space="preserve">Survodutida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8"/>
    <w:bookmarkStart w:id="3019" w:name="mazdutida-9"/>
    <w:p>
      <w:pPr>
        <w:pStyle w:val="Heading2"/>
      </w:pPr>
      <w:r>
        <w:t xml:space="preserve">Mazdutida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19"/>
    <w:bookmarkStart w:id="3020" w:name="cagrilintida-e-cagrisema-15"/>
    <w:p>
      <w:pPr>
        <w:pStyle w:val="Heading2"/>
      </w:pPr>
      <w:r>
        <w:t xml:space="preserve">Cagrilintida e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0"/>
    <w:bookmarkStart w:id="3021" w:name="amicretina-zenagamtida-4"/>
    <w:p>
      <w:pPr>
        <w:pStyle w:val="Heading2"/>
      </w:pPr>
      <w:r>
        <w:t xml:space="preserve">Amicretina (zenagamtida)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1"/>
    <w:bookmarkStart w:id="3022" w:name="maridebarte-cafraglutida-maritide-2"/>
    <w:p>
      <w:pPr>
        <w:pStyle w:val="Heading2"/>
      </w:pPr>
      <w:r>
        <w:t xml:space="preserve">Maridebarte cafraglutida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2"/>
    <w:bookmarkStart w:id="3023" w:name="pranlintida-76"/>
    <w:p>
      <w:pPr>
        <w:pStyle w:val="Heading2"/>
      </w:pPr>
      <w:r>
        <w:t xml:space="preserve">Pranlintida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3"/>
    <w:bookmarkStart w:id="3024" w:name="setmelanotida-15"/>
    <w:p>
      <w:pPr>
        <w:pStyle w:val="Heading2"/>
      </w:pPr>
      <w:r>
        <w:t xml:space="preserve">Setmelanotida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4"/>
    <w:bookmarkStart w:id="3025" w:name="aod-9604-0"/>
    <w:p>
      <w:pPr>
        <w:pStyle w:val="Heading2"/>
      </w:pPr>
      <w:r>
        <w:t xml:space="preserve">AOD-9604 (0)</w:t>
      </w:r>
    </w:p>
    <w:p>
      <w:pPr>
        <w:pStyle w:val="FirstParagraph"/>
      </w:pPr>
      <w:r>
        <w:t xml:space="preserve">Nenhuma publicação de estudos clínicos em humanos encontrada.</w:t>
      </w:r>
    </w:p>
    <w:bookmarkEnd w:id="3025"/>
    <w:bookmarkStart w:id="3026" w:name="orforglipron-para-comparação-20"/>
    <w:p>
      <w:pPr>
        <w:pStyle w:val="Heading2"/>
      </w:pPr>
      <w:r>
        <w:t xml:space="preserve">Orforglipron (para comparação)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6"/>
    <w:bookmarkStart w:id="3027" w:name="bpc-157-0"/>
    <w:p>
      <w:pPr>
        <w:pStyle w:val="Heading2"/>
      </w:pPr>
      <w:r>
        <w:t xml:space="preserve">BPC-157 (0)</w:t>
      </w:r>
    </w:p>
    <w:p>
      <w:pPr>
        <w:pStyle w:val="FirstParagraph"/>
      </w:pPr>
      <w:r>
        <w:t xml:space="preserve">Nenhuma publicação de estudos clínicos em humanos encontrada.</w:t>
      </w:r>
    </w:p>
    <w:bookmarkEnd w:id="3027"/>
    <w:bookmarkStart w:id="3028" w:name="tb-500-e-timosina-beta-4-9"/>
    <w:p>
      <w:pPr>
        <w:pStyle w:val="Heading2"/>
      </w:pPr>
      <w:r>
        <w:t xml:space="preserve">TB-500 e timosina beta-4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8"/>
    <w:bookmarkStart w:id="3029" w:name="timosina-alfa-1-timalfasina-90"/>
    <w:p>
      <w:pPr>
        <w:pStyle w:val="Heading2"/>
      </w:pPr>
      <w:r>
        <w:t xml:space="preserve">Timosina alfa 1 (timalfasina)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29"/>
    <w:bookmarkStart w:id="3030" w:name="kpv-0"/>
    <w:p>
      <w:pPr>
        <w:pStyle w:val="Heading2"/>
      </w:pPr>
      <w:r>
        <w:t xml:space="preserve">KPV (0)</w:t>
      </w:r>
    </w:p>
    <w:p>
      <w:pPr>
        <w:pStyle w:val="FirstParagraph"/>
      </w:pPr>
      <w:r>
        <w:t xml:space="preserve">Nenhuma publicação de estudos clínicos em humanos encontrada.</w:t>
      </w:r>
    </w:p>
    <w:bookmarkEnd w:id="3030"/>
    <w:bookmarkStart w:id="3031"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1"/>
    <w:bookmarkStart w:id="3032" w:name="ara-290-cibinetida-5"/>
    <w:p>
      <w:pPr>
        <w:pStyle w:val="Heading2"/>
      </w:pPr>
      <w:r>
        <w:t xml:space="preserve">ARA-290 (cibinetida)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2"/>
    <w:bookmarkStart w:id="3033" w:name="larazotida-4"/>
    <w:p>
      <w:pPr>
        <w:pStyle w:val="Heading2"/>
      </w:pPr>
      <w:r>
        <w:t xml:space="preserve">Larazotida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3"/>
    <w:bookmarkStart w:id="3034" w:name="timalina-e-timogênio-17"/>
    <w:p>
      <w:pPr>
        <w:pStyle w:val="Heading2"/>
      </w:pPr>
      <w:r>
        <w:t xml:space="preserve">Timalina e timogênio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4"/>
    <w:bookmarkStart w:id="3035" w:name="sermorrelina-0"/>
    <w:p>
      <w:pPr>
        <w:pStyle w:val="Heading2"/>
      </w:pPr>
      <w:r>
        <w:t xml:space="preserve">Sermorrelina (0)</w:t>
      </w:r>
    </w:p>
    <w:p>
      <w:pPr>
        <w:pStyle w:val="FirstParagraph"/>
      </w:pPr>
      <w:r>
        <w:t xml:space="preserve">Nenhuma publicação de estudos clínicos em humanos encontrada.</w:t>
      </w:r>
    </w:p>
    <w:bookmarkEnd w:id="3035"/>
    <w:bookmarkStart w:id="3036" w:name="tesamorelina-23"/>
    <w:p>
      <w:pPr>
        <w:pStyle w:val="Heading2"/>
      </w:pPr>
      <w:r>
        <w:t xml:space="preserve">Tesamorelina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6"/>
    <w:bookmarkStart w:id="3037"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7"/>
    <w:bookmarkStart w:id="3038" w:name="ipamorelina-2"/>
    <w:p>
      <w:pPr>
        <w:pStyle w:val="Heading2"/>
      </w:pPr>
      <w:r>
        <w:t xml:space="preserve">Ipamorelina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8"/>
    <w:bookmarkStart w:id="3039" w:name="ghrp-2-pralmorelina-55"/>
    <w:p>
      <w:pPr>
        <w:pStyle w:val="Heading2"/>
      </w:pPr>
      <w:r>
        <w:t xml:space="preserve">GHRP-2 (pralmorelina)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39"/>
    <w:bookmarkStart w:id="3040"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0"/>
    <w:bookmarkStart w:id="3041" w:name="hexarelina-58"/>
    <w:p>
      <w:pPr>
        <w:pStyle w:val="Heading2"/>
      </w:pPr>
      <w:r>
        <w:t xml:space="preserve">Hexarelina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1"/>
    <w:bookmarkStart w:id="3042" w:name="macimorelina-4"/>
    <w:p>
      <w:pPr>
        <w:pStyle w:val="Heading2"/>
      </w:pPr>
      <w:r>
        <w:t xml:space="preserve">Macimorelina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2"/>
    <w:bookmarkStart w:id="3043" w:name="mecasermina-igf-1-21"/>
    <w:p>
      <w:pPr>
        <w:pStyle w:val="Heading2"/>
      </w:pPr>
      <w:r>
        <w:t xml:space="preserve">Mecasermina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3"/>
    <w:bookmarkStart w:id="3044" w:name="igf-1-lr3-0"/>
    <w:p>
      <w:pPr>
        <w:pStyle w:val="Heading2"/>
      </w:pPr>
      <w:r>
        <w:t xml:space="preserve">IGF-1 LR3 (0)</w:t>
      </w:r>
    </w:p>
    <w:p>
      <w:pPr>
        <w:pStyle w:val="FirstParagraph"/>
      </w:pPr>
      <w:r>
        <w:t xml:space="preserve">Nenhuma publicação de estudos clínicos em humanos encontrada.</w:t>
      </w:r>
    </w:p>
    <w:bookmarkEnd w:id="3044"/>
    <w:bookmarkStart w:id="3045" w:name="ibutamoreno-mk-677-19"/>
    <w:p>
      <w:pPr>
        <w:pStyle w:val="Heading2"/>
      </w:pPr>
      <w:r>
        <w:t xml:space="preserve">Ibutamoreno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5"/>
    <w:bookmarkStart w:id="3046"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6"/>
    <w:bookmarkStart w:id="3047"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7"/>
    <w:bookmarkStart w:id="3048" w:name="cerebrolisina-88"/>
    <w:p>
      <w:pPr>
        <w:pStyle w:val="Heading2"/>
      </w:pPr>
      <w:r>
        <w:t xml:space="preserve">Cerebrolisina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8"/>
    <w:bookmarkStart w:id="3049" w:name="dihexa-0"/>
    <w:p>
      <w:pPr>
        <w:pStyle w:val="Heading2"/>
      </w:pPr>
      <w:r>
        <w:t xml:space="preserve">Dihexa (0)</w:t>
      </w:r>
    </w:p>
    <w:p>
      <w:pPr>
        <w:pStyle w:val="FirstParagraph"/>
      </w:pPr>
      <w:r>
        <w:t xml:space="preserve">Nenhuma publicação de estudos clínicos em humanos encontrada.</w:t>
      </w:r>
    </w:p>
    <w:bookmarkEnd w:id="3049"/>
    <w:bookmarkStart w:id="3050" w:name="dsip-peptídeo-indutor-do-sono-delta-18"/>
    <w:p>
      <w:pPr>
        <w:pStyle w:val="Heading2"/>
      </w:pPr>
      <w:r>
        <w:t xml:space="preserve">DSIP (peptídeo indutor do sono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0"/>
    <w:bookmarkStart w:id="3051"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1"/>
    <w:bookmarkStart w:id="3052"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2"/>
    <w:bookmarkStart w:id="3053"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3"/>
    <w:bookmarkStart w:id="3054" w:name="humanina-8"/>
    <w:p>
      <w:pPr>
        <w:pStyle w:val="Heading2"/>
      </w:pPr>
      <w:r>
        <w:t xml:space="preserve">Humanina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4"/>
    <w:bookmarkStart w:id="3055" w:name="ss-31-elamipretida-19"/>
    <w:p>
      <w:pPr>
        <w:pStyle w:val="Heading2"/>
      </w:pPr>
      <w:r>
        <w:t xml:space="preserve">SS-31 (elamipretida)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5"/>
    <w:bookmarkStart w:id="3056" w:name="foxo4-dri-0"/>
    <w:p>
      <w:pPr>
        <w:pStyle w:val="Heading2"/>
      </w:pPr>
      <w:r>
        <w:t xml:space="preserve">FOXO4-DRI (0)</w:t>
      </w:r>
    </w:p>
    <w:p>
      <w:pPr>
        <w:pStyle w:val="FirstParagraph"/>
      </w:pPr>
      <w:r>
        <w:t xml:space="preserve">Nenhuma publicação de estudos clínicos em humanos encontrada.</w:t>
      </w:r>
    </w:p>
    <w:bookmarkEnd w:id="3056"/>
    <w:bookmarkStart w:id="3057" w:name="glutationa-161"/>
    <w:p>
      <w:pPr>
        <w:pStyle w:val="Heading2"/>
      </w:pPr>
      <w:r>
        <w:t xml:space="preserve">Glutationa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7"/>
    <w:bookmarkStart w:id="3058" w:name="bremelanotida-pt-141-16"/>
    <w:p>
      <w:pPr>
        <w:pStyle w:val="Heading2"/>
      </w:pPr>
      <w:r>
        <w:t xml:space="preserve">Bremelanotida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8"/>
    <w:bookmarkStart w:id="3059"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59"/>
    <w:bookmarkStart w:id="3060" w:name="afamelanotida-10"/>
    <w:p>
      <w:pPr>
        <w:pStyle w:val="Heading2"/>
      </w:pPr>
      <w:r>
        <w:t xml:space="preserve">Afamelanotida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0"/>
    <w:bookmarkStart w:id="3061" w:name="kisspeptina-37"/>
    <w:p>
      <w:pPr>
        <w:pStyle w:val="Heading2"/>
      </w:pPr>
      <w:r>
        <w:t xml:space="preserve">Kisspeptina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1"/>
    <w:bookmarkStart w:id="3062" w:name="ocitocina-spray-nasal-349"/>
    <w:p>
      <w:pPr>
        <w:pStyle w:val="Heading2"/>
      </w:pPr>
      <w:r>
        <w:t xml:space="preserve">Ocitocina (spray nasal)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2"/>
    <w:bookmarkStart w:id="3063" w:name="gonadorelina-9"/>
    <w:p>
      <w:pPr>
        <w:pStyle w:val="Heading2"/>
      </w:pPr>
      <w:r>
        <w:t xml:space="preserve">Gonadorelina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3"/>
    <w:bookmarkStart w:id="3064" w:name="Xc95361ebaeaf98faaef9c98f369c524174b768d"/>
    <w:p>
      <w:pPr>
        <w:pStyle w:val="Heading2"/>
      </w:pPr>
      <w:r>
        <w:t xml:space="preserve">Peptídeos de colágeno (colágeno hidrolisado)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4"/>
    <w:bookmarkStart w:id="3065" w:name="lactotripeptídeos-vpp-e-ipp-21"/>
    <w:p>
      <w:pPr>
        <w:pStyle w:val="Heading2"/>
      </w:pPr>
      <w:r>
        <w:t xml:space="preserve">Lactotripeptídeos (VPP e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5"/>
    <w:bookmarkStart w:id="3066" w:name="carnosina-57"/>
    <w:p>
      <w:pPr>
        <w:pStyle w:val="Heading2"/>
      </w:pPr>
      <w:r>
        <w:t xml:space="preserve">Carnosina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6"/>
    <w:bookmarkStart w:id="3067" w:name="ghk-cu-peptídeo-de-cobre-1"/>
    <w:p>
      <w:pPr>
        <w:pStyle w:val="Heading2"/>
      </w:pPr>
      <w:r>
        <w:t xml:space="preserve">GHK-Cu (peptídeo de cobre)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7"/>
    <w:bookmarkStart w:id="3068" w:name="palmitoil-pentapeptídeo-4-matrixyl-1"/>
    <w:p>
      <w:pPr>
        <w:pStyle w:val="Heading2"/>
      </w:pPr>
      <w:r>
        <w:t xml:space="preserve">Palmitoil pentapeptídeo-4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8"/>
    <w:bookmarkStart w:id="3069" w:name="acetil-hexapeptídeo-8-argireline-3"/>
    <w:p>
      <w:pPr>
        <w:pStyle w:val="Heading2"/>
      </w:pPr>
      <w:r>
        <w:t xml:space="preserve">Acetil hexapeptídeo-8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69"/>
    <w:bookmarkEnd w:id="3070"/>
    <w:bookmarkStart w:id="3071" w:name="sobre-o-autor"/>
    <w:p>
      <w:pPr>
        <w:pStyle w:val="Heading1"/>
      </w:pPr>
      <w:r>
        <w:t xml:space="preserve">Sobre o autor</w:t>
      </w:r>
    </w:p>
    <w:p>
      <w:pPr>
        <w:pStyle w:val="FirstParagraph"/>
      </w:pPr>
      <w:r>
        <w:t xml:space="preserve">Josef Gallab se dedica intensamente, há mais de cinco anos, a peptídeos, esporte e biohacking. Ele se interessa pelo que realmente faz a saúde e o desempenho avançarem – e pelo que não passa de promessa.</w:t>
      </w:r>
    </w:p>
    <w:p>
      <w:pPr>
        <w:pStyle w:val="BodyText"/>
      </w:pPr>
      <w:r>
        <w:t xml:space="preserve">O meio, as promessas e os relatos de experiência em torno de muitos dos peptídeos descritos neste livro, ele conhece de perto. Justamente por isso, faz questão de separar com clareza entusiasmo e evidências: levar a sério o potencial dos peptídeos sem calar as perguntas em aberto.</w:t>
      </w:r>
    </w:p>
    <w:p>
      <w:pPr>
        <w:pStyle w:val="BodyText"/>
      </w:pPr>
      <w:r>
        <w:t xml:space="preserve">Com</w:t>
      </w:r>
      <w:r>
        <w:t xml:space="preserve"> </w:t>
      </w:r>
      <w:r>
        <w:rPr>
          <w:iCs/>
          <w:i/>
        </w:rPr>
        <w:t xml:space="preserve">O manual dos peptídeos</w:t>
      </w:r>
      <w:r>
        <w:t xml:space="preserve">, ele quer dar às leitoras e aos leitores a ferramenta que ele mesmo não teve no começo – uma visão geral honesta do que os estudos realmente mostram.</w:t>
      </w:r>
    </w:p>
    <w:bookmarkEnd w:id="30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descrita como ponto de partida em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aprovação pela FDA relatada em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perfil anônimo da substância em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perfil anônimo da substância em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7">
    <w:p>
      <w:pPr>
        <w:pStyle w:val="FootnoteText"/>
      </w:pPr>
      <w:r>
        <w:rPr>
          <w:rStyle w:val="FootnoteReference"/>
        </w:rPr>
        <w:footnoteRef/>
      </w:r>
      <w:r>
        <w:t xml:space="preserve"> </w:t>
      </w:r>
      <w:r>
        <w:t xml:space="preserve">NCT00924157.</w:t>
      </w:r>
    </w:p>
  </w:footnote>
  <w:footnote w:id="2402">
    <w:p>
      <w:pPr>
        <w:pStyle w:val="FootnoteText"/>
      </w:pPr>
      <w:r>
        <w:rPr>
          <w:rStyle w:val="FootnoteReference"/>
        </w:rPr>
        <w:footnoteRef/>
      </w:r>
      <w:r>
        <w:t xml:space="preserve"> </w:t>
      </w:r>
      <w:r>
        <w:t xml:space="preserve">Baguet 2010, PMID 20671038.</w:t>
      </w:r>
    </w:p>
  </w:footnote>
  <w:footnote w:id="2403">
    <w:p>
      <w:pPr>
        <w:pStyle w:val="FootnoteText"/>
      </w:pPr>
      <w:r>
        <w:rPr>
          <w:rStyle w:val="FootnoteReference"/>
        </w:rPr>
        <w:footnoteRef/>
      </w:r>
      <w:r>
        <w:t xml:space="preserve"> </w:t>
      </w:r>
      <w:r>
        <w:t xml:space="preserve">Gardner 1991, PMID 1910085.</w:t>
      </w:r>
    </w:p>
  </w:footnote>
  <w:footnote w:id="2404">
    <w:p>
      <w:pPr>
        <w:pStyle w:val="FootnoteText"/>
      </w:pPr>
      <w:r>
        <w:rPr>
          <w:rStyle w:val="FootnoteReference"/>
        </w:rPr>
        <w:footnoteRef/>
      </w:r>
      <w:r>
        <w:t xml:space="preserve"> </w:t>
      </w:r>
      <w:r>
        <w:t xml:space="preserve">Baba 2024, PMID 39215872.</w:t>
      </w:r>
    </w:p>
  </w:footnote>
  <w:footnote w:id="2406">
    <w:p>
      <w:pPr>
        <w:pStyle w:val="FootnoteText"/>
      </w:pPr>
      <w:r>
        <w:rPr>
          <w:rStyle w:val="FootnoteReference"/>
        </w:rPr>
        <w:footnoteRef/>
      </w:r>
      <w:r>
        <w:t xml:space="preserve"> </w:t>
      </w:r>
      <w:r>
        <w:t xml:space="preserve">Harris 2006, PMID 16554972.</w:t>
      </w:r>
    </w:p>
  </w:footnote>
  <w:footnote w:id="2407">
    <w:p>
      <w:pPr>
        <w:pStyle w:val="FootnoteText"/>
      </w:pPr>
      <w:r>
        <w:rPr>
          <w:rStyle w:val="FootnoteReference"/>
        </w:rPr>
        <w:footnoteRef/>
      </w:r>
      <w:r>
        <w:t xml:space="preserve"> </w:t>
      </w:r>
      <w:r>
        <w:t xml:space="preserve">Yamaguchi 2021, PMID 33148972.</w:t>
      </w:r>
    </w:p>
  </w:footnote>
  <w:footnote w:id="2408">
    <w:p>
      <w:pPr>
        <w:pStyle w:val="FootnoteText"/>
      </w:pPr>
      <w:r>
        <w:rPr>
          <w:rStyle w:val="FootnoteReference"/>
        </w:rPr>
        <w:footnoteRef/>
      </w:r>
      <w:r>
        <w:t xml:space="preserve"> </w:t>
      </w:r>
      <w:r>
        <w:t xml:space="preserve">Rezende 2020, PMID 32922303.</w:t>
      </w:r>
    </w:p>
  </w:footnote>
  <w:footnote w:id="2411">
    <w:p>
      <w:pPr>
        <w:pStyle w:val="FootnoteText"/>
      </w:pPr>
      <w:r>
        <w:rPr>
          <w:rStyle w:val="FootnoteReference"/>
        </w:rPr>
        <w:footnoteRef/>
      </w:r>
      <w:r>
        <w:t xml:space="preserve"> </w:t>
      </w:r>
      <w:r>
        <w:t xml:space="preserve">Saunders 2017, PMID 27797728.</w:t>
      </w:r>
    </w:p>
  </w:footnote>
  <w:footnote w:id="2412">
    <w:p>
      <w:pPr>
        <w:pStyle w:val="FootnoteText"/>
      </w:pPr>
      <w:r>
        <w:rPr>
          <w:rStyle w:val="FootnoteReference"/>
        </w:rPr>
        <w:footnoteRef/>
      </w:r>
      <w:r>
        <w:t xml:space="preserve"> </w:t>
      </w:r>
      <w:r>
        <w:t xml:space="preserve">Derave 2007, PMID 17690198.</w:t>
      </w:r>
    </w:p>
  </w:footnote>
  <w:footnote w:id="2413">
    <w:p>
      <w:pPr>
        <w:pStyle w:val="FootnoteText"/>
      </w:pPr>
      <w:r>
        <w:rPr>
          <w:rStyle w:val="FootnoteReference"/>
        </w:rPr>
        <w:footnoteRef/>
      </w:r>
      <w:r>
        <w:t xml:space="preserve"> </w:t>
      </w:r>
      <w:r>
        <w:t xml:space="preserve">Chung 2014, PMID 24457999.</w:t>
      </w:r>
    </w:p>
  </w:footnote>
  <w:footnote w:id="2414">
    <w:p>
      <w:pPr>
        <w:pStyle w:val="FootnoteText"/>
      </w:pPr>
      <w:r>
        <w:rPr>
          <w:rStyle w:val="FootnoteReference"/>
        </w:rPr>
        <w:footnoteRef/>
      </w:r>
      <w:r>
        <w:t xml:space="preserve"> </w:t>
      </w:r>
      <w:r>
        <w:t xml:space="preserve">O’Toole 2026, PMID 42308284.</w:t>
      </w:r>
    </w:p>
  </w:footnote>
  <w:footnote w:id="2416">
    <w:p>
      <w:pPr>
        <w:pStyle w:val="FootnoteText"/>
      </w:pPr>
      <w:r>
        <w:rPr>
          <w:rStyle w:val="FootnoteReference"/>
        </w:rPr>
        <w:footnoteRef/>
      </w:r>
      <w:r>
        <w:t xml:space="preserve"> </w:t>
      </w:r>
      <w:r>
        <w:t xml:space="preserve">Peng 2020, PMID 31987255.</w:t>
      </w:r>
    </w:p>
  </w:footnote>
  <w:footnote w:id="2417">
    <w:p>
      <w:pPr>
        <w:pStyle w:val="FootnoteText"/>
      </w:pPr>
      <w:r>
        <w:rPr>
          <w:rStyle w:val="FootnoteReference"/>
        </w:rPr>
        <w:footnoteRef/>
      </w:r>
      <w:r>
        <w:t xml:space="preserve"> </w:t>
      </w:r>
      <w:r>
        <w:t xml:space="preserve">Matthews 2021, PMID 34333586.</w:t>
      </w:r>
    </w:p>
  </w:footnote>
  <w:footnote w:id="2418">
    <w:p>
      <w:pPr>
        <w:pStyle w:val="FootnoteText"/>
      </w:pPr>
      <w:r>
        <w:rPr>
          <w:rStyle w:val="FootnoteReference"/>
        </w:rPr>
        <w:footnoteRef/>
      </w:r>
      <w:r>
        <w:t xml:space="preserve"> </w:t>
      </w:r>
      <w:r>
        <w:t xml:space="preserve">Li 2025, PMID 40999397.</w:t>
      </w:r>
    </w:p>
  </w:footnote>
  <w:footnote w:id="2420">
    <w:p>
      <w:pPr>
        <w:pStyle w:val="FootnoteText"/>
      </w:pPr>
      <w:r>
        <w:rPr>
          <w:rStyle w:val="FootnoteReference"/>
        </w:rPr>
        <w:footnoteRef/>
      </w:r>
      <w:r>
        <w:t xml:space="preserve"> </w:t>
      </w:r>
      <w:r>
        <w:t xml:space="preserve">Saadati 2024, PMID 38086332.</w:t>
      </w:r>
    </w:p>
  </w:footnote>
  <w:footnote w:id="2422">
    <w:p>
      <w:pPr>
        <w:pStyle w:val="FootnoteText"/>
      </w:pPr>
      <w:r>
        <w:rPr>
          <w:rStyle w:val="FootnoteReference"/>
        </w:rPr>
        <w:footnoteRef/>
      </w:r>
      <w:r>
        <w:t xml:space="preserve"> </w:t>
      </w:r>
      <w:r>
        <w:t xml:space="preserve">Hisatsune 2016, PMID 26682691.</w:t>
      </w:r>
    </w:p>
  </w:footnote>
  <w:footnote w:id="2423">
    <w:p>
      <w:pPr>
        <w:pStyle w:val="FootnoteText"/>
      </w:pPr>
      <w:r>
        <w:rPr>
          <w:rStyle w:val="FootnoteReference"/>
        </w:rPr>
        <w:footnoteRef/>
      </w:r>
      <w:r>
        <w:t xml:space="preserve"> </w:t>
      </w:r>
      <w:r>
        <w:t xml:space="preserve">Masuoka 2019, PMID 31319510.</w:t>
      </w:r>
    </w:p>
  </w:footnote>
  <w:footnote w:id="2424">
    <w:p>
      <w:pPr>
        <w:pStyle w:val="FootnoteText"/>
      </w:pPr>
      <w:r>
        <w:rPr>
          <w:rStyle w:val="FootnoteReference"/>
        </w:rPr>
        <w:footnoteRef/>
      </w:r>
      <w:r>
        <w:t xml:space="preserve"> </w:t>
      </w:r>
      <w:r>
        <w:t xml:space="preserve">O’Toole 2025, PMID 39919936.</w:t>
      </w:r>
    </w:p>
  </w:footnote>
  <w:footnote w:id="2425">
    <w:p>
      <w:pPr>
        <w:pStyle w:val="FootnoteText"/>
      </w:pPr>
      <w:r>
        <w:rPr>
          <w:rStyle w:val="FootnoteReference"/>
        </w:rPr>
        <w:footnoteRef/>
      </w:r>
      <w:r>
        <w:t xml:space="preserve"> </w:t>
      </w:r>
      <w:r>
        <w:t xml:space="preserve">Hsiao 2026, PMID 42123986.</w:t>
      </w:r>
    </w:p>
  </w:footnote>
  <w:footnote w:id="2426">
    <w:p>
      <w:pPr>
        <w:pStyle w:val="FootnoteText"/>
      </w:pPr>
      <w:r>
        <w:rPr>
          <w:rStyle w:val="FootnoteReference"/>
        </w:rPr>
        <w:footnoteRef/>
      </w:r>
      <w:r>
        <w:t xml:space="preserve"> </w:t>
      </w:r>
      <w:r>
        <w:t xml:space="preserve">Kabthymer 2025, PMID 38545720.</w:t>
      </w:r>
    </w:p>
  </w:footnote>
  <w:footnote w:id="2427">
    <w:p>
      <w:pPr>
        <w:pStyle w:val="FootnoteText"/>
      </w:pPr>
      <w:r>
        <w:rPr>
          <w:rStyle w:val="FootnoteReference"/>
        </w:rPr>
        <w:footnoteRef/>
      </w:r>
      <w:r>
        <w:t xml:space="preserve"> </w:t>
      </w:r>
      <w:r>
        <w:t xml:space="preserve">Chez 2002, PMID 12585724.</w:t>
      </w:r>
    </w:p>
  </w:footnote>
  <w:footnote w:id="2428">
    <w:p>
      <w:pPr>
        <w:pStyle w:val="FootnoteText"/>
      </w:pPr>
      <w:r>
        <w:rPr>
          <w:rStyle w:val="FootnoteReference"/>
        </w:rPr>
        <w:footnoteRef/>
      </w:r>
      <w:r>
        <w:t xml:space="preserve"> </w:t>
      </w:r>
      <w:r>
        <w:t xml:space="preserve">Abraham 2020, PMID 33170378.</w:t>
      </w:r>
    </w:p>
  </w:footnote>
  <w:footnote w:id="2430">
    <w:p>
      <w:pPr>
        <w:pStyle w:val="FootnoteText"/>
      </w:pPr>
      <w:r>
        <w:rPr>
          <w:rStyle w:val="FootnoteReference"/>
        </w:rPr>
        <w:footnoteRef/>
      </w:r>
      <w:r>
        <w:t xml:space="preserve"> </w:t>
      </w:r>
      <w:r>
        <w:t xml:space="preserve">Yehia 2019, PMID 30592963.</w:t>
      </w:r>
    </w:p>
  </w:footnote>
  <w:footnote w:id="2431">
    <w:p>
      <w:pPr>
        <w:pStyle w:val="FootnoteText"/>
      </w:pPr>
      <w:r>
        <w:rPr>
          <w:rStyle w:val="FootnoteReference"/>
        </w:rPr>
        <w:footnoteRef/>
      </w:r>
      <w:r>
        <w:t xml:space="preserve"> </w:t>
      </w:r>
      <w:r>
        <w:t xml:space="preserve">Lombardi 2015, PMID 25287762.</w:t>
      </w:r>
    </w:p>
  </w:footnote>
  <w:footnote w:id="2432">
    <w:p>
      <w:pPr>
        <w:pStyle w:val="FootnoteText"/>
      </w:pPr>
      <w:r>
        <w:rPr>
          <w:rStyle w:val="FootnoteReference"/>
        </w:rPr>
        <w:footnoteRef/>
      </w:r>
      <w:r>
        <w:t xml:space="preserve"> </w:t>
      </w:r>
      <w:r>
        <w:t xml:space="preserve">Baraniuk 2013, PMID 23618477.</w:t>
      </w:r>
    </w:p>
  </w:footnote>
  <w:footnote w:id="2433">
    <w:p>
      <w:pPr>
        <w:pStyle w:val="FootnoteText"/>
      </w:pPr>
      <w:r>
        <w:rPr>
          <w:rStyle w:val="FootnoteReference"/>
        </w:rPr>
        <w:footnoteRef/>
      </w:r>
      <w:r>
        <w:t xml:space="preserve"> </w:t>
      </w:r>
      <w:r>
        <w:t xml:space="preserve">Babizhayev 2012, PMID 21756141.</w:t>
      </w:r>
    </w:p>
  </w:footnote>
  <w:footnote w:id="2435">
    <w:p>
      <w:pPr>
        <w:pStyle w:val="FootnoteText"/>
      </w:pPr>
      <w:r>
        <w:rPr>
          <w:rStyle w:val="FootnoteReference"/>
        </w:rPr>
        <w:footnoteRef/>
      </w:r>
      <w:r>
        <w:t xml:space="preserve"> </w:t>
      </w:r>
      <w:r>
        <w:t xml:space="preserve">Shen 2022, PMID 35999163.</w:t>
      </w:r>
    </w:p>
  </w:footnote>
  <w:footnote w:id="2436">
    <w:p>
      <w:pPr>
        <w:pStyle w:val="FootnoteText"/>
      </w:pPr>
      <w:r>
        <w:rPr>
          <w:rStyle w:val="FootnoteReference"/>
        </w:rPr>
        <w:footnoteRef/>
      </w:r>
      <w:r>
        <w:t xml:space="preserve"> </w:t>
      </w:r>
      <w:r>
        <w:t xml:space="preserve">Dubois 2017, PMID 28245346.</w:t>
      </w:r>
    </w:p>
  </w:footnote>
  <w:footnote w:id="2439">
    <w:p>
      <w:pPr>
        <w:pStyle w:val="FootnoteText"/>
      </w:pPr>
      <w:r>
        <w:rPr>
          <w:rStyle w:val="FootnoteReference"/>
        </w:rPr>
        <w:footnoteRef/>
      </w:r>
      <w:r>
        <w:t xml:space="preserve"> </w:t>
      </w:r>
      <w:r>
        <w:t xml:space="preserve">Matthews 2021, PMID 34333586.</w:t>
      </w:r>
    </w:p>
  </w:footnote>
  <w:footnote w:id="2440">
    <w:p>
      <w:pPr>
        <w:pStyle w:val="FootnoteText"/>
      </w:pPr>
      <w:r>
        <w:rPr>
          <w:rStyle w:val="FootnoteReference"/>
        </w:rPr>
        <w:footnoteRef/>
      </w:r>
      <w:r>
        <w:t xml:space="preserve"> </w:t>
      </w:r>
      <w:r>
        <w:t xml:space="preserve">Qiu 2020, PMID 32803273.</w:t>
      </w:r>
    </w:p>
  </w:footnote>
  <w:footnote w:id="2442">
    <w:p>
      <w:pPr>
        <w:pStyle w:val="FootnoteText"/>
      </w:pPr>
      <w:r>
        <w:rPr>
          <w:rStyle w:val="FootnoteReference"/>
        </w:rPr>
        <w:footnoteRef/>
      </w:r>
      <w:r>
        <w:t xml:space="preserve"> </w:t>
      </w:r>
      <w:r>
        <w:t xml:space="preserve">Baba 2024, PMID 39215872.</w:t>
      </w:r>
    </w:p>
  </w:footnote>
  <w:footnote w:id="2443">
    <w:p>
      <w:pPr>
        <w:pStyle w:val="FootnoteText"/>
      </w:pPr>
      <w:r>
        <w:rPr>
          <w:rStyle w:val="FootnoteReference"/>
        </w:rPr>
        <w:footnoteRef/>
      </w:r>
      <w:r>
        <w:t xml:space="preserve"> </w:t>
      </w:r>
      <w:r>
        <w:t xml:space="preserve">Dolan 2019, PMID 30980076.</w:t>
      </w:r>
    </w:p>
  </w:footnote>
  <w:footnote w:id="2446">
    <w:p>
      <w:pPr>
        <w:pStyle w:val="FootnoteText"/>
      </w:pPr>
      <w:r>
        <w:rPr>
          <w:rStyle w:val="FootnoteReference"/>
        </w:rPr>
        <w:footnoteRef/>
      </w:r>
      <w:r>
        <w:t xml:space="preserve"> </w:t>
      </w:r>
      <w:r>
        <w:t xml:space="preserve">NCT06480760.</w:t>
      </w:r>
    </w:p>
  </w:footnote>
  <w:footnote w:id="2447">
    <w:p>
      <w:pPr>
        <w:pStyle w:val="FootnoteText"/>
      </w:pPr>
      <w:r>
        <w:rPr>
          <w:rStyle w:val="FootnoteReference"/>
        </w:rPr>
        <w:footnoteRef/>
      </w:r>
      <w:r>
        <w:t xml:space="preserve"> </w:t>
      </w:r>
      <w:r>
        <w:t xml:space="preserve">NCT07475546.</w:t>
      </w:r>
    </w:p>
  </w:footnote>
  <w:footnote w:id="2448">
    <w:p>
      <w:pPr>
        <w:pStyle w:val="FootnoteText"/>
      </w:pPr>
      <w:r>
        <w:rPr>
          <w:rStyle w:val="FootnoteReference"/>
        </w:rPr>
        <w:footnoteRef/>
      </w:r>
      <w:r>
        <w:t xml:space="preserve"> </w:t>
      </w:r>
      <w:r>
        <w:t xml:space="preserve">NCT03314987.</w:t>
      </w:r>
    </w:p>
  </w:footnote>
  <w:footnote w:id="2452">
    <w:p>
      <w:pPr>
        <w:pStyle w:val="FootnoteText"/>
      </w:pPr>
      <w:r>
        <w:rPr>
          <w:rStyle w:val="FootnoteReference"/>
        </w:rPr>
        <w:footnoteRef/>
      </w:r>
      <w:r>
        <w:t xml:space="preserve"> </w:t>
      </w:r>
      <w:r>
        <w:t xml:space="preserve">Pickart 1973, PMID 4349963.</w:t>
      </w:r>
    </w:p>
  </w:footnote>
  <w:footnote w:id="2454">
    <w:p>
      <w:pPr>
        <w:pStyle w:val="FootnoteText"/>
      </w:pPr>
      <w:r>
        <w:rPr>
          <w:rStyle w:val="FootnoteReference"/>
        </w:rPr>
        <w:footnoteRef/>
      </w:r>
      <w:r>
        <w:t xml:space="preserve"> </w:t>
      </w:r>
      <w:r>
        <w:t xml:space="preserve">Pickart 1980, PMID 7453802.</w:t>
      </w:r>
    </w:p>
  </w:footnote>
  <w:footnote w:id="2455">
    <w:p>
      <w:pPr>
        <w:pStyle w:val="FootnoteText"/>
      </w:pPr>
      <w:r>
        <w:rPr>
          <w:rStyle w:val="FootnoteReference"/>
        </w:rPr>
        <w:footnoteRef/>
      </w:r>
      <w:r>
        <w:t xml:space="preserve"> </w:t>
      </w:r>
      <w:r>
        <w:t xml:space="preserve">Maquart 1988, PMID 3169264.</w:t>
      </w:r>
    </w:p>
  </w:footnote>
  <w:footnote w:id="2456">
    <w:p>
      <w:pPr>
        <w:pStyle w:val="FootnoteText"/>
      </w:pPr>
      <w:r>
        <w:rPr>
          <w:rStyle w:val="FootnoteReference"/>
        </w:rPr>
        <w:footnoteRef/>
      </w:r>
      <w:r>
        <w:t xml:space="preserve"> </w:t>
      </w:r>
      <w:r>
        <w:t xml:space="preserve">Pickart 2015, PMID 26236730; Pickart 2018, PMID 29986520.</w:t>
      </w:r>
    </w:p>
  </w:footnote>
  <w:footnote w:id="2457">
    <w:p>
      <w:pPr>
        <w:pStyle w:val="FootnoteText"/>
      </w:pPr>
      <w:r>
        <w:rPr>
          <w:rStyle w:val="FootnoteReference"/>
        </w:rPr>
        <w:footnoteRef/>
      </w:r>
      <w:r>
        <w:t xml:space="preserve"> </w:t>
      </w:r>
      <w:r>
        <w:t xml:space="preserve">Mortazavi 2025, PMID 39963574.</w:t>
      </w:r>
    </w:p>
  </w:footnote>
  <w:footnote w:id="2458">
    <w:p>
      <w:pPr>
        <w:pStyle w:val="FootnoteText"/>
      </w:pPr>
      <w:r>
        <w:rPr>
          <w:rStyle w:val="FootnoteReference"/>
        </w:rPr>
        <w:footnoteRef/>
      </w:r>
      <w:r>
        <w:t xml:space="preserve"> </w:t>
      </w:r>
      <w:r>
        <w:t xml:space="preserve">Trzaska 2026, PMID 42790608.</w:t>
      </w:r>
    </w:p>
  </w:footnote>
  <w:footnote w:id="2461">
    <w:p>
      <w:pPr>
        <w:pStyle w:val="FootnoteText"/>
      </w:pPr>
      <w:r>
        <w:rPr>
          <w:rStyle w:val="FootnoteReference"/>
        </w:rPr>
        <w:footnoteRef/>
      </w:r>
      <w:r>
        <w:t xml:space="preserve"> </w:t>
      </w:r>
      <w:r>
        <w:t xml:space="preserve">Nukaly 2026, PMID 41924746.</w:t>
      </w:r>
    </w:p>
  </w:footnote>
  <w:footnote w:id="2462">
    <w:p>
      <w:pPr>
        <w:pStyle w:val="FootnoteText"/>
      </w:pPr>
      <w:r>
        <w:rPr>
          <w:rStyle w:val="FootnoteReference"/>
        </w:rPr>
        <w:footnoteRef/>
      </w:r>
      <w:r>
        <w:t xml:space="preserve"> </w:t>
      </w:r>
      <w:r>
        <w:t xml:space="preserve">Mayfield 2026, PMID 41476424.</w:t>
      </w:r>
    </w:p>
  </w:footnote>
  <w:footnote w:id="2463">
    <w:p>
      <w:pPr>
        <w:pStyle w:val="FootnoteText"/>
      </w:pPr>
      <w:r>
        <w:rPr>
          <w:rStyle w:val="FootnoteReference"/>
        </w:rPr>
        <w:footnoteRef/>
      </w:r>
      <w:r>
        <w:t xml:space="preserve"> </w:t>
      </w:r>
      <w:r>
        <w:t xml:space="preserve">Mendias 2026, PMID 41966639.</w:t>
      </w:r>
    </w:p>
  </w:footnote>
  <w:footnote w:id="2465">
    <w:p>
      <w:pPr>
        <w:pStyle w:val="FootnoteText"/>
      </w:pPr>
      <w:r>
        <w:rPr>
          <w:rStyle w:val="FootnoteReference"/>
        </w:rPr>
        <w:footnoteRef/>
      </w:r>
      <w:r>
        <w:t xml:space="preserve"> </w:t>
      </w:r>
      <w:r>
        <w:t xml:space="preserve">Maquart 1988, PMID 3169264.</w:t>
      </w:r>
    </w:p>
  </w:footnote>
  <w:footnote w:id="2466">
    <w:p>
      <w:pPr>
        <w:pStyle w:val="FootnoteText"/>
      </w:pPr>
      <w:r>
        <w:rPr>
          <w:rStyle w:val="FootnoteReference"/>
        </w:rPr>
        <w:footnoteRef/>
      </w:r>
      <w:r>
        <w:t xml:space="preserve"> </w:t>
      </w:r>
      <w:r>
        <w:t xml:space="preserve">Canapp 2003, PMID 14648529.</w:t>
      </w:r>
    </w:p>
  </w:footnote>
  <w:footnote w:id="2467">
    <w:p>
      <w:pPr>
        <w:pStyle w:val="FootnoteText"/>
      </w:pPr>
      <w:r>
        <w:rPr>
          <w:rStyle w:val="FootnoteReference"/>
        </w:rPr>
        <w:footnoteRef/>
      </w:r>
      <w:r>
        <w:t xml:space="preserve"> </w:t>
      </w:r>
      <w:r>
        <w:t xml:space="preserve">Wang 2017, PMID 28370978.</w:t>
      </w:r>
    </w:p>
  </w:footnote>
  <w:footnote w:id="2468">
    <w:p>
      <w:pPr>
        <w:pStyle w:val="FootnoteText"/>
      </w:pPr>
      <w:r>
        <w:rPr>
          <w:rStyle w:val="FootnoteReference"/>
        </w:rPr>
        <w:footnoteRef/>
      </w:r>
      <w:r>
        <w:t xml:space="preserve"> </w:t>
      </w:r>
      <w:r>
        <w:t xml:space="preserve">Ma 2020, PMID 31809714.</w:t>
      </w:r>
    </w:p>
  </w:footnote>
  <w:footnote w:id="2469">
    <w:p>
      <w:pPr>
        <w:pStyle w:val="FootnoteText"/>
      </w:pPr>
      <w:r>
        <w:rPr>
          <w:rStyle w:val="FootnoteReference"/>
        </w:rPr>
        <w:footnoteRef/>
      </w:r>
      <w:r>
        <w:t xml:space="preserve"> </w:t>
      </w:r>
      <w:r>
        <w:t xml:space="preserve">Fu 2015, PMID 25731775.</w:t>
      </w:r>
    </w:p>
  </w:footnote>
  <w:footnote w:id="2470">
    <w:p>
      <w:pPr>
        <w:pStyle w:val="FootnoteText"/>
      </w:pPr>
      <w:r>
        <w:rPr>
          <w:rStyle w:val="FootnoteReference"/>
        </w:rPr>
        <w:footnoteRef/>
      </w:r>
      <w:r>
        <w:t xml:space="preserve"> </w:t>
      </w:r>
      <w:r>
        <w:t xml:space="preserve">Mazzola 2026, PMID 42245779.</w:t>
      </w:r>
    </w:p>
  </w:footnote>
  <w:footnote w:id="2472">
    <w:p>
      <w:pPr>
        <w:pStyle w:val="FootnoteText"/>
      </w:pPr>
      <w:r>
        <w:rPr>
          <w:rStyle w:val="FootnoteReference"/>
        </w:rPr>
        <w:footnoteRef/>
      </w:r>
      <w:r>
        <w:t xml:space="preserve"> </w:t>
      </w:r>
      <w:r>
        <w:t xml:space="preserve">Pickart 1980, PMID 7453802.</w:t>
      </w:r>
    </w:p>
  </w:footnote>
  <w:footnote w:id="2473">
    <w:p>
      <w:pPr>
        <w:pStyle w:val="FootnoteText"/>
      </w:pPr>
      <w:r>
        <w:rPr>
          <w:rStyle w:val="FootnoteReference"/>
        </w:rPr>
        <w:footnoteRef/>
      </w:r>
      <w:r>
        <w:t xml:space="preserve"> </w:t>
      </w:r>
      <w:r>
        <w:t xml:space="preserve">Moiz 2026, PMID 42757290.</w:t>
      </w:r>
    </w:p>
  </w:footnote>
  <w:footnote w:id="2476">
    <w:p>
      <w:pPr>
        <w:pStyle w:val="FootnoteText"/>
      </w:pPr>
      <w:r>
        <w:rPr>
          <w:rStyle w:val="FootnoteReference"/>
        </w:rPr>
        <w:footnoteRef/>
      </w:r>
      <w:r>
        <w:t xml:space="preserve"> </w:t>
      </w:r>
      <w:r>
        <w:t xml:space="preserve">NCT07706361.</w:t>
      </w:r>
    </w:p>
  </w:footnote>
  <w:footnote w:id="2481">
    <w:p>
      <w:pPr>
        <w:pStyle w:val="FootnoteText"/>
      </w:pPr>
      <w:r>
        <w:rPr>
          <w:rStyle w:val="FootnoteReference"/>
        </w:rPr>
        <w:footnoteRef/>
      </w:r>
      <w:r>
        <w:t xml:space="preserve"> </w:t>
      </w:r>
      <w:r>
        <w:t xml:space="preserve">Katayama 1993, PMID 8486721.</w:t>
      </w:r>
    </w:p>
  </w:footnote>
  <w:footnote w:id="2482">
    <w:p>
      <w:pPr>
        <w:pStyle w:val="FootnoteText"/>
      </w:pPr>
      <w:r>
        <w:rPr>
          <w:rStyle w:val="FootnoteReference"/>
        </w:rPr>
        <w:footnoteRef/>
      </w:r>
      <w:r>
        <w:t xml:space="preserve"> </w:t>
      </w:r>
      <w:r>
        <w:t xml:space="preserve">Jones 2013, PMID 23320752.</w:t>
      </w:r>
    </w:p>
  </w:footnote>
  <w:footnote w:id="2483">
    <w:p>
      <w:pPr>
        <w:pStyle w:val="FootnoteText"/>
      </w:pPr>
      <w:r>
        <w:rPr>
          <w:rStyle w:val="FootnoteReference"/>
        </w:rPr>
        <w:footnoteRef/>
      </w:r>
      <w:r>
        <w:t xml:space="preserve"> </w:t>
      </w:r>
      <w:r>
        <w:t xml:space="preserve">Trzaska 2026, PMID 42790608.</w:t>
      </w:r>
    </w:p>
  </w:footnote>
  <w:footnote w:id="2485">
    <w:p>
      <w:pPr>
        <w:pStyle w:val="FootnoteText"/>
      </w:pPr>
      <w:r>
        <w:rPr>
          <w:rStyle w:val="FootnoteReference"/>
        </w:rPr>
        <w:footnoteRef/>
      </w:r>
      <w:r>
        <w:t xml:space="preserve"> </w:t>
      </w:r>
      <w:r>
        <w:t xml:space="preserve">Kaczvinsky 2009, PMID 19735523.</w:t>
      </w:r>
    </w:p>
  </w:footnote>
  <w:footnote w:id="2486">
    <w:p>
      <w:pPr>
        <w:pStyle w:val="FootnoteText"/>
      </w:pPr>
      <w:r>
        <w:rPr>
          <w:rStyle w:val="FootnoteReference"/>
        </w:rPr>
        <w:footnoteRef/>
      </w:r>
      <w:r>
        <w:t xml:space="preserve"> </w:t>
      </w:r>
      <w:r>
        <w:t xml:space="preserve">Nukaly 2026, PMID 41924746.</w:t>
      </w:r>
    </w:p>
  </w:footnote>
  <w:footnote w:id="2488">
    <w:p>
      <w:pPr>
        <w:pStyle w:val="FootnoteText"/>
      </w:pPr>
      <w:r>
        <w:rPr>
          <w:rStyle w:val="FootnoteReference"/>
        </w:rPr>
        <w:footnoteRef/>
      </w:r>
      <w:r>
        <w:t xml:space="preserve"> </w:t>
      </w:r>
      <w:r>
        <w:t xml:space="preserve">Katayama 1993, PMID 8486721; Jones 2013, PMID 23320752.</w:t>
      </w:r>
    </w:p>
  </w:footnote>
  <w:footnote w:id="2489">
    <w:p>
      <w:pPr>
        <w:pStyle w:val="FootnoteText"/>
      </w:pPr>
      <w:r>
        <w:rPr>
          <w:rStyle w:val="FootnoteReference"/>
        </w:rPr>
        <w:footnoteRef/>
      </w:r>
      <w:r>
        <w:t xml:space="preserve"> </w:t>
      </w:r>
      <w:r>
        <w:t xml:space="preserve">Park 2017, PMID 30603464.</w:t>
      </w:r>
    </w:p>
  </w:footnote>
  <w:footnote w:id="2490">
    <w:p>
      <w:pPr>
        <w:pStyle w:val="FootnoteText"/>
      </w:pPr>
      <w:r>
        <w:rPr>
          <w:rStyle w:val="FootnoteReference"/>
        </w:rPr>
        <w:footnoteRef/>
      </w:r>
      <w:r>
        <w:t xml:space="preserve"> </w:t>
      </w:r>
      <w:r>
        <w:t xml:space="preserve">Kachooeian 2022, PMID 35874243.</w:t>
      </w:r>
    </w:p>
  </w:footnote>
  <w:footnote w:id="2492">
    <w:p>
      <w:pPr>
        <w:pStyle w:val="FootnoteText"/>
      </w:pPr>
      <w:r>
        <w:rPr>
          <w:rStyle w:val="FootnoteReference"/>
        </w:rPr>
        <w:footnoteRef/>
      </w:r>
      <w:r>
        <w:t xml:space="preserve"> </w:t>
      </w:r>
      <w:r>
        <w:t xml:space="preserve">Röper 2004, PMID 15127162.</w:t>
      </w:r>
    </w:p>
  </w:footnote>
  <w:footnote w:id="2493">
    <w:p>
      <w:pPr>
        <w:pStyle w:val="FootnoteText"/>
      </w:pPr>
      <w:r>
        <w:rPr>
          <w:rStyle w:val="FootnoteReference"/>
        </w:rPr>
        <w:footnoteRef/>
      </w:r>
      <w:r>
        <w:t xml:space="preserve"> </w:t>
      </w:r>
      <w:r>
        <w:t xml:space="preserve">Bjerke 2026, PMID 41953401.</w:t>
      </w:r>
    </w:p>
  </w:footnote>
  <w:footnote w:id="2500">
    <w:p>
      <w:pPr>
        <w:pStyle w:val="FootnoteText"/>
      </w:pPr>
      <w:r>
        <w:rPr>
          <w:rStyle w:val="FootnoteReference"/>
        </w:rPr>
        <w:footnoteRef/>
      </w:r>
      <w:r>
        <w:t xml:space="preserve"> </w:t>
      </w:r>
      <w:r>
        <w:t xml:space="preserve">Blanes-Mira 2002, PMID 18498523.</w:t>
      </w:r>
    </w:p>
  </w:footnote>
  <w:footnote w:id="2501">
    <w:p>
      <w:pPr>
        <w:pStyle w:val="FootnoteText"/>
      </w:pPr>
      <w:r>
        <w:rPr>
          <w:rStyle w:val="FootnoteReference"/>
        </w:rPr>
        <w:footnoteRef/>
      </w:r>
      <w:r>
        <w:t xml:space="preserve"> </w:t>
      </w:r>
      <w:r>
        <w:t xml:space="preserve">Kraeling 2015, PMID 24754410.</w:t>
      </w:r>
    </w:p>
  </w:footnote>
  <w:footnote w:id="2502">
    <w:p>
      <w:pPr>
        <w:pStyle w:val="FootnoteText"/>
      </w:pPr>
      <w:r>
        <w:rPr>
          <w:rStyle w:val="FootnoteReference"/>
        </w:rPr>
        <w:footnoteRef/>
      </w:r>
      <w:r>
        <w:t xml:space="preserve"> </w:t>
      </w:r>
      <w:r>
        <w:t xml:space="preserve">Zdrada-Nowak 2025, PMID 40565185.</w:t>
      </w:r>
    </w:p>
  </w:footnote>
  <w:footnote w:id="2504">
    <w:p>
      <w:pPr>
        <w:pStyle w:val="FootnoteText"/>
      </w:pPr>
      <w:r>
        <w:rPr>
          <w:rStyle w:val="FootnoteReference"/>
        </w:rPr>
        <w:footnoteRef/>
      </w:r>
      <w:r>
        <w:t xml:space="preserve"> </w:t>
      </w:r>
      <w:r>
        <w:t xml:space="preserve">Wang 2013, PMID 23607739.</w:t>
      </w:r>
    </w:p>
  </w:footnote>
  <w:footnote w:id="2505">
    <w:p>
      <w:pPr>
        <w:pStyle w:val="FootnoteText"/>
      </w:pPr>
      <w:r>
        <w:rPr>
          <w:rStyle w:val="FootnoteReference"/>
        </w:rPr>
        <w:footnoteRef/>
      </w:r>
      <w:r>
        <w:t xml:space="preserve"> </w:t>
      </w:r>
      <w:r>
        <w:t xml:space="preserve">NCT01750346.</w:t>
      </w:r>
    </w:p>
  </w:footnote>
  <w:footnote w:id="2506">
    <w:p>
      <w:pPr>
        <w:pStyle w:val="FootnoteText"/>
      </w:pPr>
      <w:r>
        <w:rPr>
          <w:rStyle w:val="FootnoteReference"/>
        </w:rPr>
        <w:footnoteRef/>
      </w:r>
      <w:r>
        <w:t xml:space="preserve"> </w:t>
      </w:r>
      <w:r>
        <w:t xml:space="preserve">An 2019, PMID 33911590.</w:t>
      </w:r>
    </w:p>
  </w:footnote>
  <w:footnote w:id="2507">
    <w:p>
      <w:pPr>
        <w:pStyle w:val="FootnoteText"/>
      </w:pPr>
      <w:r>
        <w:rPr>
          <w:rStyle w:val="FootnoteReference"/>
        </w:rPr>
        <w:footnoteRef/>
      </w:r>
      <w:r>
        <w:t xml:space="preserve"> </w:t>
      </w:r>
      <w:r>
        <w:t xml:space="preserve">NCT02597777.</w:t>
      </w:r>
    </w:p>
  </w:footnote>
  <w:footnote w:id="2508">
    <w:p>
      <w:pPr>
        <w:pStyle w:val="FootnoteText"/>
      </w:pPr>
      <w:r>
        <w:rPr>
          <w:rStyle w:val="FootnoteReference"/>
        </w:rPr>
        <w:footnoteRef/>
      </w:r>
      <w:r>
        <w:t xml:space="preserve"> </w:t>
      </w:r>
      <w:r>
        <w:t xml:space="preserve">NCT01381484.</w:t>
      </w:r>
    </w:p>
  </w:footnote>
  <w:footnote w:id="2511">
    <w:p>
      <w:pPr>
        <w:pStyle w:val="FootnoteText"/>
      </w:pPr>
      <w:r>
        <w:rPr>
          <w:rStyle w:val="FootnoteReference"/>
        </w:rPr>
        <w:footnoteRef/>
      </w:r>
      <w:r>
        <w:t xml:space="preserve"> </w:t>
      </w:r>
      <w:r>
        <w:t xml:space="preserve">Blanes-Mira 2002, PMID 18498523.</w:t>
      </w:r>
    </w:p>
  </w:footnote>
  <w:footnote w:id="2512">
    <w:p>
      <w:pPr>
        <w:pStyle w:val="FootnoteText"/>
      </w:pPr>
      <w:r>
        <w:rPr>
          <w:rStyle w:val="FootnoteReference"/>
        </w:rPr>
        <w:footnoteRef/>
      </w:r>
      <w:r>
        <w:t xml:space="preserve"> </w:t>
      </w:r>
      <w:r>
        <w:t xml:space="preserve">Grosicki 2014, PMID 24644551.</w:t>
      </w:r>
    </w:p>
  </w:footnote>
  <w:footnote w:id="2513">
    <w:p>
      <w:pPr>
        <w:pStyle w:val="FootnoteText"/>
      </w:pPr>
      <w:r>
        <w:rPr>
          <w:rStyle w:val="FootnoteReference"/>
        </w:rPr>
        <w:footnoteRef/>
      </w:r>
      <w:r>
        <w:t xml:space="preserve"> </w:t>
      </w:r>
      <w:r>
        <w:t xml:space="preserve">Wang 2013, PMID 23464592.</w:t>
      </w:r>
    </w:p>
  </w:footnote>
  <w:footnote w:id="2514">
    <w:p>
      <w:pPr>
        <w:pStyle w:val="FootnoteText"/>
      </w:pPr>
      <w:r>
        <w:rPr>
          <w:rStyle w:val="FootnoteReference"/>
        </w:rPr>
        <w:footnoteRef/>
      </w:r>
      <w:r>
        <w:t xml:space="preserve"> </w:t>
      </w:r>
      <w:r>
        <w:t xml:space="preserve">Kraeling 2015, PMID 24754410.</w:t>
      </w:r>
    </w:p>
  </w:footnote>
  <w:footnote w:id="2516">
    <w:p>
      <w:pPr>
        <w:pStyle w:val="FootnoteText"/>
      </w:pPr>
      <w:r>
        <w:rPr>
          <w:rStyle w:val="FootnoteReference"/>
        </w:rPr>
        <w:footnoteRef/>
      </w:r>
      <w:r>
        <w:t xml:space="preserve"> </w:t>
      </w:r>
      <w:r>
        <w:t xml:space="preserve">Johnson 2025, PMID 40673537.</w:t>
      </w:r>
    </w:p>
  </w:footnote>
  <w:footnote w:id="2517">
    <w:p>
      <w:pPr>
        <w:pStyle w:val="FootnoteText"/>
      </w:pPr>
      <w:r>
        <w:rPr>
          <w:rStyle w:val="FootnoteReference"/>
        </w:rPr>
        <w:footnoteRef/>
      </w:r>
      <w:r>
        <w:t xml:space="preserve"> </w:t>
      </w:r>
      <w:r>
        <w:t xml:space="preserve">Chen 2021, PMID 33748252.</w:t>
      </w:r>
    </w:p>
  </w:footnote>
  <w:footnote w:id="2538">
    <w:p>
      <w:pPr>
        <w:pStyle w:val="FootnoteText"/>
      </w:pPr>
      <w:r>
        <w:rPr>
          <w:rStyle w:val="FootnoteReference"/>
        </w:rPr>
        <w:footnoteRef/>
      </w:r>
      <w:r>
        <w:t xml:space="preserve"> </w:t>
      </w:r>
      <w:r>
        <w:t xml:space="preserve">Gao 2026, PMID 42251595.</w:t>
      </w:r>
    </w:p>
  </w:footnote>
  <w:footnote w:id="2539">
    <w:p>
      <w:pPr>
        <w:pStyle w:val="FootnoteText"/>
      </w:pPr>
      <w:r>
        <w:rPr>
          <w:rStyle w:val="FootnoteReference"/>
        </w:rPr>
        <w:footnoteRef/>
      </w:r>
      <w:r>
        <w:t xml:space="preserve"> </w:t>
      </w:r>
      <w:r>
        <w:t xml:space="preserve">NCT06662383.</w:t>
      </w:r>
    </w:p>
  </w:footnote>
  <w:footnote w:id="2541">
    <w:p>
      <w:pPr>
        <w:pStyle w:val="FootnoteText"/>
      </w:pPr>
      <w:r>
        <w:rPr>
          <w:rStyle w:val="FootnoteReference"/>
        </w:rPr>
        <w:footnoteRef/>
      </w:r>
      <w:r>
        <w:t xml:space="preserve"> </w:t>
      </w:r>
      <w:r>
        <w:t xml:space="preserve">Rubino 2021, PMID 33755728.</w:t>
      </w:r>
    </w:p>
  </w:footnote>
  <w:footnote w:id="2542">
    <w:p>
      <w:pPr>
        <w:pStyle w:val="FootnoteText"/>
      </w:pPr>
      <w:r>
        <w:rPr>
          <w:rStyle w:val="FootnoteReference"/>
        </w:rPr>
        <w:footnoteRef/>
      </w:r>
      <w:r>
        <w:t xml:space="preserve"> </w:t>
      </w:r>
      <w:r>
        <w:t xml:space="preserve">Aronne 2024, PMID 38078870.</w:t>
      </w:r>
    </w:p>
  </w:footnote>
  <w:footnote w:id="2545">
    <w:p>
      <w:pPr>
        <w:pStyle w:val="FootnoteText"/>
      </w:pPr>
      <w:r>
        <w:rPr>
          <w:rStyle w:val="FootnoteReference"/>
        </w:rPr>
        <w:footnoteRef/>
      </w:r>
      <w:r>
        <w:t xml:space="preserve"> </w:t>
      </w:r>
      <w:r>
        <w:t xml:space="preserve">Edelman 2006, PMID 17003291.</w:t>
      </w:r>
    </w:p>
  </w:footnote>
  <w:footnote w:id="2547">
    <w:p>
      <w:pPr>
        <w:pStyle w:val="FootnoteText"/>
      </w:pPr>
      <w:r>
        <w:rPr>
          <w:rStyle w:val="FootnoteReference"/>
        </w:rPr>
        <w:footnoteRef/>
      </w:r>
      <w:r>
        <w:t xml:space="preserve"> </w:t>
      </w:r>
      <w:r>
        <w:t xml:space="preserve">Kristensen 2019, PMID 31422062.</w:t>
      </w:r>
    </w:p>
  </w:footnote>
  <w:footnote w:id="2548">
    <w:p>
      <w:pPr>
        <w:pStyle w:val="FootnoteText"/>
      </w:pPr>
      <w:r>
        <w:rPr>
          <w:rStyle w:val="FootnoteReference"/>
        </w:rPr>
        <w:footnoteRef/>
      </w:r>
      <w:r>
        <w:t xml:space="preserve"> </w:t>
      </w:r>
      <w:r>
        <w:t xml:space="preserve">Kosiborod 2023, PMID 37622681.</w:t>
      </w:r>
    </w:p>
  </w:footnote>
  <w:footnote w:id="2549">
    <w:p>
      <w:pPr>
        <w:pStyle w:val="FootnoteText"/>
      </w:pPr>
      <w:r>
        <w:rPr>
          <w:rStyle w:val="FootnoteReference"/>
        </w:rPr>
        <w:footnoteRef/>
      </w:r>
      <w:r>
        <w:t xml:space="preserve"> </w:t>
      </w:r>
      <w:r>
        <w:t xml:space="preserve">NCT05556512.</w:t>
      </w:r>
    </w:p>
  </w:footnote>
  <w:footnote w:id="2550">
    <w:p>
      <w:pPr>
        <w:pStyle w:val="FootnoteText"/>
      </w:pPr>
      <w:r>
        <w:rPr>
          <w:rStyle w:val="FootnoteReference"/>
        </w:rPr>
        <w:footnoteRef/>
      </w:r>
      <w:r>
        <w:t xml:space="preserve"> </w:t>
      </w:r>
      <w:r>
        <w:t xml:space="preserve">NCT06383390.</w:t>
      </w:r>
    </w:p>
  </w:footnote>
  <w:footnote w:id="2551">
    <w:p>
      <w:pPr>
        <w:pStyle w:val="FootnoteText"/>
      </w:pPr>
      <w:r>
        <w:rPr>
          <w:rStyle w:val="FootnoteReference"/>
        </w:rPr>
        <w:footnoteRef/>
      </w:r>
      <w:r>
        <w:t xml:space="preserve"> </w:t>
      </w:r>
      <w:r>
        <w:t xml:space="preserve">NCT05669755.</w:t>
      </w:r>
    </w:p>
  </w:footnote>
  <w:footnote w:id="2552">
    <w:p>
      <w:pPr>
        <w:pStyle w:val="FootnoteText"/>
      </w:pPr>
      <w:r>
        <w:rPr>
          <w:rStyle w:val="FootnoteReference"/>
        </w:rPr>
        <w:footnoteRef/>
      </w:r>
      <w:r>
        <w:t xml:space="preserve"> </w:t>
      </w:r>
      <w:r>
        <w:t xml:space="preserve">NCT07037433.</w:t>
      </w:r>
    </w:p>
  </w:footnote>
  <w:footnote w:id="2553">
    <w:p>
      <w:pPr>
        <w:pStyle w:val="FootnoteText"/>
      </w:pPr>
      <w:r>
        <w:rPr>
          <w:rStyle w:val="FootnoteReference"/>
        </w:rPr>
        <w:footnoteRef/>
      </w:r>
      <w:r>
        <w:t xml:space="preserve"> </w:t>
      </w:r>
      <w:r>
        <w:t xml:space="preserve">NCT07241390.</w:t>
      </w:r>
    </w:p>
  </w:footnote>
  <w:footnote w:id="2555">
    <w:p>
      <w:pPr>
        <w:pStyle w:val="FootnoteText"/>
      </w:pPr>
      <w:r>
        <w:rPr>
          <w:rStyle w:val="FootnoteReference"/>
        </w:rPr>
        <w:footnoteRef/>
      </w:r>
      <w:r>
        <w:t xml:space="preserve"> </w:t>
      </w:r>
      <w:r>
        <w:t xml:space="preserve">Perkovic 2024, PMID 38785209.</w:t>
      </w:r>
    </w:p>
  </w:footnote>
  <w:footnote w:id="2556">
    <w:p>
      <w:pPr>
        <w:pStyle w:val="FootnoteText"/>
      </w:pPr>
      <w:r>
        <w:rPr>
          <w:rStyle w:val="FootnoteReference"/>
        </w:rPr>
        <w:footnoteRef/>
      </w:r>
      <w:r>
        <w:t xml:space="preserve"> </w:t>
      </w:r>
      <w:r>
        <w:t xml:space="preserve">Mann 2017, PMID 28854085.</w:t>
      </w:r>
    </w:p>
  </w:footnote>
  <w:footnote w:id="2557">
    <w:p>
      <w:pPr>
        <w:pStyle w:val="FootnoteText"/>
      </w:pPr>
      <w:r>
        <w:rPr>
          <w:rStyle w:val="FootnoteReference"/>
        </w:rPr>
        <w:footnoteRef/>
      </w:r>
      <w:r>
        <w:t xml:space="preserve"> </w:t>
      </w:r>
      <w:r>
        <w:t xml:space="preserve">Gerstein 2019, PMID 31189509.</w:t>
      </w:r>
    </w:p>
  </w:footnote>
  <w:footnote w:id="2558">
    <w:p>
      <w:pPr>
        <w:pStyle w:val="FootnoteText"/>
      </w:pPr>
      <w:r>
        <w:rPr>
          <w:rStyle w:val="FootnoteReference"/>
        </w:rPr>
        <w:footnoteRef/>
      </w:r>
      <w:r>
        <w:t xml:space="preserve"> </w:t>
      </w:r>
      <w:r>
        <w:t xml:space="preserve">Kristensen 2019, PMID 31422062.</w:t>
      </w:r>
    </w:p>
  </w:footnote>
  <w:footnote w:id="2559">
    <w:p>
      <w:pPr>
        <w:pStyle w:val="FootnoteText"/>
      </w:pPr>
      <w:r>
        <w:rPr>
          <w:rStyle w:val="FootnoteReference"/>
        </w:rPr>
        <w:footnoteRef/>
      </w:r>
      <w:r>
        <w:t xml:space="preserve"> </w:t>
      </w:r>
      <w:r>
        <w:t xml:space="preserve">McGuire 2025, PMID 40162642.</w:t>
      </w:r>
    </w:p>
  </w:footnote>
  <w:footnote w:id="2560">
    <w:p>
      <w:pPr>
        <w:pStyle w:val="FootnoteText"/>
      </w:pPr>
      <w:r>
        <w:rPr>
          <w:rStyle w:val="FootnoteReference"/>
        </w:rPr>
        <w:footnoteRef/>
      </w:r>
      <w:r>
        <w:t xml:space="preserve"> </w:t>
      </w:r>
      <w:r>
        <w:t xml:space="preserve">NCT06632444.</w:t>
      </w:r>
    </w:p>
  </w:footnote>
  <w:footnote w:id="2561">
    <w:p>
      <w:pPr>
        <w:pStyle w:val="FootnoteText"/>
      </w:pPr>
      <w:r>
        <w:rPr>
          <w:rStyle w:val="FootnoteReference"/>
        </w:rPr>
        <w:footnoteRef/>
      </w:r>
      <w:r>
        <w:t xml:space="preserve"> </w:t>
      </w:r>
      <w:r>
        <w:t xml:space="preserve">NCT06632457.</w:t>
      </w:r>
    </w:p>
  </w:footnote>
  <w:footnote w:id="2563">
    <w:p>
      <w:pPr>
        <w:pStyle w:val="FootnoteText"/>
      </w:pPr>
      <w:r>
        <w:rPr>
          <w:rStyle w:val="FootnoteReference"/>
        </w:rPr>
        <w:footnoteRef/>
      </w:r>
      <w:r>
        <w:t xml:space="preserve"> </w:t>
      </w:r>
      <w:r>
        <w:t xml:space="preserve">Buse 2013, PMID 23141817.</w:t>
      </w:r>
    </w:p>
  </w:footnote>
  <w:footnote w:id="2564">
    <w:p>
      <w:pPr>
        <w:pStyle w:val="FootnoteText"/>
      </w:pPr>
      <w:r>
        <w:rPr>
          <w:rStyle w:val="FootnoteReference"/>
        </w:rPr>
        <w:footnoteRef/>
      </w:r>
      <w:r>
        <w:t xml:space="preserve"> </w:t>
      </w:r>
      <w:r>
        <w:t xml:space="preserve">Rubino 2022, PMID 35015037.</w:t>
      </w:r>
    </w:p>
  </w:footnote>
  <w:footnote w:id="2565">
    <w:p>
      <w:pPr>
        <w:pStyle w:val="FootnoteText"/>
      </w:pPr>
      <w:r>
        <w:rPr>
          <w:rStyle w:val="FootnoteReference"/>
        </w:rPr>
        <w:footnoteRef/>
      </w:r>
      <w:r>
        <w:t xml:space="preserve"> </w:t>
      </w:r>
      <w:r>
        <w:t xml:space="preserve">Frías 2021, PMID 34170647.</w:t>
      </w:r>
    </w:p>
  </w:footnote>
  <w:footnote w:id="2566">
    <w:p>
      <w:pPr>
        <w:pStyle w:val="FootnoteText"/>
      </w:pPr>
      <w:r>
        <w:rPr>
          <w:rStyle w:val="FootnoteReference"/>
        </w:rPr>
        <w:footnoteRef/>
      </w:r>
      <w:r>
        <w:t xml:space="preserve"> </w:t>
      </w:r>
      <w:r>
        <w:t xml:space="preserve">Yamauchi 2026, PMID 42009015.</w:t>
      </w:r>
    </w:p>
  </w:footnote>
  <w:footnote w:id="2567">
    <w:p>
      <w:pPr>
        <w:pStyle w:val="FootnoteText"/>
      </w:pPr>
      <w:r>
        <w:rPr>
          <w:rStyle w:val="FootnoteReference"/>
        </w:rPr>
        <w:footnoteRef/>
      </w:r>
      <w:r>
        <w:t xml:space="preserve"> </w:t>
      </w:r>
      <w:r>
        <w:t xml:space="preserve">Hsia 2026, PMID 42628555.</w:t>
      </w:r>
    </w:p>
  </w:footnote>
  <w:footnote w:id="2568">
    <w:p>
      <w:pPr>
        <w:pStyle w:val="FootnoteText"/>
      </w:pPr>
      <w:r>
        <w:rPr>
          <w:rStyle w:val="FootnoteReference"/>
        </w:rPr>
        <w:footnoteRef/>
      </w:r>
      <w:r>
        <w:t xml:space="preserve"> </w:t>
      </w:r>
      <w:r>
        <w:t xml:space="preserve">Kristensen 2019, PMID 31422062.</w:t>
      </w:r>
    </w:p>
  </w:footnote>
  <w:footnote w:id="2569">
    <w:p>
      <w:pPr>
        <w:pStyle w:val="FootnoteText"/>
      </w:pPr>
      <w:r>
        <w:rPr>
          <w:rStyle w:val="FootnoteReference"/>
        </w:rPr>
        <w:footnoteRef/>
      </w:r>
      <w:r>
        <w:t xml:space="preserve"> </w:t>
      </w:r>
      <w:r>
        <w:t xml:space="preserve">Sodhi 2023, PMID 37796527.</w:t>
      </w:r>
    </w:p>
  </w:footnote>
  <w:footnote w:id="2570">
    <w:p>
      <w:pPr>
        <w:pStyle w:val="FootnoteText"/>
      </w:pPr>
      <w:r>
        <w:rPr>
          <w:rStyle w:val="FootnoteReference"/>
        </w:rPr>
        <w:footnoteRef/>
      </w:r>
      <w:r>
        <w:t xml:space="preserve"> </w:t>
      </w:r>
      <w:r>
        <w:t xml:space="preserve">Silverii 2025, PMID 40437949.</w:t>
      </w:r>
    </w:p>
  </w:footnote>
  <w:footnote w:id="2571">
    <w:p>
      <w:pPr>
        <w:pStyle w:val="FootnoteText"/>
      </w:pPr>
      <w:r>
        <w:rPr>
          <w:rStyle w:val="FootnoteReference"/>
        </w:rPr>
        <w:footnoteRef/>
      </w:r>
      <w:r>
        <w:t xml:space="preserve"> </w:t>
      </w:r>
      <w:r>
        <w:t xml:space="preserve">Simonsen 2025, PMID 40098249.</w:t>
      </w:r>
    </w:p>
  </w:footnote>
  <w:footnote w:id="2572">
    <w:p>
      <w:pPr>
        <w:pStyle w:val="FootnoteText"/>
      </w:pPr>
      <w:r>
        <w:rPr>
          <w:rStyle w:val="FootnoteReference"/>
        </w:rPr>
        <w:footnoteRef/>
      </w:r>
      <w:r>
        <w:t xml:space="preserve"> </w:t>
      </w:r>
      <w:r>
        <w:t xml:space="preserve">Look 2025, PMID 39996356.</w:t>
      </w:r>
    </w:p>
  </w:footnote>
  <w:footnote w:id="2574">
    <w:p>
      <w:pPr>
        <w:pStyle w:val="FootnoteText"/>
      </w:pPr>
      <w:r>
        <w:rPr>
          <w:rStyle w:val="FootnoteReference"/>
        </w:rPr>
        <w:footnoteRef/>
      </w:r>
      <w:r>
        <w:t xml:space="preserve"> </w:t>
      </w:r>
      <w:r>
        <w:t xml:space="preserve">NCT06662383.</w:t>
      </w:r>
    </w:p>
  </w:footnote>
  <w:footnote w:id="2575">
    <w:p>
      <w:pPr>
        <w:pStyle w:val="FootnoteText"/>
      </w:pPr>
      <w:r>
        <w:rPr>
          <w:rStyle w:val="FootnoteReference"/>
        </w:rPr>
        <w:footnoteRef/>
      </w:r>
      <w:r>
        <w:t xml:space="preserve"> </w:t>
      </w:r>
      <w:r>
        <w:t xml:space="preserve">NCT06184568, NCT06884293.</w:t>
      </w:r>
    </w:p>
  </w:footnote>
  <w:footnote w:id="2580">
    <w:p>
      <w:pPr>
        <w:pStyle w:val="FootnoteText"/>
      </w:pPr>
      <w:r>
        <w:rPr>
          <w:rStyle w:val="FootnoteReference"/>
        </w:rPr>
        <w:footnoteRef/>
      </w:r>
      <w:r>
        <w:t xml:space="preserve"> </w:t>
      </w:r>
      <w:r>
        <w:t xml:space="preserve">Porsteinsson 2025, PMID 41393340.</w:t>
      </w:r>
    </w:p>
  </w:footnote>
  <w:footnote w:id="2582">
    <w:p>
      <w:pPr>
        <w:pStyle w:val="FootnoteText"/>
      </w:pPr>
      <w:r>
        <w:rPr>
          <w:rStyle w:val="FootnoteReference"/>
        </w:rPr>
        <w:footnoteRef/>
      </w:r>
      <w:r>
        <w:t xml:space="preserve"> </w:t>
      </w:r>
      <w:r>
        <w:t xml:space="preserve">Nass 2008, PMID 18981485.</w:t>
      </w:r>
    </w:p>
  </w:footnote>
  <w:footnote w:id="2584">
    <w:p>
      <w:pPr>
        <w:pStyle w:val="FootnoteText"/>
      </w:pPr>
      <w:r>
        <w:rPr>
          <w:rStyle w:val="FootnoteReference"/>
        </w:rPr>
        <w:footnoteRef/>
      </w:r>
      <w:r>
        <w:t xml:space="preserve"> </w:t>
      </w:r>
      <w:r>
        <w:t xml:space="preserve">Gajda 2019, PMID 30136411.</w:t>
      </w:r>
    </w:p>
  </w:footnote>
  <w:footnote w:id="2586">
    <w:p>
      <w:pPr>
        <w:pStyle w:val="FootnoteText"/>
      </w:pPr>
      <w:r>
        <w:rPr>
          <w:rStyle w:val="FootnoteReference"/>
        </w:rPr>
        <w:footnoteRef/>
      </w:r>
      <w:r>
        <w:t xml:space="preserve"> </w:t>
      </w:r>
      <w:r>
        <w:t xml:space="preserve">Beck 2014, PMID 25331030.</w:t>
      </w:r>
    </w:p>
  </w:footnote>
  <w:footnote w:id="2587">
    <w:p>
      <w:pPr>
        <w:pStyle w:val="FootnoteText"/>
      </w:pPr>
      <w:r>
        <w:rPr>
          <w:rStyle w:val="FootnoteReference"/>
        </w:rPr>
        <w:footnoteRef/>
      </w:r>
      <w:r>
        <w:t xml:space="preserve"> </w:t>
      </w:r>
      <w:r>
        <w:t xml:space="preserve">Leal 2014, PMID 24619793.</w:t>
      </w:r>
    </w:p>
  </w:footnote>
  <w:footnote w:id="2588">
    <w:p>
      <w:pPr>
        <w:pStyle w:val="FootnoteText"/>
      </w:pPr>
      <w:r>
        <w:rPr>
          <w:rStyle w:val="FootnoteReference"/>
        </w:rPr>
        <w:footnoteRef/>
      </w:r>
      <w:r>
        <w:t xml:space="preserve"> </w:t>
      </w:r>
      <w:r>
        <w:t xml:space="preserve">Myung 2025, PMID 40324552.</w:t>
      </w:r>
    </w:p>
  </w:footnote>
  <w:footnote w:id="2591">
    <w:p>
      <w:pPr>
        <w:pStyle w:val="FootnoteText"/>
      </w:pPr>
      <w:r>
        <w:rPr>
          <w:rStyle w:val="FootnoteReference"/>
        </w:rPr>
        <w:footnoteRef/>
      </w:r>
      <w:r>
        <w:t xml:space="preserve"> </w:t>
      </w:r>
      <w:r>
        <w:t xml:space="preserve">Breindahl 2015, PMID 24771717.</w:t>
      </w:r>
    </w:p>
  </w:footnote>
  <w:footnote w:id="2603">
    <w:p>
      <w:pPr>
        <w:pStyle w:val="FootnoteText"/>
      </w:pPr>
      <w:r>
        <w:rPr>
          <w:rStyle w:val="FootnoteReference"/>
        </w:rPr>
        <w:footnoteRef/>
      </w:r>
      <w:r>
        <w:t xml:space="preserve"> </w:t>
      </w:r>
      <w:r>
        <w:t xml:space="preserve">Simonsen 2025, PMID 40098249.</w:t>
      </w:r>
    </w:p>
  </w:footnote>
  <w:footnote w:id="2604">
    <w:p>
      <w:pPr>
        <w:pStyle w:val="FootnoteText"/>
      </w:pPr>
      <w:r>
        <w:rPr>
          <w:rStyle w:val="FootnoteReference"/>
        </w:rPr>
        <w:footnoteRef/>
      </w:r>
      <w:r>
        <w:t xml:space="preserve"> </w:t>
      </w:r>
      <w:r>
        <w:t xml:space="preserve">Yang 2026, PMID 41915388.</w:t>
      </w:r>
    </w:p>
  </w:footnote>
  <w:footnote w:id="2605">
    <w:p>
      <w:pPr>
        <w:pStyle w:val="FootnoteText"/>
      </w:pPr>
      <w:r>
        <w:rPr>
          <w:rStyle w:val="FootnoteReference"/>
        </w:rPr>
        <w:footnoteRef/>
      </w:r>
      <w:r>
        <w:t xml:space="preserve"> </w:t>
      </w:r>
      <w:r>
        <w:t xml:space="preserve">Ismaiel 2025, PMID 40804463.</w:t>
      </w:r>
    </w:p>
  </w:footnote>
  <w:footnote w:id="2606">
    <w:p>
      <w:pPr>
        <w:pStyle w:val="FootnoteText"/>
      </w:pPr>
      <w:r>
        <w:rPr>
          <w:rStyle w:val="FootnoteReference"/>
        </w:rPr>
        <w:footnoteRef/>
      </w:r>
      <w:r>
        <w:t xml:space="preserve"> </w:t>
      </w:r>
      <w:r>
        <w:t xml:space="preserve">Sanyal 2024, PMID 38847460.</w:t>
      </w:r>
    </w:p>
  </w:footnote>
  <w:footnote w:id="2607">
    <w:p>
      <w:pPr>
        <w:pStyle w:val="FootnoteText"/>
      </w:pPr>
      <w:r>
        <w:rPr>
          <w:rStyle w:val="FootnoteReference"/>
        </w:rPr>
        <w:footnoteRef/>
      </w:r>
      <w:r>
        <w:t xml:space="preserve"> </w:t>
      </w:r>
      <w:r>
        <w:t xml:space="preserve">Clayton 2022, PMID 35147466.</w:t>
      </w:r>
    </w:p>
  </w:footnote>
  <w:footnote w:id="2608">
    <w:p>
      <w:pPr>
        <w:pStyle w:val="FootnoteText"/>
      </w:pPr>
      <w:r>
        <w:rPr>
          <w:rStyle w:val="FootnoteReference"/>
        </w:rPr>
        <w:footnoteRef/>
      </w:r>
      <w:r>
        <w:t xml:space="preserve"> </w:t>
      </w:r>
      <w:r>
        <w:t xml:space="preserve">Edelman 2006, PMID 17003291.</w:t>
      </w:r>
    </w:p>
  </w:footnote>
  <w:footnote w:id="2609">
    <w:p>
      <w:pPr>
        <w:pStyle w:val="FootnoteText"/>
      </w:pPr>
      <w:r>
        <w:rPr>
          <w:rStyle w:val="FootnoteReference"/>
        </w:rPr>
        <w:footnoteRef/>
      </w:r>
      <w:r>
        <w:t xml:space="preserve"> </w:t>
      </w:r>
      <w:r>
        <w:t xml:space="preserve">Sridharan 2026, PMID 39924461.</w:t>
      </w:r>
    </w:p>
  </w:footnote>
  <w:footnote w:id="2610">
    <w:p>
      <w:pPr>
        <w:pStyle w:val="FootnoteText"/>
      </w:pPr>
      <w:r>
        <w:rPr>
          <w:rStyle w:val="FootnoteReference"/>
        </w:rPr>
        <w:footnoteRef/>
      </w:r>
      <w:r>
        <w:t xml:space="preserve"> </w:t>
      </w:r>
      <w:r>
        <w:t xml:space="preserve">Sodhi 2023, PMID 37796527.</w:t>
      </w:r>
    </w:p>
  </w:footnote>
  <w:footnote w:id="2611">
    <w:p>
      <w:pPr>
        <w:pStyle w:val="FootnoteText"/>
      </w:pPr>
      <w:r>
        <w:rPr>
          <w:rStyle w:val="FootnoteReference"/>
        </w:rPr>
        <w:footnoteRef/>
      </w:r>
      <w:r>
        <w:t xml:space="preserve"> </w:t>
      </w:r>
      <w:r>
        <w:t xml:space="preserve">Chiang 2025, PMID 40499738.</w:t>
      </w:r>
    </w:p>
  </w:footnote>
  <w:footnote w:id="2612">
    <w:p>
      <w:pPr>
        <w:pStyle w:val="FootnoteText"/>
      </w:pPr>
      <w:r>
        <w:rPr>
          <w:rStyle w:val="FootnoteReference"/>
        </w:rPr>
        <w:footnoteRef/>
      </w:r>
      <w:r>
        <w:t xml:space="preserve"> </w:t>
      </w:r>
      <w:r>
        <w:t xml:space="preserve">Crisafulli 2026, PMID 41183330.</w:t>
      </w:r>
    </w:p>
  </w:footnote>
  <w:footnote w:id="2614">
    <w:p>
      <w:pPr>
        <w:pStyle w:val="FootnoteText"/>
      </w:pPr>
      <w:r>
        <w:rPr>
          <w:rStyle w:val="FootnoteReference"/>
        </w:rPr>
        <w:footnoteRef/>
      </w:r>
      <w:r>
        <w:t xml:space="preserve"> </w:t>
      </w:r>
      <w:r>
        <w:t xml:space="preserve">He 2022, PMID 35344001.</w:t>
      </w:r>
    </w:p>
  </w:footnote>
  <w:footnote w:id="2615">
    <w:p>
      <w:pPr>
        <w:pStyle w:val="FootnoteText"/>
      </w:pPr>
      <w:r>
        <w:rPr>
          <w:rStyle w:val="FootnoteReference"/>
        </w:rPr>
        <w:footnoteRef/>
      </w:r>
      <w:r>
        <w:t xml:space="preserve"> </w:t>
      </w:r>
      <w:r>
        <w:t xml:space="preserve">Weghuber 2022, PMID 36322838.</w:t>
      </w:r>
    </w:p>
  </w:footnote>
  <w:footnote w:id="2616">
    <w:p>
      <w:pPr>
        <w:pStyle w:val="FootnoteText"/>
      </w:pPr>
      <w:r>
        <w:rPr>
          <w:rStyle w:val="FootnoteReference"/>
        </w:rPr>
        <w:footnoteRef/>
      </w:r>
      <w:r>
        <w:t xml:space="preserve"> </w:t>
      </w:r>
      <w:r>
        <w:t xml:space="preserve">Wen 2025, PMID 40988099.</w:t>
      </w:r>
    </w:p>
  </w:footnote>
  <w:footnote w:id="2618">
    <w:p>
      <w:pPr>
        <w:pStyle w:val="FootnoteText"/>
      </w:pPr>
      <w:r>
        <w:rPr>
          <w:rStyle w:val="FootnoteReference"/>
        </w:rPr>
        <w:footnoteRef/>
      </w:r>
      <w:r>
        <w:t xml:space="preserve"> </w:t>
      </w:r>
      <w:r>
        <w:t xml:space="preserve">Hegedüs 2018, PMID 29279300.</w:t>
      </w:r>
    </w:p>
  </w:footnote>
  <w:footnote w:id="2620">
    <w:p>
      <w:pPr>
        <w:pStyle w:val="FootnoteText"/>
      </w:pPr>
      <w:r>
        <w:rPr>
          <w:rStyle w:val="FootnoteReference"/>
        </w:rPr>
        <w:footnoteRef/>
      </w:r>
      <w:r>
        <w:t xml:space="preserve"> </w:t>
      </w:r>
      <w:r>
        <w:t xml:space="preserve">Marso 2016, PMID 27633186.</w:t>
      </w:r>
    </w:p>
  </w:footnote>
  <w:footnote w:id="2621">
    <w:p>
      <w:pPr>
        <w:pStyle w:val="FootnoteText"/>
      </w:pPr>
      <w:r>
        <w:rPr>
          <w:rStyle w:val="FootnoteReference"/>
        </w:rPr>
        <w:footnoteRef/>
      </w:r>
      <w:r>
        <w:t xml:space="preserve"> </w:t>
      </w:r>
      <w:r>
        <w:t xml:space="preserve">Natividade 2025, PMID 40810985.</w:t>
      </w:r>
    </w:p>
  </w:footnote>
  <w:footnote w:id="2622">
    <w:p>
      <w:pPr>
        <w:pStyle w:val="FootnoteText"/>
      </w:pPr>
      <w:r>
        <w:rPr>
          <w:rStyle w:val="FootnoteReference"/>
        </w:rPr>
        <w:footnoteRef/>
      </w:r>
      <w:r>
        <w:t xml:space="preserve"> </w:t>
      </w:r>
      <w:r>
        <w:t xml:space="preserve">Hathaway 2024, PMID 38958939.</w:t>
      </w:r>
    </w:p>
  </w:footnote>
  <w:footnote w:id="2623">
    <w:p>
      <w:pPr>
        <w:pStyle w:val="FootnoteText"/>
      </w:pPr>
      <w:r>
        <w:rPr>
          <w:rStyle w:val="FootnoteReference"/>
        </w:rPr>
        <w:footnoteRef/>
      </w:r>
      <w:r>
        <w:t xml:space="preserve"> </w:t>
      </w:r>
      <w:r>
        <w:t xml:space="preserve">Simonsen 2025, PMID 40098249.</w:t>
      </w:r>
    </w:p>
  </w:footnote>
  <w:footnote w:id="2624">
    <w:p>
      <w:pPr>
        <w:pStyle w:val="FootnoteText"/>
      </w:pPr>
      <w:r>
        <w:rPr>
          <w:rStyle w:val="FootnoteReference"/>
        </w:rPr>
        <w:footnoteRef/>
      </w:r>
      <w:r>
        <w:t xml:space="preserve"> </w:t>
      </w:r>
      <w:r>
        <w:t xml:space="preserve">Wang 2025, PMID 40788646.</w:t>
      </w:r>
    </w:p>
  </w:footnote>
  <w:footnote w:id="2625">
    <w:p>
      <w:pPr>
        <w:pStyle w:val="FootnoteText"/>
      </w:pPr>
      <w:r>
        <w:rPr>
          <w:rStyle w:val="FootnoteReference"/>
        </w:rPr>
        <w:footnoteRef/>
      </w:r>
      <w:r>
        <w:t xml:space="preserve"> </w:t>
      </w:r>
      <w:r>
        <w:t xml:space="preserve">Chou 2025, PMID 39491755.</w:t>
      </w:r>
    </w:p>
  </w:footnote>
  <w:footnote w:id="2626">
    <w:p>
      <w:pPr>
        <w:pStyle w:val="FootnoteText"/>
      </w:pPr>
      <w:r>
        <w:rPr>
          <w:rStyle w:val="FootnoteReference"/>
        </w:rPr>
        <w:footnoteRef/>
      </w:r>
      <w:r>
        <w:t xml:space="preserve"> </w:t>
      </w:r>
      <w:r>
        <w:t xml:space="preserve">Liu 2026, PMID 41475544.</w:t>
      </w:r>
    </w:p>
  </w:footnote>
  <w:footnote w:id="2628">
    <w:p>
      <w:pPr>
        <w:pStyle w:val="FootnoteText"/>
      </w:pPr>
      <w:r>
        <w:rPr>
          <w:rStyle w:val="FootnoteReference"/>
        </w:rPr>
        <w:footnoteRef/>
      </w:r>
      <w:r>
        <w:t xml:space="preserve"> </w:t>
      </w:r>
      <w:r>
        <w:t xml:space="preserve">Marso 2016, PMID 27633186.</w:t>
      </w:r>
    </w:p>
  </w:footnote>
  <w:footnote w:id="2629">
    <w:p>
      <w:pPr>
        <w:pStyle w:val="FootnoteText"/>
      </w:pPr>
      <w:r>
        <w:rPr>
          <w:rStyle w:val="FootnoteReference"/>
        </w:rPr>
        <w:footnoteRef/>
      </w:r>
      <w:r>
        <w:t xml:space="preserve"> </w:t>
      </w:r>
      <w:r>
        <w:t xml:space="preserve">Bellido 2026, PMID 42810372.</w:t>
      </w:r>
    </w:p>
  </w:footnote>
  <w:footnote w:id="2630">
    <w:p>
      <w:pPr>
        <w:pStyle w:val="FootnoteText"/>
      </w:pPr>
      <w:r>
        <w:rPr>
          <w:rStyle w:val="FootnoteReference"/>
        </w:rPr>
        <w:footnoteRef/>
      </w:r>
      <w:r>
        <w:t xml:space="preserve"> </w:t>
      </w:r>
      <w:r>
        <w:t xml:space="preserve">Liu 2007, PMID 17227934.</w:t>
      </w:r>
    </w:p>
  </w:footnote>
  <w:footnote w:id="2631">
    <w:p>
      <w:pPr>
        <w:pStyle w:val="FootnoteText"/>
      </w:pPr>
      <w:r>
        <w:rPr>
          <w:rStyle w:val="FootnoteReference"/>
        </w:rPr>
        <w:footnoteRef/>
      </w:r>
      <w:r>
        <w:t xml:space="preserve"> </w:t>
      </w:r>
      <w:r>
        <w:t xml:space="preserve">Adunsky 2011, PMID 21067829.</w:t>
      </w:r>
    </w:p>
  </w:footnote>
  <w:footnote w:id="2632">
    <w:p>
      <w:pPr>
        <w:pStyle w:val="FootnoteText"/>
      </w:pPr>
      <w:r>
        <w:rPr>
          <w:rStyle w:val="FootnoteReference"/>
        </w:rPr>
        <w:footnoteRef/>
      </w:r>
      <w:r>
        <w:t xml:space="preserve"> </w:t>
      </w:r>
      <w:r>
        <w:t xml:space="preserve">White 2017, PMID 27977473.</w:t>
      </w:r>
    </w:p>
  </w:footnote>
  <w:footnote w:id="2633">
    <w:p>
      <w:pPr>
        <w:pStyle w:val="FootnoteText"/>
      </w:pPr>
      <w:r>
        <w:rPr>
          <w:rStyle w:val="FootnoteReference"/>
        </w:rPr>
        <w:footnoteRef/>
      </w:r>
      <w:r>
        <w:t xml:space="preserve"> </w:t>
      </w:r>
      <w:r>
        <w:t xml:space="preserve">Lissy 2021, PMID 32961034.</w:t>
      </w:r>
    </w:p>
  </w:footnote>
  <w:footnote w:id="2634">
    <w:p>
      <w:pPr>
        <w:pStyle w:val="FootnoteText"/>
      </w:pPr>
      <w:r>
        <w:rPr>
          <w:rStyle w:val="FootnoteReference"/>
        </w:rPr>
        <w:footnoteRef/>
      </w:r>
      <w:r>
        <w:t xml:space="preserve"> </w:t>
      </w:r>
      <w:r>
        <w:t xml:space="preserve">Mayer-Hubner 1996, PMID 8596357.</w:t>
      </w:r>
    </w:p>
  </w:footnote>
  <w:footnote w:id="2635">
    <w:p>
      <w:pPr>
        <w:pStyle w:val="FootnoteText"/>
      </w:pPr>
      <w:r>
        <w:rPr>
          <w:rStyle w:val="FootnoteReference"/>
        </w:rPr>
        <w:footnoteRef/>
      </w:r>
      <w:r>
        <w:t xml:space="preserve"> </w:t>
      </w:r>
      <w:r>
        <w:t xml:space="preserve">Nelson 2012, PMID 23121206.</w:t>
      </w:r>
    </w:p>
  </w:footnote>
  <w:footnote w:id="2637">
    <w:p>
      <w:pPr>
        <w:pStyle w:val="FootnoteText"/>
      </w:pPr>
      <w:r>
        <w:rPr>
          <w:rStyle w:val="FootnoteReference"/>
        </w:rPr>
        <w:footnoteRef/>
      </w:r>
      <w:r>
        <w:t xml:space="preserve"> </w:t>
      </w:r>
      <w:r>
        <w:t xml:space="preserve">Han 2026, PMID 41852258.</w:t>
      </w:r>
    </w:p>
  </w:footnote>
  <w:footnote w:id="2638">
    <w:p>
      <w:pPr>
        <w:pStyle w:val="FootnoteText"/>
      </w:pPr>
      <w:r>
        <w:rPr>
          <w:rStyle w:val="FootnoteReference"/>
        </w:rPr>
        <w:footnoteRef/>
      </w:r>
      <w:r>
        <w:t xml:space="preserve"> </w:t>
      </w:r>
      <w:r>
        <w:t xml:space="preserve">Ueda 2024, PMID 39226030.</w:t>
      </w:r>
    </w:p>
  </w:footnote>
  <w:footnote w:id="2639">
    <w:p>
      <w:pPr>
        <w:pStyle w:val="FootnoteText"/>
      </w:pPr>
      <w:r>
        <w:rPr>
          <w:rStyle w:val="FootnoteReference"/>
        </w:rPr>
        <w:footnoteRef/>
      </w:r>
      <w:r>
        <w:t xml:space="preserve"> </w:t>
      </w:r>
      <w:r>
        <w:t xml:space="preserve">Wadden 2026, PMID 41537305.</w:t>
      </w:r>
    </w:p>
  </w:footnote>
  <w:footnote w:id="2640">
    <w:p>
      <w:pPr>
        <w:pStyle w:val="FootnoteText"/>
      </w:pPr>
      <w:r>
        <w:rPr>
          <w:rStyle w:val="FootnoteReference"/>
        </w:rPr>
        <w:footnoteRef/>
      </w:r>
      <w:r>
        <w:t xml:space="preserve"> </w:t>
      </w:r>
      <w:r>
        <w:t xml:space="preserve">Silva 2026, PMID 42115753.</w:t>
      </w:r>
    </w:p>
  </w:footnote>
  <w:footnote w:id="2642">
    <w:p>
      <w:pPr>
        <w:pStyle w:val="FootnoteText"/>
      </w:pPr>
      <w:r>
        <w:rPr>
          <w:rStyle w:val="FootnoteReference"/>
        </w:rPr>
        <w:footnoteRef/>
      </w:r>
      <w:r>
        <w:t xml:space="preserve"> </w:t>
      </w:r>
      <w:r>
        <w:t xml:space="preserve">Sridharan 2026, PMID 39924461.</w:t>
      </w:r>
    </w:p>
  </w:footnote>
  <w:footnote w:id="2643">
    <w:p>
      <w:pPr>
        <w:pStyle w:val="FootnoteText"/>
      </w:pPr>
      <w:r>
        <w:rPr>
          <w:rStyle w:val="FootnoteReference"/>
        </w:rPr>
        <w:footnoteRef/>
      </w:r>
      <w:r>
        <w:t xml:space="preserve"> </w:t>
      </w:r>
      <w:r>
        <w:t xml:space="preserve">Kanti 2021, PMID 34058738.</w:t>
      </w:r>
    </w:p>
  </w:footnote>
  <w:footnote w:id="2644">
    <w:p>
      <w:pPr>
        <w:pStyle w:val="FootnoteText"/>
      </w:pPr>
      <w:r>
        <w:rPr>
          <w:rStyle w:val="FootnoteReference"/>
        </w:rPr>
        <w:footnoteRef/>
      </w:r>
      <w:r>
        <w:t xml:space="preserve"> </w:t>
      </w:r>
      <w:r>
        <w:t xml:space="preserve">Clayton 2022, PMID 35147466.</w:t>
      </w:r>
    </w:p>
  </w:footnote>
  <w:footnote w:id="2645">
    <w:p>
      <w:pPr>
        <w:pStyle w:val="FootnoteText"/>
      </w:pPr>
      <w:r>
        <w:rPr>
          <w:rStyle w:val="FootnoteReference"/>
        </w:rPr>
        <w:footnoteRef/>
      </w:r>
      <w:r>
        <w:t xml:space="preserve"> </w:t>
      </w:r>
      <w:r>
        <w:t xml:space="preserve">Burian 2019, PMID 31119650.</w:t>
      </w:r>
    </w:p>
  </w:footnote>
  <w:footnote w:id="2646">
    <w:p>
      <w:pPr>
        <w:pStyle w:val="FootnoteText"/>
      </w:pPr>
      <w:r>
        <w:rPr>
          <w:rStyle w:val="FootnoteReference"/>
        </w:rPr>
        <w:footnoteRef/>
      </w:r>
      <w:r>
        <w:t xml:space="preserve"> </w:t>
      </w:r>
      <w:r>
        <w:t xml:space="preserve">Gupta 2026, PMID 42930571.</w:t>
      </w:r>
    </w:p>
  </w:footnote>
  <w:footnote w:id="2647">
    <w:p>
      <w:pPr>
        <w:pStyle w:val="FootnoteText"/>
      </w:pPr>
      <w:r>
        <w:rPr>
          <w:rStyle w:val="FootnoteReference"/>
        </w:rPr>
        <w:footnoteRef/>
      </w:r>
      <w:r>
        <w:t xml:space="preserve"> </w:t>
      </w:r>
      <w:r>
        <w:t xml:space="preserve">Bellido 2026, PMID 42810372.</w:t>
      </w:r>
    </w:p>
  </w:footnote>
  <w:footnote w:id="2648">
    <w:p>
      <w:pPr>
        <w:pStyle w:val="FootnoteText"/>
      </w:pPr>
      <w:r>
        <w:rPr>
          <w:rStyle w:val="FootnoteReference"/>
        </w:rPr>
        <w:footnoteRef/>
      </w:r>
      <w:r>
        <w:t xml:space="preserve"> </w:t>
      </w:r>
      <w:r>
        <w:t xml:space="preserve">Dolkar 2018, PMID 29665030.</w:t>
      </w:r>
    </w:p>
  </w:footnote>
  <w:footnote w:id="2650">
    <w:p>
      <w:pPr>
        <w:pStyle w:val="FootnoteText"/>
      </w:pPr>
      <w:r>
        <w:rPr>
          <w:rStyle w:val="FootnoteReference"/>
        </w:rPr>
        <w:footnoteRef/>
      </w:r>
      <w:r>
        <w:t xml:space="preserve"> </w:t>
      </w:r>
      <w:r>
        <w:t xml:space="preserve">Arimura 2016, PMID 27020037.</w:t>
      </w:r>
    </w:p>
  </w:footnote>
  <w:footnote w:id="2651">
    <w:p>
      <w:pPr>
        <w:pStyle w:val="FootnoteText"/>
      </w:pPr>
      <w:r>
        <w:rPr>
          <w:rStyle w:val="FootnoteReference"/>
        </w:rPr>
        <w:footnoteRef/>
      </w:r>
      <w:r>
        <w:t xml:space="preserve"> </w:t>
      </w:r>
      <w:r>
        <w:t xml:space="preserve">MacLean 2014, PMID 24762108.</w:t>
      </w:r>
    </w:p>
  </w:footnote>
  <w:footnote w:id="2652">
    <w:p>
      <w:pPr>
        <w:pStyle w:val="FootnoteText"/>
      </w:pPr>
      <w:r>
        <w:rPr>
          <w:rStyle w:val="FootnoteReference"/>
        </w:rPr>
        <w:footnoteRef/>
      </w:r>
      <w:r>
        <w:t xml:space="preserve"> </w:t>
      </w:r>
      <w:r>
        <w:t xml:space="preserve">Liu 2007, PMID 17227934.</w:t>
      </w:r>
    </w:p>
  </w:footnote>
  <w:footnote w:id="2654">
    <w:p>
      <w:pPr>
        <w:pStyle w:val="FootnoteText"/>
      </w:pPr>
      <w:r>
        <w:rPr>
          <w:rStyle w:val="FootnoteReference"/>
        </w:rPr>
        <w:footnoteRef/>
      </w:r>
      <w:r>
        <w:t xml:space="preserve"> </w:t>
      </w:r>
      <w:r>
        <w:t xml:space="preserve">Chernausek 2007, PMID 17192294.</w:t>
      </w:r>
    </w:p>
  </w:footnote>
  <w:footnote w:id="2655">
    <w:p>
      <w:pPr>
        <w:pStyle w:val="FootnoteText"/>
      </w:pPr>
      <w:r>
        <w:rPr>
          <w:rStyle w:val="FootnoteReference"/>
        </w:rPr>
        <w:footnoteRef/>
      </w:r>
      <w:r>
        <w:t xml:space="preserve"> </w:t>
      </w:r>
      <w:r>
        <w:t xml:space="preserve">Edelman 2006, PMID 17003291.</w:t>
      </w:r>
    </w:p>
  </w:footnote>
  <w:footnote w:id="2656">
    <w:p>
      <w:pPr>
        <w:pStyle w:val="FootnoteText"/>
      </w:pPr>
      <w:r>
        <w:rPr>
          <w:rStyle w:val="FootnoteReference"/>
        </w:rPr>
        <w:footnoteRef/>
      </w:r>
      <w:r>
        <w:t xml:space="preserve"> </w:t>
      </w:r>
      <w:r>
        <w:t xml:space="preserve">Kendall 2005, PMID 15855571.</w:t>
      </w:r>
    </w:p>
  </w:footnote>
  <w:footnote w:id="2657">
    <w:p>
      <w:pPr>
        <w:pStyle w:val="FootnoteText"/>
      </w:pPr>
      <w:r>
        <w:rPr>
          <w:rStyle w:val="FootnoteReference"/>
        </w:rPr>
        <w:footnoteRef/>
      </w:r>
      <w:r>
        <w:t xml:space="preserve"> </w:t>
      </w:r>
      <w:r>
        <w:t xml:space="preserve">Nass 2008, PMID 18981485.</w:t>
      </w:r>
    </w:p>
  </w:footnote>
  <w:footnote w:id="2658">
    <w:p>
      <w:pPr>
        <w:pStyle w:val="FootnoteText"/>
      </w:pPr>
      <w:r>
        <w:rPr>
          <w:rStyle w:val="FootnoteReference"/>
        </w:rPr>
        <w:footnoteRef/>
      </w:r>
      <w:r>
        <w:t xml:space="preserve"> </w:t>
      </w:r>
      <w:r>
        <w:t xml:space="preserve">Liu 2007, PMID 17227934.</w:t>
      </w:r>
    </w:p>
  </w:footnote>
  <w:footnote w:id="2662">
    <w:p>
      <w:pPr>
        <w:pStyle w:val="FootnoteText"/>
      </w:pPr>
      <w:r>
        <w:rPr>
          <w:rStyle w:val="FootnoteReference"/>
        </w:rPr>
        <w:footnoteRef/>
      </w:r>
      <w:r>
        <w:t xml:space="preserve"> </w:t>
      </w:r>
      <w:r>
        <w:t xml:space="preserve">Silverii 2025, PMID 40437949.</w:t>
      </w:r>
    </w:p>
  </w:footnote>
  <w:footnote w:id="2664">
    <w:p>
      <w:pPr>
        <w:pStyle w:val="FootnoteText"/>
      </w:pPr>
      <w:r>
        <w:rPr>
          <w:rStyle w:val="FootnoteReference"/>
        </w:rPr>
        <w:footnoteRef/>
      </w:r>
      <w:r>
        <w:t xml:space="preserve"> </w:t>
      </w:r>
      <w:r>
        <w:t xml:space="preserve">Renehan 2004, PMID 15110491.</w:t>
      </w:r>
    </w:p>
  </w:footnote>
  <w:footnote w:id="2665">
    <w:p>
      <w:pPr>
        <w:pStyle w:val="FootnoteText"/>
      </w:pPr>
      <w:r>
        <w:rPr>
          <w:rStyle w:val="FootnoteReference"/>
        </w:rPr>
        <w:footnoteRef/>
      </w:r>
      <w:r>
        <w:t xml:space="preserve"> </w:t>
      </w:r>
      <w:r>
        <w:t xml:space="preserve">Murphy 2020, PMID 32169310.</w:t>
      </w:r>
    </w:p>
  </w:footnote>
  <w:footnote w:id="2666">
    <w:p>
      <w:pPr>
        <w:pStyle w:val="FootnoteText"/>
      </w:pPr>
      <w:r>
        <w:rPr>
          <w:rStyle w:val="FootnoteReference"/>
        </w:rPr>
        <w:footnoteRef/>
      </w:r>
      <w:r>
        <w:t xml:space="preserve"> </w:t>
      </w:r>
      <w:r>
        <w:t xml:space="preserve">Murphy 2020, PMID 31884074.</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Dal 2018, PMID 29590449.</w:t>
      </w:r>
    </w:p>
  </w:footnote>
  <w:footnote w:id="2669">
    <w:p>
      <w:pPr>
        <w:pStyle w:val="FootnoteText"/>
      </w:pPr>
      <w:r>
        <w:rPr>
          <w:rStyle w:val="FootnoteReference"/>
        </w:rPr>
        <w:footnoteRef/>
      </w:r>
      <w:r>
        <w:t xml:space="preserve"> </w:t>
      </w:r>
      <w:r>
        <w:t xml:space="preserve">Guevara-Aguirre 2011, PMID 21325617.</w:t>
      </w:r>
    </w:p>
  </w:footnote>
  <w:footnote w:id="2670">
    <w:p>
      <w:pPr>
        <w:pStyle w:val="FootnoteText"/>
      </w:pPr>
      <w:r>
        <w:rPr>
          <w:rStyle w:val="FootnoteReference"/>
        </w:rPr>
        <w:footnoteRef/>
      </w:r>
      <w:r>
        <w:t xml:space="preserve"> </w:t>
      </w:r>
      <w:r>
        <w:t xml:space="preserve">Swerdlow 2017, PMID 28187225.</w:t>
      </w:r>
    </w:p>
  </w:footnote>
  <w:footnote w:id="2671">
    <w:p>
      <w:pPr>
        <w:pStyle w:val="FootnoteText"/>
      </w:pPr>
      <w:r>
        <w:rPr>
          <w:rStyle w:val="FootnoteReference"/>
        </w:rPr>
        <w:footnoteRef/>
      </w:r>
      <w:r>
        <w:t xml:space="preserve"> </w:t>
      </w:r>
      <w:r>
        <w:t xml:space="preserve">Child 2015, PMID 25810462.</w:t>
      </w:r>
    </w:p>
  </w:footnote>
  <w:footnote w:id="2672">
    <w:p>
      <w:pPr>
        <w:pStyle w:val="FootnoteText"/>
      </w:pPr>
      <w:r>
        <w:rPr>
          <w:rStyle w:val="FootnoteReference"/>
        </w:rPr>
        <w:footnoteRef/>
      </w:r>
      <w:r>
        <w:t xml:space="preserve"> </w:t>
      </w:r>
      <w:r>
        <w:t xml:space="preserve">Nass 2008, PMID 18981485.</w:t>
      </w:r>
    </w:p>
  </w:footnote>
  <w:footnote w:id="2674">
    <w:p>
      <w:pPr>
        <w:pStyle w:val="FootnoteText"/>
      </w:pPr>
      <w:r>
        <w:rPr>
          <w:rStyle w:val="FootnoteReference"/>
        </w:rPr>
        <w:footnoteRef/>
      </w:r>
      <w:r>
        <w:t xml:space="preserve"> </w:t>
      </w:r>
      <w:r>
        <w:t xml:space="preserve">Hsieh 2017, PMID 27847966.</w:t>
      </w:r>
    </w:p>
  </w:footnote>
  <w:footnote w:id="2675">
    <w:p>
      <w:pPr>
        <w:pStyle w:val="FootnoteText"/>
      </w:pPr>
      <w:r>
        <w:rPr>
          <w:rStyle w:val="FootnoteReference"/>
        </w:rPr>
        <w:footnoteRef/>
      </w:r>
      <w:r>
        <w:t xml:space="preserve"> </w:t>
      </w:r>
      <w:r>
        <w:t xml:space="preserve">Sikiric 2025, PMID 40573323.</w:t>
      </w:r>
    </w:p>
  </w:footnote>
  <w:footnote w:id="2676">
    <w:p>
      <w:pPr>
        <w:pStyle w:val="FootnoteText"/>
      </w:pPr>
      <w:r>
        <w:rPr>
          <w:rStyle w:val="FootnoteReference"/>
        </w:rPr>
        <w:footnoteRef/>
      </w:r>
      <w:r>
        <w:t xml:space="preserve"> </w:t>
      </w:r>
      <w:r>
        <w:t xml:space="preserve">Wang 2016, PMID 27596300.</w:t>
      </w:r>
    </w:p>
  </w:footnote>
  <w:footnote w:id="2677">
    <w:p>
      <w:pPr>
        <w:pStyle w:val="FootnoteText"/>
      </w:pPr>
      <w:r>
        <w:rPr>
          <w:rStyle w:val="FootnoteReference"/>
        </w:rPr>
        <w:footnoteRef/>
      </w:r>
      <w:r>
        <w:t xml:space="preserve"> </w:t>
      </w:r>
      <w:r>
        <w:t xml:space="preserve">Larsson 2007, PMID 17495241.</w:t>
      </w:r>
    </w:p>
  </w:footnote>
  <w:footnote w:id="2678">
    <w:p>
      <w:pPr>
        <w:pStyle w:val="FootnoteText"/>
      </w:pPr>
      <w:r>
        <w:rPr>
          <w:rStyle w:val="FootnoteReference"/>
        </w:rPr>
        <w:footnoteRef/>
      </w:r>
      <w:r>
        <w:t xml:space="preserve"> </w:t>
      </w:r>
      <w:r>
        <w:t xml:space="preserve">Moreno Ayala 2020, PMID 32444831.</w:t>
      </w:r>
    </w:p>
  </w:footnote>
  <w:footnote w:id="2679">
    <w:p>
      <w:pPr>
        <w:pStyle w:val="FootnoteText"/>
      </w:pPr>
      <w:r>
        <w:rPr>
          <w:rStyle w:val="FootnoteReference"/>
        </w:rPr>
        <w:footnoteRef/>
      </w:r>
      <w:r>
        <w:t xml:space="preserve"> </w:t>
      </w:r>
      <w:r>
        <w:t xml:space="preserve">Al-Dulaimi 2025, PMID 40908429.</w:t>
      </w:r>
    </w:p>
  </w:footnote>
  <w:footnote w:id="2680">
    <w:p>
      <w:pPr>
        <w:pStyle w:val="FootnoteText"/>
      </w:pPr>
      <w:r>
        <w:rPr>
          <w:rStyle w:val="FootnoteReference"/>
        </w:rPr>
        <w:footnoteRef/>
      </w:r>
      <w:r>
        <w:t xml:space="preserve"> </w:t>
      </w:r>
      <w:r>
        <w:t xml:space="preserve">Anisimov 2003, PMID 14501183.</w:t>
      </w:r>
    </w:p>
  </w:footnote>
  <w:footnote w:id="2681">
    <w:p>
      <w:pPr>
        <w:pStyle w:val="FootnoteText"/>
      </w:pPr>
      <w:r>
        <w:rPr>
          <w:rStyle w:val="FootnoteReference"/>
        </w:rPr>
        <w:footnoteRef/>
      </w:r>
      <w:r>
        <w:t xml:space="preserve"> </w:t>
      </w:r>
      <w:r>
        <w:t xml:space="preserve">Chen 2018, PMID 29843147.</w:t>
      </w:r>
    </w:p>
  </w:footnote>
  <w:footnote w:id="2682">
    <w:p>
      <w:pPr>
        <w:pStyle w:val="FootnoteText"/>
      </w:pPr>
      <w:r>
        <w:rPr>
          <w:rStyle w:val="FootnoteReference"/>
        </w:rPr>
        <w:footnoteRef/>
      </w:r>
      <w:r>
        <w:t xml:space="preserve"> </w:t>
      </w:r>
      <w:r>
        <w:t xml:space="preserve">Wright 2015, PMID 25649658.</w:t>
      </w:r>
    </w:p>
  </w:footnote>
  <w:footnote w:id="2684">
    <w:p>
      <w:pPr>
        <w:pStyle w:val="FootnoteText"/>
      </w:pPr>
      <w:r>
        <w:rPr>
          <w:rStyle w:val="FootnoteReference"/>
        </w:rPr>
        <w:footnoteRef/>
      </w:r>
      <w:r>
        <w:t xml:space="preserve"> </w:t>
      </w:r>
      <w:r>
        <w:t xml:space="preserve">Habbema 2017, PMID 28266027.</w:t>
      </w:r>
    </w:p>
  </w:footnote>
  <w:footnote w:id="2685">
    <w:p>
      <w:pPr>
        <w:pStyle w:val="FootnoteText"/>
      </w:pPr>
      <w:r>
        <w:rPr>
          <w:rStyle w:val="FootnoteReference"/>
        </w:rPr>
        <w:footnoteRef/>
      </w:r>
      <w:r>
        <w:t xml:space="preserve"> </w:t>
      </w:r>
      <w:r>
        <w:t xml:space="preserve">Burian 2019, PMID 31119650.</w:t>
      </w:r>
    </w:p>
  </w:footnote>
  <w:footnote w:id="2686">
    <w:p>
      <w:pPr>
        <w:pStyle w:val="FootnoteText"/>
      </w:pPr>
      <w:r>
        <w:rPr>
          <w:rStyle w:val="FootnoteReference"/>
        </w:rPr>
        <w:footnoteRef/>
      </w:r>
      <w:r>
        <w:t xml:space="preserve"> </w:t>
      </w:r>
      <w:r>
        <w:t xml:space="preserve">Arisi 2021, PMID 33721252.</w:t>
      </w:r>
    </w:p>
  </w:footnote>
  <w:footnote w:id="2687">
    <w:p>
      <w:pPr>
        <w:pStyle w:val="FootnoteText"/>
      </w:pPr>
      <w:r>
        <w:rPr>
          <w:rStyle w:val="FootnoteReference"/>
        </w:rPr>
        <w:footnoteRef/>
      </w:r>
      <w:r>
        <w:t xml:space="preserve"> </w:t>
      </w:r>
      <w:r>
        <w:t xml:space="preserve">Kanti 2021, PMID 34058738.</w:t>
      </w:r>
    </w:p>
  </w:footnote>
  <w:footnote w:id="2689">
    <w:p>
      <w:pPr>
        <w:pStyle w:val="FootnoteText"/>
      </w:pPr>
      <w:r>
        <w:rPr>
          <w:rStyle w:val="FootnoteReference"/>
        </w:rPr>
        <w:footnoteRef/>
      </w:r>
      <w:r>
        <w:t xml:space="preserve"> </w:t>
      </w:r>
      <w:r>
        <w:t xml:space="preserve">Bjerre Knudsen 2010, PMID 20203154.</w:t>
      </w:r>
    </w:p>
  </w:footnote>
  <w:footnote w:id="2690">
    <w:p>
      <w:pPr>
        <w:pStyle w:val="FootnoteText"/>
      </w:pPr>
      <w:r>
        <w:rPr>
          <w:rStyle w:val="FootnoteReference"/>
        </w:rPr>
        <w:footnoteRef/>
      </w:r>
      <w:r>
        <w:t xml:space="preserve"> </w:t>
      </w:r>
      <w:r>
        <w:t xml:space="preserve">Gier 2012, PMID 22031513.</w:t>
      </w:r>
    </w:p>
  </w:footnote>
  <w:footnote w:id="2691">
    <w:p>
      <w:pPr>
        <w:pStyle w:val="FootnoteText"/>
      </w:pPr>
      <w:r>
        <w:rPr>
          <w:rStyle w:val="FootnoteReference"/>
        </w:rPr>
        <w:footnoteRef/>
      </w:r>
      <w:r>
        <w:t xml:space="preserve"> </w:t>
      </w:r>
      <w:r>
        <w:t xml:space="preserve">Hegedüs 2018, PMID 29279300.</w:t>
      </w:r>
    </w:p>
  </w:footnote>
  <w:footnote w:id="2692">
    <w:p>
      <w:pPr>
        <w:pStyle w:val="FootnoteText"/>
      </w:pPr>
      <w:r>
        <w:rPr>
          <w:rStyle w:val="FootnoteReference"/>
        </w:rPr>
        <w:footnoteRef/>
      </w:r>
      <w:r>
        <w:t xml:space="preserve"> </w:t>
      </w:r>
      <w:r>
        <w:t xml:space="preserve">Bezin 2023, PMID 36356111.</w:t>
      </w:r>
    </w:p>
  </w:footnote>
  <w:footnote w:id="2693">
    <w:p>
      <w:pPr>
        <w:pStyle w:val="FootnoteText"/>
      </w:pPr>
      <w:r>
        <w:rPr>
          <w:rStyle w:val="FootnoteReference"/>
        </w:rPr>
        <w:footnoteRef/>
      </w:r>
      <w:r>
        <w:t xml:space="preserve"> </w:t>
      </w:r>
      <w:r>
        <w:t xml:space="preserve">Pasternak 2024, PMID 38683947.</w:t>
      </w:r>
    </w:p>
  </w:footnote>
  <w:footnote w:id="2694">
    <w:p>
      <w:pPr>
        <w:pStyle w:val="FootnoteText"/>
      </w:pPr>
      <w:r>
        <w:rPr>
          <w:rStyle w:val="FootnoteReference"/>
        </w:rPr>
        <w:footnoteRef/>
      </w:r>
      <w:r>
        <w:t xml:space="preserve"> </w:t>
      </w:r>
      <w:r>
        <w:t xml:space="preserve">Silverii 2025, PMID 40437949.</w:t>
      </w:r>
    </w:p>
  </w:footnote>
  <w:footnote w:id="2696">
    <w:p>
      <w:pPr>
        <w:pStyle w:val="FootnoteText"/>
      </w:pPr>
      <w:r>
        <w:rPr>
          <w:rStyle w:val="FootnoteReference"/>
        </w:rPr>
        <w:footnoteRef/>
      </w:r>
      <w:r>
        <w:t xml:space="preserve"> </w:t>
      </w:r>
      <w:r>
        <w:t xml:space="preserve">Wen 2025, PMID 40988099.</w:t>
      </w:r>
    </w:p>
  </w:footnote>
  <w:footnote w:id="2697">
    <w:p>
      <w:pPr>
        <w:pStyle w:val="FootnoteText"/>
      </w:pPr>
      <w:r>
        <w:rPr>
          <w:rStyle w:val="FootnoteReference"/>
        </w:rPr>
        <w:footnoteRef/>
      </w:r>
      <w:r>
        <w:t xml:space="preserve"> </w:t>
      </w:r>
      <w:r>
        <w:t xml:space="preserve">Wang 2024, PMID 38967919.</w:t>
      </w:r>
    </w:p>
  </w:footnote>
  <w:footnote w:id="2698">
    <w:p>
      <w:pPr>
        <w:pStyle w:val="FootnoteText"/>
      </w:pPr>
      <w:r>
        <w:rPr>
          <w:rStyle w:val="FootnoteReference"/>
        </w:rPr>
        <w:footnoteRef/>
      </w:r>
      <w:r>
        <w:t xml:space="preserve"> </w:t>
      </w:r>
      <w:r>
        <w:t xml:space="preserve">Rajan 2026, PMID 42541759.</w:t>
      </w:r>
    </w:p>
  </w:footnote>
  <w:footnote w:id="2703">
    <w:p>
      <w:pPr>
        <w:pStyle w:val="FootnoteText"/>
      </w:pPr>
      <w:r>
        <w:rPr>
          <w:rStyle w:val="FootnoteReference"/>
        </w:rPr>
        <w:footnoteRef/>
      </w:r>
      <w:r>
        <w:t xml:space="preserve"> </w:t>
      </w:r>
      <w:r>
        <w:t xml:space="preserve">Shankar 2014, PMID 24764037.</w:t>
      </w:r>
    </w:p>
  </w:footnote>
  <w:footnote w:id="2705">
    <w:p>
      <w:pPr>
        <w:pStyle w:val="FootnoteText"/>
      </w:pPr>
      <w:r>
        <w:rPr>
          <w:rStyle w:val="FootnoteReference"/>
        </w:rPr>
        <w:footnoteRef/>
      </w:r>
      <w:r>
        <w:t xml:space="preserve"> </w:t>
      </w:r>
      <w:r>
        <w:t xml:space="preserve">Buse 2011, PMID 21450987.</w:t>
      </w:r>
    </w:p>
  </w:footnote>
  <w:footnote w:id="2706">
    <w:p>
      <w:pPr>
        <w:pStyle w:val="FootnoteText"/>
      </w:pPr>
      <w:r>
        <w:rPr>
          <w:rStyle w:val="FootnoteReference"/>
        </w:rPr>
        <w:footnoteRef/>
      </w:r>
      <w:r>
        <w:t xml:space="preserve"> </w:t>
      </w:r>
      <w:r>
        <w:t xml:space="preserve">Mullins 2024, PMID 37700637.</w:t>
      </w:r>
    </w:p>
  </w:footnote>
  <w:footnote w:id="2708">
    <w:p>
      <w:pPr>
        <w:pStyle w:val="FootnoteText"/>
      </w:pPr>
      <w:r>
        <w:rPr>
          <w:rStyle w:val="FootnoteReference"/>
        </w:rPr>
        <w:footnoteRef/>
      </w:r>
      <w:r>
        <w:t xml:space="preserve"> </w:t>
      </w:r>
      <w:r>
        <w:t xml:space="preserve">Taj 2026, PMID 41395692.</w:t>
      </w:r>
    </w:p>
  </w:footnote>
  <w:footnote w:id="2709">
    <w:p>
      <w:pPr>
        <w:pStyle w:val="FootnoteText"/>
      </w:pPr>
      <w:r>
        <w:rPr>
          <w:rStyle w:val="FootnoteReference"/>
        </w:rPr>
        <w:footnoteRef/>
      </w:r>
      <w:r>
        <w:t xml:space="preserve"> </w:t>
      </w:r>
      <w:r>
        <w:t xml:space="preserve">Wysham 2015, PMID 25744115.</w:t>
      </w:r>
    </w:p>
  </w:footnote>
  <w:footnote w:id="2710">
    <w:p>
      <w:pPr>
        <w:pStyle w:val="FootnoteText"/>
      </w:pPr>
      <w:r>
        <w:rPr>
          <w:rStyle w:val="FootnoteReference"/>
        </w:rPr>
        <w:footnoteRef/>
      </w:r>
      <w:r>
        <w:t xml:space="preserve"> </w:t>
      </w:r>
      <w:r>
        <w:t xml:space="preserve">Chen 2021, PMID 33748252.</w:t>
      </w:r>
    </w:p>
  </w:footnote>
  <w:footnote w:id="2712">
    <w:p>
      <w:pPr>
        <w:pStyle w:val="FootnoteText"/>
      </w:pPr>
      <w:r>
        <w:rPr>
          <w:rStyle w:val="FootnoteReference"/>
        </w:rPr>
        <w:footnoteRef/>
      </w:r>
      <w:r>
        <w:t xml:space="preserve"> </w:t>
      </w:r>
      <w:r>
        <w:t xml:space="preserve">Anthony 2024, PMID 38363873.</w:t>
      </w:r>
    </w:p>
  </w:footnote>
  <w:footnote w:id="2713">
    <w:p>
      <w:pPr>
        <w:pStyle w:val="FootnoteText"/>
      </w:pPr>
      <w:r>
        <w:rPr>
          <w:rStyle w:val="FootnoteReference"/>
        </w:rPr>
        <w:footnoteRef/>
      </w:r>
      <w:r>
        <w:t xml:space="preserve"> </w:t>
      </w:r>
      <w:r>
        <w:t xml:space="preserve">Pradhan 2022, PMID 35136902.</w:t>
      </w:r>
    </w:p>
  </w:footnote>
  <w:footnote w:id="2714">
    <w:p>
      <w:pPr>
        <w:pStyle w:val="FootnoteText"/>
      </w:pPr>
      <w:r>
        <w:rPr>
          <w:rStyle w:val="FootnoteReference"/>
        </w:rPr>
        <w:footnoteRef/>
      </w:r>
      <w:r>
        <w:t xml:space="preserve"> </w:t>
      </w:r>
      <w:r>
        <w:t xml:space="preserve">Ornelas 2018, PMID 30350785.</w:t>
      </w:r>
    </w:p>
  </w:footnote>
  <w:footnote w:id="2715">
    <w:p>
      <w:pPr>
        <w:pStyle w:val="FootnoteText"/>
      </w:pPr>
      <w:r>
        <w:rPr>
          <w:rStyle w:val="FootnoteReference"/>
        </w:rPr>
        <w:footnoteRef/>
      </w:r>
      <w:r>
        <w:t xml:space="preserve"> </w:t>
      </w:r>
      <w:r>
        <w:t xml:space="preserve">Shamriz 2019, PMID 31296642.</w:t>
      </w:r>
    </w:p>
  </w:footnote>
  <w:footnote w:id="2716">
    <w:p>
      <w:pPr>
        <w:pStyle w:val="FootnoteText"/>
      </w:pPr>
      <w:r>
        <w:rPr>
          <w:rStyle w:val="FootnoteReference"/>
        </w:rPr>
        <w:footnoteRef/>
      </w:r>
      <w:r>
        <w:t xml:space="preserve"> </w:t>
      </w:r>
      <w:r>
        <w:t xml:space="preserve">He 2023, PMID 38186543.</w:t>
      </w:r>
    </w:p>
  </w:footnote>
  <w:footnote w:id="2717">
    <w:p>
      <w:pPr>
        <w:pStyle w:val="FootnoteText"/>
      </w:pPr>
      <w:r>
        <w:rPr>
          <w:rStyle w:val="FootnoteReference"/>
        </w:rPr>
        <w:footnoteRef/>
      </w:r>
      <w:r>
        <w:t xml:space="preserve"> </w:t>
      </w:r>
      <w:r>
        <w:t xml:space="preserve">Kraft 2026, PMID 42194666.</w:t>
      </w:r>
    </w:p>
  </w:footnote>
  <w:footnote w:id="2718">
    <w:p>
      <w:pPr>
        <w:pStyle w:val="FootnoteText"/>
      </w:pPr>
      <w:r>
        <w:rPr>
          <w:rStyle w:val="FootnoteReference"/>
        </w:rPr>
        <w:footnoteRef/>
      </w:r>
      <w:r>
        <w:t xml:space="preserve"> </w:t>
      </w:r>
      <w:r>
        <w:t xml:space="preserve">Trimmel 2024, PMID 39055722.</w:t>
      </w:r>
    </w:p>
  </w:footnote>
  <w:footnote w:id="2719">
    <w:p>
      <w:pPr>
        <w:pStyle w:val="FootnoteText"/>
      </w:pPr>
      <w:r>
        <w:rPr>
          <w:rStyle w:val="FootnoteReference"/>
        </w:rPr>
        <w:footnoteRef/>
      </w:r>
      <w:r>
        <w:t xml:space="preserve"> </w:t>
      </w:r>
      <w:r>
        <w:t xml:space="preserve">Röper 2004, PMID 15127162.</w:t>
      </w:r>
    </w:p>
  </w:footnote>
  <w:footnote w:id="2721">
    <w:p>
      <w:pPr>
        <w:pStyle w:val="FootnoteText"/>
      </w:pPr>
      <w:r>
        <w:rPr>
          <w:rStyle w:val="FootnoteReference"/>
        </w:rPr>
        <w:footnoteRef/>
      </w:r>
      <w:r>
        <w:t xml:space="preserve"> </w:t>
      </w:r>
      <w:r>
        <w:t xml:space="preserve">Lande 2007, PMID 17873860.</w:t>
      </w:r>
    </w:p>
  </w:footnote>
  <w:footnote w:id="2722">
    <w:p>
      <w:pPr>
        <w:pStyle w:val="FootnoteText"/>
      </w:pPr>
      <w:r>
        <w:rPr>
          <w:rStyle w:val="FootnoteReference"/>
        </w:rPr>
        <w:footnoteRef/>
      </w:r>
      <w:r>
        <w:t xml:space="preserve"> </w:t>
      </w:r>
      <w:r>
        <w:t xml:space="preserve">Lande 2014, PMID 25470744.</w:t>
      </w:r>
    </w:p>
  </w:footnote>
  <w:footnote w:id="2723">
    <w:p>
      <w:pPr>
        <w:pStyle w:val="FootnoteText"/>
      </w:pPr>
      <w:r>
        <w:rPr>
          <w:rStyle w:val="FootnoteReference"/>
        </w:rPr>
        <w:footnoteRef/>
      </w:r>
      <w:r>
        <w:t xml:space="preserve"> </w:t>
      </w:r>
      <w:r>
        <w:t xml:space="preserve">Dolkar 2018, PMID 29665030.</w:t>
      </w:r>
    </w:p>
  </w:footnote>
  <w:footnote w:id="2724">
    <w:p>
      <w:pPr>
        <w:pStyle w:val="FootnoteText"/>
      </w:pPr>
      <w:r>
        <w:rPr>
          <w:rStyle w:val="FootnoteReference"/>
        </w:rPr>
        <w:footnoteRef/>
      </w:r>
      <w:r>
        <w:t xml:space="preserve"> </w:t>
      </w:r>
      <w:r>
        <w:t xml:space="preserve">Gupta 2026, PMID 42930571.</w:t>
      </w:r>
    </w:p>
  </w:footnote>
  <w:footnote w:id="2726">
    <w:p>
      <w:pPr>
        <w:pStyle w:val="FootnoteText"/>
      </w:pPr>
      <w:r>
        <w:rPr>
          <w:rStyle w:val="FootnoteReference"/>
        </w:rPr>
        <w:footnoteRef/>
      </w:r>
      <w:r>
        <w:t xml:space="preserve"> </w:t>
      </w:r>
      <w:r>
        <w:t xml:space="preserve">De Groot 2023, PMID 37467878.</w:t>
      </w:r>
    </w:p>
  </w:footnote>
  <w:footnote w:id="2727">
    <w:p>
      <w:pPr>
        <w:pStyle w:val="FootnoteText"/>
      </w:pPr>
      <w:r>
        <w:rPr>
          <w:rStyle w:val="FootnoteReference"/>
        </w:rPr>
        <w:footnoteRef/>
      </w:r>
      <w:r>
        <w:t xml:space="preserve"> </w:t>
      </w:r>
      <w:r>
        <w:t xml:space="preserve">Mattei 2025, PMID 41445733.</w:t>
      </w:r>
    </w:p>
  </w:footnote>
  <w:footnote w:id="2728">
    <w:p>
      <w:pPr>
        <w:pStyle w:val="FootnoteText"/>
      </w:pPr>
      <w:r>
        <w:rPr>
          <w:rStyle w:val="FootnoteReference"/>
        </w:rPr>
        <w:footnoteRef/>
      </w:r>
      <w:r>
        <w:t xml:space="preserve"> </w:t>
      </w:r>
      <w:r>
        <w:t xml:space="preserve">Hach 2024, PMID 39379664.</w:t>
      </w:r>
    </w:p>
  </w:footnote>
  <w:footnote w:id="2729">
    <w:p>
      <w:pPr>
        <w:pStyle w:val="FootnoteText"/>
      </w:pPr>
      <w:r>
        <w:rPr>
          <w:rStyle w:val="FootnoteReference"/>
        </w:rPr>
        <w:footnoteRef/>
      </w:r>
      <w:r>
        <w:t xml:space="preserve"> </w:t>
      </w:r>
      <w:r>
        <w:t xml:space="preserve">Tang 2025, PMID 40398094.</w:t>
      </w:r>
    </w:p>
  </w:footnote>
  <w:footnote w:id="2730">
    <w:p>
      <w:pPr>
        <w:pStyle w:val="FootnoteText"/>
      </w:pPr>
      <w:r>
        <w:rPr>
          <w:rStyle w:val="FootnoteReference"/>
        </w:rPr>
        <w:footnoteRef/>
      </w:r>
      <w:r>
        <w:t xml:space="preserve"> </w:t>
      </w:r>
      <w:r>
        <w:t xml:space="preserve">Janvier 2018, PMID 28941153.</w:t>
      </w:r>
    </w:p>
  </w:footnote>
  <w:footnote w:id="2734">
    <w:p>
      <w:pPr>
        <w:pStyle w:val="FootnoteText"/>
      </w:pPr>
      <w:r>
        <w:rPr>
          <w:rStyle w:val="FootnoteReference"/>
        </w:rPr>
        <w:footnoteRef/>
      </w:r>
      <w:r>
        <w:t xml:space="preserve"> </w:t>
      </w:r>
      <w:r>
        <w:t xml:space="preserve">Vanhee 2015, PMID 26003685.</w:t>
      </w:r>
    </w:p>
  </w:footnote>
  <w:footnote w:id="2736">
    <w:p>
      <w:pPr>
        <w:pStyle w:val="FootnoteText"/>
      </w:pPr>
      <w:r>
        <w:rPr>
          <w:rStyle w:val="FootnoteReference"/>
        </w:rPr>
        <w:footnoteRef/>
      </w:r>
      <w:r>
        <w:t xml:space="preserve"> </w:t>
      </w:r>
      <w:r>
        <w:t xml:space="preserve">Høj 2021, PMID 33686802.</w:t>
      </w:r>
    </w:p>
  </w:footnote>
  <w:footnote w:id="2737">
    <w:p>
      <w:pPr>
        <w:pStyle w:val="FootnoteText"/>
      </w:pPr>
      <w:r>
        <w:rPr>
          <w:rStyle w:val="FootnoteReference"/>
        </w:rPr>
        <w:footnoteRef/>
      </w:r>
      <w:r>
        <w:t xml:space="preserve"> </w:t>
      </w:r>
      <w:r>
        <w:t xml:space="preserve">Venhuis 2016, PMID 26456392.</w:t>
      </w:r>
    </w:p>
  </w:footnote>
  <w:footnote w:id="2738">
    <w:p>
      <w:pPr>
        <w:pStyle w:val="FootnoteText"/>
      </w:pPr>
      <w:r>
        <w:rPr>
          <w:rStyle w:val="FootnoteReference"/>
        </w:rPr>
        <w:footnoteRef/>
      </w:r>
      <w:r>
        <w:t xml:space="preserve"> </w:t>
      </w:r>
      <w:r>
        <w:t xml:space="preserve">Vanhee 2017, PMID 27390261.</w:t>
      </w:r>
    </w:p>
  </w:footnote>
  <w:footnote w:id="2739">
    <w:p>
      <w:pPr>
        <w:pStyle w:val="FootnoteText"/>
      </w:pPr>
      <w:r>
        <w:rPr>
          <w:rStyle w:val="FootnoteReference"/>
        </w:rPr>
        <w:footnoteRef/>
      </w:r>
      <w:r>
        <w:t xml:space="preserve"> </w:t>
      </w:r>
      <w:r>
        <w:t xml:space="preserve">Delcourt 2023, PMID 36482504.</w:t>
      </w:r>
    </w:p>
  </w:footnote>
  <w:footnote w:id="2740">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Fabresse 2021, PMID 33838562.</w:t>
      </w:r>
    </w:p>
  </w:footnote>
  <w:footnote w:id="2744">
    <w:p>
      <w:pPr>
        <w:pStyle w:val="FootnoteText"/>
      </w:pPr>
      <w:r>
        <w:rPr>
          <w:rStyle w:val="FootnoteReference"/>
        </w:rPr>
        <w:footnoteRef/>
      </w:r>
      <w:r>
        <w:t xml:space="preserve"> </w:t>
      </w:r>
      <w:r>
        <w:t xml:space="preserve">Barrios 2025, PMID 40551438.</w:t>
      </w:r>
    </w:p>
  </w:footnote>
  <w:footnote w:id="2746">
    <w:p>
      <w:pPr>
        <w:pStyle w:val="FootnoteText"/>
      </w:pPr>
      <w:r>
        <w:rPr>
          <w:rStyle w:val="FootnoteReference"/>
        </w:rPr>
        <w:footnoteRef/>
      </w:r>
      <w:r>
        <w:t xml:space="preserve"> </w:t>
      </w:r>
      <w:r>
        <w:t xml:space="preserve">Janvier 2018, PMID 30029448.</w:t>
      </w:r>
    </w:p>
  </w:footnote>
  <w:footnote w:id="2747">
    <w:p>
      <w:pPr>
        <w:pStyle w:val="FootnoteText"/>
      </w:pPr>
      <w:r>
        <w:rPr>
          <w:rStyle w:val="FootnoteReference"/>
        </w:rPr>
        <w:footnoteRef/>
      </w:r>
      <w:r>
        <w:t xml:space="preserve"> </w:t>
      </w:r>
      <w:r>
        <w:t xml:space="preserve">Mongongu 2021, PMID 33587816.</w:t>
      </w:r>
    </w:p>
  </w:footnote>
  <w:footnote w:id="2748">
    <w:p>
      <w:pPr>
        <w:pStyle w:val="FootnoteText"/>
      </w:pPr>
      <w:r>
        <w:rPr>
          <w:rStyle w:val="FootnoteReference"/>
        </w:rPr>
        <w:footnoteRef/>
      </w:r>
      <w:r>
        <w:t xml:space="preserve"> </w:t>
      </w:r>
      <w:r>
        <w:t xml:space="preserve">Deville 2024, PMID 39302005.</w:t>
      </w:r>
    </w:p>
  </w:footnote>
  <w:footnote w:id="2749">
    <w:p>
      <w:pPr>
        <w:pStyle w:val="FootnoteText"/>
      </w:pPr>
      <w:r>
        <w:rPr>
          <w:rStyle w:val="FootnoteReference"/>
        </w:rPr>
        <w:footnoteRef/>
      </w:r>
      <w:r>
        <w:t xml:space="preserve"> </w:t>
      </w:r>
      <w:r>
        <w:t xml:space="preserve">Gajda 2019, PMID 30136411.</w:t>
      </w:r>
    </w:p>
  </w:footnote>
  <w:footnote w:id="2751">
    <w:p>
      <w:pPr>
        <w:pStyle w:val="FootnoteText"/>
      </w:pPr>
      <w:r>
        <w:rPr>
          <w:rStyle w:val="FootnoteReference"/>
        </w:rPr>
        <w:footnoteRef/>
      </w:r>
      <w:r>
        <w:t xml:space="preserve"> </w:t>
      </w:r>
      <w:r>
        <w:t xml:space="preserve">Janvier 2018, PMID 30029448.</w:t>
      </w:r>
    </w:p>
  </w:footnote>
  <w:footnote w:id="2752">
    <w:p>
      <w:pPr>
        <w:pStyle w:val="FootnoteText"/>
      </w:pPr>
      <w:r>
        <w:rPr>
          <w:rStyle w:val="FootnoteReference"/>
        </w:rPr>
        <w:footnoteRef/>
      </w:r>
      <w:r>
        <w:t xml:space="preserve"> </w:t>
      </w:r>
      <w:r>
        <w:t xml:space="preserve">Janvier 2018, PMID 28941153.</w:t>
      </w:r>
    </w:p>
  </w:footnote>
  <w:footnote w:id="2753">
    <w:p>
      <w:pPr>
        <w:pStyle w:val="FootnoteText"/>
      </w:pPr>
      <w:r>
        <w:rPr>
          <w:rStyle w:val="FootnoteReference"/>
        </w:rPr>
        <w:footnoteRef/>
      </w:r>
      <w:r>
        <w:t xml:space="preserve"> </w:t>
      </w:r>
      <w:r>
        <w:t xml:space="preserve">Ashraf 2024, PMID 39509151.</w:t>
      </w:r>
    </w:p>
  </w:footnote>
  <w:footnote w:id="2756">
    <w:p>
      <w:pPr>
        <w:pStyle w:val="FootnoteText"/>
      </w:pPr>
      <w:r>
        <w:rPr>
          <w:rStyle w:val="FootnoteReference"/>
        </w:rPr>
        <w:footnoteRef/>
      </w:r>
      <w:r>
        <w:t xml:space="preserve"> </w:t>
      </w:r>
      <w:r>
        <w:t xml:space="preserve">Deconinck 2021, PMID 33453144.</w:t>
      </w:r>
    </w:p>
  </w:footnote>
  <w:footnote w:id="2757">
    <w:p>
      <w:pPr>
        <w:pStyle w:val="FootnoteText"/>
      </w:pPr>
      <w:r>
        <w:rPr>
          <w:rStyle w:val="FootnoteReference"/>
        </w:rPr>
        <w:footnoteRef/>
      </w:r>
      <w:r>
        <w:t xml:space="preserve"> </w:t>
      </w:r>
      <w:r>
        <w:t xml:space="preserve">Vanhee 2015, PMID 25535022.</w:t>
      </w:r>
    </w:p>
  </w:footnote>
  <w:footnote w:id="2758">
    <w:p>
      <w:pPr>
        <w:pStyle w:val="FootnoteText"/>
      </w:pPr>
      <w:r>
        <w:rPr>
          <w:rStyle w:val="FootnoteReference"/>
        </w:rPr>
        <w:footnoteRef/>
      </w:r>
      <w:r>
        <w:t xml:space="preserve"> </w:t>
      </w:r>
      <w:r>
        <w:t xml:space="preserve">Vanhee 2020, PMID 31667971.</w:t>
      </w:r>
    </w:p>
  </w:footnote>
  <w:footnote w:id="2759">
    <w:p>
      <w:pPr>
        <w:pStyle w:val="FootnoteText"/>
      </w:pPr>
      <w:r>
        <w:rPr>
          <w:rStyle w:val="FootnoteReference"/>
        </w:rPr>
        <w:footnoteRef/>
      </w:r>
      <w:r>
        <w:t xml:space="preserve"> </w:t>
      </w:r>
      <w:r>
        <w:t xml:space="preserve">White 2026, PMID 41480958.</w:t>
      </w:r>
    </w:p>
  </w:footnote>
  <w:footnote w:id="2760">
    <w:p>
      <w:pPr>
        <w:pStyle w:val="FootnoteText"/>
      </w:pPr>
      <w:r>
        <w:rPr>
          <w:rStyle w:val="FootnoteReference"/>
        </w:rPr>
        <w:footnoteRef/>
      </w:r>
      <w:r>
        <w:t xml:space="preserve"> </w:t>
      </w:r>
      <w:r>
        <w:t xml:space="preserve">Barrios 2025, PMID 40551438.</w:t>
      </w:r>
    </w:p>
  </w:footnote>
  <w:footnote w:id="2763">
    <w:p>
      <w:pPr>
        <w:pStyle w:val="FootnoteText"/>
      </w:pPr>
      <w:r>
        <w:rPr>
          <w:rStyle w:val="FootnoteReference"/>
        </w:rPr>
        <w:footnoteRef/>
      </w:r>
      <w:r>
        <w:t xml:space="preserve"> </w:t>
      </w:r>
      <w:r>
        <w:t xml:space="preserve">Gaw 2024, PMID 38421490.</w:t>
      </w:r>
    </w:p>
  </w:footnote>
  <w:footnote w:id="2764">
    <w:p>
      <w:pPr>
        <w:pStyle w:val="FootnoteText"/>
      </w:pPr>
      <w:r>
        <w:rPr>
          <w:rStyle w:val="FootnoteReference"/>
        </w:rPr>
        <w:footnoteRef/>
      </w:r>
      <w:r>
        <w:t xml:space="preserve"> </w:t>
      </w:r>
      <w:r>
        <w:t xml:space="preserve">Senthilkumar 2026, PMID 41784916.</w:t>
      </w:r>
    </w:p>
  </w:footnote>
  <w:footnote w:id="2765">
    <w:p>
      <w:pPr>
        <w:pStyle w:val="FootnoteText"/>
      </w:pPr>
      <w:r>
        <w:rPr>
          <w:rStyle w:val="FootnoteReference"/>
        </w:rPr>
        <w:footnoteRef/>
      </w:r>
      <w:r>
        <w:t xml:space="preserve"> </w:t>
      </w:r>
      <w:r>
        <w:t xml:space="preserve">Gaw 2024, PMID 38421490; Ho 2025, PMID 40371098.</w:t>
      </w:r>
    </w:p>
  </w:footnote>
  <w:footnote w:id="2766">
    <w:p>
      <w:pPr>
        <w:pStyle w:val="FootnoteText"/>
      </w:pPr>
      <w:r>
        <w:rPr>
          <w:rStyle w:val="FootnoteReference"/>
        </w:rPr>
        <w:footnoteRef/>
      </w:r>
      <w:r>
        <w:t xml:space="preserve"> </w:t>
      </w:r>
      <w:r>
        <w:t xml:space="preserve">Marshall 2024, PMID 38861153.</w:t>
      </w:r>
    </w:p>
  </w:footnote>
  <w:footnote w:id="2767">
    <w:p>
      <w:pPr>
        <w:pStyle w:val="FootnoteText"/>
      </w:pPr>
      <w:r>
        <w:rPr>
          <w:rStyle w:val="FootnoteReference"/>
        </w:rPr>
        <w:footnoteRef/>
      </w:r>
      <w:r>
        <w:t xml:space="preserve"> </w:t>
      </w:r>
      <w:r>
        <w:t xml:space="preserve">Ho 2025, PMID 40371098.</w:t>
      </w:r>
    </w:p>
  </w:footnote>
  <w:footnote w:id="2768">
    <w:p>
      <w:pPr>
        <w:pStyle w:val="FootnoteText"/>
      </w:pPr>
      <w:r>
        <w:rPr>
          <w:rStyle w:val="FootnoteReference"/>
        </w:rPr>
        <w:footnoteRef/>
      </w:r>
      <w:r>
        <w:t xml:space="preserve"> </w:t>
      </w:r>
      <w:r>
        <w:t xml:space="preserve">Gaw 2024, PMID 38421490; Senthilkumar 2026, PMID 41784916.</w:t>
      </w:r>
    </w:p>
  </w:footnote>
  <w:footnote w:id="2769">
    <w:p>
      <w:pPr>
        <w:pStyle w:val="FootnoteText"/>
      </w:pPr>
      <w:r>
        <w:rPr>
          <w:rStyle w:val="FootnoteReference"/>
        </w:rPr>
        <w:footnoteRef/>
      </w:r>
      <w:r>
        <w:t xml:space="preserve"> </w:t>
      </w:r>
      <w:r>
        <w:t xml:space="preserve">Muschler 2025, PMID 39803696.</w:t>
      </w:r>
    </w:p>
  </w:footnote>
  <w:footnote w:id="2770">
    <w:p>
      <w:pPr>
        <w:pStyle w:val="FootnoteText"/>
      </w:pPr>
      <w:r>
        <w:rPr>
          <w:rStyle w:val="FootnoteReference"/>
        </w:rPr>
        <w:footnoteRef/>
      </w:r>
      <w:r>
        <w:t xml:space="preserve"> </w:t>
      </w:r>
      <w:r>
        <w:t xml:space="preserve">Ho 2025, PMID 40371098.</w:t>
      </w:r>
    </w:p>
  </w:footnote>
  <w:footnote w:id="2771">
    <w:p>
      <w:pPr>
        <w:pStyle w:val="FootnoteText"/>
      </w:pPr>
      <w:r>
        <w:rPr>
          <w:rStyle w:val="FootnoteReference"/>
        </w:rPr>
        <w:footnoteRef/>
      </w:r>
      <w:r>
        <w:t xml:space="preserve"> </w:t>
      </w:r>
      <w:r>
        <w:t xml:space="preserve">Marshall 2024, PMID 38861153.</w:t>
      </w:r>
    </w:p>
  </w:footnote>
  <w:footnote w:id="2772">
    <w:p>
      <w:pPr>
        <w:pStyle w:val="FootnoteText"/>
      </w:pPr>
      <w:r>
        <w:rPr>
          <w:rStyle w:val="FootnoteReference"/>
        </w:rPr>
        <w:footnoteRef/>
      </w:r>
      <w:r>
        <w:t xml:space="preserve"> </w:t>
      </w:r>
      <w:r>
        <w:t xml:space="preserve">Kraft 2026, PMID 42194666.</w:t>
      </w:r>
    </w:p>
  </w:footnote>
  <w:footnote w:id="2773">
    <w:p>
      <w:pPr>
        <w:pStyle w:val="FootnoteText"/>
      </w:pPr>
      <w:r>
        <w:rPr>
          <w:rStyle w:val="FootnoteReference"/>
        </w:rPr>
        <w:footnoteRef/>
      </w:r>
      <w:r>
        <w:t xml:space="preserve"> </w:t>
      </w:r>
      <w:r>
        <w:t xml:space="preserve">Senthilkumar 2026, PMID 41784916.</w:t>
      </w:r>
    </w:p>
  </w:footnote>
  <w:footnote w:id="2778">
    <w:p>
      <w:pPr>
        <w:pStyle w:val="FootnoteText"/>
      </w:pPr>
      <w:r>
        <w:rPr>
          <w:rStyle w:val="FootnoteReference"/>
        </w:rPr>
        <w:footnoteRef/>
      </w:r>
      <w:r>
        <w:t xml:space="preserve"> </w:t>
      </w:r>
      <w:r>
        <w:t xml:space="preserve">Cesta 2024, PMID 38079178.</w:t>
      </w:r>
    </w:p>
  </w:footnote>
  <w:footnote w:id="2779">
    <w:p>
      <w:pPr>
        <w:pStyle w:val="FootnoteText"/>
      </w:pPr>
      <w:r>
        <w:rPr>
          <w:rStyle w:val="FootnoteReference"/>
        </w:rPr>
        <w:footnoteRef/>
      </w:r>
      <w:r>
        <w:t xml:space="preserve"> </w:t>
      </w:r>
      <w:r>
        <w:t xml:space="preserve">Dao 2024, PMID 38663923.</w:t>
      </w:r>
    </w:p>
  </w:footnote>
  <w:footnote w:id="2780">
    <w:p>
      <w:pPr>
        <w:pStyle w:val="FootnoteText"/>
      </w:pPr>
      <w:r>
        <w:rPr>
          <w:rStyle w:val="FootnoteReference"/>
        </w:rPr>
        <w:footnoteRef/>
      </w:r>
      <w:r>
        <w:t xml:space="preserve"> </w:t>
      </w:r>
      <w:r>
        <w:t xml:space="preserve">Brown 2026, PMID 42258827.</w:t>
      </w:r>
    </w:p>
  </w:footnote>
  <w:footnote w:id="2781">
    <w:p>
      <w:pPr>
        <w:pStyle w:val="FootnoteText"/>
      </w:pPr>
      <w:r>
        <w:rPr>
          <w:rStyle w:val="FootnoteReference"/>
        </w:rPr>
        <w:footnoteRef/>
      </w:r>
      <w:r>
        <w:t xml:space="preserve"> </w:t>
      </w:r>
      <w:r>
        <w:t xml:space="preserve">Uysal 2026, PMID 42420519.</w:t>
      </w:r>
    </w:p>
  </w:footnote>
  <w:footnote w:id="2782">
    <w:p>
      <w:pPr>
        <w:pStyle w:val="FootnoteText"/>
      </w:pPr>
      <w:r>
        <w:rPr>
          <w:rStyle w:val="FootnoteReference"/>
        </w:rPr>
        <w:footnoteRef/>
      </w:r>
      <w:r>
        <w:t xml:space="preserve"> </w:t>
      </w:r>
      <w:r>
        <w:t xml:space="preserve">NCT06867835.</w:t>
      </w:r>
    </w:p>
  </w:footnote>
  <w:footnote w:id="2784">
    <w:p>
      <w:pPr>
        <w:pStyle w:val="FootnoteText"/>
      </w:pPr>
      <w:r>
        <w:rPr>
          <w:rStyle w:val="FootnoteReference"/>
        </w:rPr>
        <w:footnoteRef/>
      </w:r>
      <w:r>
        <w:t xml:space="preserve"> </w:t>
      </w:r>
      <w:r>
        <w:t xml:space="preserve">Kapitza 2015, PMID 25475122.</w:t>
      </w:r>
    </w:p>
  </w:footnote>
  <w:footnote w:id="2785">
    <w:p>
      <w:pPr>
        <w:pStyle w:val="FootnoteText"/>
      </w:pPr>
      <w:r>
        <w:rPr>
          <w:rStyle w:val="FootnoteReference"/>
        </w:rPr>
        <w:footnoteRef/>
      </w:r>
      <w:r>
        <w:t xml:space="preserve"> </w:t>
      </w:r>
      <w:r>
        <w:t xml:space="preserve">Skelley 2024, PMID 37940101.</w:t>
      </w:r>
    </w:p>
  </w:footnote>
  <w:footnote w:id="2786">
    <w:p>
      <w:pPr>
        <w:pStyle w:val="FootnoteText"/>
      </w:pPr>
      <w:r>
        <w:rPr>
          <w:rStyle w:val="FootnoteReference"/>
        </w:rPr>
        <w:footnoteRef/>
      </w:r>
      <w:r>
        <w:t xml:space="preserve"> </w:t>
      </w:r>
      <w:r>
        <w:t xml:space="preserve">Clayton 2022, PMID 35147466.</w:t>
      </w:r>
    </w:p>
  </w:footnote>
  <w:footnote w:id="2787">
    <w:p>
      <w:pPr>
        <w:pStyle w:val="FootnoteText"/>
      </w:pPr>
      <w:r>
        <w:rPr>
          <w:rStyle w:val="FootnoteReference"/>
        </w:rPr>
        <w:footnoteRef/>
      </w:r>
      <w:r>
        <w:t xml:space="preserve"> </w:t>
      </w:r>
      <w:r>
        <w:t xml:space="preserve">Lissy 2021, PMID 32961034.</w:t>
      </w:r>
    </w:p>
  </w:footnote>
  <w:footnote w:id="2789">
    <w:p>
      <w:pPr>
        <w:pStyle w:val="FootnoteText"/>
      </w:pPr>
      <w:r>
        <w:rPr>
          <w:rStyle w:val="FootnoteReference"/>
        </w:rPr>
        <w:footnoteRef/>
      </w:r>
      <w:r>
        <w:t xml:space="preserve"> </w:t>
      </w:r>
      <w:r>
        <w:t xml:space="preserve">Baig 2025, PMID 39694296.</w:t>
      </w:r>
    </w:p>
  </w:footnote>
  <w:footnote w:id="2790">
    <w:p>
      <w:pPr>
        <w:pStyle w:val="FootnoteText"/>
      </w:pPr>
      <w:r>
        <w:rPr>
          <w:rStyle w:val="FootnoteReference"/>
        </w:rPr>
        <w:footnoteRef/>
      </w:r>
      <w:r>
        <w:t xml:space="preserve"> </w:t>
      </w:r>
      <w:r>
        <w:t xml:space="preserve">Vlaeminck 2026, PMID 41631344.</w:t>
      </w:r>
    </w:p>
  </w:footnote>
  <w:footnote w:id="2791">
    <w:p>
      <w:pPr>
        <w:pStyle w:val="FootnoteText"/>
      </w:pPr>
      <w:r>
        <w:rPr>
          <w:rStyle w:val="FootnoteReference"/>
        </w:rPr>
        <w:footnoteRef/>
      </w:r>
      <w:r>
        <w:t xml:space="preserve"> </w:t>
      </w:r>
      <w:r>
        <w:t xml:space="preserve">Wu 2026, PMID 40940281.</w:t>
      </w:r>
    </w:p>
  </w:footnote>
  <w:footnote w:id="2792">
    <w:p>
      <w:pPr>
        <w:pStyle w:val="FootnoteText"/>
      </w:pPr>
      <w:r>
        <w:rPr>
          <w:rStyle w:val="FootnoteReference"/>
        </w:rPr>
        <w:footnoteRef/>
      </w:r>
      <w:r>
        <w:t xml:space="preserve"> </w:t>
      </w:r>
      <w:r>
        <w:t xml:space="preserve">NCT07276763.</w:t>
      </w:r>
    </w:p>
  </w:footnote>
  <w:footnote w:id="2794">
    <w:p>
      <w:pPr>
        <w:pStyle w:val="FootnoteText"/>
      </w:pPr>
      <w:r>
        <w:rPr>
          <w:rStyle w:val="FootnoteReference"/>
        </w:rPr>
        <w:footnoteRef/>
      </w:r>
      <w:r>
        <w:t xml:space="preserve"> </w:t>
      </w:r>
      <w:r>
        <w:t xml:space="preserve">Kendall 2005, PMID 15855571.</w:t>
      </w:r>
    </w:p>
  </w:footnote>
  <w:footnote w:id="2795">
    <w:p>
      <w:pPr>
        <w:pStyle w:val="FootnoteText"/>
      </w:pPr>
      <w:r>
        <w:rPr>
          <w:rStyle w:val="FootnoteReference"/>
        </w:rPr>
        <w:footnoteRef/>
      </w:r>
      <w:r>
        <w:t xml:space="preserve"> </w:t>
      </w:r>
      <w:r>
        <w:t xml:space="preserve">Edelman 2006, PMID 17003291.</w:t>
      </w:r>
    </w:p>
  </w:footnote>
  <w:footnote w:id="2797">
    <w:p>
      <w:pPr>
        <w:pStyle w:val="FootnoteText"/>
      </w:pPr>
      <w:r>
        <w:rPr>
          <w:rStyle w:val="FootnoteReference"/>
        </w:rPr>
        <w:footnoteRef/>
      </w:r>
      <w:r>
        <w:t xml:space="preserve"> </w:t>
      </w:r>
      <w:r>
        <w:t xml:space="preserve">Kelly 2020, PMID 32233338.</w:t>
      </w:r>
    </w:p>
  </w:footnote>
  <w:footnote w:id="2798">
    <w:p>
      <w:pPr>
        <w:pStyle w:val="FootnoteText"/>
      </w:pPr>
      <w:r>
        <w:rPr>
          <w:rStyle w:val="FootnoteReference"/>
        </w:rPr>
        <w:footnoteRef/>
      </w:r>
      <w:r>
        <w:t xml:space="preserve"> </w:t>
      </w:r>
      <w:r>
        <w:t xml:space="preserve">Silva 2026, PMID 42115753.</w:t>
      </w:r>
    </w:p>
  </w:footnote>
  <w:footnote w:id="2799">
    <w:p>
      <w:pPr>
        <w:pStyle w:val="FootnoteText"/>
      </w:pPr>
      <w:r>
        <w:rPr>
          <w:rStyle w:val="FootnoteReference"/>
        </w:rPr>
        <w:footnoteRef/>
      </w:r>
      <w:r>
        <w:t xml:space="preserve"> </w:t>
      </w:r>
      <w:r>
        <w:t xml:space="preserve">Senthilkumar 2026, PMID 41784916.</w:t>
      </w:r>
    </w:p>
  </w:footnote>
  <w:footnote w:id="2800">
    <w:p>
      <w:pPr>
        <w:pStyle w:val="FootnoteText"/>
      </w:pPr>
      <w:r>
        <w:rPr>
          <w:rStyle w:val="FootnoteReference"/>
        </w:rPr>
        <w:footnoteRef/>
      </w:r>
      <w:r>
        <w:t xml:space="preserve"> </w:t>
      </w:r>
      <w:r>
        <w:t xml:space="preserve">Coutinho 2026, PMID 41880199.</w:t>
      </w:r>
    </w:p>
  </w:footnote>
  <w:footnote w:id="2802">
    <w:p>
      <w:pPr>
        <w:pStyle w:val="FootnoteText"/>
      </w:pPr>
      <w:r>
        <w:rPr>
          <w:rStyle w:val="FootnoteReference"/>
        </w:rPr>
        <w:footnoteRef/>
      </w:r>
      <w:r>
        <w:t xml:space="preserve"> </w:t>
      </w:r>
      <w:r>
        <w:t xml:space="preserve">Liu 2007, PMID 17227934.</w:t>
      </w:r>
    </w:p>
  </w:footnote>
  <w:footnote w:id="2803">
    <w:p>
      <w:pPr>
        <w:pStyle w:val="FootnoteText"/>
      </w:pPr>
      <w:r>
        <w:rPr>
          <w:rStyle w:val="FootnoteReference"/>
        </w:rPr>
        <w:footnoteRef/>
      </w:r>
      <w:r>
        <w:t xml:space="preserve"> </w:t>
      </w:r>
      <w:r>
        <w:t xml:space="preserve">Adunsky 2011, PMID 21067829.</w:t>
      </w:r>
    </w:p>
  </w:footnote>
  <w:footnote w:id="2805">
    <w:p>
      <w:pPr>
        <w:pStyle w:val="FootnoteText"/>
      </w:pPr>
      <w:r>
        <w:rPr>
          <w:rStyle w:val="FootnoteReference"/>
        </w:rPr>
        <w:footnoteRef/>
      </w:r>
      <w:r>
        <w:t xml:space="preserve"> </w:t>
      </w:r>
      <w:r>
        <w:t xml:space="preserve">Look 2025, PMID 39996356.</w:t>
      </w:r>
    </w:p>
  </w:footnote>
  <w:footnote w:id="2806">
    <w:p>
      <w:pPr>
        <w:pStyle w:val="FootnoteText"/>
      </w:pPr>
      <w:r>
        <w:rPr>
          <w:rStyle w:val="FootnoteReference"/>
        </w:rPr>
        <w:footnoteRef/>
      </w:r>
      <w:r>
        <w:t xml:space="preserve"> </w:t>
      </w:r>
      <w:r>
        <w:t xml:space="preserve">Karakasis 2025, PMID 39719170.</w:t>
      </w:r>
    </w:p>
  </w:footnote>
  <w:footnote w:id="2807">
    <w:p>
      <w:pPr>
        <w:pStyle w:val="FootnoteText"/>
      </w:pPr>
      <w:r>
        <w:rPr>
          <w:rStyle w:val="FootnoteReference"/>
        </w:rPr>
        <w:footnoteRef/>
      </w:r>
      <w:r>
        <w:t xml:space="preserve"> </w:t>
      </w:r>
      <w:r>
        <w:t xml:space="preserve">Batsis 2026, PMID 41996180.</w:t>
      </w:r>
    </w:p>
  </w:footnote>
  <w:footnote w:id="2808">
    <w:p>
      <w:pPr>
        <w:pStyle w:val="FootnoteText"/>
      </w:pPr>
      <w:r>
        <w:rPr>
          <w:rStyle w:val="FootnoteReference"/>
        </w:rPr>
        <w:footnoteRef/>
      </w:r>
      <w:r>
        <w:t xml:space="preserve"> </w:t>
      </w:r>
      <w:r>
        <w:t xml:space="preserve">Laverde 2026, PMID 42321502.</w:t>
      </w:r>
    </w:p>
  </w:footnote>
  <w:footnote w:id="2810">
    <w:p>
      <w:pPr>
        <w:pStyle w:val="FootnoteText"/>
      </w:pPr>
      <w:r>
        <w:rPr>
          <w:rStyle w:val="FootnoteReference"/>
        </w:rPr>
        <w:footnoteRef/>
      </w:r>
      <w:r>
        <w:t xml:space="preserve"> </w:t>
      </w:r>
      <w:r>
        <w:t xml:space="preserve">Guerdjikova 2024, PMID 38329147.</w:t>
      </w:r>
    </w:p>
  </w:footnote>
  <w:footnote w:id="2811">
    <w:p>
      <w:pPr>
        <w:pStyle w:val="FootnoteText"/>
      </w:pPr>
      <w:r>
        <w:rPr>
          <w:rStyle w:val="FootnoteReference"/>
        </w:rPr>
        <w:footnoteRef/>
      </w:r>
      <w:r>
        <w:t xml:space="preserve"> </w:t>
      </w:r>
      <w:r>
        <w:t xml:space="preserve">Peiper 2026, PMID 42340738.</w:t>
      </w:r>
    </w:p>
  </w:footnote>
  <w:footnote w:id="2812">
    <w:p>
      <w:pPr>
        <w:pStyle w:val="FootnoteText"/>
      </w:pPr>
      <w:r>
        <w:rPr>
          <w:rStyle w:val="FootnoteReference"/>
        </w:rPr>
        <w:footnoteRef/>
      </w:r>
      <w:r>
        <w:t xml:space="preserve"> </w:t>
      </w:r>
      <w:r>
        <w:t xml:space="preserve">Keshen 2026, PMID 42742590.</w:t>
      </w:r>
    </w:p>
  </w:footnote>
  <w:footnote w:id="2813">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Borschel 2026, PMID 42874322.</w:t>
      </w:r>
    </w:p>
  </w:footnote>
  <w:footnote w:id="2816">
    <w:p>
      <w:pPr>
        <w:pStyle w:val="FootnoteText"/>
      </w:pPr>
      <w:r>
        <w:rPr>
          <w:rStyle w:val="FootnoteReference"/>
        </w:rPr>
        <w:footnoteRef/>
      </w:r>
      <w:r>
        <w:t xml:space="preserve"> </w:t>
      </w:r>
      <w:r>
        <w:t xml:space="preserve">Barrios 2025, PMID 40551438.</w:t>
      </w:r>
    </w:p>
  </w:footnote>
  <w:footnote w:id="2817">
    <w:p>
      <w:pPr>
        <w:pStyle w:val="FootnoteText"/>
      </w:pPr>
      <w:r>
        <w:rPr>
          <w:rStyle w:val="FootnoteReference"/>
        </w:rPr>
        <w:footnoteRef/>
      </w:r>
      <w:r>
        <w:t xml:space="preserve"> </w:t>
      </w:r>
      <w:r>
        <w:t xml:space="preserve">Gajda 2019, PMID 30136411.</w:t>
      </w:r>
    </w:p>
  </w:footnote>
  <w:footnote w:id="2818">
    <w:p>
      <w:pPr>
        <w:pStyle w:val="FootnoteText"/>
      </w:pPr>
      <w:r>
        <w:rPr>
          <w:rStyle w:val="FootnoteReference"/>
        </w:rPr>
        <w:footnoteRef/>
      </w:r>
      <w:r>
        <w:t xml:space="preserve"> </w:t>
      </w:r>
      <w:r>
        <w:t xml:space="preserve">La Vignera 2026, PMID 42511463.</w:t>
      </w:r>
    </w:p>
  </w:footnote>
  <w:footnote w:id="2819">
    <w:p>
      <w:pPr>
        <w:pStyle w:val="FootnoteText"/>
      </w:pPr>
      <w:r>
        <w:rPr>
          <w:rStyle w:val="FootnoteReference"/>
        </w:rPr>
        <w:footnoteRef/>
      </w:r>
      <w:r>
        <w:t xml:space="preserve"> </w:t>
      </w:r>
      <w:r>
        <w:t xml:space="preserve">Villegas Meza 2026, PMID 42160466.</w:t>
      </w:r>
    </w:p>
  </w:footnote>
  <w:footnote w:id="2824">
    <w:p>
      <w:pPr>
        <w:pStyle w:val="FootnoteText"/>
      </w:pPr>
      <w:r>
        <w:rPr>
          <w:rStyle w:val="FootnoteReference"/>
        </w:rPr>
        <w:footnoteRef/>
      </w:r>
      <w:r>
        <w:t xml:space="preserve"> </w:t>
      </w:r>
      <w:r>
        <w:t xml:space="preserve">NCT07543458.</w:t>
      </w:r>
    </w:p>
  </w:footnote>
  <w:footnote w:id="2825">
    <w:p>
      <w:pPr>
        <w:pStyle w:val="FootnoteText"/>
      </w:pPr>
      <w:r>
        <w:rPr>
          <w:rStyle w:val="FootnoteReference"/>
        </w:rPr>
        <w:footnoteRef/>
      </w:r>
      <w:r>
        <w:t xml:space="preserve"> </w:t>
      </w:r>
      <w:r>
        <w:t xml:space="preserve">NCT04020055, NCT06904261.</w:t>
      </w:r>
    </w:p>
  </w:footnote>
  <w:footnote w:id="2827">
    <w:p>
      <w:pPr>
        <w:pStyle w:val="FootnoteText"/>
      </w:pPr>
      <w:r>
        <w:rPr>
          <w:rStyle w:val="FootnoteReference"/>
        </w:rPr>
        <w:footnoteRef/>
      </w:r>
      <w:r>
        <w:t xml:space="preserve"> </w:t>
      </w:r>
      <w:r>
        <w:t xml:space="preserve">NCT05086614.</w:t>
      </w:r>
    </w:p>
  </w:footnote>
  <w:footnote w:id="2828">
    <w:p>
      <w:pPr>
        <w:pStyle w:val="FootnoteText"/>
      </w:pPr>
      <w:r>
        <w:rPr>
          <w:rStyle w:val="FootnoteReference"/>
        </w:rPr>
        <w:footnoteRef/>
      </w:r>
      <w:r>
        <w:t xml:space="preserve"> </w:t>
      </w:r>
      <w:r>
        <w:t xml:space="preserve">NCT05555589.</w:t>
      </w:r>
    </w:p>
  </w:footnote>
  <w:footnote w:id="2829">
    <w:p>
      <w:pPr>
        <w:pStyle w:val="FootnoteText"/>
      </w:pPr>
      <w:r>
        <w:rPr>
          <w:rStyle w:val="FootnoteReference"/>
        </w:rPr>
        <w:footnoteRef/>
      </w:r>
      <w:r>
        <w:t xml:space="preserve"> </w:t>
      </w:r>
      <w:r>
        <w:t xml:space="preserve">NCT06373731.</w:t>
      </w:r>
    </w:p>
  </w:footnote>
  <w:footnote w:id="2830">
    <w:p>
      <w:pPr>
        <w:pStyle w:val="FootnoteText"/>
      </w:pPr>
      <w:r>
        <w:rPr>
          <w:rStyle w:val="FootnoteReference"/>
        </w:rPr>
        <w:footnoteRef/>
      </w:r>
      <w:r>
        <w:t xml:space="preserve"> </w:t>
      </w:r>
      <w:r>
        <w:t xml:space="preserve">NCT06109649.</w:t>
      </w:r>
    </w:p>
  </w:footnote>
  <w:footnote w:id="2831">
    <w:p>
      <w:pPr>
        <w:pStyle w:val="FootnoteText"/>
      </w:pPr>
      <w:r>
        <w:rPr>
          <w:rStyle w:val="FootnoteReference"/>
        </w:rPr>
        <w:footnoteRef/>
      </w:r>
      <w:r>
        <w:t xml:space="preserve"> </w:t>
      </w:r>
      <w:r>
        <w:t xml:space="preserve">NCT06948214.</w:t>
      </w:r>
    </w:p>
  </w:footnote>
  <w:footnote w:id="2832">
    <w:p>
      <w:pPr>
        <w:pStyle w:val="FootnoteText"/>
      </w:pPr>
      <w:r>
        <w:rPr>
          <w:rStyle w:val="FootnoteReference"/>
        </w:rPr>
        <w:footnoteRef/>
      </w:r>
      <w:r>
        <w:t xml:space="preserve"> </w:t>
      </w:r>
      <w:r>
        <w:t xml:space="preserve">NCT04903002.</w:t>
      </w:r>
    </w:p>
  </w:footnote>
  <w:footnote w:id="2833">
    <w:p>
      <w:pPr>
        <w:pStyle w:val="FootnoteText"/>
      </w:pPr>
      <w:r>
        <w:rPr>
          <w:rStyle w:val="FootnoteReference"/>
        </w:rPr>
        <w:footnoteRef/>
      </w:r>
      <w:r>
        <w:t xml:space="preserve"> </w:t>
      </w:r>
      <w:r>
        <w:t xml:space="preserve">NCT07675980.</w:t>
      </w:r>
    </w:p>
  </w:footnote>
  <w:footnote w:id="2836">
    <w:p>
      <w:pPr>
        <w:pStyle w:val="FootnoteText"/>
      </w:pPr>
      <w:r>
        <w:rPr>
          <w:rStyle w:val="FootnoteReference"/>
        </w:rPr>
        <w:footnoteRef/>
      </w:r>
      <w:r>
        <w:t xml:space="preserve"> </w:t>
      </w:r>
      <w:r>
        <w:t xml:space="preserve">NCT06662383.</w:t>
      </w:r>
    </w:p>
  </w:footnote>
  <w:footnote w:id="2837">
    <w:p>
      <w:pPr>
        <w:pStyle w:val="FootnoteText"/>
      </w:pPr>
      <w:r>
        <w:rPr>
          <w:rStyle w:val="FootnoteReference"/>
        </w:rPr>
        <w:footnoteRef/>
      </w:r>
      <w:r>
        <w:t xml:space="preserve"> </w:t>
      </w:r>
      <w:r>
        <w:t xml:space="preserve">NCT07889648.</w:t>
      </w:r>
    </w:p>
  </w:footnote>
  <w:footnote w:id="2838">
    <w:p>
      <w:pPr>
        <w:pStyle w:val="FootnoteText"/>
      </w:pPr>
      <w:r>
        <w:rPr>
          <w:rStyle w:val="FootnoteReference"/>
        </w:rPr>
        <w:footnoteRef/>
      </w:r>
      <w:r>
        <w:t xml:space="preserve"> </w:t>
      </w:r>
      <w:r>
        <w:t xml:space="preserve">NCT06780449.</w:t>
      </w:r>
    </w:p>
  </w:footnote>
  <w:footnote w:id="2839">
    <w:p>
      <w:pPr>
        <w:pStyle w:val="FootnoteText"/>
      </w:pPr>
      <w:r>
        <w:rPr>
          <w:rStyle w:val="FootnoteReference"/>
        </w:rPr>
        <w:footnoteRef/>
      </w:r>
      <w:r>
        <w:t xml:space="preserve"> </w:t>
      </w:r>
      <w:r>
        <w:t xml:space="preserve">NCT07575399.</w:t>
      </w:r>
    </w:p>
  </w:footnote>
  <w:footnote w:id="2840">
    <w:p>
      <w:pPr>
        <w:pStyle w:val="FootnoteText"/>
      </w:pPr>
      <w:r>
        <w:rPr>
          <w:rStyle w:val="FootnoteReference"/>
        </w:rPr>
        <w:footnoteRef/>
      </w:r>
      <w:r>
        <w:t xml:space="preserve"> </w:t>
      </w:r>
      <w:r>
        <w:t xml:space="preserve">NCT07845500.</w:t>
      </w:r>
    </w:p>
  </w:footnote>
  <w:footnote w:id="2841">
    <w:p>
      <w:pPr>
        <w:pStyle w:val="FootnoteText"/>
      </w:pPr>
      <w:r>
        <w:rPr>
          <w:rStyle w:val="FootnoteReference"/>
        </w:rPr>
        <w:footnoteRef/>
      </w:r>
      <w:r>
        <w:t xml:space="preserve"> </w:t>
      </w:r>
      <w:r>
        <w:t xml:space="preserve">Aronne 2024, PMID 38078870.</w:t>
      </w:r>
    </w:p>
  </w:footnote>
  <w:footnote w:id="2842">
    <w:p>
      <w:pPr>
        <w:pStyle w:val="FootnoteText"/>
      </w:pPr>
      <w:r>
        <w:rPr>
          <w:rStyle w:val="FootnoteReference"/>
        </w:rPr>
        <w:footnoteRef/>
      </w:r>
      <w:r>
        <w:t xml:space="preserve"> </w:t>
      </w:r>
      <w:r>
        <w:t xml:space="preserve">NCT06257966.</w:t>
      </w:r>
    </w:p>
  </w:footnote>
  <w:footnote w:id="2843">
    <w:p>
      <w:pPr>
        <w:pStyle w:val="FootnoteText"/>
      </w:pPr>
      <w:r>
        <w:rPr>
          <w:rStyle w:val="FootnoteReference"/>
        </w:rPr>
        <w:footnoteRef/>
      </w:r>
      <w:r>
        <w:t xml:space="preserve"> </w:t>
      </w:r>
      <w:r>
        <w:t xml:space="preserve">NCT06439277, NCT07817875.</w:t>
      </w:r>
    </w:p>
  </w:footnote>
  <w:footnote w:id="2844">
    <w:p>
      <w:pPr>
        <w:pStyle w:val="FootnoteText"/>
      </w:pPr>
      <w:r>
        <w:rPr>
          <w:rStyle w:val="FootnoteReference"/>
        </w:rPr>
        <w:footnoteRef/>
      </w:r>
      <w:r>
        <w:t xml:space="preserve"> </w:t>
      </w:r>
      <w:r>
        <w:t xml:space="preserve">NCT06672939.</w:t>
      </w:r>
    </w:p>
  </w:footnote>
  <w:footnote w:id="2846">
    <w:p>
      <w:pPr>
        <w:pStyle w:val="FootnoteText"/>
      </w:pPr>
      <w:r>
        <w:rPr>
          <w:rStyle w:val="FootnoteReference"/>
        </w:rPr>
        <w:footnoteRef/>
      </w:r>
      <w:r>
        <w:t xml:space="preserve"> </w:t>
      </w:r>
      <w:r>
        <w:t xml:space="preserve">Jastreboff 2023, PMID 37366315.</w:t>
      </w:r>
    </w:p>
  </w:footnote>
  <w:footnote w:id="2847">
    <w:p>
      <w:pPr>
        <w:pStyle w:val="FootnoteText"/>
      </w:pPr>
      <w:r>
        <w:rPr>
          <w:rStyle w:val="FootnoteReference"/>
        </w:rPr>
        <w:footnoteRef/>
      </w:r>
      <w:r>
        <w:t xml:space="preserve"> </w:t>
      </w:r>
      <w:r>
        <w:t xml:space="preserve">Jastreboff 2026, PMID 42814954.</w:t>
      </w:r>
    </w:p>
  </w:footnote>
  <w:footnote w:id="2848">
    <w:p>
      <w:pPr>
        <w:pStyle w:val="FootnoteText"/>
      </w:pPr>
      <w:r>
        <w:rPr>
          <w:rStyle w:val="FootnoteReference"/>
        </w:rPr>
        <w:footnoteRef/>
      </w:r>
      <w:r>
        <w:t xml:space="preserve"> </w:t>
      </w:r>
      <w:r>
        <w:t xml:space="preserve">NCT06383390.</w:t>
      </w:r>
    </w:p>
  </w:footnote>
  <w:footnote w:id="2850">
    <w:p>
      <w:pPr>
        <w:pStyle w:val="FootnoteText"/>
      </w:pPr>
      <w:r>
        <w:rPr>
          <w:rStyle w:val="FootnoteReference"/>
        </w:rPr>
        <w:footnoteRef/>
      </w:r>
      <w:r>
        <w:t xml:space="preserve"> </w:t>
      </w:r>
      <w:r>
        <w:t xml:space="preserve">Garvey 2025, PMID 40544433.</w:t>
      </w:r>
    </w:p>
  </w:footnote>
  <w:footnote w:id="2851">
    <w:p>
      <w:pPr>
        <w:pStyle w:val="FootnoteText"/>
      </w:pPr>
      <w:r>
        <w:rPr>
          <w:rStyle w:val="FootnoteReference"/>
        </w:rPr>
        <w:footnoteRef/>
      </w:r>
      <w:r>
        <w:t xml:space="preserve"> </w:t>
      </w:r>
      <w:r>
        <w:t xml:space="preserve">Dahl 2025, PMID 40550231.</w:t>
      </w:r>
    </w:p>
  </w:footnote>
  <w:footnote w:id="2852">
    <w:p>
      <w:pPr>
        <w:pStyle w:val="FootnoteText"/>
      </w:pPr>
      <w:r>
        <w:rPr>
          <w:rStyle w:val="FootnoteReference"/>
        </w:rPr>
        <w:footnoteRef/>
      </w:r>
      <w:r>
        <w:t xml:space="preserve"> </w:t>
      </w:r>
      <w:r>
        <w:t xml:space="preserve">Billings 2025, PMID 41207310.</w:t>
      </w:r>
    </w:p>
  </w:footnote>
  <w:footnote w:id="2853">
    <w:p>
      <w:pPr>
        <w:pStyle w:val="FootnoteText"/>
      </w:pPr>
      <w:r>
        <w:rPr>
          <w:rStyle w:val="FootnoteReference"/>
        </w:rPr>
        <w:footnoteRef/>
      </w:r>
      <w:r>
        <w:t xml:space="preserve"> </w:t>
      </w:r>
      <w:r>
        <w:t xml:space="preserve">Garvey 2026, PMID 42810355.</w:t>
      </w:r>
    </w:p>
  </w:footnote>
  <w:footnote w:id="2855">
    <w:p>
      <w:pPr>
        <w:pStyle w:val="FootnoteText"/>
      </w:pPr>
      <w:r>
        <w:rPr>
          <w:rStyle w:val="FootnoteReference"/>
        </w:rPr>
        <w:footnoteRef/>
      </w:r>
      <w:r>
        <w:t xml:space="preserve"> </w:t>
      </w:r>
      <w:r>
        <w:t xml:space="preserve">Yie 2026, PMID 42592044.</w:t>
      </w:r>
    </w:p>
  </w:footnote>
  <w:footnote w:id="2856">
    <w:p>
      <w:pPr>
        <w:pStyle w:val="FootnoteText"/>
      </w:pPr>
      <w:r>
        <w:rPr>
          <w:rStyle w:val="FootnoteReference"/>
        </w:rPr>
        <w:footnoteRef/>
      </w:r>
      <w:r>
        <w:t xml:space="preserve"> </w:t>
      </w:r>
      <w:r>
        <w:t xml:space="preserve">Jastreboff 2025, PMID 40549887.</w:t>
      </w:r>
    </w:p>
  </w:footnote>
  <w:footnote w:id="2858">
    <w:p>
      <w:pPr>
        <w:pStyle w:val="FootnoteText"/>
      </w:pPr>
      <w:r>
        <w:rPr>
          <w:rStyle w:val="FootnoteReference"/>
        </w:rPr>
        <w:footnoteRef/>
      </w:r>
      <w:r>
        <w:t xml:space="preserve"> </w:t>
      </w:r>
      <w:r>
        <w:t xml:space="preserve">Heymsfield 2021, PMID 33439265.</w:t>
      </w:r>
    </w:p>
  </w:footnote>
  <w:footnote w:id="2859">
    <w:p>
      <w:pPr>
        <w:pStyle w:val="FootnoteText"/>
      </w:pPr>
      <w:r>
        <w:rPr>
          <w:rStyle w:val="FootnoteReference"/>
        </w:rPr>
        <w:footnoteRef/>
      </w:r>
      <w:r>
        <w:t xml:space="preserve"> </w:t>
      </w:r>
      <w:r>
        <w:t xml:space="preserve">Heymsfield 2026, PMID 41772149.</w:t>
      </w:r>
    </w:p>
  </w:footnote>
  <w:footnote w:id="2860">
    <w:p>
      <w:pPr>
        <w:pStyle w:val="FootnoteText"/>
      </w:pPr>
      <w:r>
        <w:rPr>
          <w:rStyle w:val="FootnoteReference"/>
        </w:rPr>
        <w:footnoteRef/>
      </w:r>
      <w:r>
        <w:t xml:space="preserve"> </w:t>
      </w:r>
      <w:r>
        <w:t xml:space="preserve">NCT05933499.</w:t>
      </w:r>
    </w:p>
  </w:footnote>
  <w:footnote w:id="2866">
    <w:p>
      <w:pPr>
        <w:pStyle w:val="FootnoteText"/>
      </w:pPr>
      <w:r>
        <w:rPr>
          <w:rStyle w:val="FootnoteReference"/>
        </w:rPr>
        <w:footnoteRef/>
      </w:r>
      <w:r>
        <w:t xml:space="preserve"> </w:t>
      </w:r>
      <w:r>
        <w:t xml:space="preserve">Drucker 2020, PMID 31848464.</w:t>
      </w:r>
    </w:p>
  </w:footnote>
  <w:footnote w:id="2867">
    <w:p>
      <w:pPr>
        <w:pStyle w:val="FootnoteText"/>
      </w:pPr>
      <w:r>
        <w:rPr>
          <w:rStyle w:val="FootnoteReference"/>
        </w:rPr>
        <w:footnoteRef/>
      </w:r>
      <w:r>
        <w:t xml:space="preserve"> </w:t>
      </w:r>
      <w:r>
        <w:t xml:space="preserve">Vahora 2026, PMID 42687069.</w:t>
      </w:r>
    </w:p>
  </w:footnote>
  <w:footnote w:id="2869">
    <w:p>
      <w:pPr>
        <w:pStyle w:val="FootnoteText"/>
      </w:pPr>
      <w:r>
        <w:rPr>
          <w:rStyle w:val="FootnoteReference"/>
        </w:rPr>
        <w:footnoteRef/>
      </w:r>
      <w:r>
        <w:t xml:space="preserve"> </w:t>
      </w:r>
      <w:r>
        <w:t xml:space="preserve">Levi 2026, PMID 42437874.</w:t>
      </w:r>
    </w:p>
  </w:footnote>
  <w:footnote w:id="2871">
    <w:p>
      <w:pPr>
        <w:pStyle w:val="FootnoteText"/>
      </w:pPr>
      <w:r>
        <w:rPr>
          <w:rStyle w:val="FootnoteReference"/>
        </w:rPr>
        <w:footnoteRef/>
      </w:r>
      <w:r>
        <w:t xml:space="preserve"> </w:t>
      </w:r>
      <w:r>
        <w:t xml:space="preserve">McGuire 2025, PMID 40162642.</w:t>
      </w:r>
    </w:p>
  </w:footnote>
  <w:footnote w:id="2873">
    <w:p>
      <w:pPr>
        <w:pStyle w:val="FootnoteText"/>
      </w:pPr>
      <w:r>
        <w:rPr>
          <w:rStyle w:val="FootnoteReference"/>
        </w:rPr>
        <w:footnoteRef/>
      </w:r>
      <w:r>
        <w:t xml:space="preserve"> </w:t>
      </w:r>
      <w:r>
        <w:t xml:space="preserve">Mora 2026, PMID 42532079.</w:t>
      </w:r>
    </w:p>
  </w:footnote>
  <w:footnote w:id="2874">
    <w:p>
      <w:pPr>
        <w:pStyle w:val="FootnoteText"/>
      </w:pPr>
      <w:r>
        <w:rPr>
          <w:rStyle w:val="FootnoteReference"/>
        </w:rPr>
        <w:footnoteRef/>
      </w:r>
      <w:r>
        <w:t xml:space="preserve"> </w:t>
      </w:r>
      <w:r>
        <w:t xml:space="preserve">NCT07815067.</w:t>
      </w:r>
    </w:p>
  </w:footnote>
  <w:footnote w:id="2876">
    <w:p>
      <w:pPr>
        <w:pStyle w:val="FootnoteText"/>
      </w:pPr>
      <w:r>
        <w:rPr>
          <w:rStyle w:val="FootnoteReference"/>
        </w:rPr>
        <w:footnoteRef/>
      </w:r>
      <w:r>
        <w:t xml:space="preserve"> </w:t>
      </w:r>
      <w:r>
        <w:t xml:space="preserve">Johns 2023, PMID 37125593.</w:t>
      </w:r>
    </w:p>
  </w:footnote>
  <w:footnote w:id="2877">
    <w:p>
      <w:pPr>
        <w:pStyle w:val="FootnoteText"/>
      </w:pPr>
      <w:r>
        <w:rPr>
          <w:rStyle w:val="FootnoteReference"/>
        </w:rPr>
        <w:footnoteRef/>
      </w:r>
      <w:r>
        <w:t xml:space="preserve"> </w:t>
      </w:r>
      <w:r>
        <w:t xml:space="preserve">Navar 2026, PMID 41879224.</w:t>
      </w:r>
    </w:p>
  </w:footnote>
  <w:footnote w:id="2878">
    <w:p>
      <w:pPr>
        <w:pStyle w:val="FootnoteText"/>
      </w:pPr>
      <w:r>
        <w:rPr>
          <w:rStyle w:val="FootnoteReference"/>
        </w:rPr>
        <w:footnoteRef/>
      </w:r>
      <w:r>
        <w:t xml:space="preserve"> </w:t>
      </w:r>
      <w:r>
        <w:t xml:space="preserve">Bissonnette 2025, PMID 41191940.</w:t>
      </w:r>
    </w:p>
  </w:footnote>
  <w:footnote w:id="2879">
    <w:p>
      <w:pPr>
        <w:pStyle w:val="FootnoteText"/>
      </w:pPr>
      <w:r>
        <w:rPr>
          <w:rStyle w:val="FootnoteReference"/>
        </w:rPr>
        <w:footnoteRef/>
      </w:r>
      <w:r>
        <w:t xml:space="preserve"> </w:t>
      </w:r>
      <w:r>
        <w:t xml:space="preserve">Knight 2025, PMID 40629250.</w:t>
      </w:r>
    </w:p>
  </w:footnote>
  <w:footnote w:id="2882">
    <w:p>
      <w:pPr>
        <w:pStyle w:val="FootnoteText"/>
      </w:pPr>
      <w:r>
        <w:rPr>
          <w:rStyle w:val="FootnoteReference"/>
        </w:rPr>
        <w:footnoteRef/>
      </w:r>
      <w:r>
        <w:t xml:space="preserve"> </w:t>
      </w:r>
      <w:r>
        <w:t xml:space="preserve">Rosenstock 2026, PMID 41765029.</w:t>
      </w:r>
    </w:p>
  </w:footnote>
  <w:footnote w:id="2883">
    <w:p>
      <w:pPr>
        <w:pStyle w:val="FootnoteText"/>
      </w:pPr>
      <w:r>
        <w:rPr>
          <w:rStyle w:val="FootnoteReference"/>
        </w:rPr>
        <w:footnoteRef/>
      </w:r>
      <w:r>
        <w:t xml:space="preserve"> </w:t>
      </w:r>
      <w:r>
        <w:t xml:space="preserve">Wharton 2025, PMID 40960239.</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Aronne 2026, PMID 42120723.</w:t>
      </w:r>
    </w:p>
  </w:footnote>
  <w:footnote w:id="2886">
    <w:p>
      <w:pPr>
        <w:pStyle w:val="FootnoteText"/>
      </w:pPr>
      <w:r>
        <w:rPr>
          <w:rStyle w:val="FootnoteReference"/>
        </w:rPr>
        <w:footnoteRef/>
      </w:r>
      <w:r>
        <w:t xml:space="preserve"> </w:t>
      </w:r>
      <w:r>
        <w:t xml:space="preserve">Wharton 2026, PMID 42338042.</w:t>
      </w:r>
    </w:p>
  </w:footnote>
  <w:footnote w:id="2888">
    <w:p>
      <w:pPr>
        <w:pStyle w:val="FootnoteText"/>
      </w:pPr>
      <w:r>
        <w:rPr>
          <w:rStyle w:val="FootnoteReference"/>
        </w:rPr>
        <w:footnoteRef/>
      </w:r>
      <w:r>
        <w:t xml:space="preserve"> </w:t>
      </w:r>
      <w:r>
        <w:t xml:space="preserve">Buckeridge 2025, PMID 40539310.</w:t>
      </w:r>
    </w:p>
  </w:footnote>
  <w:footnote w:id="2891">
    <w:p>
      <w:pPr>
        <w:pStyle w:val="FootnoteText"/>
      </w:pPr>
      <w:r>
        <w:rPr>
          <w:rStyle w:val="FootnoteReference"/>
        </w:rPr>
        <w:footnoteRef/>
      </w:r>
      <w:r>
        <w:t xml:space="preserve"> </w:t>
      </w:r>
      <w:r>
        <w:t xml:space="preserve">Michalak 2026, PMID 42225305.</w:t>
      </w:r>
    </w:p>
  </w:footnote>
  <w:footnote w:id="2893">
    <w:p>
      <w:pPr>
        <w:pStyle w:val="FootnoteText"/>
      </w:pPr>
      <w:r>
        <w:rPr>
          <w:rStyle w:val="FootnoteReference"/>
        </w:rPr>
        <w:footnoteRef/>
      </w:r>
      <w:r>
        <w:t xml:space="preserve"> </w:t>
      </w:r>
      <w:r>
        <w:t xml:space="preserve">Vahora 2026, PMID 42687069.</w:t>
      </w:r>
    </w:p>
  </w:footnote>
  <w:footnote w:id="2894">
    <w:p>
      <w:pPr>
        <w:pStyle w:val="FootnoteText"/>
      </w:pPr>
      <w:r>
        <w:rPr>
          <w:rStyle w:val="FootnoteReference"/>
        </w:rPr>
        <w:footnoteRef/>
      </w:r>
      <w:r>
        <w:t xml:space="preserve"> </w:t>
      </w:r>
      <w:r>
        <w:t xml:space="preserve">NCT07241390.</w:t>
      </w:r>
    </w:p>
  </w:footnote>
  <w:footnote w:id="2895">
    <w:p>
      <w:pPr>
        <w:pStyle w:val="FootnoteText"/>
      </w:pPr>
      <w:r>
        <w:rPr>
          <w:rStyle w:val="FootnoteReference"/>
        </w:rPr>
        <w:footnoteRef/>
      </w:r>
      <w:r>
        <w:t xml:space="preserve"> </w:t>
      </w:r>
      <w:r>
        <w:t xml:space="preserve">Levi 2026, PMID 42437874.</w:t>
      </w:r>
    </w:p>
  </w:footnote>
  <w:footnote w:id="2896">
    <w:p>
      <w:pPr>
        <w:pStyle w:val="FootnoteText"/>
      </w:pPr>
      <w:r>
        <w:rPr>
          <w:rStyle w:val="FootnoteReference"/>
        </w:rPr>
        <w:footnoteRef/>
      </w:r>
      <w:r>
        <w:t xml:space="preserve"> </w:t>
      </w:r>
      <w:r>
        <w:t xml:space="preserve">Belcourt 2026, PMID 41689811.</w:t>
      </w:r>
    </w:p>
  </w:footnote>
  <w:footnote w:id="2897">
    <w:p>
      <w:pPr>
        <w:pStyle w:val="FootnoteText"/>
      </w:pPr>
      <w:r>
        <w:rPr>
          <w:rStyle w:val="FootnoteReference"/>
        </w:rPr>
        <w:footnoteRef/>
      </w:r>
      <w:r>
        <w:t xml:space="preserve"> </w:t>
      </w:r>
      <w:r>
        <w:t xml:space="preserve">Hach 2024, PMID 39379664.</w:t>
      </w:r>
    </w:p>
  </w:footnote>
  <w:footnote w:id="2902">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Rubino 2022, PMID 35015037.</w:t>
      </w:r>
    </w:p>
  </w:footnote>
  <w:footnote w:id="2906">
    <w:p>
      <w:pPr>
        <w:pStyle w:val="FootnoteText"/>
      </w:pPr>
      <w:r>
        <w:rPr>
          <w:rStyle w:val="FootnoteReference"/>
        </w:rPr>
        <w:footnoteRef/>
      </w:r>
      <w:r>
        <w:t xml:space="preserve"> </w:t>
      </w:r>
      <w:r>
        <w:t xml:space="preserve">Levi 2026, PMID 42437874.</w:t>
      </w:r>
    </w:p>
  </w:footnote>
  <w:footnote w:id="2907">
    <w:p>
      <w:pPr>
        <w:pStyle w:val="FootnoteText"/>
      </w:pPr>
      <w:r>
        <w:rPr>
          <w:rStyle w:val="FootnoteReference"/>
        </w:rPr>
        <w:footnoteRef/>
      </w:r>
      <w:r>
        <w:t xml:space="preserve"> </w:t>
      </w:r>
      <w:r>
        <w:t xml:space="preserve">Mohan 2026, PMID 42747945.</w:t>
      </w:r>
    </w:p>
  </w:footnote>
  <w:footnote w:id="2908">
    <w:p>
      <w:pPr>
        <w:pStyle w:val="FootnoteText"/>
      </w:pPr>
      <w:r>
        <w:rPr>
          <w:rStyle w:val="FootnoteReference"/>
        </w:rPr>
        <w:footnoteRef/>
      </w:r>
      <w:r>
        <w:t xml:space="preserve"> </w:t>
      </w:r>
      <w:r>
        <w:t xml:space="preserve">Mani 2025, PMID 41358329.</w:t>
      </w:r>
    </w:p>
  </w:footnote>
  <w:footnote w:id="2909">
    <w:p>
      <w:pPr>
        <w:pStyle w:val="FootnoteText"/>
      </w:pPr>
      <w:r>
        <w:rPr>
          <w:rStyle w:val="FootnoteReference"/>
        </w:rPr>
        <w:footnoteRef/>
      </w:r>
      <w:r>
        <w:t xml:space="preserve"> </w:t>
      </w:r>
      <w:r>
        <w:t xml:space="preserve">Celletti 2026, PMID 41324410.</w:t>
      </w:r>
    </w:p>
  </w:footnote>
  <w:footnote w:id="2912">
    <w:p>
      <w:pPr>
        <w:pStyle w:val="FootnoteText"/>
      </w:pPr>
      <w:r>
        <w:rPr>
          <w:rStyle w:val="FootnoteReference"/>
        </w:rPr>
        <w:footnoteRef/>
      </w:r>
      <w:r>
        <w:t xml:space="preserve"> </w:t>
      </w:r>
      <w:r>
        <w:t xml:space="preserve">DiStefano 2025, PMID 39776466.</w:t>
      </w:r>
    </w:p>
  </w:footnote>
  <w:footnote w:id="2913">
    <w:p>
      <w:pPr>
        <w:pStyle w:val="FootnoteText"/>
      </w:pPr>
      <w:r>
        <w:rPr>
          <w:rStyle w:val="FootnoteReference"/>
        </w:rPr>
        <w:footnoteRef/>
      </w:r>
      <w:r>
        <w:t xml:space="preserve"> </w:t>
      </w:r>
      <w:r>
        <w:t xml:space="preserve">Belcourt 2026, PMID 41689811.</w:t>
      </w:r>
    </w:p>
  </w:footnote>
  <w:footnote w:id="2914">
    <w:p>
      <w:pPr>
        <w:pStyle w:val="FootnoteText"/>
      </w:pPr>
      <w:r>
        <w:rPr>
          <w:rStyle w:val="FootnoteReference"/>
        </w:rPr>
        <w:footnoteRef/>
      </w:r>
      <w:r>
        <w:t xml:space="preserve"> </w:t>
      </w:r>
      <w:r>
        <w:t xml:space="preserve">Jordan 2026, PMID 42010938.</w:t>
      </w:r>
    </w:p>
  </w:footnote>
  <w:footnote w:id="2916">
    <w:p>
      <w:pPr>
        <w:pStyle w:val="FootnoteText"/>
      </w:pPr>
      <w:r>
        <w:rPr>
          <w:rStyle w:val="FootnoteReference"/>
        </w:rPr>
        <w:footnoteRef/>
      </w:r>
      <w:r>
        <w:t xml:space="preserve"> </w:t>
      </w:r>
      <w:r>
        <w:t xml:space="preserve">Mailhac 2024, PMID 38685990.</w:t>
      </w:r>
    </w:p>
  </w:footnote>
  <w:footnote w:id="2917">
    <w:p>
      <w:pPr>
        <w:pStyle w:val="FootnoteText"/>
      </w:pPr>
      <w:r>
        <w:rPr>
          <w:rStyle w:val="FootnoteReference"/>
        </w:rPr>
        <w:footnoteRef/>
      </w:r>
      <w:r>
        <w:t xml:space="preserve"> </w:t>
      </w:r>
      <w:r>
        <w:t xml:space="preserve">Gasoyan 2025, PMID 41039650.</w:t>
      </w:r>
    </w:p>
  </w:footnote>
  <w:footnote w:id="2919">
    <w:p>
      <w:pPr>
        <w:pStyle w:val="FootnoteText"/>
      </w:pPr>
      <w:r>
        <w:rPr>
          <w:rStyle w:val="FootnoteReference"/>
        </w:rPr>
        <w:footnoteRef/>
      </w:r>
      <w:r>
        <w:t xml:space="preserve"> </w:t>
      </w:r>
      <w:r>
        <w:t xml:space="preserve">Hwang 2025, PMID 40085108.</w:t>
      </w:r>
    </w:p>
  </w:footnote>
  <w:footnote w:id="2920">
    <w:p>
      <w:pPr>
        <w:pStyle w:val="FootnoteText"/>
      </w:pPr>
      <w:r>
        <w:rPr>
          <w:rStyle w:val="FootnoteReference"/>
        </w:rPr>
        <w:footnoteRef/>
      </w:r>
      <w:r>
        <w:t xml:space="preserve"> </w:t>
      </w:r>
      <w:r>
        <w:t xml:space="preserve">Dhippayom 2026, PMID 41365841.</w:t>
      </w:r>
    </w:p>
  </w:footnote>
  <w:footnote w:id="2921">
    <w:p>
      <w:pPr>
        <w:pStyle w:val="FootnoteText"/>
      </w:pPr>
      <w:r>
        <w:rPr>
          <w:rStyle w:val="FootnoteReference"/>
        </w:rPr>
        <w:footnoteRef/>
      </w:r>
      <w:r>
        <w:t xml:space="preserve"> </w:t>
      </w:r>
      <w:r>
        <w:t xml:space="preserve">Hennessy 2026, PMID 41637062.</w:t>
      </w:r>
    </w:p>
  </w:footnote>
  <w:footnote w:id="2922">
    <w:p>
      <w:pPr>
        <w:pStyle w:val="FootnoteText"/>
      </w:pPr>
      <w:r>
        <w:rPr>
          <w:rStyle w:val="FootnoteReference"/>
        </w:rPr>
        <w:footnoteRef/>
      </w:r>
      <w:r>
        <w:t xml:space="preserve"> </w:t>
      </w:r>
      <w:r>
        <w:t xml:space="preserve">Scannell 2026, PMID 42640207.</w:t>
      </w:r>
    </w:p>
  </w:footnote>
  <w:footnote w:id="2925">
    <w:p>
      <w:pPr>
        <w:pStyle w:val="FootnoteText"/>
      </w:pPr>
      <w:r>
        <w:rPr>
          <w:rStyle w:val="FootnoteReference"/>
        </w:rPr>
        <w:footnoteRef/>
      </w:r>
      <w:r>
        <w:t xml:space="preserve"> </w:t>
      </w:r>
      <w:r>
        <w:t xml:space="preserve">Wilding 2022, PMID 35441470.</w:t>
      </w:r>
    </w:p>
  </w:footnote>
  <w:footnote w:id="2929">
    <w:p>
      <w:pPr>
        <w:pStyle w:val="FootnoteText"/>
      </w:pPr>
      <w:r>
        <w:rPr>
          <w:rStyle w:val="FootnoteReference"/>
        </w:rPr>
        <w:footnoteRef/>
      </w:r>
      <w:r>
        <w:t xml:space="preserve"> </w:t>
      </w:r>
      <w:r>
        <w:t xml:space="preserve">Cummings 2026, PMID 41865758.</w:t>
      </w:r>
    </w:p>
  </w:footnote>
  <w:footnote w:id="2930">
    <w:p>
      <w:pPr>
        <w:pStyle w:val="FootnoteText"/>
      </w:pPr>
      <w:r>
        <w:rPr>
          <w:rStyle w:val="FootnoteReference"/>
        </w:rPr>
        <w:footnoteRef/>
      </w:r>
      <w:r>
        <w:t xml:space="preserve"> </w:t>
      </w:r>
      <w:r>
        <w:t xml:space="preserve">Vijiaratnam 2025, PMID 39919773.</w:t>
      </w:r>
    </w:p>
  </w:footnote>
  <w:footnote w:id="2931">
    <w:p>
      <w:pPr>
        <w:pStyle w:val="FootnoteText"/>
      </w:pPr>
      <w:r>
        <w:rPr>
          <w:rStyle w:val="FootnoteReference"/>
        </w:rPr>
        <w:footnoteRef/>
      </w:r>
      <w:r>
        <w:t xml:space="preserve"> </w:t>
      </w:r>
      <w:r>
        <w:t xml:space="preserve">NCT05556512.</w:t>
      </w:r>
    </w:p>
  </w:footnote>
  <w:footnote w:id="2932">
    <w:p>
      <w:pPr>
        <w:pStyle w:val="FootnoteText"/>
      </w:pPr>
      <w:r>
        <w:rPr>
          <w:rStyle w:val="FootnoteReference"/>
        </w:rPr>
        <w:footnoteRef/>
      </w:r>
      <w:r>
        <w:t xml:space="preserve"> </w:t>
      </w:r>
      <w:r>
        <w:t xml:space="preserve">NCT05669755.</w:t>
      </w:r>
    </w:p>
  </w:footnote>
  <w:footnote w:id="2933">
    <w:p>
      <w:pPr>
        <w:pStyle w:val="FootnoteText"/>
      </w:pPr>
      <w:r>
        <w:rPr>
          <w:rStyle w:val="FootnoteReference"/>
        </w:rPr>
        <w:footnoteRef/>
      </w:r>
      <w:r>
        <w:t xml:space="preserve"> </w:t>
      </w:r>
      <w:r>
        <w:t xml:space="preserve">NCT06383390.</w:t>
      </w:r>
    </w:p>
  </w:footnote>
  <w:footnote w:id="2934">
    <w:p>
      <w:pPr>
        <w:pStyle w:val="FootnoteText"/>
      </w:pPr>
      <w:r>
        <w:rPr>
          <w:rStyle w:val="FootnoteReference"/>
        </w:rPr>
        <w:footnoteRef/>
      </w:r>
      <w:r>
        <w:t xml:space="preserve"> </w:t>
      </w:r>
      <w:r>
        <w:t xml:space="preserve">NCT06632457.</w:t>
      </w:r>
    </w:p>
  </w:footnote>
  <w:footnote w:id="2935">
    <w:p>
      <w:pPr>
        <w:pStyle w:val="FootnoteText"/>
      </w:pPr>
      <w:r>
        <w:rPr>
          <w:rStyle w:val="FootnoteReference"/>
        </w:rPr>
        <w:footnoteRef/>
      </w:r>
      <w:r>
        <w:t xml:space="preserve"> </w:t>
      </w:r>
      <w:r>
        <w:t xml:space="preserve">NCT07037433, NCT07037459.</w:t>
      </w:r>
    </w:p>
  </w:footnote>
  <w:footnote w:id="2936">
    <w:p>
      <w:pPr>
        <w:pStyle w:val="FootnoteText"/>
      </w:pPr>
      <w:r>
        <w:rPr>
          <w:rStyle w:val="FootnoteReference"/>
        </w:rPr>
        <w:footnoteRef/>
      </w:r>
      <w:r>
        <w:t xml:space="preserve"> </w:t>
      </w:r>
      <w:r>
        <w:t xml:space="preserve">NCT07861100.</w:t>
      </w:r>
    </w:p>
  </w:footnote>
  <w:footnote w:id="2937">
    <w:p>
      <w:pPr>
        <w:pStyle w:val="FootnoteText"/>
      </w:pPr>
      <w:r>
        <w:rPr>
          <w:rStyle w:val="FootnoteReference"/>
        </w:rPr>
        <w:footnoteRef/>
      </w:r>
      <w:r>
        <w:t xml:space="preserve"> </w:t>
      </w:r>
      <w:r>
        <w:t xml:space="preserve">NCT07241390.</w:t>
      </w:r>
    </w:p>
  </w:footnote>
  <w:footnote w:id="2938">
    <w:p>
      <w:pPr>
        <w:pStyle w:val="FootnoteText"/>
      </w:pPr>
      <w:r>
        <w:rPr>
          <w:rStyle w:val="FootnoteReference"/>
        </w:rPr>
        <w:footnoteRef/>
      </w:r>
      <w:r>
        <w:t xml:space="preserve"> </w:t>
      </w:r>
      <w:r>
        <w:t xml:space="preserve">NCT07165028.</w:t>
      </w:r>
    </w:p>
  </w:footnote>
  <w:footnote w:id="2939">
    <w:p>
      <w:pPr>
        <w:pStyle w:val="FootnoteText"/>
      </w:pPr>
      <w:r>
        <w:rPr>
          <w:rStyle w:val="FootnoteReference"/>
        </w:rPr>
        <w:footnoteRef/>
      </w:r>
      <w:r>
        <w:t xml:space="preserve"> </w:t>
      </w:r>
      <w:r>
        <w:t xml:space="preserve">Levi 2026, PMID 42437874.</w:t>
      </w:r>
    </w:p>
  </w:footnote>
  <w:footnote w:id="2941">
    <w:p>
      <w:pPr>
        <w:pStyle w:val="FootnoteText"/>
      </w:pPr>
      <w:r>
        <w:rPr>
          <w:rStyle w:val="FootnoteReference"/>
        </w:rPr>
        <w:footnoteRef/>
      </w:r>
      <w:r>
        <w:t xml:space="preserve"> </w:t>
      </w:r>
      <w:r>
        <w:t xml:space="preserve">NCT05086614.</w:t>
      </w:r>
    </w:p>
  </w:footnote>
  <w:footnote w:id="2942">
    <w:p>
      <w:pPr>
        <w:pStyle w:val="FootnoteText"/>
      </w:pPr>
      <w:r>
        <w:rPr>
          <w:rStyle w:val="FootnoteReference"/>
        </w:rPr>
        <w:footnoteRef/>
      </w:r>
      <w:r>
        <w:t xml:space="preserve"> </w:t>
      </w:r>
      <w:r>
        <w:t xml:space="preserve">NCT05555589.</w:t>
      </w:r>
    </w:p>
  </w:footnote>
  <w:footnote w:id="2944">
    <w:p>
      <w:pPr>
        <w:pStyle w:val="FootnoteText"/>
      </w:pPr>
      <w:r>
        <w:rPr>
          <w:rStyle w:val="FootnoteReference"/>
        </w:rPr>
        <w:footnoteRef/>
      </w:r>
      <w:r>
        <w:t xml:space="preserve"> </w:t>
      </w:r>
      <w:r>
        <w:t xml:space="preserve">NCT00903110.</w:t>
      </w:r>
    </w:p>
  </w:footnote>
  <w:footnote w:id="2946">
    <w:p>
      <w:pPr>
        <w:pStyle w:val="FootnoteText"/>
      </w:pPr>
      <w:r>
        <w:rPr>
          <w:rStyle w:val="FootnoteReference"/>
        </w:rPr>
        <w:footnoteRef/>
      </w:r>
      <w:r>
        <w:t xml:space="preserve"> </w:t>
      </w:r>
      <w:r>
        <w:t xml:space="preserve">NCT06373731.</w:t>
      </w:r>
    </w:p>
  </w:footnote>
  <w:footnote w:id="2947">
    <w:p>
      <w:pPr>
        <w:pStyle w:val="FootnoteText"/>
      </w:pPr>
      <w:r>
        <w:rPr>
          <w:rStyle w:val="FootnoteReference"/>
        </w:rPr>
        <w:footnoteRef/>
      </w:r>
      <w:r>
        <w:t xml:space="preserve"> </w:t>
      </w:r>
      <w:r>
        <w:t xml:space="preserve">NCT05755997.</w:t>
      </w:r>
    </w:p>
  </w:footnote>
  <w:footnote w:id="2948">
    <w:p>
      <w:pPr>
        <w:pStyle w:val="FootnoteText"/>
      </w:pPr>
      <w:r>
        <w:rPr>
          <w:rStyle w:val="FootnoteReference"/>
        </w:rPr>
        <w:footnoteRef/>
      </w:r>
      <w:r>
        <w:t xml:space="preserve"> </w:t>
      </w:r>
      <w:r>
        <w:t xml:space="preserve">NCT07888595.</w:t>
      </w:r>
    </w:p>
  </w:footnote>
  <w:footnote w:id="2950">
    <w:p>
      <w:pPr>
        <w:pStyle w:val="FootnoteText"/>
      </w:pPr>
      <w:r>
        <w:rPr>
          <w:rStyle w:val="FootnoteReference"/>
        </w:rPr>
        <w:footnoteRef/>
      </w:r>
      <w:r>
        <w:t xml:space="preserve"> </w:t>
      </w:r>
      <w:r>
        <w:t xml:space="preserve">NCT06109649.</w:t>
      </w:r>
    </w:p>
  </w:footnote>
  <w:footnote w:id="2953">
    <w:p>
      <w:pPr>
        <w:pStyle w:val="FootnoteText"/>
      </w:pPr>
      <w:r>
        <w:rPr>
          <w:rStyle w:val="FootnoteReference"/>
        </w:rPr>
        <w:footnoteRef/>
      </w:r>
      <w:r>
        <w:t xml:space="preserve"> </w:t>
      </w:r>
      <w:r>
        <w:t xml:space="preserve">Celletti 2026, PMID 41324410.</w:t>
      </w:r>
    </w:p>
  </w:footnote>
  <w:footnote w:id="2955">
    <w:p>
      <w:pPr>
        <w:pStyle w:val="FootnoteText"/>
      </w:pPr>
      <w:r>
        <w:rPr>
          <w:rStyle w:val="FootnoteReference"/>
        </w:rPr>
        <w:footnoteRef/>
      </w:r>
      <w:r>
        <w:t xml:space="preserve"> </w:t>
      </w:r>
      <w:r>
        <w:t xml:space="preserve">Wilding 2022, PMID 35441470.</w:t>
      </w:r>
    </w:p>
  </w:footnote>
  <w:footnote w:id="2956">
    <w:p>
      <w:pPr>
        <w:pStyle w:val="FootnoteText"/>
      </w:pPr>
      <w:r>
        <w:rPr>
          <w:rStyle w:val="FootnoteReference"/>
        </w:rPr>
        <w:footnoteRef/>
      </w:r>
      <w:r>
        <w:t xml:space="preserve"> </w:t>
      </w:r>
      <w:r>
        <w:t xml:space="preserve">Aronne 2024, PMID 38078870.</w:t>
      </w:r>
    </w:p>
  </w:footnote>
  <w:footnote w:id="2957">
    <w:p>
      <w:pPr>
        <w:pStyle w:val="FootnoteText"/>
      </w:pPr>
      <w:r>
        <w:rPr>
          <w:rStyle w:val="FootnoteReference"/>
        </w:rPr>
        <w:footnoteRef/>
      </w:r>
      <w:r>
        <w:t xml:space="preserve"> </w:t>
      </w:r>
      <w:r>
        <w:t xml:space="preserve">Aronne 2026, PMID 42120723.</w:t>
      </w:r>
    </w:p>
  </w:footnote>
  <w:footnote w:id="2958">
    <w:p>
      <w:pPr>
        <w:pStyle w:val="FootnoteText"/>
      </w:pPr>
      <w:r>
        <w:rPr>
          <w:rStyle w:val="FootnoteReference"/>
        </w:rPr>
        <w:footnoteRef/>
      </w:r>
      <w:r>
        <w:t xml:space="preserve"> </w:t>
      </w:r>
      <w:r>
        <w:t xml:space="preserve">Cengiz 2025, PMID 39950222.</w:t>
      </w:r>
    </w:p>
  </w:footnote>
  <w:footnote w:id="2960">
    <w:p>
      <w:pPr>
        <w:pStyle w:val="FootnoteText"/>
      </w:pPr>
      <w:r>
        <w:rPr>
          <w:rStyle w:val="FootnoteReference"/>
        </w:rPr>
        <w:footnoteRef/>
      </w:r>
      <w:r>
        <w:t xml:space="preserve"> </w:t>
      </w:r>
      <w:r>
        <w:t xml:space="preserve">Celletti 2026, PMID 41324410.</w:t>
      </w:r>
    </w:p>
  </w:footnote>
  <w:footnote w:id="2962">
    <w:p>
      <w:pPr>
        <w:pStyle w:val="FootnoteText"/>
      </w:pPr>
      <w:r>
        <w:rPr>
          <w:rStyle w:val="FootnoteReference"/>
        </w:rPr>
        <w:footnoteRef/>
      </w:r>
      <w:r>
        <w:t xml:space="preserve"> </w:t>
      </w:r>
      <w:r>
        <w:t xml:space="preserve">Rubin 2026, PMID 42853576.</w:t>
      </w:r>
    </w:p>
  </w:footnote>
  <w:footnote w:id="2963">
    <w:p>
      <w:pPr>
        <w:pStyle w:val="FootnoteText"/>
      </w:pPr>
      <w:r>
        <w:rPr>
          <w:rStyle w:val="FootnoteReference"/>
        </w:rPr>
        <w:footnoteRef/>
      </w:r>
      <w:r>
        <w:t xml:space="preserve"> </w:t>
      </w:r>
      <w:r>
        <w:t xml:space="preserve">Belcourt 2026, PMID 41689811.</w:t>
      </w:r>
    </w:p>
  </w:footnote>
  <w:footnote w:id="2964">
    <w:p>
      <w:pPr>
        <w:pStyle w:val="FootnoteText"/>
      </w:pPr>
      <w:r>
        <w:rPr>
          <w:rStyle w:val="FootnoteReference"/>
        </w:rPr>
        <w:footnoteRef/>
      </w:r>
      <w:r>
        <w:t xml:space="preserve"> </w:t>
      </w:r>
      <w:r>
        <w:t xml:space="preserve">Willis 2026, PMID 42752426.</w:t>
      </w:r>
    </w:p>
  </w:footnote>
  <w:footnote w:id="2966">
    <w:p>
      <w:pPr>
        <w:pStyle w:val="FootnoteText"/>
      </w:pPr>
      <w:r>
        <w:rPr>
          <w:rStyle w:val="FootnoteReference"/>
        </w:rPr>
        <w:footnoteRef/>
      </w:r>
      <w:r>
        <w:t xml:space="preserve"> </w:t>
      </w:r>
      <w:r>
        <w:t xml:space="preserve">Wei 2025, PMID 40787887.</w:t>
      </w:r>
    </w:p>
  </w:footnote>
  <w:footnote w:id="2967">
    <w:p>
      <w:pPr>
        <w:pStyle w:val="FootnoteText"/>
      </w:pPr>
      <w:r>
        <w:rPr>
          <w:rStyle w:val="FootnoteReference"/>
        </w:rPr>
        <w:footnoteRef/>
      </w:r>
      <w:r>
        <w:t xml:space="preserve"> </w:t>
      </w:r>
      <w:r>
        <w:t xml:space="preserve">Rettie 2025, PMID 40542165.</w:t>
      </w:r>
    </w:p>
  </w:footnote>
  <w:footnote w:id="2968">
    <w:p>
      <w:pPr>
        <w:pStyle w:val="FootnoteText"/>
      </w:pPr>
      <w:r>
        <w:rPr>
          <w:rStyle w:val="FootnoteReference"/>
        </w:rPr>
        <w:footnoteRef/>
      </w:r>
      <w:r>
        <w:t xml:space="preserve"> </w:t>
      </w:r>
      <w:r>
        <w:t xml:space="preserve">Wang 2025, PMID 39825096.</w:t>
      </w:r>
    </w:p>
  </w:footnote>
  <w:footnote w:id="2969">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peptídeos, da semaglutida ao BPC-157: o que os estudos em humanos realmente mostram, quais riscos são conhecidos, qual é a situação legal e para onde caminha a pesquisa.</dc:description>
  <dc:language>pt-BR</dc:language>
  <dc:subject/>
  <cp:keywords/>
  <dcterms:created xsi:type="dcterms:W3CDTF">2026-10-30T18:48:03Z</dcterms:created>
  <dcterms:modified xsi:type="dcterms:W3CDTF">2026-10-30T18:48:03Z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os direitos reservados.</vt:lpwstr>
  </property>
  <property fmtid="{D5CDD505-2E9C-101B-9397-08002B2CF9AE}" pid="5" name="toc-title">
    <vt:lpwstr>Sumário</vt:lpwstr>
  </property>
</Properties>
</file>