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Inhalt</w:t>
          </w:r>
        </w:p>
        <w:p>
          <w:r>
            <w:fldChar w:fldCharType="begin" w:dirty="true"/>
            <w:instrText xml:space="preserve">TOC \o "1-2" \h \z \u</w:instrText>
            <w:fldChar w:fldCharType="separate"/>
            <w:fldChar w:fldCharType="end"/>
          </w:r>
        </w:p>
      </w:sdtContent>
    </w:sdt>
    <w:bookmarkStart w:id="26" w:name="wichtiger-hinweis"/>
    <w:p>
      <w:pPr>
        <w:pStyle w:val="Heading1"/>
      </w:pPr>
      <w:r>
        <w:t xml:space="preserve">Wichtiger Hinweis</w:t>
      </w:r>
    </w:p>
    <w:bookmarkStart w:id="20" w:name="kein-ersatz-für-ärztlichen-rat"/>
    <w:p>
      <w:pPr>
        <w:pStyle w:val="Heading3"/>
      </w:pPr>
      <w:r>
        <w:t xml:space="preserve">Kein Ersatz für ärztlichen Rat</w:t>
      </w:r>
    </w:p>
    <w:p>
      <w:pPr>
        <w:pStyle w:val="FirstParagraph"/>
      </w:pPr>
      <w:r>
        <w:t xml:space="preserve">Dieses Buch dient ausschließlich der allgemeinen Information und Bildung. Es ersetzt keine ärztliche Beratung, Diagnose oder Behandlung. Bevor Sie Entscheidungen über Ihre Gesundheit treffen, ein Arzneimittel beginnen, absetzen oder verändern, sprechen Sie bitte mit einer Ärztin, einem Arzt oder einer Apothekerin beziehungsweise einem Apotheker. Bei akuten Beschwerden wenden Sie sich an den ärztlichen Notdienst oder rufen Sie den Notruf.</w:t>
      </w:r>
    </w:p>
    <w:bookmarkEnd w:id="20"/>
    <w:bookmarkStart w:id="21" w:name="keine-anwendungsempfehlungen"/>
    <w:p>
      <w:pPr>
        <w:pStyle w:val="Heading3"/>
      </w:pPr>
      <w:r>
        <w:t xml:space="preserve">Keine Anwendungsempfehlungen</w:t>
      </w:r>
    </w:p>
    <w:p>
      <w:pPr>
        <w:pStyle w:val="FirstParagraph"/>
      </w:pPr>
      <w:r>
        <w:t xml:space="preserve">Dieses Buch enthält bewusst keine Empfehlungen zur Anwendung von Peptiden, keine Dosierungen, Einnahme- oder Injektionsanleitungen, keine Anwendungszyklen und keine Kombinationsempfehlungen. Wenn im Text eine Dosis genannt wird, beschreibt sie ausschließlich, was in einer bestimmten Studie untersucht wurde. Sie ist keine Empfehlung und lässt sich nicht auf Ihre persönliche Situation übertragen. Für zugelassene Arzneimittel sind die Fachinformation, die Gebrauchsinformation und die ärztliche Begleitung maßgeblich.</w:t>
      </w:r>
    </w:p>
    <w:bookmarkEnd w:id="21"/>
    <w:bookmarkStart w:id="22" w:name="viele-stoffe-sind-nicht-zugelassen"/>
    <w:p>
      <w:pPr>
        <w:pStyle w:val="Heading3"/>
      </w:pPr>
      <w:r>
        <w:t xml:space="preserve">Viele Stoffe sind nicht zugelassen</w:t>
      </w:r>
    </w:p>
    <w:p>
      <w:pPr>
        <w:pStyle w:val="FirstParagraph"/>
      </w:pPr>
      <w:r>
        <w:t xml:space="preserve">Zahlreiche der in diesem Buch beschriebenen Peptide sind in der Europäischen Union, in Österreich, in Deutschland und in den USA</w:t>
      </w:r>
      <w:r>
        <w:t xml:space="preserve"> </w:t>
      </w:r>
      <w:r>
        <w:rPr>
          <w:bCs/>
          <w:b/>
        </w:rPr>
        <w:t xml:space="preserve">nicht</w:t>
      </w:r>
      <w:r>
        <w:t xml:space="preserve"> </w:t>
      </w:r>
      <w:r>
        <w:t xml:space="preserve">als Arzneimittel zugelassen. Für viele liegen nur Tier- oder Laborstudien vor. Die Darstellung solcher Stoffe in diesem Buch ist keine Aussage über ihre Wirksamkeit oder Sicherheit beim Menschen und keine Aufforderung, sie zu verwenden. Produkte, die im Internet als „Research Peptides“ oder „nur für Forschungszwecke“ angeboten werden, können falsch dosiert, verunreinigt oder gefälscht sein. Ihre Anwendung kann erhebliche gesundheitliche und rechtliche Folgen haben.</w:t>
      </w:r>
    </w:p>
    <w:bookmarkEnd w:id="22"/>
    <w:bookmarkStart w:id="23" w:name="doping"/>
    <w:p>
      <w:pPr>
        <w:pStyle w:val="Heading3"/>
      </w:pPr>
      <w:r>
        <w:t xml:space="preserve">Doping</w:t>
      </w:r>
    </w:p>
    <w:p>
      <w:pPr>
        <w:pStyle w:val="FirstParagraph"/>
      </w:pPr>
      <w:r>
        <w:t xml:space="preserve">Viele der beschriebenen Peptide stehen auf der Verbotsliste der Welt-Anti-Doping-Agentur (WADA). Ihre Anwendung kann für Sportlerinnen und Sportler, die Dopingkontrollen unterliegen, zu Sperren führen. In Österreich und Deutschland können Handel, Weitergabe und in bestimmten Fällen auch Besitz von Dopingmitteln strafbar sein.</w:t>
      </w:r>
    </w:p>
    <w:bookmarkEnd w:id="23"/>
    <w:bookmarkStart w:id="24" w:name="stand-und-gewähr"/>
    <w:p>
      <w:pPr>
        <w:pStyle w:val="Heading3"/>
      </w:pPr>
      <w:r>
        <w:t xml:space="preserve">Stand und Gewähr</w:t>
      </w:r>
    </w:p>
    <w:p>
      <w:pPr>
        <w:pStyle w:val="FirstParagraph"/>
      </w:pPr>
      <w:r>
        <w:t xml:space="preserve">Die Informationen in diesem Buch entsprechen dem</w:t>
      </w:r>
      <w:r>
        <w:t xml:space="preserve"> </w:t>
      </w:r>
      <w:r>
        <w:rPr>
          <w:bCs/>
          <w:b/>
        </w:rPr>
        <w:t xml:space="preserve">Stand November 2026</w:t>
      </w:r>
      <w:r>
        <w:t xml:space="preserve">. Die Recherche in den Datenbanken erfolgte im Oktober 2026. Medizinisches Wissen, Zulassungen, Gesetze und die Anti-Doping-Bestimmungen ändern sich laufend. Alle Angaben wurden nach bestem Wissen und mit großer Sorgfalt zusammengestellt, erfolgen jedoch ohne Gewähr für Richtigkeit, Vollständigkeit und Aktualität. Eine Haftung des Autors für Schäden, die aus der Verwendung der Informationen in diesem Buch entstehen, ist ausgeschlossen, soweit dies gesetzlich zulässig ist. Die Darstellung der Rechtslage ist keine Rechtsberatung.</w:t>
      </w:r>
    </w:p>
    <w:bookmarkEnd w:id="24"/>
    <w:bookmarkStart w:id="25" w:name="X6e153905c09f8eca556282a3361945d81fb6db5"/>
    <w:p>
      <w:pPr>
        <w:pStyle w:val="Heading3"/>
      </w:pPr>
      <w:r>
        <w:t xml:space="preserve">Transparenz: Wie dieses Buch entstanden ist</w:t>
      </w:r>
    </w:p>
    <w:p>
      <w:pPr>
        <w:pStyle w:val="FirstParagraph"/>
      </w:pPr>
      <w:r>
        <w:t xml:space="preserve">Dieses Buch wurde mit Unterstützung von Künstlicher Intelligenz (KI) recherchiert und verfasst und anschließend vom Autor überarbeitet. Die KI wurde eingesetzt, um Studien in den Datenbanken PubMed und ClinicalTrials.gov zu suchen, Zusammenfassungen von Studien auszuwerten und Textentwürfe zu erstellen.</w:t>
      </w:r>
    </w:p>
    <w:p>
      <w:pPr>
        <w:pStyle w:val="BodyText"/>
      </w:pPr>
      <w:r>
        <w:t xml:space="preserve">Um Fehler zu vermeiden, gelten strenge Regeln: Jede genannte Studie ist mit ihrer PubMed-Nummer (PMID) oder ihrer Registernummer bei ClinicalTrials.gov (NCT-Nummer) angegeben. Jede Zahl stammt aus der Zusammenfassung der jeweiligen Veröffentlichung oder aus dem Registereintrag. Alle zitierten Nummern wurden zusätzlich automatisch gegen die Datenbanken geprüft. Sie können damit jede Quelle selbst nachschlagen und die Angaben überprüfen. Wie das geht, steht im folgenden Abschnitt; Einzelheiten zur Recherche finden Sie im Anhang „Methodik“.</w:t>
      </w:r>
    </w:p>
    <w:bookmarkEnd w:id="25"/>
    <w:bookmarkEnd w:id="26"/>
    <w:bookmarkStart w:id="35" w:name="über-dieses-buch"/>
    <w:p>
      <w:pPr>
        <w:pStyle w:val="Heading1"/>
      </w:pPr>
      <w:r>
        <w:t xml:space="preserve">Über dieses Buch</w:t>
      </w:r>
    </w:p>
    <w:bookmarkStart w:id="27" w:name="wofür-dieses-buch-da-ist"/>
    <w:p>
      <w:pPr>
        <w:pStyle w:val="Heading3"/>
      </w:pPr>
      <w:r>
        <w:t xml:space="preserve">Wofür dieses Buch da ist</w:t>
      </w:r>
    </w:p>
    <w:p>
      <w:pPr>
        <w:pStyle w:val="FirstParagraph"/>
      </w:pPr>
      <w:r>
        <w:t xml:space="preserve">Peptide sind in aller Munde. Abnehmspritzen wie Semaglutid und Tirzepatid haben die Behandlung von Übergewicht verändert, und im Internet werden Dutzende weitere Peptide angeboten – für schnellere Heilung, mehr Muskeln, bessere Haut, mehr Energie oder ein längeres Leben. Zwischen den Versprechen in Foren, sozialen Medien und Online-Shops und dem, was tatsächlich am Menschen untersucht wurde, klafft oft eine große Lücke.</w:t>
      </w:r>
    </w:p>
    <w:p>
      <w:pPr>
        <w:pStyle w:val="BodyText"/>
      </w:pPr>
      <w:r>
        <w:t xml:space="preserve">Dieses Buch will diese Lücke sichtbar machen. Es stellt für jedes behandelte Peptid nüchtern dar, welche Studien am Menschen es gibt, was sie zeigen und was nicht, welche Risiken bekannt sind und wie die Rechtslage aussieht. Es vergleicht die Peptide miteinander und ordnet ein, wie belastbar die Belege jeweils sind. Es soll Ihnen helfen, Behauptungen kritisch zu prüfen und informierte Gespräche mit Ärztinnen, Ärzten und Apotheken zu führen.</w:t>
      </w:r>
    </w:p>
    <w:bookmarkEnd w:id="27"/>
    <w:bookmarkStart w:id="28" w:name="für-wen-dieses-buch-geschrieben-ist"/>
    <w:p>
      <w:pPr>
        <w:pStyle w:val="Heading3"/>
      </w:pPr>
      <w:r>
        <w:t xml:space="preserve">Für wen dieses Buch geschrieben ist</w:t>
      </w:r>
    </w:p>
    <w:p>
      <w:pPr>
        <w:numPr>
          <w:ilvl w:val="0"/>
          <w:numId w:val="1001"/>
        </w:numPr>
        <w:pStyle w:val="Compact"/>
      </w:pPr>
      <w:r>
        <w:t xml:space="preserve">Für</w:t>
      </w:r>
      <w:r>
        <w:t xml:space="preserve"> </w:t>
      </w:r>
      <w:r>
        <w:rPr>
          <w:bCs/>
          <w:b/>
        </w:rPr>
        <w:t xml:space="preserve">interessierte Laien</w:t>
      </w:r>
      <w:r>
        <w:t xml:space="preserve">, die wissen möchten, was hinter dem Peptid-Boom steckt.</w:t>
      </w:r>
    </w:p>
    <w:p>
      <w:pPr>
        <w:numPr>
          <w:ilvl w:val="0"/>
          <w:numId w:val="1001"/>
        </w:numPr>
        <w:pStyle w:val="Compact"/>
      </w:pPr>
      <w:r>
        <w:t xml:space="preserve">Für Menschen, die ein</w:t>
      </w:r>
      <w:r>
        <w:t xml:space="preserve"> </w:t>
      </w:r>
      <w:r>
        <w:rPr>
          <w:bCs/>
          <w:b/>
        </w:rPr>
        <w:t xml:space="preserve">zugelassenes Peptid-Medikament</w:t>
      </w:r>
      <w:r>
        <w:t xml:space="preserve"> </w:t>
      </w:r>
      <w:r>
        <w:t xml:space="preserve">verschrieben bekommen haben oder darüber nachdenken und die Studienlage verstehen möchten.</w:t>
      </w:r>
    </w:p>
    <w:p>
      <w:pPr>
        <w:numPr>
          <w:ilvl w:val="0"/>
          <w:numId w:val="1001"/>
        </w:numPr>
        <w:pStyle w:val="Compact"/>
      </w:pPr>
      <w:r>
        <w:t xml:space="preserve">Für</w:t>
      </w:r>
      <w:r>
        <w:t xml:space="preserve"> </w:t>
      </w:r>
      <w:r>
        <w:rPr>
          <w:bCs/>
          <w:b/>
        </w:rPr>
        <w:t xml:space="preserve">Sportlerinnen und Sportler</w:t>
      </w:r>
      <w:r>
        <w:t xml:space="preserve">, Trainerinnen und Trainer, die Werbeversprechen und Dopingrisiken einschätzen wollen.</w:t>
      </w:r>
    </w:p>
    <w:p>
      <w:pPr>
        <w:numPr>
          <w:ilvl w:val="0"/>
          <w:numId w:val="1001"/>
        </w:numPr>
        <w:pStyle w:val="Compact"/>
      </w:pPr>
      <w:r>
        <w:t xml:space="preserve">Für</w:t>
      </w:r>
      <w:r>
        <w:t xml:space="preserve"> </w:t>
      </w:r>
      <w:r>
        <w:rPr>
          <w:bCs/>
          <w:b/>
        </w:rPr>
        <w:t xml:space="preserve">Fachleute</w:t>
      </w:r>
      <w:r>
        <w:t xml:space="preserve"> </w:t>
      </w:r>
      <w:r>
        <w:t xml:space="preserve">aus Pharmazie, Medizin, Ernährungsberatung, Kosmetik und Journalismus, die einen schnellen, quellengestützten Überblick suchen.</w:t>
      </w:r>
    </w:p>
    <w:p>
      <w:pPr>
        <w:pStyle w:val="FirstParagraph"/>
      </w:pPr>
      <w:r>
        <w:t xml:space="preserve">Vorkenntnisse sind nicht nötig. Fachbegriffe werden beim ersten Auftreten erklärt und finden sich zusätzlich im Glossar.</w:t>
      </w:r>
    </w:p>
    <w:bookmarkEnd w:id="28"/>
    <w:bookmarkStart w:id="29" w:name="wie-das-buch-aufgebaut-ist"/>
    <w:p>
      <w:pPr>
        <w:pStyle w:val="Heading3"/>
      </w:pPr>
      <w:r>
        <w:t xml:space="preserve">Wie das Buch aufgebaut ist</w:t>
      </w:r>
    </w:p>
    <w:p>
      <w:pPr>
        <w:pStyle w:val="FirstParagraph"/>
      </w:pPr>
      <w:r>
        <w:rPr>
          <w:bCs/>
          <w:b/>
        </w:rPr>
        <w:t xml:space="preserve">Teil I – Grundlagen</w:t>
      </w:r>
      <w:r>
        <w:t xml:space="preserve"> </w:t>
      </w:r>
      <w:r>
        <w:t xml:space="preserve">erklärt, was Peptide sind, wie sich die Peptidmedizin entwickelt hat, wie Peptide in den Körper gelangen, wie man Studien liest, was auf dem Graumarkt passiert und welcher rechtliche Rahmen gilt. Wer mit diesen Themen nicht vertraut ist, sollte hier beginnen.</w:t>
      </w:r>
    </w:p>
    <w:p>
      <w:pPr>
        <w:pStyle w:val="BodyText"/>
      </w:pPr>
      <w:r>
        <w:rPr>
          <w:bCs/>
          <w:b/>
        </w:rPr>
        <w:t xml:space="preserve">Teil II – Die Peptide</w:t>
      </w:r>
      <w:r>
        <w:t xml:space="preserve"> </w:t>
      </w:r>
      <w:r>
        <w:t xml:space="preserve">stellt die einzelnen Wirkstoffe in sechs Gruppen vor: Stoffwechsel und Gewicht; Heilung, Regeneration und Immunsystem; Wachstumshormon-Achse; Gehirn, Schlaf und Langlebigkeit; Hormone, Sexualität und Pigmentierung; Kollagen, Ernährung und Kosmetik. Jedes Kapitel folgt demselben Aufbau: Steckbrief, Wirkprinzip, Studien am Menschen, Tier- und Laborstudien, Risiken und Nebenwirkungen, Rechtslage, laufende Studien und Ausblick, Fazit. So können Sie Peptide leicht miteinander vergleichen und gezielt nachschlagen.</w:t>
      </w:r>
    </w:p>
    <w:p>
      <w:pPr>
        <w:pStyle w:val="BodyText"/>
      </w:pPr>
      <w:r>
        <w:rPr>
          <w:bCs/>
          <w:b/>
        </w:rPr>
        <w:t xml:space="preserve">Teil III – Der große Vergleich</w:t>
      </w:r>
      <w:r>
        <w:t xml:space="preserve"> </w:t>
      </w:r>
      <w:r>
        <w:t xml:space="preserve">stellt alle Peptide nebeneinander und vergleicht die GLP-1-Medikamente direkt.</w:t>
      </w:r>
    </w:p>
    <w:p>
      <w:pPr>
        <w:pStyle w:val="BodyText"/>
      </w:pPr>
      <w:r>
        <w:rPr>
          <w:bCs/>
          <w:b/>
        </w:rPr>
        <w:t xml:space="preserve">Teil IV – Risiken</w:t>
      </w:r>
      <w:r>
        <w:t xml:space="preserve"> </w:t>
      </w:r>
      <w:r>
        <w:t xml:space="preserve">fasst Nebenwirkungen, Krebs- und Immunrisiken, Probleme von Graumarkt-Produkten und besondere Risikogruppen zusammen.</w:t>
      </w:r>
    </w:p>
    <w:p>
      <w:pPr>
        <w:pStyle w:val="BodyText"/>
      </w:pPr>
      <w:r>
        <w:rPr>
          <w:bCs/>
          <w:b/>
        </w:rPr>
        <w:t xml:space="preserve">Teil V – Zukunft</w:t>
      </w:r>
      <w:r>
        <w:t xml:space="preserve"> </w:t>
      </w:r>
      <w:r>
        <w:t xml:space="preserve">blickt auf die Entwicklungspipeline, neue Darreichungsformen, Patentabläufe und Preise. Gesicherte Fakten und Einschätzungen werden dabei klar getrennt.</w:t>
      </w:r>
    </w:p>
    <w:p>
      <w:pPr>
        <w:pStyle w:val="BodyText"/>
      </w:pPr>
      <w:r>
        <w:t xml:space="preserve">Im</w:t>
      </w:r>
      <w:r>
        <w:t xml:space="preserve"> </w:t>
      </w:r>
      <w:r>
        <w:rPr>
          <w:bCs/>
          <w:b/>
        </w:rPr>
        <w:t xml:space="preserve">Anhang</w:t>
      </w:r>
      <w:r>
        <w:t xml:space="preserve"> </w:t>
      </w:r>
      <w:r>
        <w:t xml:space="preserve">finden Sie das Glossar, die Methodik der Recherche und das Verzeichnis der ausgewerteten Studien.</w:t>
      </w:r>
    </w:p>
    <w:bookmarkEnd w:id="29"/>
    <w:bookmarkStart w:id="30" w:name="die-evidenzstufen"/>
    <w:p>
      <w:pPr>
        <w:pStyle w:val="Heading3"/>
      </w:pPr>
      <w:r>
        <w:t xml:space="preserve">Die Evidenzstufen</w:t>
      </w:r>
    </w:p>
    <w:p>
      <w:pPr>
        <w:pStyle w:val="FirstParagraph"/>
      </w:pPr>
      <w:r>
        <w:t xml:space="preserve">Jedes Peptid erhält im Steckbrief eine Evidenzstufe. Sie beschreibt, wie gut die Datenlage</w:t>
      </w:r>
      <w:r>
        <w:t xml:space="preserve"> </w:t>
      </w:r>
      <w:r>
        <w:rPr>
          <w:bCs/>
          <w:b/>
        </w:rPr>
        <w:t xml:space="preserve">am Menschen</w:t>
      </w:r>
      <w:r>
        <w:t xml:space="preserve"> </w:t>
      </w:r>
      <w:r>
        <w:t xml:space="preserve">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Stufe</w:t>
            </w:r>
          </w:p>
        </w:tc>
        <w:tc>
          <w:tcPr/>
          <w:p>
            <w:pPr>
              <w:pStyle w:val="Compact"/>
              <w:jc w:val="left"/>
            </w:pPr>
            <w:r>
              <w:t xml:space="preserve">Bedeutung</w:t>
            </w:r>
          </w:p>
        </w:tc>
      </w:tr>
      <w:tr>
        <w:tc>
          <w:tcPr/>
          <w:p>
            <w:pPr>
              <w:pStyle w:val="Compact"/>
              <w:jc w:val="left"/>
            </w:pPr>
            <w:r>
              <w:t xml:space="preserve">A</w:t>
            </w:r>
          </w:p>
        </w:tc>
        <w:tc>
          <w:tcPr/>
          <w:p>
            <w:pPr>
              <w:pStyle w:val="Compact"/>
              <w:jc w:val="left"/>
            </w:pPr>
            <w:r>
              <w:t xml:space="preserve">mehrere große randomisierte Studien am Menschen, Zulassung als Arzneimittel</w:t>
            </w:r>
          </w:p>
        </w:tc>
      </w:tr>
      <w:tr>
        <w:tc>
          <w:tcPr/>
          <w:p>
            <w:pPr>
              <w:pStyle w:val="Compact"/>
              <w:jc w:val="left"/>
            </w:pPr>
            <w:r>
              <w:t xml:space="preserve">B</w:t>
            </w:r>
          </w:p>
        </w:tc>
        <w:tc>
          <w:tcPr/>
          <w:p>
            <w:pPr>
              <w:pStyle w:val="Compact"/>
              <w:jc w:val="left"/>
            </w:pPr>
            <w:r>
              <w:t xml:space="preserve">einzelne randomisierte Studien am Menschen</w:t>
            </w:r>
          </w:p>
        </w:tc>
      </w:tr>
      <w:tr>
        <w:tc>
          <w:tcPr/>
          <w:p>
            <w:pPr>
              <w:pStyle w:val="Compact"/>
              <w:jc w:val="left"/>
            </w:pPr>
            <w:r>
              <w:t xml:space="preserve">C</w:t>
            </w:r>
          </w:p>
        </w:tc>
        <w:tc>
          <w:tcPr/>
          <w:p>
            <w:pPr>
              <w:pStyle w:val="Compact"/>
              <w:jc w:val="left"/>
            </w:pPr>
            <w:r>
              <w:t xml:space="preserve">nur kleine oder unkontrollierte Studien am Menschen</w:t>
            </w:r>
          </w:p>
        </w:tc>
      </w:tr>
      <w:tr>
        <w:tc>
          <w:tcPr/>
          <w:p>
            <w:pPr>
              <w:pStyle w:val="Compact"/>
              <w:jc w:val="left"/>
            </w:pPr>
            <w:r>
              <w:t xml:space="preserve">D</w:t>
            </w:r>
          </w:p>
        </w:tc>
        <w:tc>
          <w:tcPr/>
          <w:p>
            <w:pPr>
              <w:pStyle w:val="Compact"/>
              <w:jc w:val="left"/>
            </w:pPr>
            <w:r>
              <w:t xml:space="preserve">nur Tier- und Laborstudien</w:t>
            </w:r>
          </w:p>
        </w:tc>
      </w:tr>
    </w:tbl>
    <w:p>
      <w:pPr>
        <w:pStyle w:val="BodyText"/>
      </w:pPr>
      <w:r>
        <w:t xml:space="preserve">Die Evidenzstufe ist keine Empfehlung und keine Aussage darüber, ob ein Stoff sicher ist. Auch ein Wirkstoff der Stufe A hat Nebenwirkungen, und ein Stoff der Stufe D ist nicht zwangsläufig wirkungslos – er ist nur noch nicht ausreichend am Menschen untersucht. Was hinter den Begriffen „randomisiert“, „kontrolliert“ oder „Surrogat-Endpunkt“ steckt, erklärt das Kapitel „Studien richtig lesen“.</w:t>
      </w:r>
    </w:p>
    <w:bookmarkEnd w:id="30"/>
    <w:bookmarkStart w:id="31" w:name="wie-quellen-angegeben-sind"/>
    <w:p>
      <w:pPr>
        <w:pStyle w:val="Heading3"/>
      </w:pPr>
      <w:r>
        <w:t xml:space="preserve">Wie Quellen angegeben sind</w:t>
      </w:r>
    </w:p>
    <w:p>
      <w:pPr>
        <w:pStyle w:val="FirstParagraph"/>
      </w:pPr>
      <w:r>
        <w:t xml:space="preserve">Jede Studie ist im Text mit Erstautorin oder Erstautor, Erscheinungsjahr und PubMed-Nummer angegeben, zum Beispiel:</w:t>
      </w:r>
    </w:p>
    <w:p>
      <w:pPr>
        <w:pStyle w:val="BodyText"/>
      </w:pPr>
      <w:r>
        <w:t xml:space="preserve">(Wilding 2021, PMID 33567185)</w:t>
      </w:r>
    </w:p>
    <w:p>
      <w:pPr>
        <w:pStyle w:val="BodyText"/>
      </w:pPr>
      <w:r>
        <w:t xml:space="preserve">Registrierte Studien, insbesondere laufende, werden mit ihrer Nummer im US-amerikanischen Studienregister ClinicalTrials.gov angegeben, zum Beispiel:</w:t>
      </w:r>
    </w:p>
    <w:p>
      <w:pPr>
        <w:pStyle w:val="BodyText"/>
      </w:pPr>
      <w:r>
        <w:t xml:space="preserve">(NCT03548935)</w:t>
      </w:r>
    </w:p>
    <w:p>
      <w:pPr>
        <w:pStyle w:val="BodyText"/>
      </w:pPr>
      <w:r>
        <w:t xml:space="preserve">Fußnoten und ein separates Literaturverzeichnis am Kapitelende gibt es nicht; das vollständige Studienverzeichnis steht im Anhang.</w:t>
      </w:r>
    </w:p>
    <w:bookmarkEnd w:id="31"/>
    <w:bookmarkStart w:id="32" w:name="so-schlagen-sie-eine-quelle-nach"/>
    <w:p>
      <w:pPr>
        <w:pStyle w:val="Heading3"/>
      </w:pPr>
      <w:r>
        <w:t xml:space="preserve">So schlagen Sie eine Quelle nach</w:t>
      </w:r>
    </w:p>
    <w:p>
      <w:pPr>
        <w:pStyle w:val="FirstParagraph"/>
      </w:pPr>
      <w:r>
        <w:rPr>
          <w:bCs/>
          <w:b/>
        </w:rPr>
        <w:t xml:space="preserve">PMID</w:t>
      </w:r>
      <w:r>
        <w:t xml:space="preserve">: Die PubMed-Identifikationsnummer ist eine eindeutige Nummer für jeden Eintrag in PubMed, der frei zugänglichen Literaturdatenbank der US-amerikanischen National Library of Medicine.</w:t>
      </w:r>
    </w:p>
    <w:p>
      <w:pPr>
        <w:numPr>
          <w:ilvl w:val="0"/>
          <w:numId w:val="1002"/>
        </w:numPr>
        <w:pStyle w:val="Compact"/>
      </w:pPr>
      <w:r>
        <w:t xml:space="preserve">Öffnen Sie in Ihrem Browser die Seite pubmed.ncbi.nlm.nih.gov.</w:t>
      </w:r>
    </w:p>
    <w:p>
      <w:pPr>
        <w:numPr>
          <w:ilvl w:val="0"/>
          <w:numId w:val="1002"/>
        </w:numPr>
        <w:pStyle w:val="Compact"/>
      </w:pPr>
      <w:r>
        <w:t xml:space="preserve">Geben Sie die Nummer in das Suchfeld ein, zum Beispiel 33567185, und starten Sie die Suche.</w:t>
      </w:r>
    </w:p>
    <w:p>
      <w:pPr>
        <w:numPr>
          <w:ilvl w:val="0"/>
          <w:numId w:val="1002"/>
        </w:numPr>
        <w:pStyle w:val="Compact"/>
      </w:pPr>
      <w:r>
        <w:t xml:space="preserve">Sie gelangen direkt zum Eintrag mit Titel, Autorinnen und Autoren, Fachzeitschrift und meist einer Zusammenfassung (Abstract).</w:t>
      </w:r>
    </w:p>
    <w:p>
      <w:pPr>
        <w:pStyle w:val="FirstParagraph"/>
      </w:pPr>
      <w:r>
        <w:t xml:space="preserve">Alternativ können Sie die Nummer direkt an die Adresse anhängen: pubmed.ncbi.nlm.nih.gov/33567185. Viele Einträge enthalten einen Link zum Volltext, der teils frei, teils nur gegen Bezahlung verfügbar ist.</w:t>
      </w:r>
    </w:p>
    <w:p>
      <w:pPr>
        <w:pStyle w:val="BodyText"/>
      </w:pPr>
      <w:r>
        <w:rPr>
          <w:bCs/>
          <w:b/>
        </w:rPr>
        <w:t xml:space="preserve">NCT-Nummer</w:t>
      </w:r>
      <w:r>
        <w:t xml:space="preserve">: Registrierte Studien finden Sie auf der Seite clinicaltrials.gov, indem Sie die Nummer in das Suchfeld eingeben oder an die Adresse clinicaltrials.gov/study/ anhängen, zum Beispiel clinicaltrials.gov/study/NCT03548935. Dort sehen Sie Studiendesign, Teilnehmerzahl, Endpunkte und den aktuellen Status.</w:t>
      </w:r>
    </w:p>
    <w:bookmarkEnd w:id="32"/>
    <w:bookmarkStart w:id="33" w:name="was-dieses-buch-bewusst-nicht-enthält"/>
    <w:p>
      <w:pPr>
        <w:pStyle w:val="Heading3"/>
      </w:pPr>
      <w:r>
        <w:t xml:space="preserve">Was dieses Buch bewusst nicht enthält</w:t>
      </w:r>
    </w:p>
    <w:p>
      <w:pPr>
        <w:numPr>
          <w:ilvl w:val="0"/>
          <w:numId w:val="1003"/>
        </w:numPr>
        <w:pStyle w:val="Compact"/>
      </w:pPr>
      <w:r>
        <w:rPr>
          <w:bCs/>
          <w:b/>
        </w:rPr>
        <w:t xml:space="preserve">Keine Dosierungen und Anwendungsanleitungen.</w:t>
      </w:r>
      <w:r>
        <w:t xml:space="preserve"> </w:t>
      </w:r>
      <w:r>
        <w:t xml:space="preserve">Es gibt keine Angaben dazu, wie viel, wie oft oder wie lange ein Peptid angewendet werden soll, keine Anleitungen zum Auflösen oder Spritzen und keine Kombinationen mehrerer Stoffe. Bei zugelassenen Arzneimitteln verweist das Buch auf die Fachinformation und die ärztliche Begleitung.</w:t>
      </w:r>
    </w:p>
    <w:p>
      <w:pPr>
        <w:numPr>
          <w:ilvl w:val="0"/>
          <w:numId w:val="1003"/>
        </w:numPr>
        <w:pStyle w:val="Compact"/>
      </w:pPr>
      <w:r>
        <w:rPr>
          <w:bCs/>
          <w:b/>
        </w:rPr>
        <w:t xml:space="preserve">Keine Bezugsquellen.</w:t>
      </w:r>
      <w:r>
        <w:t xml:space="preserve"> </w:t>
      </w:r>
      <w:r>
        <w:t xml:space="preserve">Es werden keine Shops, Hersteller, Apotheken oder Länder genannt, in denen man Peptide erwerben kann, und keine Hinweise gegeben, wie man Kontrollen umgeht.</w:t>
      </w:r>
    </w:p>
    <w:p>
      <w:pPr>
        <w:numPr>
          <w:ilvl w:val="0"/>
          <w:numId w:val="1003"/>
        </w:numPr>
        <w:pStyle w:val="Compact"/>
      </w:pPr>
      <w:r>
        <w:rPr>
          <w:bCs/>
          <w:b/>
        </w:rPr>
        <w:t xml:space="preserve">Keine Heilversprechen.</w:t>
      </w:r>
      <w:r>
        <w:t xml:space="preserve"> </w:t>
      </w:r>
      <w:r>
        <w:t xml:space="preserve">Das Buch berichtet, was in Studien beobachtet wurde – nicht, was ein Stoff bei Ihnen bewirken wird.</w:t>
      </w:r>
    </w:p>
    <w:p>
      <w:pPr>
        <w:numPr>
          <w:ilvl w:val="0"/>
          <w:numId w:val="1003"/>
        </w:numPr>
        <w:pStyle w:val="Compact"/>
      </w:pPr>
      <w:r>
        <w:rPr>
          <w:bCs/>
          <w:b/>
        </w:rPr>
        <w:t xml:space="preserve">Keine Produktempfehlungen.</w:t>
      </w:r>
      <w:r>
        <w:t xml:space="preserve"> </w:t>
      </w:r>
      <w:r>
        <w:t xml:space="preserve">Weder Marken noch Anbieter werden empfohlen. Markennamen zugelassener Arzneimittel werden nur genannt, wenn sie zum Verständnis nötig sind.</w:t>
      </w:r>
    </w:p>
    <w:bookmarkEnd w:id="33"/>
    <w:bookmarkStart w:id="34" w:name="ein-wort-zum-schluss"/>
    <w:p>
      <w:pPr>
        <w:pStyle w:val="Heading3"/>
      </w:pPr>
      <w:r>
        <w:t xml:space="preserve">Ein Wort zum Schluss</w:t>
      </w:r>
    </w:p>
    <w:p>
      <w:pPr>
        <w:pStyle w:val="FirstParagraph"/>
      </w:pPr>
      <w:r>
        <w:t xml:space="preserve">Dieses Buch ist ein Werkzeug zum Nachdenken, kein Ratgeber zur Selbstbehandlung. Wenn Sie nach der Lektüre mehr Fragen haben als vorher, ist das kein schlechtes Zeichen: Oft ist die ehrlichste Antwort auf die Frage „Wirkt dieses Peptid?“ ein „Das weiß noch niemand“.</w:t>
      </w:r>
    </w:p>
    <w:bookmarkEnd w:id="34"/>
    <w:bookmarkEnd w:id="35"/>
    <w:bookmarkStart w:id="36" w:name="impressum"/>
    <w:p>
      <w:pPr>
        <w:pStyle w:val="Heading1"/>
      </w:pPr>
      <w:r>
        <w:t xml:space="preserve">Impressum</w:t>
      </w:r>
    </w:p>
    <w:p>
      <w:pPr>
        <w:pStyle w:val="FirstParagraph"/>
      </w:pPr>
      <w:r>
        <w:rPr>
          <w:bCs/>
          <w:b/>
        </w:rPr>
        <w:t xml:space="preserve">Das Peptid-Handbuch</w:t>
      </w:r>
      <w:r>
        <w:t xml:space="preserve"> </w:t>
      </w:r>
      <w:r>
        <w:t xml:space="preserve">Alle Humanstudien im Vergleich – Wirkung, Risiken, Rechtslage und Ausblick</w:t>
      </w:r>
    </w:p>
    <w:p>
      <w:pPr>
        <w:pStyle w:val="BodyText"/>
      </w:pPr>
      <w:r>
        <w:t xml:space="preserve">© 2026 Josef Gallab. Alle Rechte vorbehalten.</w:t>
      </w:r>
    </w:p>
    <w:p>
      <w:pPr>
        <w:numPr>
          <w:ilvl w:val="0"/>
          <w:numId w:val="1004"/>
        </w:numPr>
        <w:pStyle w:val="Compact"/>
      </w:pPr>
      <w:r>
        <w:t xml:space="preserve">Auflage, Stand der Recherche: Oktober/November 2026</w:t>
      </w:r>
    </w:p>
    <w:p>
      <w:pPr>
        <w:pStyle w:val="FirstParagraph"/>
      </w:pPr>
      <w:r>
        <w:t xml:space="preserve">Dieses Buch dient ausschließlich der Information. Es ersetzt keine ärztliche Beratung, Diagnose oder Behandlung</w:t>
      </w:r>
      <w:r>
        <w:t xml:space="preserve"> </w:t>
      </w:r>
      <w:r>
        <w:t xml:space="preserve">und enthält keine Anwendungsempfehlungen. Viele der beschriebenen Stoffe sind nicht als Arzneimittel zugelassen.</w:t>
      </w:r>
    </w:p>
    <w:p>
      <w:pPr>
        <w:pStyle w:val="BodyText"/>
      </w:pPr>
      <w:r>
        <w:t xml:space="preserve">Cover: Josef Gallab</w:t>
      </w:r>
    </w:p>
    <w:p>
      <w:pPr>
        <w:pStyle w:val="BodyText"/>
      </w:pPr>
      <w:r>
        <w:t xml:space="preserve">Kein Teil dieses Werkes darf ohne schriftliche Genehmigung des Autors vervielfältigt oder verbreitet werden.</w:t>
      </w:r>
    </w:p>
    <w:bookmarkEnd w:id="36"/>
    <w:bookmarkStart w:id="129" w:name="teil-i-grundlagen"/>
    <w:p>
      <w:pPr>
        <w:pStyle w:val="Heading1"/>
      </w:pPr>
      <w:r>
        <w:t xml:space="preserve">Teil I – Grundlagen</w:t>
      </w:r>
    </w:p>
    <w:p>
      <w:pPr>
        <w:pStyle w:val="FirstParagraph"/>
      </w:pPr>
      <w:r>
        <w:t xml:space="preserve">Bevor es in Teil II um einzelne Wirkstoffe geht, legt dieser Teil das Fundament. Sie erfahren, was ein Peptid chemisch eigentlich ist, wie aus einem Extrakt aus Hundebauchspeicheldrüsen innerhalb eines Jahrhunderts eine der umsatzstärksten Arzneimittelgruppen der Welt wurde, warum die meisten Peptide gespritzt werden müssen, wie man eine Studie liest, ohne sich von Schlagzeilen täuschen zu lassen, was auf dem Graumarkt tatsächlich in den Fläschchen steckt und welche rechtlichen Regeln gelten.</w:t>
      </w:r>
    </w:p>
    <w:p>
      <w:pPr>
        <w:pStyle w:val="BodyText"/>
      </w:pPr>
      <w:r>
        <w:t xml:space="preserve">Wer nur ein bestimmtes Peptid nachschlagen möchte, kann direkt in Teil II springen. Die Kapitel dieses Teils erklären aber die Begriffe und Maßstäbe, die dort ständig verwendet werden – etwa „randomisiert“, „Surrogat-Endpunkt“, „Evidenzstufe B“ oder „Research Peptide“. Ein kurzer Blick lohnt sich daher auch für eilige Leserinnen und Leser.</w:t>
      </w:r>
    </w:p>
    <w:bookmarkStart w:id="48" w:name="was-peptide-sind-und-was-nicht"/>
    <w:p>
      <w:pPr>
        <w:pStyle w:val="Heading2"/>
      </w:pPr>
      <w:r>
        <w:t xml:space="preserve">Was Peptide sind – und was nicht</w:t>
      </w:r>
    </w:p>
    <w:p>
      <w:pPr>
        <w:pStyle w:val="FirstParagraph"/>
      </w:pPr>
      <w:r>
        <w:t xml:space="preserve">Das Wort „Peptid“ hat in den letzten Jahren eine erstaunliche Karriere gemacht. Es steht auf Hautcremes und Proteinpulvern, in Werbeanzeigen für Abnehmspritzen und in Online-Foren, in denen über „Heilungspeptide“ diskutiert wird. Dabei bezeichnet der Begriff zunächst nur eine bestimmte chemische Bauweise – nicht mehr und nicht weniger. Er sagt nichts darüber aus, ob ein Stoff wirkt, ob er sicher ist oder ob er überhaupt in den Körper gelangt. Dieses Kapitel klärt die Grundbegriffe und räumt mit einigen verbreiteten Missverständnissen auf.</w:t>
      </w:r>
    </w:p>
    <w:bookmarkStart w:id="37" w:name="aminosäuren-die-bausteine"/>
    <w:p>
      <w:pPr>
        <w:pStyle w:val="Heading3"/>
      </w:pPr>
      <w:r>
        <w:t xml:space="preserve">Aminosäuren: die Bausteine</w:t>
      </w:r>
    </w:p>
    <w:p>
      <w:pPr>
        <w:pStyle w:val="FirstParagraph"/>
      </w:pPr>
      <w:r>
        <w:t xml:space="preserve">Alle Peptide und Proteine bestehen aus Aminosäuren. Eine Aminosäure ist ein kleines Molekül mit zwei typischen Bestandteilen: einer Aminogruppe (sie enthält Stickstoff) und einer Säuregruppe (Carboxylgruppe). Dazwischen sitzt ein zentrales Kohlenstoffatom, an dem eine sogenannte Seitenkette hängt. Diese Seitenkette unterscheidet die Aminosäuren voneinander: Sie kann klein und unscheinbar sein wie beim Glycin, ölig und wasserabweisend wie beim Leucin, elektrisch geladen wie beim Lysin oder schwefelhaltig wie beim Cystein.</w:t>
      </w:r>
    </w:p>
    <w:p>
      <w:pPr>
        <w:pStyle w:val="BodyText"/>
      </w:pPr>
      <w:r>
        <w:t xml:space="preserve">Der menschliche Körper baut seine Eiweiße im Wesentlichen aus 20 Standard-Aminosäuren auf. Einige davon kann er selbst herstellen, andere – die „essenziellen“ Aminosäuren – muss er mit der Nahrung aufnehmen. Daneben gibt es Hunderte weiterer Aminosäuren, die in der Natur vorkommen oder im Labor hergestellt werden. Für die Arzneimittelentwicklung sind solche „nicht natürlichen“ Aminosäuren wichtig, weil sie ein Peptid stabiler machen können. Ein Beispiel finden Sie weiter unten beim Semaglutid.</w:t>
      </w:r>
    </w:p>
    <w:p>
      <w:pPr>
        <w:pStyle w:val="BodyText"/>
      </w:pPr>
      <w:r>
        <w:t xml:space="preserve">Wichtig für das Verständnis vieler Werbeversprechen: Einzelne Aminosäuren sind keine Peptide. Ein Nahrungsergänzungsmittel mit Arginin, Glutamin oder „BCAA“ enthält freie Aminosäuren, also lose Bausteine – kein Peptid.</w:t>
      </w:r>
    </w:p>
    <w:bookmarkEnd w:id="37"/>
    <w:bookmarkStart w:id="38" w:name="die-peptidbindung"/>
    <w:p>
      <w:pPr>
        <w:pStyle w:val="Heading3"/>
      </w:pPr>
      <w:r>
        <w:t xml:space="preserve">Die Peptidbindung</w:t>
      </w:r>
    </w:p>
    <w:p>
      <w:pPr>
        <w:pStyle w:val="FirstParagraph"/>
      </w:pPr>
      <w:r>
        <w:t xml:space="preserve">Wenn zwei Aminosäuren sich verbinden, reagiert die Säuregruppe der einen mit der Aminogruppe der anderen. Dabei wird ein Wassermolekül abgespalten, und es entsteht eine stabile Verknüpfung: die Peptidbindung. Das Ergebnis heißt Dipeptid. Hängt man eine weitere Aminosäure an, entsteht ein Tripeptid, dann ein Tetrapeptid und so weiter. Eine solche Kette hat immer eine Richtung: Sie beginnt mit einer freien Aminogruppe (dem „N-Terminus“) und endet mit einer freien Säuregruppe (dem „C-Terminus“). In Fachartikeln werden Aminosäuren deshalb immer von links nach rechts, vom N- zum C-Ende, aufgeschrieben – oft mit Ein-Buchstaben-Kürzeln. Das Tripeptid „GHK“ etwa steht für Glycin–Histidin–Lysin.</w:t>
      </w:r>
    </w:p>
    <w:p>
      <w:pPr>
        <w:pStyle w:val="BodyText"/>
      </w:pPr>
      <w:r>
        <w:t xml:space="preserve">Die Reihenfolge der Aminosäuren nennt man Sequenz oder Primärstruktur. Sie ist entscheidend: Zwei Peptide aus denselben Bausteinen in anderer Reihenfolge sind verschiedene Stoffe mit unterschiedlichen Eigenschaften – so wie „Rose“ und „Eros“ aus denselben Buchstaben bestehen.</w:t>
      </w:r>
    </w:p>
    <w:bookmarkEnd w:id="38"/>
    <w:bookmarkStart w:id="39" w:name="peptid-oder-protein-eine-frage-der-länge"/>
    <w:p>
      <w:pPr>
        <w:pStyle w:val="Heading3"/>
      </w:pPr>
      <w:r>
        <w:t xml:space="preserve">Peptid oder Protein? Eine Frage der Länge</w:t>
      </w:r>
    </w:p>
    <w:p>
      <w:pPr>
        <w:pStyle w:val="FirstParagraph"/>
      </w:pPr>
      <w:r>
        <w:t xml:space="preserve">Zwischen Peptiden und Proteinen gibt es keine scharfe naturwissenschaftliche Grenze, sondern eine Konvention. Grob gilt:</w:t>
      </w:r>
    </w:p>
    <w:p>
      <w:pPr>
        <w:numPr>
          <w:ilvl w:val="0"/>
          <w:numId w:val="1005"/>
        </w:numPr>
        <w:pStyle w:val="Compact"/>
      </w:pPr>
      <w:r>
        <w:rPr>
          <w:bCs/>
          <w:b/>
        </w:rPr>
        <w:t xml:space="preserve">Oligopeptide</w:t>
      </w:r>
      <w:r>
        <w:t xml:space="preserve">: etwa 2 bis 10 Aminosäuren, zum Beispiel das Tripeptid Glutathion oder das Dipeptid Carnosin.</w:t>
      </w:r>
    </w:p>
    <w:p>
      <w:pPr>
        <w:numPr>
          <w:ilvl w:val="0"/>
          <w:numId w:val="1005"/>
        </w:numPr>
        <w:pStyle w:val="Compact"/>
      </w:pPr>
      <w:r>
        <w:rPr>
          <w:bCs/>
          <w:b/>
        </w:rPr>
        <w:t xml:space="preserve">Polypeptide</w:t>
      </w:r>
      <w:r>
        <w:t xml:space="preserve">: längere Ketten bis etwa 50 Aminosäuren.</w:t>
      </w:r>
    </w:p>
    <w:p>
      <w:pPr>
        <w:numPr>
          <w:ilvl w:val="0"/>
          <w:numId w:val="1005"/>
        </w:numPr>
        <w:pStyle w:val="Compact"/>
      </w:pPr>
      <w:r>
        <w:rPr>
          <w:bCs/>
          <w:b/>
        </w:rPr>
        <w:t xml:space="preserve">Proteine</w:t>
      </w:r>
      <w:r>
        <w:t xml:space="preserve">: größere Moleküle, meist mit mehr als 50 Aminosäuren und einer festen räumlichen Faltung.</w:t>
      </w:r>
    </w:p>
    <w:p>
      <w:pPr>
        <w:pStyle w:val="FirstParagraph"/>
      </w:pPr>
      <w:r>
        <w:t xml:space="preserve">Das Insulin liegt mit 51 Aminosäuren genau an dieser Grenze. Es besteht aus zwei Ketten, die über Schwefelbrücken verbunden sind, und wird je nach Lehrbuch als Peptid oder als kleines Protein bezeichnet. Das menschliche Wachstumshormon ist dagegen eindeutig ein Protein: Die häufigste Form besteht aus 191 Aminosäuren und wiegt rund 22.000 Dalton (Krug 2018, PMID 29864719). Dalton ist die Einheit für die Masse von Molekülen; eine durchschnittliche Aminosäure in einer Kette wiegt etwas mehr als 100 Dalton.</w:t>
      </w:r>
    </w:p>
    <w:p>
      <w:pPr>
        <w:pStyle w:val="BodyText"/>
      </w:pPr>
      <w:r>
        <w:t xml:space="preserve">Einige Beispiele aus diesem Buch zur Orientierung: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Stoff</w:t>
            </w:r>
          </w:p>
        </w:tc>
        <w:tc>
          <w:tcPr/>
          <w:p>
            <w:pPr>
              <w:pStyle w:val="Compact"/>
              <w:jc w:val="left"/>
            </w:pPr>
            <w:r>
              <w:t xml:space="preserve">Länge</w:t>
            </w:r>
          </w:p>
        </w:tc>
        <w:tc>
          <w:tcPr/>
          <w:p>
            <w:pPr>
              <w:pStyle w:val="Compact"/>
              <w:jc w:val="left"/>
            </w:pPr>
            <w:r>
              <w:t xml:space="preserve">Bemerkung</w:t>
            </w:r>
          </w:p>
        </w:tc>
      </w:tr>
      <w:tr>
        <w:tc>
          <w:tcPr/>
          <w:p>
            <w:pPr>
              <w:pStyle w:val="Compact"/>
              <w:jc w:val="left"/>
            </w:pPr>
            <w:r>
              <w:t xml:space="preserve">Carnosin</w:t>
            </w:r>
          </w:p>
        </w:tc>
        <w:tc>
          <w:tcPr/>
          <w:p>
            <w:pPr>
              <w:pStyle w:val="Compact"/>
              <w:jc w:val="left"/>
            </w:pPr>
            <w:r>
              <w:t xml:space="preserve">2 Aminosäuren</w:t>
            </w:r>
          </w:p>
        </w:tc>
        <w:tc>
          <w:tcPr/>
          <w:p>
            <w:pPr>
              <w:pStyle w:val="Compact"/>
              <w:jc w:val="left"/>
            </w:pPr>
            <w:r>
              <w:t xml:space="preserve">kommt in Muskeln vor</w:t>
            </w:r>
          </w:p>
        </w:tc>
      </w:tr>
      <w:tr>
        <w:tc>
          <w:tcPr/>
          <w:p>
            <w:pPr>
              <w:pStyle w:val="Compact"/>
              <w:jc w:val="left"/>
            </w:pPr>
            <w:r>
              <w:t xml:space="preserve">Glutathion</w:t>
            </w:r>
          </w:p>
        </w:tc>
        <w:tc>
          <w:tcPr/>
          <w:p>
            <w:pPr>
              <w:pStyle w:val="Compact"/>
              <w:jc w:val="left"/>
            </w:pPr>
            <w:r>
              <w:t xml:space="preserve">3 Aminosäuren</w:t>
            </w:r>
          </w:p>
        </w:tc>
        <w:tc>
          <w:tcPr/>
          <w:p>
            <w:pPr>
              <w:pStyle w:val="Compact"/>
              <w:jc w:val="left"/>
            </w:pPr>
            <w:r>
              <w:t xml:space="preserve">körpereigenes Schutzmolekül</w:t>
            </w:r>
          </w:p>
        </w:tc>
      </w:tr>
      <w:tr>
        <w:tc>
          <w:tcPr/>
          <w:p>
            <w:pPr>
              <w:pStyle w:val="Compact"/>
              <w:jc w:val="left"/>
            </w:pPr>
            <w:r>
              <w:t xml:space="preserve">Oxytocin</w:t>
            </w:r>
          </w:p>
        </w:tc>
        <w:tc>
          <w:tcPr/>
          <w:p>
            <w:pPr>
              <w:pStyle w:val="Compact"/>
              <w:jc w:val="left"/>
            </w:pPr>
            <w:r>
              <w:t xml:space="preserve">9 Aminosäuren</w:t>
            </w:r>
          </w:p>
        </w:tc>
        <w:tc>
          <w:tcPr/>
          <w:p>
            <w:pPr>
              <w:pStyle w:val="Compact"/>
              <w:jc w:val="left"/>
            </w:pPr>
            <w:r>
              <w:t xml:space="preserve">Hormon, ringförmig gebaut</w:t>
            </w:r>
          </w:p>
        </w:tc>
      </w:tr>
      <w:tr>
        <w:tc>
          <w:tcPr/>
          <w:p>
            <w:pPr>
              <w:pStyle w:val="Compact"/>
              <w:jc w:val="left"/>
            </w:pPr>
            <w:r>
              <w:t xml:space="preserve">GLP-1 (aktive Form)</w:t>
            </w:r>
          </w:p>
        </w:tc>
        <w:tc>
          <w:tcPr/>
          <w:p>
            <w:pPr>
              <w:pStyle w:val="Compact"/>
              <w:jc w:val="left"/>
            </w:pPr>
            <w:r>
              <w:t xml:space="preserve">30 Aminosäuren</w:t>
            </w:r>
          </w:p>
        </w:tc>
        <w:tc>
          <w:tcPr/>
          <w:p>
            <w:pPr>
              <w:pStyle w:val="Compact"/>
              <w:jc w:val="left"/>
            </w:pPr>
            <w:r>
              <w:t xml:space="preserve">Darmhormon</w:t>
            </w:r>
          </w:p>
        </w:tc>
      </w:tr>
      <w:tr>
        <w:tc>
          <w:tcPr/>
          <w:p>
            <w:pPr>
              <w:pStyle w:val="Compact"/>
              <w:jc w:val="left"/>
            </w:pPr>
            <w:r>
              <w:t xml:space="preserve">Exendin-4 (Exenatid)</w:t>
            </w:r>
          </w:p>
        </w:tc>
        <w:tc>
          <w:tcPr/>
          <w:p>
            <w:pPr>
              <w:pStyle w:val="Compact"/>
              <w:jc w:val="left"/>
            </w:pPr>
            <w:r>
              <w:t xml:space="preserve">39 Aminosäuren</w:t>
            </w:r>
          </w:p>
        </w:tc>
        <w:tc>
          <w:tcPr/>
          <w:p>
            <w:pPr>
              <w:pStyle w:val="Compact"/>
              <w:jc w:val="left"/>
            </w:pPr>
            <w:r>
              <w:t xml:space="preserve">aus Echsengift</w:t>
            </w:r>
          </w:p>
        </w:tc>
      </w:tr>
      <w:tr>
        <w:tc>
          <w:tcPr/>
          <w:p>
            <w:pPr>
              <w:pStyle w:val="Compact"/>
              <w:jc w:val="left"/>
            </w:pPr>
            <w:r>
              <w:t xml:space="preserve">Insulin</w:t>
            </w:r>
          </w:p>
        </w:tc>
        <w:tc>
          <w:tcPr/>
          <w:p>
            <w:pPr>
              <w:pStyle w:val="Compact"/>
              <w:jc w:val="left"/>
            </w:pPr>
            <w:r>
              <w:t xml:space="preserve">51 Aminosäuren</w:t>
            </w:r>
          </w:p>
        </w:tc>
        <w:tc>
          <w:tcPr/>
          <w:p>
            <w:pPr>
              <w:pStyle w:val="Compact"/>
              <w:jc w:val="left"/>
            </w:pPr>
            <w:r>
              <w:t xml:space="preserve">zwei Ketten</w:t>
            </w:r>
          </w:p>
        </w:tc>
      </w:tr>
      <w:tr>
        <w:tc>
          <w:tcPr/>
          <w:p>
            <w:pPr>
              <w:pStyle w:val="Compact"/>
              <w:jc w:val="left"/>
            </w:pPr>
            <w:r>
              <w:t xml:space="preserve">Wachstumshormon</w:t>
            </w:r>
          </w:p>
        </w:tc>
        <w:tc>
          <w:tcPr/>
          <w:p>
            <w:pPr>
              <w:pStyle w:val="Compact"/>
              <w:jc w:val="left"/>
            </w:pPr>
            <w:r>
              <w:t xml:space="preserve">191 Aminosäuren</w:t>
            </w:r>
          </w:p>
        </w:tc>
        <w:tc>
          <w:tcPr/>
          <w:p>
            <w:pPr>
              <w:pStyle w:val="Compact"/>
              <w:jc w:val="left"/>
            </w:pPr>
            <w:r>
              <w:t xml:space="preserve">Protein</w:t>
            </w:r>
          </w:p>
        </w:tc>
      </w:tr>
    </w:tbl>
    <w:p>
      <w:pPr>
        <w:pStyle w:val="BodyText"/>
      </w:pPr>
      <w:r>
        <w:t xml:space="preserve">Die Länge von Exendin-4 ist in der Erstbeschreibung angegeben (Eng 1992, PMID 1313797); die übrigen Angaben entsprechen dem Lehrbuchwissen.</w:t>
      </w:r>
    </w:p>
    <w:p>
      <w:pPr>
        <w:pStyle w:val="BodyText"/>
      </w:pPr>
      <w:r>
        <w:t xml:space="preserve">Für die Praxis ist die Länge aus mehreren Gründen wichtig. Kurze Peptide lassen sich einfacher und billiger chemisch herstellen. Lange Ketten falten sich zu komplexen Formen, die für die Wirkung unverzichtbar sein können. Und je größer ein Molekül, desto schwerer gelangt es durch Haut oder Darmwand – dazu mehr im Kapitel über die Darreichungsformen.</w:t>
      </w:r>
    </w:p>
    <w:bookmarkEnd w:id="39"/>
    <w:bookmarkStart w:id="40" w:name="wie-peptide-im-körper-wirken"/>
    <w:p>
      <w:pPr>
        <w:pStyle w:val="Heading3"/>
      </w:pPr>
      <w:r>
        <w:t xml:space="preserve">Wie Peptide im Körper wirken</w:t>
      </w:r>
    </w:p>
    <w:p>
      <w:pPr>
        <w:pStyle w:val="FirstParagraph"/>
      </w:pPr>
      <w:r>
        <w:t xml:space="preserve">Der menschliche Körper nutzt Peptide vor allem als Botenstoffe. Ein Peptidhormon wird in einer Zelle gebildet, ins Blut oder ins Gewebe abgegeben und dockt an einer anderen Zelle an einen passenden Rezeptor an. Rezeptoren sind Eiweißmoleküle in der Zellhülle, die wie ein Schloss funktionieren: Nur der passende Schlüssel löst ein Signal im Zellinneren aus.</w:t>
      </w:r>
    </w:p>
    <w:p>
      <w:pPr>
        <w:pStyle w:val="BodyText"/>
      </w:pPr>
      <w:r>
        <w:t xml:space="preserve">Weil Peptide meist zu groß und zu wasserlöslich sind, um durch die fettige Zellhülle hindurchzuschlüpfen, wirken die meisten über Rezeptoren an der Zelloberfläche. Viele davon gehören zur großen Familie der G-Protein-gekoppelten Rezeptoren. Der GLP-1-Rezeptor, über den Semaglutid oder Liraglutid wirken, ist ein solcher Rezeptor. Er kommt nicht nur in der Bauchspeicheldrüse vor, sondern auch in Magen-Darm-Trakt, Herz, Lunge, Nieren und Gehirn (Knudsen 2019, PMID 31031702) – das erklärt, warum diese Wirkstoffe so viele unterschiedliche Effekte haben.</w:t>
      </w:r>
    </w:p>
    <w:p>
      <w:pPr>
        <w:pStyle w:val="BodyText"/>
      </w:pPr>
      <w:r>
        <w:t xml:space="preserve">Peptide übernehmen im Körper sehr verschiedene Aufgaben:</w:t>
      </w:r>
    </w:p>
    <w:p>
      <w:pPr>
        <w:numPr>
          <w:ilvl w:val="0"/>
          <w:numId w:val="1006"/>
        </w:numPr>
        <w:pStyle w:val="Compact"/>
      </w:pPr>
      <w:r>
        <w:rPr>
          <w:bCs/>
          <w:b/>
        </w:rPr>
        <w:t xml:space="preserve">Hormone</w:t>
      </w:r>
      <w:r>
        <w:t xml:space="preserve"> </w:t>
      </w:r>
      <w:r>
        <w:t xml:space="preserve">wie Insulin, Glukagon, GLP-1, Oxytocin oder Vasopressin steuern Stoffwechsel, Wasserhaushalt und Fortpflanzung.</w:t>
      </w:r>
    </w:p>
    <w:p>
      <w:pPr>
        <w:numPr>
          <w:ilvl w:val="0"/>
          <w:numId w:val="1006"/>
        </w:numPr>
        <w:pStyle w:val="Compact"/>
      </w:pPr>
      <w:r>
        <w:rPr>
          <w:bCs/>
          <w:b/>
        </w:rPr>
        <w:t xml:space="preserve">Freisetzungsfaktoren</w:t>
      </w:r>
      <w:r>
        <w:t xml:space="preserve"> </w:t>
      </w:r>
      <w:r>
        <w:t xml:space="preserve">aus dem Zwischenhirn, etwa das Gonadotropin-Releasing-Hormon (GnRH), geben der Hirnanhangdrüse Befehle.</w:t>
      </w:r>
    </w:p>
    <w:p>
      <w:pPr>
        <w:numPr>
          <w:ilvl w:val="0"/>
          <w:numId w:val="1006"/>
        </w:numPr>
        <w:pStyle w:val="Compact"/>
      </w:pPr>
      <w:r>
        <w:rPr>
          <w:bCs/>
          <w:b/>
        </w:rPr>
        <w:t xml:space="preserve">Neuropeptide</w:t>
      </w:r>
      <w:r>
        <w:t xml:space="preserve"> </w:t>
      </w:r>
      <w:r>
        <w:t xml:space="preserve">wie Endorphine wirken als Signalstoffe im Nervensystem.</w:t>
      </w:r>
    </w:p>
    <w:p>
      <w:pPr>
        <w:numPr>
          <w:ilvl w:val="0"/>
          <w:numId w:val="1006"/>
        </w:numPr>
        <w:pStyle w:val="Compact"/>
      </w:pPr>
      <w:r>
        <w:rPr>
          <w:bCs/>
          <w:b/>
        </w:rPr>
        <w:t xml:space="preserve">Antimikrobielle Peptide</w:t>
      </w:r>
      <w:r>
        <w:t xml:space="preserve"> </w:t>
      </w:r>
      <w:r>
        <w:t xml:space="preserve">wie LL-37 sind Teil der angeborenen Immunabwehr.</w:t>
      </w:r>
    </w:p>
    <w:p>
      <w:pPr>
        <w:numPr>
          <w:ilvl w:val="0"/>
          <w:numId w:val="1006"/>
        </w:numPr>
        <w:pStyle w:val="Compact"/>
      </w:pPr>
      <w:r>
        <w:rPr>
          <w:bCs/>
          <w:b/>
        </w:rPr>
        <w:t xml:space="preserve">Strukturbausteine und Abbauprodukte</w:t>
      </w:r>
      <w:r>
        <w:t xml:space="preserve">: Wenn Kollagen oder Milcheiweiß verdaut werden, entstehen kurze Peptide, von denen einige im Blut nachweisbar sind.</w:t>
      </w:r>
    </w:p>
    <w:p>
      <w:pPr>
        <w:pStyle w:val="FirstParagraph"/>
      </w:pPr>
      <w:r>
        <w:t xml:space="preserve">Diese Vielfalt erklärt, warum unter dem Begriff „Peptid“ so unterschiedliche Stoffe zusammengefasst werden: ein hochwirksames, verschreibungspflichtiges Diabetes-Medikament ebenso wie ein Kollagenpulver aus dem Supermarkt.</w:t>
      </w:r>
    </w:p>
    <w:bookmarkEnd w:id="40"/>
    <w:bookmarkStart w:id="41" w:name="X017f8018abf05d6cd2bb297c02d7c0acb679173"/>
    <w:p>
      <w:pPr>
        <w:pStyle w:val="Heading3"/>
      </w:pPr>
      <w:r>
        <w:t xml:space="preserve">Kurze Lebensdauer: das Grundproblem natürlicher Peptide</w:t>
      </w:r>
    </w:p>
    <w:p>
      <w:pPr>
        <w:pStyle w:val="FirstParagraph"/>
      </w:pPr>
      <w:r>
        <w:t xml:space="preserve">Körpereigene Peptide sind meist für eine kurze, präzise Wirkung gebaut. Der Körper hält eine Vielzahl von Enzymen bereit, die Peptidbindungen spalten – sogenannte Peptidasen oder Proteasen. Das ist sinnvoll: Ein Hormonsignal soll nach dem Essen kommen und wieder gehen.</w:t>
      </w:r>
    </w:p>
    <w:p>
      <w:pPr>
        <w:pStyle w:val="BodyText"/>
      </w:pPr>
      <w:r>
        <w:t xml:space="preserve">Für ein Medikament ist diese kurze Lebensdauer jedoch ein Problem. Das natürliche GLP-1 wird von dem Enzym Dipeptidylpeptidase-4 (DPP-4) rasch zerschnitten. In menschlichem Blutplasma im Reagenzglas betrug die Halbwertszeit rund 20 Minuten (Deacon 1995, PMID 7883856); im Körper wird GLP-1 zusätzlich schnell aus dem Kreislauf entfernt. Als Medikament wäre unverändertes GLP-1 deshalb kaum brauchbar.</w:t>
      </w:r>
    </w:p>
    <w:p>
      <w:pPr>
        <w:pStyle w:val="BodyText"/>
      </w:pPr>
      <w:r>
        <w:t xml:space="preserve">Die Lösung der Pharmaforschung bestand darin, das Molekül gezielt zu verändern. Beim Semaglutid wurden zwei Aminosäuren des natürlichen GLP-1 ausgetauscht – an Position 8 steht die nicht natürliche Aminosäure Aib, die das Molekül vor DPP-4 schützt – und an die Kette wurde über einen Verbindungsteil eine Fettsäure angehängt. Die Fettsäure sorgt dafür, dass sich Semaglutid im Blut reversibel an das Transporteiweiß Albumin bindet (Lau 2015, PMID 26308095). So entsteht ein Depot, aus dem der Wirkstoff langsam freigesetzt wird. Die Halbwertszeit beim Menschen liegt bei etwa einer Woche (Marso 2016, PMID 27633186) – deshalb genügt eine Spritze pro Woche.</w:t>
      </w:r>
    </w:p>
    <w:p>
      <w:pPr>
        <w:pStyle w:val="BodyText"/>
      </w:pPr>
      <w:r>
        <w:t xml:space="preserve">Dieses Prinzip – natürliches Vorbild, gezielt stabilisiert – zieht sich durch die moderne Peptidmedizin. Es bedeutet aber auch: Ein Peptid-Arzneimittel ist meist</w:t>
      </w:r>
      <w:r>
        <w:t xml:space="preserve"> </w:t>
      </w:r>
      <w:r>
        <w:rPr>
          <w:bCs/>
          <w:b/>
        </w:rPr>
        <w:t xml:space="preserve">kein</w:t>
      </w:r>
      <w:r>
        <w:t xml:space="preserve"> </w:t>
      </w:r>
      <w:r>
        <w:t xml:space="preserve">„natürlicher“ Stoff im Sinne von unverändert körpereigen. Es ist ein Molekül, das von der Natur inspiriert, aber im Labor optimiert wurde.</w:t>
      </w:r>
    </w:p>
    <w:bookmarkEnd w:id="41"/>
    <w:bookmarkStart w:id="42" w:name="wie-peptide-hergestellt-werden"/>
    <w:p>
      <w:pPr>
        <w:pStyle w:val="Heading3"/>
      </w:pPr>
      <w:r>
        <w:t xml:space="preserve">Wie Peptide hergestellt werden</w:t>
      </w:r>
    </w:p>
    <w:p>
      <w:pPr>
        <w:pStyle w:val="FirstParagraph"/>
      </w:pPr>
      <w:r>
        <w:t xml:space="preserve">Es gibt drei grundlegende Wege, Peptide zu gewinnen:</w:t>
      </w:r>
    </w:p>
    <w:p>
      <w:pPr>
        <w:pStyle w:val="BodyText"/>
      </w:pPr>
      <w:r>
        <w:rPr>
          <w:bCs/>
          <w:b/>
        </w:rPr>
        <w:t xml:space="preserve">Chemische Synthese.</w:t>
      </w:r>
      <w:r>
        <w:t xml:space="preserve"> </w:t>
      </w:r>
      <w:r>
        <w:t xml:space="preserve">Seit den 1960er-Jahren werden Peptide Baustein für Baustein an einem festen Trägermaterial aufgebaut. Dieses Verfahren der Festphasen-Peptidsynthese wurde von Robert Bruce Merrifield entwickelt (Merrifield 1969, PMID 4307033), der dafür 1984 den Chemie-Nobelpreis erhielt. Heute laufen solche Synthesen weitgehend automatisch. Sie sind die Grundlage nahezu aller kurzen Peptide, auch der auf dem Graumarkt angebotenen. Bei jedem Kopplungsschritt können allerdings Fehler entstehen – etwa fehlende oder doppelte Aminosäuren. Ein sorgfältiger Reinigungsschritt ist daher unverzichtbar.</w:t>
      </w:r>
    </w:p>
    <w:p>
      <w:pPr>
        <w:pStyle w:val="BodyText"/>
      </w:pPr>
      <w:r>
        <w:rPr>
          <w:bCs/>
          <w:b/>
        </w:rPr>
        <w:t xml:space="preserve">Gentechnische (rekombinante) Herstellung.</w:t>
      </w:r>
      <w:r>
        <w:t xml:space="preserve"> </w:t>
      </w:r>
      <w:r>
        <w:t xml:space="preserve">Dabei wird die Bauanleitung für das Peptid in Bakterien oder Hefezellen eingeschleust, die es dann in großen Tanks produzieren. Humaninsulin war das erste so hergestellte Arzneimittel; in klinischen Studien am Menschen wurde es ab 1980 eingesetzt (The 1989, PMID 2690608). Größere Peptide und Proteine werden bis heute überwiegend auf diese Weise gewonnen, teils kombiniert mit chemischen Veränderungsschritten.</w:t>
      </w:r>
    </w:p>
    <w:p>
      <w:pPr>
        <w:pStyle w:val="BodyText"/>
      </w:pPr>
      <w:r>
        <w:rPr>
          <w:bCs/>
          <w:b/>
        </w:rPr>
        <w:t xml:space="preserve">Gewinnung aus natürlichen Quellen.</w:t>
      </w:r>
      <w:r>
        <w:t xml:space="preserve"> </w:t>
      </w:r>
      <w:r>
        <w:t xml:space="preserve">Frühe Insuline wurden aus Bauchspeicheldrüsen von Rindern und Schweinen gewonnen. Kollagenpeptide entstehen heute, indem Kollagen aus Haut, Knochen oder Fischschuppen mit Enzymen in kleinere Stücke zerlegt wird (Hydrolyse). Solche Hydrolysate sind Gemische aus vielen verschiedenen Peptiden – kein einheitlicher Wirkstoff.</w:t>
      </w:r>
    </w:p>
    <w:p>
      <w:pPr>
        <w:pStyle w:val="BodyText"/>
      </w:pPr>
      <w:r>
        <w:t xml:space="preserve">Der Herstellungsweg ist für die Sicherheit bedeutsam. Eine Untersuchung verglich Nachahmerprodukte von Semaglutid und Liraglutid mit den Originalpräparaten und fand bei einigen Nachahmer-Wirkstoffen neue Verunreinigungen, darunter höhermolekulare Eiweiße, Spurenmetalle und Lösungsmittelreste (Hach 2024, PMID 39379664). Ob solche Unterschiede klinisch relevant sind, ist offen – sie zeigen aber, dass „derselbe Wirkstoff“ nicht automatisch „dasselbe Produkt“ bedeutet. Die Untersuchung wurde übrigens vom Hersteller der Originalpräparate durchgeführt, was bei der Bewertung berücksichtigt werden sollte.</w:t>
      </w:r>
    </w:p>
    <w:bookmarkEnd w:id="42"/>
    <w:bookmarkStart w:id="43" w:name="Xeea2beea38a4d8784c977cd8fa761d0158c5024"/>
    <w:p>
      <w:pPr>
        <w:pStyle w:val="Heading3"/>
      </w:pPr>
      <w:r>
        <w:t xml:space="preserve">Peptide als Arzneimittel: eine wachsende Gruppe</w:t>
      </w:r>
    </w:p>
    <w:p>
      <w:pPr>
        <w:pStyle w:val="FirstParagraph"/>
      </w:pPr>
      <w:r>
        <w:t xml:space="preserve">Peptide besetzen eine Nische zwischen den klassischen „kleinen Molekülen“ (wie Aspirin oder Metformin) und den großen Biologika (wie Antikörpern). Sie können sehr gezielt an einen Rezeptor binden, was oft zu wenigen unerwünschten Nebenwirkungen an anderen Stellen führt. Gleichzeitig sind sie schwerer in Tablettenform zu bringen und oft teuer in der Herstellung.</w:t>
      </w:r>
    </w:p>
    <w:p>
      <w:pPr>
        <w:pStyle w:val="BodyText"/>
      </w:pPr>
      <w:r>
        <w:t xml:space="preserve">Einer Übersichtsarbeit zufolge haben seit der Einführung des Insulins mehr als 80 Peptid-Arzneimittel den Markt erreicht, etwa gegen Diabetes, Krebs, Osteoporose, Multiple Sklerose, HIV-Infektion und chronische Schmerzen (Muttenthaler 2021, PMID 33536635). Eine andere Auswertung zählte über 150 Peptide in aktiver klinischer Entwicklung (Lau 2018, PMID 28720325). Die Zahlen unterscheiden sich je nach Zählweise, zeigen aber dieselbe Richtung: Peptide sind ein fester und wachsender Teil der Medizin.</w:t>
      </w:r>
    </w:p>
    <w:p>
      <w:pPr>
        <w:pStyle w:val="BodyText"/>
      </w:pPr>
      <w:r>
        <w:t xml:space="preserve">Viele Arzneimittel-Peptide kennen Sie vielleicht, ohne sie als Peptide wahrgenommen zu haben: Insulin, das Osteoporosemittel Teriparatid (ein Teilstück des Parathormons aus 34 Aminosäuren), Wirkstoffe gegen Prostatakrebs, die das GnRH-System beeinflussen, das Wehenmittel Oxytocin oder das Antibiotikum Vancomycin, ein Glykopeptid.</w:t>
      </w:r>
    </w:p>
    <w:bookmarkEnd w:id="43"/>
    <w:bookmarkStart w:id="44" w:name="was-peptide-nicht-sind"/>
    <w:p>
      <w:pPr>
        <w:pStyle w:val="Heading3"/>
      </w:pPr>
      <w:r>
        <w:t xml:space="preserve">Was Peptide nicht sind</w:t>
      </w:r>
    </w:p>
    <w:p>
      <w:pPr>
        <w:pStyle w:val="FirstParagraph"/>
      </w:pPr>
      <w:r>
        <w:t xml:space="preserve">Gerade weil der Begriff so populär geworden ist, lohnt sich ein Blick auf verbreitete Missverständnisse.</w:t>
      </w:r>
    </w:p>
    <w:p>
      <w:pPr>
        <w:pStyle w:val="BodyText"/>
      </w:pPr>
      <w:r>
        <w:rPr>
          <w:bCs/>
          <w:b/>
        </w:rPr>
        <w:t xml:space="preserve">„Peptid“ ist kein Qualitätsmerkmal.</w:t>
      </w:r>
      <w:r>
        <w:t xml:space="preserve"> </w:t>
      </w:r>
      <w:r>
        <w:t xml:space="preserve">Die chemische Bauweise sagt nichts über Nutzen oder Risiko. Insulin rettet täglich Leben – in falscher Menge kann es tödlich sein. Ein Peptid ist nicht automatisch sanfter als ein „chemisches“ Medikament.</w:t>
      </w:r>
    </w:p>
    <w:p>
      <w:pPr>
        <w:pStyle w:val="BodyText"/>
      </w:pPr>
      <w:r>
        <w:rPr>
          <w:bCs/>
          <w:b/>
        </w:rPr>
        <w:t xml:space="preserve">„Körpereigen“ heißt nicht „harmlos“.</w:t>
      </w:r>
      <w:r>
        <w:t xml:space="preserve"> </w:t>
      </w:r>
      <w:r>
        <w:t xml:space="preserve">Viele Graumarkt-Peptide werden als „körpereigen“ oder „bioidentisch“ beworben. Doch auch körpereigene Stoffe können in unnatürlich hoher Menge, am falschen Ort oder über lange Zeit schaden. Ein Beispiel ist das Wachstumshormon-System: Ein Mangel macht krank, ein dauerhaftes Zuviel ebenfalls. Zudem sind viele angeblich körpereigene Peptide in Wahrheit Abwandlungen oder Bruchstücke, die so im Körper gar nicht vorkommen. BPC-157 etwa ist eine 15 Aminosäuren lange Sequenz (Cox 2017, PMID 28035768), die von ihren Entdeckern aus Magensaft abgeleitet wurde; als eigenständiges Hormon des Menschen ist sie nicht etabliert.</w:t>
      </w:r>
    </w:p>
    <w:p>
      <w:pPr>
        <w:pStyle w:val="BodyText"/>
      </w:pPr>
      <w:r>
        <w:rPr>
          <w:bCs/>
          <w:b/>
        </w:rPr>
        <w:t xml:space="preserve">Peptide sind keine Steroide.</w:t>
      </w:r>
      <w:r>
        <w:t xml:space="preserve"> </w:t>
      </w:r>
      <w:r>
        <w:t xml:space="preserve">Anabolika wie Testosteron sind Steroidhormone mit einem völlig anderen chemischen Gerüst aus Kohlenstoffringen. Sie wirken über Rezeptoren im Zellinneren. Im Fitnessbereich werden beide Gruppen manchmal in einen Topf geworfen; chemisch und pharmakologisch haben sie wenig gemeinsam.</w:t>
      </w:r>
    </w:p>
    <w:p>
      <w:pPr>
        <w:pStyle w:val="BodyText"/>
      </w:pPr>
      <w:r>
        <w:rPr>
          <w:bCs/>
          <w:b/>
        </w:rPr>
        <w:t xml:space="preserve">Nicht alles, was ähnlich wirkt, ist ein Peptid.</w:t>
      </w:r>
      <w:r>
        <w:t xml:space="preserve"> </w:t>
      </w:r>
      <w:r>
        <w:t xml:space="preserve">Orforglipron etwa aktiviert wie Semaglutid den GLP-1-Rezeptor, ist aber ein kleines, nicht peptidisches Molekül. Ibutamoren (MK-677) regt die Wachstumshormon-Ausschüttung an wie einige Peptide, ist selbst aber keines. Beide werden in diesem Buch deshalb nur zum Vergleich behandelt.</w:t>
      </w:r>
    </w:p>
    <w:p>
      <w:pPr>
        <w:pStyle w:val="BodyText"/>
      </w:pPr>
      <w:r>
        <w:rPr>
          <w:bCs/>
          <w:b/>
        </w:rPr>
        <w:t xml:space="preserve">Ein Peptid in der Creme ist nicht dasselbe wie ein Peptid in der Spritze.</w:t>
      </w:r>
      <w:r>
        <w:t xml:space="preserve"> </w:t>
      </w:r>
      <w:r>
        <w:t xml:space="preserve">Kosmetik-Peptide wie Palmitoyl-Pentapeptid-4 sind eigens so gestaltet, dass sie in der obersten Hautschicht wirken sollen. Ob und wie tief sie eindringen, ist eine eigene Frage. Umgekehrt gelangt ein Peptid, das als Arzneimittel gespritzt wird, nicht einfach durch die Haut, wenn man es aufträgt.</w:t>
      </w:r>
    </w:p>
    <w:p>
      <w:pPr>
        <w:pStyle w:val="BodyText"/>
      </w:pPr>
      <w:r>
        <w:rPr>
          <w:bCs/>
          <w:b/>
        </w:rPr>
        <w:t xml:space="preserve">Gegessene Peptide werden meist verdaut.</w:t>
      </w:r>
      <w:r>
        <w:t xml:space="preserve"> </w:t>
      </w:r>
      <w:r>
        <w:t xml:space="preserve">Der Magen-Darm-Trakt ist darauf ausgelegt, Eiweiße in Aminosäuren und sehr kurze Bruchstücke zu zerlegen. Ein Peptidhormon, das man schluckt, wird deshalb in aller Regel abgebaut, bevor es wirken kann. Ausnahmen – etwa sehr kleine Peptide aus Kollagen, die im Blut nachweisbar sind, oder die Semaglutid-Tablette mit ihrem Hilfsstoff – werden im übernächsten Kapitel erklärt.</w:t>
      </w:r>
    </w:p>
    <w:bookmarkEnd w:id="44"/>
    <w:bookmarkStart w:id="45" w:name="natürlich-naturidentisch-modifiziert"/>
    <w:p>
      <w:pPr>
        <w:pStyle w:val="Heading3"/>
      </w:pPr>
      <w:r>
        <w:t xml:space="preserve">Natürlich, naturidentisch, modifiziert</w:t>
      </w:r>
    </w:p>
    <w:p>
      <w:pPr>
        <w:pStyle w:val="FirstParagraph"/>
      </w:pPr>
      <w:r>
        <w:t xml:space="preserve">Für die Einordnung der Peptide in Teil II hilft eine einfache Unterscheidung:</w:t>
      </w:r>
    </w:p>
    <w:p>
      <w:pPr>
        <w:numPr>
          <w:ilvl w:val="0"/>
          <w:numId w:val="1007"/>
        </w:numPr>
        <w:pStyle w:val="Compact"/>
      </w:pPr>
      <w:r>
        <w:rPr>
          <w:bCs/>
          <w:b/>
        </w:rPr>
        <w:t xml:space="preserve">Naturidentische Peptide</w:t>
      </w:r>
      <w:r>
        <w:t xml:space="preserve"> </w:t>
      </w:r>
      <w:r>
        <w:t xml:space="preserve">entsprechen exakt einem körpereigenen Molekül, etwa Oxytocin oder Glutathion.</w:t>
      </w:r>
    </w:p>
    <w:p>
      <w:pPr>
        <w:numPr>
          <w:ilvl w:val="0"/>
          <w:numId w:val="1007"/>
        </w:numPr>
        <w:pStyle w:val="Compact"/>
      </w:pPr>
      <w:r>
        <w:rPr>
          <w:bCs/>
          <w:b/>
        </w:rPr>
        <w:t xml:space="preserve">Modifizierte Analoga</w:t>
      </w:r>
      <w:r>
        <w:t xml:space="preserve"> </w:t>
      </w:r>
      <w:r>
        <w:t xml:space="preserve">sind vom natürlichen Vorbild abgeleitet, aber gezielt verändert – durch ausgetauschte Aminosäuren, angehängte Fettsäuren oder ringförmige Strukturen. Fast alle modernen Peptid-Arzneimittel gehören dazu.</w:t>
      </w:r>
    </w:p>
    <w:p>
      <w:pPr>
        <w:numPr>
          <w:ilvl w:val="0"/>
          <w:numId w:val="1007"/>
        </w:numPr>
        <w:pStyle w:val="Compact"/>
      </w:pPr>
      <w:r>
        <w:rPr>
          <w:bCs/>
          <w:b/>
        </w:rPr>
        <w:t xml:space="preserve">Fremde oder neu entworfene Peptide</w:t>
      </w:r>
      <w:r>
        <w:t xml:space="preserve"> </w:t>
      </w:r>
      <w:r>
        <w:t xml:space="preserve">stammen aus anderen Lebewesen (wie Exendin-4 aus dem Speichel der Gila-Krustenechse) oder wurden im Labor neu entwickelt (wie die Kosmetik-Peptide oder die Doppel- und Dreifach-Agonisten Tirzepatid und Retatrutid).</w:t>
      </w:r>
    </w:p>
    <w:p>
      <w:pPr>
        <w:pStyle w:val="FirstParagraph"/>
      </w:pPr>
      <w:r>
        <w:t xml:space="preserve">Für die Sicherheit ist diese Einteilung allein nicht entscheidend. Sie hilft aber zu verstehen, warum Studien am Menschen bei allen drei Gruppen unverzichtbar sind: Selbst ein naturidentisches Molekül verhält sich anders, wenn es in hoher Menge von außen zugeführt wird.</w:t>
      </w:r>
    </w:p>
    <w:bookmarkEnd w:id="45"/>
    <w:bookmarkStart w:id="46" w:name="X5fc135c440778af62235654f069ff9bf21ca1b0"/>
    <w:p>
      <w:pPr>
        <w:pStyle w:val="Heading3"/>
      </w:pPr>
      <w:r>
        <w:t xml:space="preserve">Warum Peptide gerade jetzt so viel Aufmerksamkeit bekommen</w:t>
      </w:r>
    </w:p>
    <w:p>
      <w:pPr>
        <w:pStyle w:val="FirstParagraph"/>
      </w:pPr>
      <w:r>
        <w:t xml:space="preserve">Drei Entwicklungen erklären den Boom der letzten Jahre:</w:t>
      </w:r>
    </w:p>
    <w:p>
      <w:pPr>
        <w:pStyle w:val="BodyText"/>
      </w:pPr>
      <w:r>
        <w:rPr>
          <w:bCs/>
          <w:b/>
        </w:rPr>
        <w:t xml:space="preserve">Erstens die GLP-1-Medikamente.</w:t>
      </w:r>
      <w:r>
        <w:t xml:space="preserve"> </w:t>
      </w:r>
      <w:r>
        <w:t xml:space="preserve">Die Ergebnisse von Wirkstoffen wie Semaglutid und Tirzepatid bei Übergewicht haben Peptide in die Schlagzeilen gebracht. In der Zulassungsstudie STEP 1 verloren Teilnehmende mit Semaglutid im Mittel 14,9 % ihres Körpergewichts, mit Placebo 2,4 % (Wilding 2021, PMID 33567185). Solche Zahlen waren mit Medikamenten zuvor nicht erreicht worden.</w:t>
      </w:r>
    </w:p>
    <w:p>
      <w:pPr>
        <w:pStyle w:val="BodyText"/>
      </w:pPr>
      <w:r>
        <w:rPr>
          <w:bCs/>
          <w:b/>
        </w:rPr>
        <w:t xml:space="preserve">Zweitens die einfache Verfügbarkeit.</w:t>
      </w:r>
      <w:r>
        <w:t xml:space="preserve"> </w:t>
      </w:r>
      <w:r>
        <w:t xml:space="preserve">Kurze Peptide lassen sich heute in vielen Ländern günstig synthetisieren und werden über das Internet weltweit angeboten – häufig mit dem Etikett „nur für Forschungszwecke“. Was das bedeutet, behandelt das Kapitel über den Graumarkt.</w:t>
      </w:r>
    </w:p>
    <w:p>
      <w:pPr>
        <w:pStyle w:val="BodyText"/>
      </w:pPr>
      <w:r>
        <w:rPr>
          <w:bCs/>
          <w:b/>
        </w:rPr>
        <w:t xml:space="preserve">Drittens soziale Medien.</w:t>
      </w:r>
      <w:r>
        <w:t xml:space="preserve"> </w:t>
      </w:r>
      <w:r>
        <w:t xml:space="preserve">Erfahrungsberichte, Vorher-nachher-Bilder und Influencer-Empfehlungen verbreiten sich schneller als wissenschaftliche Daten. Eine Übersichtsarbeit beschreibt, wie digitale Werbung, Graumarkt-Zugang und Selbstinjektion zusammenwirken und Produkte normalisieren, deren Identität, Reinheit und Sicherheit unklar sind (Hailu 2026, PMID 42437212).</w:t>
      </w:r>
    </w:p>
    <w:p>
      <w:pPr>
        <w:pStyle w:val="BodyText"/>
      </w:pPr>
      <w:r>
        <w:t xml:space="preserve">Dieses Buch will hier einen nüchternen Gegenpol bieten: Für jedes Peptid wird geprüft, was am Menschen tatsächlich untersucht wurde – und was nicht.</w:t>
      </w:r>
    </w:p>
    <w:bookmarkEnd w:id="46"/>
    <w:bookmarkStart w:id="47" w:name="das-wichtigste-in-kürze"/>
    <w:p>
      <w:pPr>
        <w:pStyle w:val="Heading3"/>
      </w:pPr>
      <w:r>
        <w:t xml:space="preserve">Das Wichtigste in Kürze</w:t>
      </w:r>
    </w:p>
    <w:p>
      <w:pPr>
        <w:numPr>
          <w:ilvl w:val="0"/>
          <w:numId w:val="1008"/>
        </w:numPr>
        <w:pStyle w:val="Compact"/>
      </w:pPr>
      <w:r>
        <w:t xml:space="preserve">Peptide sind Ketten aus Aminosäuren, verbunden durch Peptidbindungen. Ab etwa 50 Aminosäuren spricht man meist von Proteinen.</w:t>
      </w:r>
    </w:p>
    <w:p>
      <w:pPr>
        <w:numPr>
          <w:ilvl w:val="0"/>
          <w:numId w:val="1008"/>
        </w:numPr>
        <w:pStyle w:val="Compact"/>
      </w:pPr>
      <w:r>
        <w:t xml:space="preserve">Im Körper wirken Peptide vor allem als Botenstoffe über Rezeptoren an der Zelloberfläche.</w:t>
      </w:r>
    </w:p>
    <w:p>
      <w:pPr>
        <w:numPr>
          <w:ilvl w:val="0"/>
          <w:numId w:val="1008"/>
        </w:numPr>
        <w:pStyle w:val="Compact"/>
      </w:pPr>
      <w:r>
        <w:t xml:space="preserve">Natürliche Peptide werden schnell abgebaut. Moderne Peptid-Arzneimittel sind deshalb fast immer gezielt veränderte Moleküle.</w:t>
      </w:r>
    </w:p>
    <w:p>
      <w:pPr>
        <w:numPr>
          <w:ilvl w:val="0"/>
          <w:numId w:val="1008"/>
        </w:numPr>
        <w:pStyle w:val="Compact"/>
      </w:pPr>
      <w:r>
        <w:t xml:space="preserve">Peptide werden chemisch synthetisiert, gentechnisch hergestellt oder aus natürlichen Quellen gewonnen. Herstellungsweg und Reinheit beeinflussen die Sicherheit.</w:t>
      </w:r>
    </w:p>
    <w:p>
      <w:pPr>
        <w:numPr>
          <w:ilvl w:val="0"/>
          <w:numId w:val="1008"/>
        </w:numPr>
        <w:pStyle w:val="Compact"/>
      </w:pPr>
      <w:r>
        <w:t xml:space="preserve">„Peptid“ ist eine chemische Beschreibung, kein Gütesiegel. Ob ein bestimmtes Peptid beim Menschen wirkt und sicher ist, können nur gute Studien zeigen.</w:t>
      </w:r>
    </w:p>
    <w:bookmarkEnd w:id="47"/>
    <w:bookmarkEnd w:id="48"/>
    <w:bookmarkStart w:id="62" w:name="X750f07fb58e7207f9c462cf0058933a10bc4059"/>
    <w:p>
      <w:pPr>
        <w:pStyle w:val="Heading2"/>
      </w:pPr>
      <w:r>
        <w:t xml:space="preserve">Kurze Geschichte: von Insulin bis zu den GLP-1-Medikamenten</w:t>
      </w:r>
    </w:p>
    <w:p>
      <w:pPr>
        <w:pStyle w:val="FirstParagraph"/>
      </w:pPr>
      <w:r>
        <w:t xml:space="preserve">Die Geschichte der Peptid-Medikamente ist eine Geschichte von Durchbrüchen, Irrwegen und erstaunlichen Zufällen. Sie beginnt mit einem verzweifelten Experiment in Toronto, führt über das Gift einer amerikanischen Wüstenechse und endet – vorläufig – bei Abnehmspritzen, die zu den meistverkauften Arzneimitteln der Welt gehören. Dieses Kapitel erzählt die wichtigsten Stationen. Es soll Ihnen helfen, die heutige Aufregung um Peptide einzuordnen: Vieles, was als revolutionär verkauft wird, steht auf den Schultern von hundert Jahren mühsamer Forschung.</w:t>
      </w:r>
    </w:p>
    <w:bookmarkStart w:id="49" w:name="vor-1922-botenstoffe-werden-entdeckt"/>
    <w:p>
      <w:pPr>
        <w:pStyle w:val="Heading3"/>
      </w:pPr>
      <w:r>
        <w:t xml:space="preserve">Vor 1922: Botenstoffe werden entdeckt</w:t>
      </w:r>
    </w:p>
    <w:p>
      <w:pPr>
        <w:pStyle w:val="FirstParagraph"/>
      </w:pPr>
      <w:r>
        <w:t xml:space="preserve">Um 1900 setzte sich in der Physiologie eine neue Idee durch: Organe verständigen sich nicht nur über Nerven, sondern auch über chemische Botenstoffe im Blut. Die britischen Physiologen William Bayliss und Ernest Starling beschrieben 1902 das Sekretin, einen Stoff aus der Darmwand, der die Bauchspeicheldrüse zur Saftproduktion anregt. Für solche Botenstoffe prägte Starling wenig später den Begriff „Hormon“. Sekretin ist – wie man heute weiß – ein Peptid. Damit stand ein Peptid am Anfang der gesamten Hormonforschung.</w:t>
      </w:r>
    </w:p>
    <w:p>
      <w:pPr>
        <w:pStyle w:val="BodyText"/>
      </w:pPr>
      <w:r>
        <w:t xml:space="preserve">Gleichzeitig war bekannt, dass die Zuckerkrankheit (Diabetes mellitus) mit der Bauchspeicheldrüse zusammenhängt. Hunde, denen man das Organ entfernte, entwickelten einen tödlichen Diabetes. Viele Forschergruppen versuchten, den vermuteten blutzuckersenkenden Stoff aus der Drüse zu gewinnen. Die Extrakte waren jedoch entweder unwirksam oder so verunreinigt, dass sie schwere Reaktionen auslösten.</w:t>
      </w:r>
    </w:p>
    <w:bookmarkEnd w:id="49"/>
    <w:bookmarkStart w:id="50" w:name="insulin-das-erste-peptid-medikament"/>
    <w:p>
      <w:pPr>
        <w:pStyle w:val="Heading3"/>
      </w:pPr>
      <w:r>
        <w:t xml:space="preserve">1922: Insulin – das erste Peptid-Medikament</w:t>
      </w:r>
    </w:p>
    <w:p>
      <w:pPr>
        <w:pStyle w:val="FirstParagraph"/>
      </w:pPr>
      <w:r>
        <w:t xml:space="preserve">Im Sommer 1921 gelang einer Gruppe an der Universität Toronto der entscheidende Schritt. Frederick Banting und Charles Best gewannen unter der Leitung von John Macleod einen Extrakt, der bei Hunden ohne Bauchspeicheldrüse den Blutzucker senkte. Der Biochemiker James Collip verbesserte die Reinigung so weit, dass der Extrakt am Menschen erprobt werden konnte. Im Januar 1922 erhielt ein 14-jähriger Junge mit schwerem Diabetes in Toronto die ersten Injektionen. Noch im selben Jahr berichtete die Gruppe über ihre Erfahrungen bei Patienten (Banting 1922, PMID 20314060).</w:t>
      </w:r>
    </w:p>
    <w:p>
      <w:pPr>
        <w:pStyle w:val="BodyText"/>
      </w:pPr>
      <w:r>
        <w:t xml:space="preserve">Der Effekt war dramatisch: Typ-1-Diabetes, bis dahin innerhalb kurzer Zeit tödlich, wurde zu einer behandelbaren chronischen Erkrankung. Eine Übersichtsarbeit zum hundertjährigen Jubiläum beschreibt genau diesen Wandel als den Kern der Entdeckung (Sims 2021, PMID 34267380). Banting und Macleod erhielten 1923 den Nobelpreis für Medizin.</w:t>
      </w:r>
    </w:p>
    <w:p>
      <w:pPr>
        <w:pStyle w:val="BodyText"/>
      </w:pPr>
      <w:r>
        <w:t xml:space="preserve">Die folgenden Jahrzehnte drehten sich, wie eine historische Übersicht zusammenfasst, um ganz praktische Fragen: genug Insulin herzustellen, es reiner zu machen, um allergische Reaktionen zu vermeiden, Standards festzulegen und die Wirkdauer zu verlängern, damit weniger Spritzen nötig sind (Owens 2022, PMID 34708913). Genau diese Themen – Herstellung, Reinheit, Wirkdauer, Verabreichung – begleiten die Peptidmedizin bis heute.</w:t>
      </w:r>
    </w:p>
    <w:bookmarkEnd w:id="50"/>
    <w:bookmarkStart w:id="51" w:name="X5cf975bfe7776b9d46750ae3aec2864e3c5cec6"/>
    <w:p>
      <w:pPr>
        <w:pStyle w:val="Heading3"/>
      </w:pPr>
      <w:r>
        <w:t xml:space="preserve">1950er-Jahre: Peptide werden lesbar und herstellbar</w:t>
      </w:r>
    </w:p>
    <w:p>
      <w:pPr>
        <w:pStyle w:val="FirstParagraph"/>
      </w:pPr>
      <w:r>
        <w:t xml:space="preserve">Lange war unklar, wie Insulin chemisch aufgebaut ist. Der britische Biochemiker Frederick Sanger entschlüsselte Anfang der 1950er-Jahre Schritt für Schritt die Abfolge der Aminosäuren in den beiden Insulinketten (Sanger 1952, PMID 13018185). Insulin war damit das erste Eiweißmolekül, dessen vollständige Sequenz bekannt war. Sanger erhielt dafür 1958 den Chemie-Nobelpreis. Die Erkenntnis, dass Eiweiße eine feste, genau definierte Reihenfolge von Bausteinen haben, war grundlegend für die gesamte Molekularbiologie.</w:t>
      </w:r>
    </w:p>
    <w:p>
      <w:pPr>
        <w:pStyle w:val="BodyText"/>
      </w:pPr>
      <w:r>
        <w:t xml:space="preserve">Fast zur gleichen Zeit gelang dem amerikanischen Chemiker Vincent du Vigneaud die erste chemische Herstellung eines Peptidhormons: Oxytocin, ein Hormon aus neun Aminosäuren, das Wehen und Milchfluss auslöst. Er wurde dafür 1955 mit dem Chemie-Nobelpreis ausgezeichnet. Zum ersten Mal war ein körpereigenes Hormon im Labor „nachgebaut“ worden – synthetisches Oxytocin wird in der Geburtshilfe bis heute eingesetzt.</w:t>
      </w:r>
    </w:p>
    <w:p>
      <w:pPr>
        <w:pStyle w:val="BodyText"/>
      </w:pPr>
      <w:r>
        <w:t xml:space="preserve">In den 1960er-Jahren entwickelte Robert Bruce Merrifield die Festphasen-Synthese, bei der eine Peptidkette an einem festen Träger Baustein für Baustein verlängert wird (Merrifield 1969, PMID 4307033). Das Verfahren ließ sich automatisieren und machte die Herstellung beliebiger kurzer Peptide erst praktikabel. Merrifield erhielt 1984 den Chemie-Nobelpreis. Ohne diese Technik gäbe es weder die meisten modernen Peptid-Arzneimittel noch den heutigen Graumarkt.</w:t>
      </w:r>
    </w:p>
    <w:bookmarkEnd w:id="51"/>
    <w:bookmarkStart w:id="52" w:name="er--und-1970er-jahre-messen-und-steuern"/>
    <w:p>
      <w:pPr>
        <w:pStyle w:val="Heading3"/>
      </w:pPr>
      <w:r>
        <w:t xml:space="preserve">1960er- und 1970er-Jahre: Messen und Steuern</w:t>
      </w:r>
    </w:p>
    <w:p>
      <w:pPr>
        <w:pStyle w:val="FirstParagraph"/>
      </w:pPr>
      <w:r>
        <w:t xml:space="preserve">Ein weiteres Hindernis war die Messbarkeit. Peptidhormone kommen im Blut in winzigen Mengen vor. Rosalyn Yalow und Solomon Berson entwickelten ein Messverfahren mit Antikörpern und radioaktiv markierten Molekülen, den Radioimmunoassay, und bestimmten damit erstmals Insulin im Blut von Menschen (Yalow 1960, PMID 13846364). Yalow erhielt 1977 den Nobelpreis. Plötzlich ließ sich verfolgen, wann der Körper welche Peptidhormone ausschüttet.</w:t>
      </w:r>
    </w:p>
    <w:p>
      <w:pPr>
        <w:pStyle w:val="BodyText"/>
      </w:pPr>
      <w:r>
        <w:t xml:space="preserve">Im selben Jahr wurden Roger Guillemin und Andrew Schally ausgezeichnet. Sie hatten die Peptid-Botenstoffe des Hypothalamus entschlüsselt – jener Hirnregion, die der Hirnanhangdrüse Befehle gibt. Aus diesen Entdeckungen gingen ganze Arzneimittelklassen hervor: Abwandlungen des Gonadotropin-Releasing-Hormons (GnRH) werden etwa bei Prostatakrebs, Endometriose und in der Kinderwunschbehandlung eingesetzt. Das Hormon Somatostatin wurde zum Vorbild für Octreotid, das bei hormonbildenden Tumoren und Akromegalie verwendet wird. Auch die Wachstumshormon-freisetzenden Peptide, die in Teil II ausführlich behandelt werden, haben hier ihre Wurzeln.</w:t>
      </w:r>
    </w:p>
    <w:bookmarkEnd w:id="52"/>
    <w:bookmarkStart w:id="53" w:name="er-jahre-gentechnik-verändert-alles"/>
    <w:p>
      <w:pPr>
        <w:pStyle w:val="Heading3"/>
      </w:pPr>
      <w:r>
        <w:t xml:space="preserve">1980er-Jahre: Gentechnik verändert alles</w:t>
      </w:r>
    </w:p>
    <w:p>
      <w:pPr>
        <w:pStyle w:val="FirstParagraph"/>
      </w:pPr>
      <w:r>
        <w:t xml:space="preserve">Bis in die 1980er-Jahre stammte Insulin aus Bauchspeicheldrüsen von Schlachttieren. Das menschliche Wachstumshormon wurde aus den Hirnanhangdrüsen Verstorbener gewonnen; dieser Zeitraum reichte von 1958 bis 1985 (Ranke 2018, PMID 29546874). Diese Gewinnung hatte eine tragische Kehrseite: Einige Kinder, die solches Hormon erhalten hatten, erkrankten Jahre später an der Creutzfeldt-Jakob-Krankheit, die durch verunreinigte Präparate übertragen worden war. Die Episode ist bis heute ein Mahnmal dafür, wie wichtig Reinheit und Herkunft bei biologischen Wirkstoffen sind.</w:t>
      </w:r>
    </w:p>
    <w:p>
      <w:pPr>
        <w:pStyle w:val="BodyText"/>
      </w:pPr>
      <w:r>
        <w:t xml:space="preserve">Die Gentechnik bot einen Ausweg. Humaninsulin, in Bakterien hergestellt, kam ab 1980 in klinischen Studien am Menschen zum Einsatz und war das erste Arzneimittel aus rekombinanter DNA-Technik (The 1989, PMID 2690608). Wenige Jahre später folgte rekombinantes Wachstumshormon. Erstmals standen menschliche Peptide und Proteine in praktisch unbegrenzter Menge zur Verfügung.</w:t>
      </w:r>
    </w:p>
    <w:p>
      <w:pPr>
        <w:pStyle w:val="BodyText"/>
      </w:pPr>
      <w:r>
        <w:t xml:space="preserve">In den 1990er-Jahren gingen die Hersteller einen Schritt weiter: Sie veränderten die Insulinmoleküle gezielt, um sie schneller oder langsamer wirken zu lassen. Diese „Insulin-Analoga“ waren ein Vorläufer des Prinzips, das später die GLP-1-Medikamente so erfolgreich machte: ein natürliches Vorbild, im Labor für die Anwendung optimiert.</w:t>
      </w:r>
    </w:p>
    <w:p>
      <w:pPr>
        <w:pStyle w:val="BodyText"/>
      </w:pPr>
      <w:r>
        <w:t xml:space="preserve">Auch andere Peptid-Arzneimittel etablierten sich. Ein Beispiel ist Teriparatid, ein Teilstück des Parathormons. In einer großen Studie mit 1.637 Frauen nach den Wechseljahren und Osteoporose traten neue Wirbelbrüche bei 14 % der Frauen mit Placebo auf, aber nur bei 5 % beziehungsweise 4 % in den beiden Teriparatid-Gruppen (Neer 2001, PMID 11346808). Solche Studien mit „harten“ Endpunkten wie Knochenbrüchen setzten den Maßstab, an dem sich auch neue Peptide messen lassen müssen.</w:t>
      </w:r>
    </w:p>
    <w:bookmarkEnd w:id="53"/>
    <w:bookmarkStart w:id="54" w:name="die-inkretine-vom-darm-zum-medikament"/>
    <w:p>
      <w:pPr>
        <w:pStyle w:val="Heading3"/>
      </w:pPr>
      <w:r>
        <w:t xml:space="preserve">Die Inkretine: vom Darm zum Medikament</w:t>
      </w:r>
    </w:p>
    <w:p>
      <w:pPr>
        <w:pStyle w:val="FirstParagraph"/>
      </w:pPr>
      <w:r>
        <w:t xml:space="preserve">Die Geschichte der GLP-1-Medikamente beginnt mit einer Beobachtung aus den 1960er-Jahren: Zucker, den man schluckt, löst eine viel stärkere Insulinausschüttung aus als dieselbe Menge Zucker, die direkt ins Blut gespritzt wird. Der Darm muss also beim Essen Signale an die Bauchspeicheldrüse senden. Diese Signalstoffe nannte man Inkretine.</w:t>
      </w:r>
    </w:p>
    <w:p>
      <w:pPr>
        <w:pStyle w:val="BodyText"/>
      </w:pPr>
      <w:r>
        <w:t xml:space="preserve">Das erste bekannte Inkretin war das GIP (glukoseabhängiges insulinotropes Polypeptid). In den 1980er-Jahren stieß man auf ein zweites: das Glucagon-like Peptide-1, kurz GLP-1. Eine britische Gruppe zeigte 1987, dass GLP-1 beim Menschen nach einer Mahlzeit im Blut ansteigt, dass es – in Mengen wie nach dem Essen infundiert – bei sieben Freiwilligen die Insulinausschüttung steigerte und den Blutzucker senkte und dass es dabei wirksamer war als GIP (Kreymann 1987, PMID 2890903).</w:t>
      </w:r>
    </w:p>
    <w:p>
      <w:pPr>
        <w:pStyle w:val="BodyText"/>
      </w:pPr>
      <w:r>
        <w:t xml:space="preserve">Das Problem: Natürliches GLP-1 wird im Blut innerhalb von Minuten durch das Enzym DPP-4 abgebaut (Deacon 1995, PMID 7883856). Als Medikament war es so kaum zu gebrauchen. Zwei Lösungswege wurden verfolgt: Hemmstoffe des Abbauenzyms (die sogenannten Gliptine, die als Tabletten zugelassen sind und keine Peptide sind) und stabile Nachbildungen des GLP-1 selbst.</w:t>
      </w:r>
    </w:p>
    <w:bookmarkEnd w:id="54"/>
    <w:bookmarkStart w:id="55" w:name="das-echsengift-exenatid"/>
    <w:p>
      <w:pPr>
        <w:pStyle w:val="Heading3"/>
      </w:pPr>
      <w:r>
        <w:t xml:space="preserve">Das Echsengift: Exenatid</w:t>
      </w:r>
    </w:p>
    <w:p>
      <w:pPr>
        <w:pStyle w:val="FirstParagraph"/>
      </w:pPr>
      <w:r>
        <w:t xml:space="preserve">Die erste stabile Nachbildung kam aus einer unerwarteten Richtung. Der amerikanische Endokrinologe John Eng untersuchte Anfang der 1990er-Jahre das Gift der Gila-Krustenechse (Heloderma suspectum), eines giftigen Reptils aus dem Südwesten der USA. Er isolierte daraus ein Peptid aus 39 Aminosäuren, das er Exendin-4 nannte (Eng 1992, PMID 1313797). Exendin-4 ähnelt dem menschlichen GLP-1, aktiviert denselben Rezeptor, wird aber von DPP-4 kaum angegriffen.</w:t>
      </w:r>
    </w:p>
    <w:p>
      <w:pPr>
        <w:pStyle w:val="BodyText"/>
      </w:pPr>
      <w:r>
        <w:t xml:space="preserve">Synthetisches Exendin-4 erhielt den Namen Exenatid und wurde 2005 in den USA als erstes Medikament dieser Klasse zugelassen. In einer der Zulassungsstudien mit 336 Menschen mit Typ-2-Diabetes, die bereits Metformin einnahmen, sank der Langzeit-Blutzuckerwert HbA1c nach 30 Wochen in der höheren Dosisgruppe um 0,78 Prozentpunkte, unter Placebo stieg er leicht um 0,08 Prozentpunkte. Gleichzeitig nahmen die Teilnehmenden mit Exenatid ab, in der höheren Dosis um 2,8 kg (DeFronzo 2005, PMID 15855572). Exenatid musste anfangs zweimal täglich gespritzt werden.</w:t>
      </w:r>
    </w:p>
    <w:p>
      <w:pPr>
        <w:pStyle w:val="BodyText"/>
      </w:pPr>
      <w:r>
        <w:t xml:space="preserve">Der Gewichtsverlust galt damals als willkommene Nebenwirkung. Dass genau dieser Effekt zwei Jahrzehnte später die ganze Klasse berühmt machen würde, ahnten damals wohl nur wenige.</w:t>
      </w:r>
    </w:p>
    <w:bookmarkEnd w:id="55"/>
    <w:bookmarkStart w:id="56" w:name="länger-wirksam-liraglutid-und-semaglutid"/>
    <w:p>
      <w:pPr>
        <w:pStyle w:val="Heading3"/>
      </w:pPr>
      <w:r>
        <w:t xml:space="preserve">Länger wirksam: Liraglutid und Semaglutid</w:t>
      </w:r>
    </w:p>
    <w:p>
      <w:pPr>
        <w:pStyle w:val="FirstParagraph"/>
      </w:pPr>
      <w:r>
        <w:t xml:space="preserve">Der dänische Hersteller Novo Nordisk ging einen anderen Weg. Statt ein fremdes Peptid zu verwenden, veränderte man das menschliche GLP-1 so, dass es sich im Blut an das Transporteiweiß Albumin bindet und dadurch langsamer abgebaut wird. Das Ergebnis war Liraglutid, das einmal täglich gespritzt wird und 2009 in der EU zugelassen wurde. Eine Übersicht der Entwickler beschreibt, wie dafür passende Kombinationen aus Fettsäure und Verbindungsstück gesucht wurden, um die Albuminbindung zu maximieren, ohne die Wirkung am Rezeptor zu verlieren (Knudsen 2019, PMID 31031702).</w:t>
      </w:r>
    </w:p>
    <w:p>
      <w:pPr>
        <w:pStyle w:val="BodyText"/>
      </w:pPr>
      <w:r>
        <w:t xml:space="preserve">Liraglutid wurde später in höherer Dosis auch zur Gewichtsbehandlung erprobt. In der Studie SCALE mit 3.731 Teilnehmenden ohne Diabetes verloren Menschen mit Liraglutid in 56 Wochen im Mittel 8,4 kg, mit Placebo 2,8 kg (Pi-Sunyer 2015, PMID 26132939).</w:t>
      </w:r>
    </w:p>
    <w:p>
      <w:pPr>
        <w:pStyle w:val="BodyText"/>
      </w:pPr>
      <w:r>
        <w:t xml:space="preserve">Den nächsten Schritt markierte Semaglutid: ein noch stärker an Albumin gebundenes Molekül, das nur einmal pro Woche gespritzt werden muss (Lau 2015, PMID 26308095). In der Zulassungsstudie STEP 1 mit 1.961 Erwachsenen mit Übergewicht oder Adipositas sank das Körpergewicht über 68 Wochen im Mittel um 14,9 %, unter Placebo um 2,4 % (Wilding 2021, PMID 33567185). Diese Größenordnung lag deutlich über allem, was frühere Abnehmmedikamente erreicht hatten.</w:t>
      </w:r>
    </w:p>
    <w:bookmarkEnd w:id="56"/>
    <w:bookmarkStart w:id="57" w:name="vom-blutzucker-zum-herzen"/>
    <w:p>
      <w:pPr>
        <w:pStyle w:val="Heading3"/>
      </w:pPr>
      <w:r>
        <w:t xml:space="preserve">Vom Blutzucker zum Herzen</w:t>
      </w:r>
    </w:p>
    <w:p>
      <w:pPr>
        <w:pStyle w:val="FirstParagraph"/>
      </w:pPr>
      <w:r>
        <w:t xml:space="preserve">Ein Wendepunkt kam, als die Behörden nach Problemen mit einem anderen Diabetesmittel ab 2008 von neuen Diabetes-Medikamenten verlangten, ihre Herz-Kreislauf-Sicherheit in großen Studien nachzuweisen. Diese Studien sollten eigentlich nur zeigen, dass die Mittel das Herz nicht gefährden. Bei den GLP-1-Medikamenten zeigten sie mehr.</w:t>
      </w:r>
    </w:p>
    <w:p>
      <w:pPr>
        <w:pStyle w:val="BodyText"/>
      </w:pPr>
      <w:r>
        <w:t xml:space="preserve">In der Studie LEADER mit 9.340 Menschen mit Typ-2-Diabetes und hohem Herz-Kreislauf-Risiko trat das kombinierte Ereignis aus Herz-Kreislauf-Tod, nicht tödlichem Herzinfarkt oder Schlaganfall unter Liraglutid bei 13,0 % auf, unter Placebo bei 14,9 % (Marso 2016, PMID 27295427). In der Studie SUSTAIN-6 mit 3.297 Teilnehmenden waren es unter Semaglutid 6,6 %, unter Placebo 8,9 %; allerdings traten unter Semaglutid häufiger Komplikationen an der Netzhaut auf (Marso 2016, PMID 27633186).</w:t>
      </w:r>
    </w:p>
    <w:p>
      <w:pPr>
        <w:pStyle w:val="BodyText"/>
      </w:pPr>
      <w:r>
        <w:t xml:space="preserve">2023 folgte die Studie SELECT, die erstmals Menschen mit Übergewicht und Herz-Kreislauf-Erkrankung, aber ohne Diabetes untersuchte. Bei 17.604 Teilnehmenden trat das kombinierte Herz-Kreislauf-Ereignis über im Mittel 39,8 Monate unter Semaglutid bei 6,5 % auf, unter Placebo bei 8,0 % (Lincoff 2023, PMID 37952131). Damit war gezeigt, dass ein Peptid-Medikament bei Adipositas nicht nur das Gewicht, sondern auch harte Ereignisse wie Herzinfarkte beeinflussen kann. Was diese Prozentzahlen bedeuten – und warum man zwischen relativen und absoluten Unterschieden unterscheiden muss –, erklärt das Kapitel „Studien richtig lesen“.</w:t>
      </w:r>
    </w:p>
    <w:bookmarkEnd w:id="57"/>
    <w:bookmarkStart w:id="58" w:name="die-tablette-und-die-mehrfach-agonisten"/>
    <w:p>
      <w:pPr>
        <w:pStyle w:val="Heading3"/>
      </w:pPr>
      <w:r>
        <w:t xml:space="preserve">Die Tablette und die Mehrfach-Agonisten</w:t>
      </w:r>
    </w:p>
    <w:p>
      <w:pPr>
        <w:pStyle w:val="FirstParagraph"/>
      </w:pPr>
      <w:r>
        <w:t xml:space="preserve">Zwei weitere Entwicklungen prägten die letzten Jahre.</w:t>
      </w:r>
    </w:p>
    <w:p>
      <w:pPr>
        <w:pStyle w:val="BodyText"/>
      </w:pPr>
      <w:r>
        <w:rPr>
          <w:bCs/>
          <w:b/>
        </w:rPr>
        <w:t xml:space="preserve">Die erste Peptid-Tablette dieser Klasse.</w:t>
      </w:r>
      <w:r>
        <w:t xml:space="preserve"> </w:t>
      </w:r>
      <w:r>
        <w:t xml:space="preserve">Mit einem speziellen Hilfsstoff gelang es, Semaglutid als Tablette verfügbar zu machen. In der Studie PIONEER 1 senkte orales Semaglutid den HbA1c-Wert bei Menschen mit Typ-2-Diabetes deutlich stärker als Placebo (Aroda 2019, PMID 31186300). Wie das technisch funktioniert, erklärt das nächste Kapitel.</w:t>
      </w:r>
    </w:p>
    <w:p>
      <w:pPr>
        <w:pStyle w:val="BodyText"/>
      </w:pPr>
      <w:r>
        <w:rPr>
          <w:bCs/>
          <w:b/>
        </w:rPr>
        <w:t xml:space="preserve">Kombinierte Wirkstoffe.</w:t>
      </w:r>
      <w:r>
        <w:t xml:space="preserve"> </w:t>
      </w:r>
      <w:r>
        <w:t xml:space="preserve">Tirzepatid aktiviert gleichzeitig den GLP-1- und den GIP-Rezeptor. In der Studie SURMOUNT-1 mit 2.539 Erwachsenen mit Adipositas betrug der mittlere Gewichtsverlust nach 72 Wochen je nach Dosis 15,0 % bis 20,9 %, unter Placebo 3,1 % (Jastreboff 2022, PMID 35658024). Inzwischen werden Dreifach-Agonisten wie Retatrutid sowie Kombinationen mit dem Hormon Amylin in großen Studien geprüft. Teil II stellt sie einzeln vor, Teil V wirft einen Blick auf die Pipeline.</w:t>
      </w:r>
    </w:p>
    <w:p>
      <w:pPr>
        <w:pStyle w:val="BodyText"/>
      </w:pPr>
      <w:r>
        <w:t xml:space="preserve">Bemerkenswert ist, dass das Inkretin GIP, das in den 1980er-Jahren gegenüber GLP-1 als schwächer galt (Kreymann 1987, PMID 2890903), in Kombination wieder eine Rolle spielt. Die Forschung verläuft selten geradlinig.</w:t>
      </w:r>
    </w:p>
    <w:bookmarkEnd w:id="58"/>
    <w:bookmarkStart w:id="59" w:name="die-kehrseite-des-erfolgs"/>
    <w:p>
      <w:pPr>
        <w:pStyle w:val="Heading3"/>
      </w:pPr>
      <w:r>
        <w:t xml:space="preserve">Die Kehrseite des Erfolgs</w:t>
      </w:r>
    </w:p>
    <w:p>
      <w:pPr>
        <w:pStyle w:val="FirstParagraph"/>
      </w:pPr>
      <w:r>
        <w:t xml:space="preserve">Der enorme Erfolg der GLP-1-Medikamente hatte Nebenwirkungen jenseits der Pharmakologie. Lieferengpässe ab 2022 führten dazu, dass Menschen mit Diabetes ihre Medikamente zeitweise nicht bekamen. In den USA nutzten Apotheken eine Ausnahmeregel, um Nachahmerpräparate herzustellen. Weltweit tauchten Fälschungen auf, die in einigen Fällen statt Semaglutid Insulin enthielten. Und das wachsende Interesse an „Peptiden“ allgemein öffnete einen Markt für Stoffe, die nie ordentlich am Menschen untersucht wurden. Das Kapitel über den Graumarkt geht darauf ausführlich ein.</w:t>
      </w:r>
    </w:p>
    <w:bookmarkEnd w:id="59"/>
    <w:bookmarkStart w:id="60" w:name="was-die-geschichte-lehrt"/>
    <w:p>
      <w:pPr>
        <w:pStyle w:val="Heading3"/>
      </w:pPr>
      <w:r>
        <w:t xml:space="preserve">Was die Geschichte lehrt</w:t>
      </w:r>
    </w:p>
    <w:p>
      <w:pPr>
        <w:pStyle w:val="FirstParagraph"/>
      </w:pPr>
      <w:r>
        <w:t xml:space="preserve">Aus hundert Jahren Peptidmedizin lassen sich einige Lehren ziehen, die für die Bewertung der Stoffe in diesem Buch nützlich sind:</w:t>
      </w:r>
    </w:p>
    <w:p>
      <w:pPr>
        <w:numPr>
          <w:ilvl w:val="0"/>
          <w:numId w:val="1009"/>
        </w:numPr>
        <w:pStyle w:val="Compact"/>
      </w:pPr>
      <w:r>
        <w:rPr>
          <w:bCs/>
          <w:b/>
        </w:rPr>
        <w:t xml:space="preserve">Reinheit ist kein Detail.</w:t>
      </w:r>
      <w:r>
        <w:t xml:space="preserve"> </w:t>
      </w:r>
      <w:r>
        <w:t xml:space="preserve">Von den verunreinigten Insulin-Extrakten der Frühzeit bis zum Wachstumshormon aus Leichen-Hirnanhangdrüsen zeigt die Geschichte, dass Herstellungsqualität über Leben und Tod entscheiden kann.</w:t>
      </w:r>
    </w:p>
    <w:p>
      <w:pPr>
        <w:numPr>
          <w:ilvl w:val="0"/>
          <w:numId w:val="1009"/>
        </w:numPr>
        <w:pStyle w:val="Compact"/>
      </w:pPr>
      <w:r>
        <w:rPr>
          <w:bCs/>
          <w:b/>
        </w:rPr>
        <w:t xml:space="preserve">Wirkmechanismus ist nicht gleich Nutzen.</w:t>
      </w:r>
      <w:r>
        <w:t xml:space="preserve"> </w:t>
      </w:r>
      <w:r>
        <w:t xml:space="preserve">Dass ein Peptid an einem Rezeptor wirkt, bedeutet noch nicht, dass es Menschen nützt. Bei den GLP-1-Medikamenten waren dafür große Studien mit Tausenden Teilnehmenden und mehrjähriger Beobachtung nötig.</w:t>
      </w:r>
    </w:p>
    <w:p>
      <w:pPr>
        <w:numPr>
          <w:ilvl w:val="0"/>
          <w:numId w:val="1009"/>
        </w:numPr>
        <w:pStyle w:val="Compact"/>
      </w:pPr>
      <w:r>
        <w:rPr>
          <w:bCs/>
          <w:b/>
        </w:rPr>
        <w:t xml:space="preserve">Überraschungen gibt es in beide Richtungen.</w:t>
      </w:r>
      <w:r>
        <w:t xml:space="preserve"> </w:t>
      </w:r>
      <w:r>
        <w:t xml:space="preserve">Der Gewichtsverlust durch Exenatid war zunächst eine Randnotiz, die Herzschutz-Effekte wurden in Sicherheitsstudien entdeckt. Umgekehrt zeigten sich in großen Studien auch unerwartete Risiken, etwa die Netzhaut-Komplikationen in SUSTAIN-6.</w:t>
      </w:r>
    </w:p>
    <w:p>
      <w:pPr>
        <w:numPr>
          <w:ilvl w:val="0"/>
          <w:numId w:val="1009"/>
        </w:numPr>
        <w:pStyle w:val="Compact"/>
      </w:pPr>
      <w:r>
        <w:rPr>
          <w:bCs/>
          <w:b/>
        </w:rPr>
        <w:t xml:space="preserve">Gute Ideen brauchen Zeit.</w:t>
      </w:r>
      <w:r>
        <w:t xml:space="preserve"> </w:t>
      </w:r>
      <w:r>
        <w:t xml:space="preserve">Zwischen der Beschreibung von GLP-1 beim Menschen 1987 und der Zulassung von Semaglutid zur Gewichtsbehandlung vergingen mehr als drei Jahrzehnte. Peptide, die heute im Internet als „Durchbruch“ beworben werden, ohne dass es eine einzige kontrollierte Studie am Menschen gibt, stehen bestenfalls am Anfang eines solchen Weges.</w:t>
      </w:r>
    </w:p>
    <w:bookmarkEnd w:id="60"/>
    <w:bookmarkStart w:id="61" w:name="zeittafel"/>
    <w:p>
      <w:pPr>
        <w:pStyle w:val="Heading3"/>
      </w:pPr>
      <w:r>
        <w:t xml:space="preserve">Zeittafel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Jahr</w:t>
            </w:r>
          </w:p>
        </w:tc>
        <w:tc>
          <w:tcPr/>
          <w:p>
            <w:pPr>
              <w:pStyle w:val="Compact"/>
              <w:jc w:val="left"/>
            </w:pPr>
            <w:r>
              <w:t xml:space="preserve">Ereignis</w:t>
            </w:r>
          </w:p>
        </w:tc>
      </w:tr>
      <w:tr>
        <w:tc>
          <w:tcPr/>
          <w:p>
            <w:pPr>
              <w:pStyle w:val="Compact"/>
              <w:jc w:val="left"/>
            </w:pPr>
            <w:r>
              <w:t xml:space="preserve">1902</w:t>
            </w:r>
          </w:p>
        </w:tc>
        <w:tc>
          <w:tcPr/>
          <w:p>
            <w:pPr>
              <w:pStyle w:val="Compact"/>
              <w:jc w:val="left"/>
            </w:pPr>
            <w:r>
              <w:t xml:space="preserve">Sekretin beschrieben, erstes Hormon (ein Peptid)</w:t>
            </w:r>
          </w:p>
        </w:tc>
      </w:tr>
      <w:tr>
        <w:tc>
          <w:tcPr/>
          <w:p>
            <w:pPr>
              <w:pStyle w:val="Compact"/>
              <w:jc w:val="left"/>
            </w:pPr>
            <w:r>
              <w:t xml:space="preserve">1922</w:t>
            </w:r>
          </w:p>
        </w:tc>
        <w:tc>
          <w:tcPr/>
          <w:p>
            <w:pPr>
              <w:pStyle w:val="Compact"/>
              <w:jc w:val="left"/>
            </w:pPr>
            <w:r>
              <w:t xml:space="preserve">Erste Insulin-Behandlung eines Menschen in Toronto</w:t>
            </w:r>
          </w:p>
        </w:tc>
      </w:tr>
      <w:tr>
        <w:tc>
          <w:tcPr/>
          <w:p>
            <w:pPr>
              <w:pStyle w:val="Compact"/>
              <w:jc w:val="left"/>
            </w:pPr>
            <w:r>
              <w:t xml:space="preserve">1951–1955</w:t>
            </w:r>
          </w:p>
        </w:tc>
        <w:tc>
          <w:tcPr/>
          <w:p>
            <w:pPr>
              <w:pStyle w:val="Compact"/>
              <w:jc w:val="left"/>
            </w:pPr>
            <w:r>
              <w:t xml:space="preserve">Sanger entschlüsselt die Insulinsequenz</w:t>
            </w:r>
          </w:p>
        </w:tc>
      </w:tr>
      <w:tr>
        <w:tc>
          <w:tcPr/>
          <w:p>
            <w:pPr>
              <w:pStyle w:val="Compact"/>
              <w:jc w:val="left"/>
            </w:pPr>
            <w:r>
              <w:t xml:space="preserve">1953</w:t>
            </w:r>
          </w:p>
        </w:tc>
        <w:tc>
          <w:tcPr/>
          <w:p>
            <w:pPr>
              <w:pStyle w:val="Compact"/>
              <w:jc w:val="left"/>
            </w:pPr>
            <w:r>
              <w:t xml:space="preserve">Erste chemische Synthese eines Peptidhormons (Oxytocin)</w:t>
            </w:r>
          </w:p>
        </w:tc>
      </w:tr>
      <w:tr>
        <w:tc>
          <w:tcPr/>
          <w:p>
            <w:pPr>
              <w:pStyle w:val="Compact"/>
              <w:jc w:val="left"/>
            </w:pPr>
            <w:r>
              <w:t xml:space="preserve">1960er</w:t>
            </w:r>
          </w:p>
        </w:tc>
        <w:tc>
          <w:tcPr/>
          <w:p>
            <w:pPr>
              <w:pStyle w:val="Compact"/>
              <w:jc w:val="left"/>
            </w:pPr>
            <w:r>
              <w:t xml:space="preserve">Festphasen-Synthese (Merrifield), Radioimmunoassay</w:t>
            </w:r>
          </w:p>
        </w:tc>
      </w:tr>
      <w:tr>
        <w:tc>
          <w:tcPr/>
          <w:p>
            <w:pPr>
              <w:pStyle w:val="Compact"/>
              <w:jc w:val="left"/>
            </w:pPr>
            <w:r>
              <w:t xml:space="preserve">1980</w:t>
            </w:r>
          </w:p>
        </w:tc>
        <w:tc>
          <w:tcPr/>
          <w:p>
            <w:pPr>
              <w:pStyle w:val="Compact"/>
              <w:jc w:val="left"/>
            </w:pPr>
            <w:r>
              <w:t xml:space="preserve">Humaninsulin aus Gentechnik in klinischen Studien</w:t>
            </w:r>
          </w:p>
        </w:tc>
      </w:tr>
      <w:tr>
        <w:tc>
          <w:tcPr/>
          <w:p>
            <w:pPr>
              <w:pStyle w:val="Compact"/>
              <w:jc w:val="left"/>
            </w:pPr>
            <w:r>
              <w:t xml:space="preserve">1985</w:t>
            </w:r>
          </w:p>
        </w:tc>
        <w:tc>
          <w:tcPr/>
          <w:p>
            <w:pPr>
              <w:pStyle w:val="Compact"/>
              <w:jc w:val="left"/>
            </w:pPr>
            <w:r>
              <w:t xml:space="preserve">Ende der Wachstumshormon-Gewinnung aus Hirnanhangdrüsen</w:t>
            </w:r>
          </w:p>
        </w:tc>
      </w:tr>
      <w:tr>
        <w:tc>
          <w:tcPr/>
          <w:p>
            <w:pPr>
              <w:pStyle w:val="Compact"/>
              <w:jc w:val="left"/>
            </w:pPr>
            <w:r>
              <w:t xml:space="preserve">1987</w:t>
            </w:r>
          </w:p>
        </w:tc>
        <w:tc>
          <w:tcPr/>
          <w:p>
            <w:pPr>
              <w:pStyle w:val="Compact"/>
              <w:jc w:val="left"/>
            </w:pPr>
            <w:r>
              <w:t xml:space="preserve">GLP-1 als Inkretin beim Menschen beschrieben</w:t>
            </w:r>
          </w:p>
        </w:tc>
      </w:tr>
      <w:tr>
        <w:tc>
          <w:tcPr/>
          <w:p>
            <w:pPr>
              <w:pStyle w:val="Compact"/>
              <w:jc w:val="left"/>
            </w:pPr>
            <w:r>
              <w:t xml:space="preserve">1992</w:t>
            </w:r>
          </w:p>
        </w:tc>
        <w:tc>
          <w:tcPr/>
          <w:p>
            <w:pPr>
              <w:pStyle w:val="Compact"/>
              <w:jc w:val="left"/>
            </w:pPr>
            <w:r>
              <w:t xml:space="preserve">Exendin-4 im Echsengift entdeckt</w:t>
            </w:r>
          </w:p>
        </w:tc>
      </w:tr>
      <w:tr>
        <w:tc>
          <w:tcPr/>
          <w:p>
            <w:pPr>
              <w:pStyle w:val="Compact"/>
              <w:jc w:val="left"/>
            </w:pPr>
            <w:r>
              <w:t xml:space="preserve">2005</w:t>
            </w:r>
          </w:p>
        </w:tc>
        <w:tc>
          <w:tcPr/>
          <w:p>
            <w:pPr>
              <w:pStyle w:val="Compact"/>
              <w:jc w:val="left"/>
            </w:pPr>
            <w:r>
              <w:t xml:space="preserve">Exenatid in den USA zugelassen</w:t>
            </w:r>
          </w:p>
        </w:tc>
      </w:tr>
      <w:tr>
        <w:tc>
          <w:tcPr/>
          <w:p>
            <w:pPr>
              <w:pStyle w:val="Compact"/>
              <w:jc w:val="left"/>
            </w:pPr>
            <w:r>
              <w:t xml:space="preserve">2009</w:t>
            </w:r>
          </w:p>
        </w:tc>
        <w:tc>
          <w:tcPr/>
          <w:p>
            <w:pPr>
              <w:pStyle w:val="Compact"/>
              <w:jc w:val="left"/>
            </w:pPr>
            <w:r>
              <w:t xml:space="preserve">Liraglutid in der EU zugelassen</w:t>
            </w:r>
          </w:p>
        </w:tc>
      </w:tr>
      <w:tr>
        <w:tc>
          <w:tcPr/>
          <w:p>
            <w:pPr>
              <w:pStyle w:val="Compact"/>
              <w:jc w:val="left"/>
            </w:pPr>
            <w:r>
              <w:t xml:space="preserve">2016</w:t>
            </w:r>
          </w:p>
        </w:tc>
        <w:tc>
          <w:tcPr/>
          <w:p>
            <w:pPr>
              <w:pStyle w:val="Compact"/>
              <w:jc w:val="left"/>
            </w:pPr>
            <w:r>
              <w:t xml:space="preserve">LEADER und SUSTAIN-6: weniger Herz-Kreislauf-Ereignisse</w:t>
            </w:r>
          </w:p>
        </w:tc>
      </w:tr>
      <w:tr>
        <w:tc>
          <w:tcPr/>
          <w:p>
            <w:pPr>
              <w:pStyle w:val="Compact"/>
              <w:jc w:val="left"/>
            </w:pPr>
            <w:r>
              <w:t xml:space="preserve">2019</w:t>
            </w:r>
          </w:p>
        </w:tc>
        <w:tc>
          <w:tcPr/>
          <w:p>
            <w:pPr>
              <w:pStyle w:val="Compact"/>
              <w:jc w:val="left"/>
            </w:pPr>
            <w:r>
              <w:t xml:space="preserve">Erste GLP-1-Tablette (orales Semaglutid)</w:t>
            </w:r>
          </w:p>
        </w:tc>
      </w:tr>
      <w:tr>
        <w:tc>
          <w:tcPr/>
          <w:p>
            <w:pPr>
              <w:pStyle w:val="Compact"/>
              <w:jc w:val="left"/>
            </w:pPr>
            <w:r>
              <w:t xml:space="preserve">2021</w:t>
            </w:r>
          </w:p>
        </w:tc>
        <w:tc>
          <w:tcPr/>
          <w:p>
            <w:pPr>
              <w:pStyle w:val="Compact"/>
              <w:jc w:val="left"/>
            </w:pPr>
            <w:r>
              <w:t xml:space="preserve">Semaglutid zur Gewichtsbehandlung (STEP-Programm)</w:t>
            </w:r>
          </w:p>
        </w:tc>
      </w:tr>
      <w:tr>
        <w:tc>
          <w:tcPr/>
          <w:p>
            <w:pPr>
              <w:pStyle w:val="Compact"/>
              <w:jc w:val="left"/>
            </w:pPr>
            <w:r>
              <w:t xml:space="preserve">2022</w:t>
            </w:r>
          </w:p>
        </w:tc>
        <w:tc>
          <w:tcPr/>
          <w:p>
            <w:pPr>
              <w:pStyle w:val="Compact"/>
              <w:jc w:val="left"/>
            </w:pPr>
            <w:r>
              <w:t xml:space="preserve">Tirzepatid: erster GIP/GLP-1-Doppelagonist</w:t>
            </w:r>
          </w:p>
        </w:tc>
      </w:tr>
      <w:tr>
        <w:tc>
          <w:tcPr/>
          <w:p>
            <w:pPr>
              <w:pStyle w:val="Compact"/>
              <w:jc w:val="left"/>
            </w:pPr>
            <w:r>
              <w:t xml:space="preserve">2023</w:t>
            </w:r>
          </w:p>
        </w:tc>
        <w:tc>
          <w:tcPr/>
          <w:p>
            <w:pPr>
              <w:pStyle w:val="Compact"/>
              <w:jc w:val="left"/>
            </w:pPr>
            <w:r>
              <w:t xml:space="preserve">SELECT: Herzschutz bei Adipositas ohne Diabetes</w:t>
            </w:r>
          </w:p>
        </w:tc>
      </w:tr>
    </w:tbl>
    <w:p>
      <w:pPr>
        <w:pStyle w:val="BodyText"/>
      </w:pPr>
      <w:r>
        <w:t xml:space="preserve">Die Zulassungsjahre beziehen sich auf die jeweils erste Zulassung; in anderen Ländern und für weitere Anwendungsgebiete gelten teils andere Daten. Stand 2026, bitte bei Bedarf aktuell prüfen.</w:t>
      </w:r>
    </w:p>
    <w:bookmarkEnd w:id="61"/>
    <w:bookmarkEnd w:id="62"/>
    <w:bookmarkStart w:id="76" w:name="Xb960cb453f746deee6def8cad91e4d644b41640"/>
    <w:p>
      <w:pPr>
        <w:pStyle w:val="Heading2"/>
      </w:pPr>
      <w:r>
        <w:t xml:space="preserve">Wie Peptide in den Körper kommen – und warum das schwierig ist</w:t>
      </w:r>
    </w:p>
    <w:p>
      <w:pPr>
        <w:pStyle w:val="FirstParagraph"/>
      </w:pPr>
      <w:r>
        <w:t xml:space="preserve">Fast jedes Peptid-Arzneimittel, das Sie kennen, wird gespritzt: Insulin, Semaglutid, Tirzepatid, Teriparatid. Das ist kein Zufall und keine Vorliebe der Pharmaindustrie, sondern eine Folge der Biologie. Der menschliche Körper ist hervorragend darin, Eiweiße und Peptide zu zerlegen – schließlich lebt er davon, die Eiweiße aus der Nahrung in ihre Bausteine aufzuspalten. Dieses Kapitel erklärt, welche Hürden ein Peptid auf dem Weg zu seinem Wirkort überwinden muss, welche Wege die Medizin gefunden hat und warum viele Versprechen zu Tropfen, Kapseln und Cremes mit Vorsicht zu betrachten sind.</w:t>
      </w:r>
    </w:p>
    <w:bookmarkStart w:id="63" w:name="das-grundproblem-bioverfügbarkeit"/>
    <w:p>
      <w:pPr>
        <w:pStyle w:val="Heading3"/>
      </w:pPr>
      <w:r>
        <w:t xml:space="preserve">Das Grundproblem: Bioverfügbarkeit</w:t>
      </w:r>
    </w:p>
    <w:p>
      <w:pPr>
        <w:pStyle w:val="FirstParagraph"/>
      </w:pPr>
      <w:r>
        <w:t xml:space="preserve">Ein zentraler Begriff in diesem Kapitel ist die</w:t>
      </w:r>
      <w:r>
        <w:t xml:space="preserve"> </w:t>
      </w:r>
      <w:r>
        <w:rPr>
          <w:bCs/>
          <w:b/>
        </w:rPr>
        <w:t xml:space="preserve">Bioverfügbarkeit</w:t>
      </w:r>
      <w:r>
        <w:t xml:space="preserve">. Sie gibt an, welcher Anteil einer verabreichten Menge tatsächlich unverändert im Blutkreislauf ankommt. Bei einer Infusion direkt in die Vene sind das definitionsgemäß 100 %. Bei allen anderen Wegen geht ein Teil verloren – durch Abbau, durch Barrieren oder weil der Stoff einfach wieder ausgeschieden wird.</w:t>
      </w:r>
    </w:p>
    <w:p>
      <w:pPr>
        <w:pStyle w:val="BodyText"/>
      </w:pPr>
      <w:r>
        <w:t xml:space="preserve">Für Peptide ist die Bioverfügbarkeit besonders kritisch, weil drei Eigenschaften zusammenkommen:</w:t>
      </w:r>
    </w:p>
    <w:p>
      <w:pPr>
        <w:numPr>
          <w:ilvl w:val="0"/>
          <w:numId w:val="1010"/>
        </w:numPr>
        <w:pStyle w:val="Compact"/>
      </w:pPr>
      <w:r>
        <w:rPr>
          <w:bCs/>
          <w:b/>
        </w:rPr>
        <w:t xml:space="preserve">Sie sind empfindlich gegenüber Enzymen.</w:t>
      </w:r>
      <w:r>
        <w:t xml:space="preserve"> </w:t>
      </w:r>
      <w:r>
        <w:t xml:space="preserve">Peptidbindungen werden von Verdauungsenzymen wie Pepsin im Magen oder Trypsin im Dünndarm gezielt gespalten, außerdem von zahlreichen Enzymen im Blut und in Geweben.</w:t>
      </w:r>
    </w:p>
    <w:p>
      <w:pPr>
        <w:numPr>
          <w:ilvl w:val="0"/>
          <w:numId w:val="1010"/>
        </w:numPr>
        <w:pStyle w:val="Compact"/>
      </w:pPr>
      <w:r>
        <w:rPr>
          <w:bCs/>
          <w:b/>
        </w:rPr>
        <w:t xml:space="preserve">Sie sind groß.</w:t>
      </w:r>
      <w:r>
        <w:t xml:space="preserve"> </w:t>
      </w:r>
      <w:r>
        <w:t xml:space="preserve">Verglichen mit klassischen Arzneistoffen wie Ibuprofen sind die meisten Peptide riesig. Schon ein Peptid aus zehn Aminosäuren wiegt mehr als 1.000 Dalton.</w:t>
      </w:r>
    </w:p>
    <w:p>
      <w:pPr>
        <w:numPr>
          <w:ilvl w:val="0"/>
          <w:numId w:val="1010"/>
        </w:numPr>
        <w:pStyle w:val="Compact"/>
      </w:pPr>
      <w:r>
        <w:rPr>
          <w:bCs/>
          <w:b/>
        </w:rPr>
        <w:t xml:space="preserve">Sie sind meist wasserlöslich und oft elektrisch geladen.</w:t>
      </w:r>
      <w:r>
        <w:t xml:space="preserve"> </w:t>
      </w:r>
      <w:r>
        <w:t xml:space="preserve">Damit tun sie sich schwer, durch die fetthaltigen Hüllen von Zellen zu gelangen.</w:t>
      </w:r>
    </w:p>
    <w:p>
      <w:pPr>
        <w:pStyle w:val="FirstParagraph"/>
      </w:pPr>
      <w:r>
        <w:t xml:space="preserve">Jeder Verabreichungsweg ist ein Versuch, diese Hürden zu umgehen. Eine Übersichtsarbeit zu oralen Peptiden fasst zusammen, dass Protein- und Peptidwirkstoffe in aller Regel unter Umgehung des Verdauungstrakts verabreicht werden müssen, was die Therapietreue beeinträchtigen kann (Drucker 2020, PMID 31848464).</w:t>
      </w:r>
    </w:p>
    <w:bookmarkEnd w:id="63"/>
    <w:bookmarkStart w:id="64" w:name="die-spritze-standardweg-mit-nachteilen"/>
    <w:p>
      <w:pPr>
        <w:pStyle w:val="Heading3"/>
      </w:pPr>
      <w:r>
        <w:t xml:space="preserve">Die Spritze: Standardweg mit Nachteilen</w:t>
      </w:r>
    </w:p>
    <w:p>
      <w:pPr>
        <w:pStyle w:val="FirstParagraph"/>
      </w:pPr>
      <w:r>
        <w:t xml:space="preserve">Die meisten Peptid-Arzneimittel werden</w:t>
      </w:r>
      <w:r>
        <w:t xml:space="preserve"> </w:t>
      </w:r>
      <w:r>
        <w:rPr>
          <w:bCs/>
          <w:b/>
        </w:rPr>
        <w:t xml:space="preserve">subkutan</w:t>
      </w:r>
      <w:r>
        <w:t xml:space="preserve"> </w:t>
      </w:r>
      <w:r>
        <w:t xml:space="preserve">gespritzt, also in das Unterhautfettgewebe – typischerweise am Bauch, am Oberschenkel oder am Oberarm. Von dort gelangt der Wirkstoff über kleine Blutgefäße und Lymphbahnen in den Kreislauf. Die Bioverfügbarkeit ist hoch, und Patientinnen und Patienten können die Spritze nach Schulung selbst setzen. Seltener werden Peptide in den Muskel (</w:t>
      </w:r>
      <w:r>
        <w:rPr>
          <w:bCs/>
          <w:b/>
        </w:rPr>
        <w:t xml:space="preserve">intramuskulär</w:t>
      </w:r>
      <w:r>
        <w:t xml:space="preserve">) oder direkt in die Vene (</w:t>
      </w:r>
      <w:r>
        <w:rPr>
          <w:bCs/>
          <w:b/>
        </w:rPr>
        <w:t xml:space="preserve">intravenös</w:t>
      </w:r>
      <w:r>
        <w:t xml:space="preserve">) gegeben, etwa im Krankenhaus.</w:t>
      </w:r>
    </w:p>
    <w:p>
      <w:pPr>
        <w:pStyle w:val="BodyText"/>
      </w:pPr>
      <w:r>
        <w:t xml:space="preserve">Die Spritze umgeht zwar den Verdauungstrakt, nicht aber die Enzyme im Blut. Deshalb hat die Pharmaforschung viel Mühe darauf verwendet, Peptide länger haltbar zu machen:</w:t>
      </w:r>
    </w:p>
    <w:p>
      <w:pPr>
        <w:numPr>
          <w:ilvl w:val="0"/>
          <w:numId w:val="1011"/>
        </w:numPr>
        <w:pStyle w:val="Compact"/>
      </w:pPr>
      <w:r>
        <w:rPr>
          <w:bCs/>
          <w:b/>
        </w:rPr>
        <w:t xml:space="preserve">Austausch von Aminosäuren</w:t>
      </w:r>
      <w:r>
        <w:t xml:space="preserve"> </w:t>
      </w:r>
      <w:r>
        <w:t xml:space="preserve">an den Stellen, an denen Enzyme angreifen.</w:t>
      </w:r>
    </w:p>
    <w:p>
      <w:pPr>
        <w:numPr>
          <w:ilvl w:val="0"/>
          <w:numId w:val="1011"/>
        </w:numPr>
        <w:pStyle w:val="Compact"/>
      </w:pPr>
      <w:r>
        <w:rPr>
          <w:bCs/>
          <w:b/>
        </w:rPr>
        <w:t xml:space="preserve">Anhängen von Fettsäuren</w:t>
      </w:r>
      <w:r>
        <w:t xml:space="preserve">, damit sich das Peptid an das Bluteiweiß Albumin bindet. Liraglutid und Semaglutid nutzen dieses Prinzip (Knudsen 2019, PMID 31031702). Bei Semaglutid ergibt sich so eine Halbwertszeit von etwa einer Woche (Marso 2016, PMID 27633186).</w:t>
      </w:r>
    </w:p>
    <w:p>
      <w:pPr>
        <w:numPr>
          <w:ilvl w:val="0"/>
          <w:numId w:val="1011"/>
        </w:numPr>
        <w:pStyle w:val="Compact"/>
      </w:pPr>
      <w:r>
        <w:rPr>
          <w:bCs/>
          <w:b/>
        </w:rPr>
        <w:t xml:space="preserve">Kopplung an größere Moleküle</w:t>
      </w:r>
      <w:r>
        <w:t xml:space="preserve">, etwa an Teile von Antikörpern oder an Polymere wie Polyethylenglykol. Dulaglutid ist ein Beispiel für ein GLP-1-Molekül, das an ein Antikörperfragment gebunden ist.</w:t>
      </w:r>
    </w:p>
    <w:p>
      <w:pPr>
        <w:numPr>
          <w:ilvl w:val="0"/>
          <w:numId w:val="1011"/>
        </w:numPr>
        <w:pStyle w:val="Compact"/>
      </w:pPr>
      <w:r>
        <w:rPr>
          <w:bCs/>
          <w:b/>
        </w:rPr>
        <w:t xml:space="preserve">Depotformen</w:t>
      </w:r>
      <w:r>
        <w:t xml:space="preserve">, bei denen der Wirkstoff in winzige Kügelchen oder Gele eingebettet ist, aus denen er langsam freigesetzt wird.</w:t>
      </w:r>
    </w:p>
    <w:p>
      <w:pPr>
        <w:pStyle w:val="FirstParagraph"/>
      </w:pPr>
      <w:r>
        <w:t xml:space="preserve">Für die Anwenderinnen und Anwender bringt die Spritze auch Pflichten mit sich: Das Produkt muss steril sein, die Nadel darf nur einmal verwendet werden, und viele Präparate müssen gekühlt gelagert werden. Fertigpens mit eingestellten Dosisschritten verringern das Risiko von Fehlern deutlich. Wie wichtig das ist, zeigt eine Fallserie aus einem US-Giftinformationszentrum: Bei Semaglutid, das in Apotheken als Fläschchen mit Spritzen abgegeben worden war, kam es zu zehnfachen Überdosierungen, unter anderem weil Milliliter, „Einheiten“ und Milligramm verwechselt wurden (Lambson 2023, PMID 37392810). Mehr dazu im Kapitel über den Graumarkt.</w:t>
      </w:r>
    </w:p>
    <w:bookmarkEnd w:id="64"/>
    <w:bookmarkStart w:id="65" w:name="die-tablette-der-schwierigste-weg"/>
    <w:p>
      <w:pPr>
        <w:pStyle w:val="Heading3"/>
      </w:pPr>
      <w:r>
        <w:t xml:space="preserve">Die Tablette: der schwierigste Weg</w:t>
      </w:r>
    </w:p>
    <w:p>
      <w:pPr>
        <w:pStyle w:val="FirstParagraph"/>
      </w:pPr>
      <w:r>
        <w:t xml:space="preserve">Eine Tablette wäre für die meisten Menschen die bequemste Lösung. Für Peptide ist sie zugleich die anspruchsvollste. Auf dem Weg vom Mund ins Blut lauern mehrere Hindernisse:</w:t>
      </w:r>
    </w:p>
    <w:p>
      <w:pPr>
        <w:numPr>
          <w:ilvl w:val="0"/>
          <w:numId w:val="1012"/>
        </w:numPr>
        <w:pStyle w:val="Compact"/>
      </w:pPr>
      <w:r>
        <w:rPr>
          <w:bCs/>
          <w:b/>
        </w:rPr>
        <w:t xml:space="preserve">Magensäure</w:t>
      </w:r>
      <w:r>
        <w:t xml:space="preserve"> </w:t>
      </w:r>
      <w:r>
        <w:t xml:space="preserve">kann die räumliche Struktur von Peptiden zerstören.</w:t>
      </w:r>
    </w:p>
    <w:p>
      <w:pPr>
        <w:numPr>
          <w:ilvl w:val="0"/>
          <w:numId w:val="1012"/>
        </w:numPr>
        <w:pStyle w:val="Compact"/>
      </w:pPr>
      <w:r>
        <w:rPr>
          <w:bCs/>
          <w:b/>
        </w:rPr>
        <w:t xml:space="preserve">Pepsin</w:t>
      </w:r>
      <w:r>
        <w:t xml:space="preserve"> </w:t>
      </w:r>
      <w:r>
        <w:t xml:space="preserve">im Magen und</w:t>
      </w:r>
      <w:r>
        <w:t xml:space="preserve"> </w:t>
      </w:r>
      <w:r>
        <w:rPr>
          <w:bCs/>
          <w:b/>
        </w:rPr>
        <w:t xml:space="preserve">Bauchspeicheldrüsen-Enzyme</w:t>
      </w:r>
      <w:r>
        <w:t xml:space="preserve"> </w:t>
      </w:r>
      <w:r>
        <w:t xml:space="preserve">im Dünndarm zerlegen Peptide in kleine Bruchstücke.</w:t>
      </w:r>
    </w:p>
    <w:p>
      <w:pPr>
        <w:numPr>
          <w:ilvl w:val="0"/>
          <w:numId w:val="1012"/>
        </w:numPr>
        <w:pStyle w:val="Compact"/>
      </w:pPr>
      <w:r>
        <w:t xml:space="preserve">Eine</w:t>
      </w:r>
      <w:r>
        <w:t xml:space="preserve"> </w:t>
      </w:r>
      <w:r>
        <w:rPr>
          <w:bCs/>
          <w:b/>
        </w:rPr>
        <w:t xml:space="preserve">Schleimschicht</w:t>
      </w:r>
      <w:r>
        <w:t xml:space="preserve"> </w:t>
      </w:r>
      <w:r>
        <w:t xml:space="preserve">über der Darmschleimhaut hält große Moleküle zurück.</w:t>
      </w:r>
    </w:p>
    <w:p>
      <w:pPr>
        <w:numPr>
          <w:ilvl w:val="0"/>
          <w:numId w:val="1012"/>
        </w:numPr>
        <w:pStyle w:val="Compact"/>
      </w:pPr>
      <w:r>
        <w:t xml:space="preserve">Die</w:t>
      </w:r>
      <w:r>
        <w:t xml:space="preserve"> </w:t>
      </w:r>
      <w:r>
        <w:rPr>
          <w:bCs/>
          <w:b/>
        </w:rPr>
        <w:t xml:space="preserve">Darmzellen</w:t>
      </w:r>
      <w:r>
        <w:t xml:space="preserve"> </w:t>
      </w:r>
      <w:r>
        <w:t xml:space="preserve">selbst sind dicht miteinander verbunden. Große, wasserlösliche Moleküle kommen weder durch die Zellen noch zwischen ihnen hindurch.</w:t>
      </w:r>
    </w:p>
    <w:p>
      <w:pPr>
        <w:numPr>
          <w:ilvl w:val="0"/>
          <w:numId w:val="1012"/>
        </w:numPr>
        <w:pStyle w:val="Compact"/>
      </w:pPr>
      <w:r>
        <w:t xml:space="preserve">Was es doch ins Blut schafft, passiert zuerst die</w:t>
      </w:r>
      <w:r>
        <w:t xml:space="preserve"> </w:t>
      </w:r>
      <w:r>
        <w:rPr>
          <w:bCs/>
          <w:b/>
        </w:rPr>
        <w:t xml:space="preserve">Leber</w:t>
      </w:r>
      <w:r>
        <w:t xml:space="preserve">, die einen weiteren Teil abbauen kann.</w:t>
      </w:r>
    </w:p>
    <w:p>
      <w:pPr>
        <w:pStyle w:val="FirstParagraph"/>
      </w:pPr>
      <w:r>
        <w:t xml:space="preserve">Die Übersichtsarbeit von Drucker nennt als Lösungsansätze Stoffe, die die Durchlässigkeit erhöhen, Hemmstoffe von Verdauungsenzymen sowie schleim- und zellgängige Trägerpeptide. In klinischen Studien wurden orale Formen unter anderem von Insulin, Calcitonin, Parathormon und Vasopressin erprobt (Drucker 2020, PMID 31848464). Der Durchbruch für einen breit eingesetzten Wirkstoff gelang aber erst mit der Semaglutid-Tablette.</w:t>
      </w:r>
    </w:p>
    <w:bookmarkEnd w:id="65"/>
    <w:bookmarkStart w:id="66" w:name="X357c2fa6354b8ec6bf63b48455146f0cbe4880b"/>
    <w:p>
      <w:pPr>
        <w:pStyle w:val="Heading3"/>
      </w:pPr>
      <w:r>
        <w:t xml:space="preserve">Die SNAC-Technik: wie die Semaglutid-Tablette funktioniert</w:t>
      </w:r>
    </w:p>
    <w:p>
      <w:pPr>
        <w:pStyle w:val="FirstParagraph"/>
      </w:pPr>
      <w:r>
        <w:t xml:space="preserve">Die Semaglutid-Tablette enthält neben dem Wirkstoff einen Hilfsstoff namens</w:t>
      </w:r>
      <w:r>
        <w:t xml:space="preserve"> </w:t>
      </w:r>
      <w:r>
        <w:rPr>
          <w:bCs/>
          <w:b/>
        </w:rPr>
        <w:t xml:space="preserve">SNAC</w:t>
      </w:r>
      <w:r>
        <w:t xml:space="preserve"> </w:t>
      </w:r>
      <w:r>
        <w:t xml:space="preserve">(Natrium-N-[8-(2-hydroxybenzoyl)amino]caprylat). Eine Studie, die Daten aus Untersuchungen am Menschen und an Hunden kombinierte, klärte auf, was dabei geschieht (Buckley 2018, PMID 30429357):</w:t>
      </w:r>
    </w:p>
    <w:p>
      <w:pPr>
        <w:numPr>
          <w:ilvl w:val="0"/>
          <w:numId w:val="1013"/>
        </w:numPr>
        <w:pStyle w:val="Compact"/>
      </w:pPr>
      <w:r>
        <w:t xml:space="preserve">Die Aufnahme findet überraschenderweise nicht im Darm statt, sondern</w:t>
      </w:r>
      <w:r>
        <w:t xml:space="preserve"> </w:t>
      </w:r>
      <w:r>
        <w:rPr>
          <w:bCs/>
          <w:b/>
        </w:rPr>
        <w:t xml:space="preserve">im Magen</w:t>
      </w:r>
      <w:r>
        <w:t xml:space="preserve">.</w:t>
      </w:r>
    </w:p>
    <w:p>
      <w:pPr>
        <w:numPr>
          <w:ilvl w:val="0"/>
          <w:numId w:val="1013"/>
        </w:numPr>
        <w:pStyle w:val="Compact"/>
      </w:pPr>
      <w:r>
        <w:t xml:space="preserve">Sie ist auf einen kleinen Bereich</w:t>
      </w:r>
      <w:r>
        <w:t xml:space="preserve"> </w:t>
      </w:r>
      <w:r>
        <w:rPr>
          <w:bCs/>
          <w:b/>
        </w:rPr>
        <w:t xml:space="preserve">direkt an der Tablettenoberfläche</w:t>
      </w:r>
      <w:r>
        <w:t xml:space="preserve"> </w:t>
      </w:r>
      <w:r>
        <w:t xml:space="preserve">beschränkt.</w:t>
      </w:r>
    </w:p>
    <w:p>
      <w:pPr>
        <w:numPr>
          <w:ilvl w:val="0"/>
          <w:numId w:val="1013"/>
        </w:numPr>
        <w:pStyle w:val="Compact"/>
      </w:pPr>
      <w:r>
        <w:t xml:space="preserve">SNAC puffert dort örtlich die Magensäure und</w:t>
      </w:r>
      <w:r>
        <w:t xml:space="preserve"> </w:t>
      </w:r>
      <w:r>
        <w:rPr>
          <w:bCs/>
          <w:b/>
        </w:rPr>
        <w:t xml:space="preserve">schützt</w:t>
      </w:r>
      <w:r>
        <w:t xml:space="preserve"> </w:t>
      </w:r>
      <w:r>
        <w:t xml:space="preserve">Semaglutid so vor dem Abbau durch Enzyme.</w:t>
      </w:r>
    </w:p>
    <w:p>
      <w:pPr>
        <w:numPr>
          <w:ilvl w:val="0"/>
          <w:numId w:val="1013"/>
        </w:numPr>
        <w:pStyle w:val="Compact"/>
      </w:pPr>
      <w:r>
        <w:t xml:space="preserve">SNAC erhöht die Durchlässigkeit der Magenschleimhaut nur</w:t>
      </w:r>
      <w:r>
        <w:t xml:space="preserve"> </w:t>
      </w:r>
      <w:r>
        <w:rPr>
          <w:bCs/>
          <w:b/>
        </w:rPr>
        <w:t xml:space="preserve">kurzzeitig</w:t>
      </w:r>
      <w:r>
        <w:t xml:space="preserve">.</w:t>
      </w:r>
    </w:p>
    <w:p>
      <w:pPr>
        <w:numPr>
          <w:ilvl w:val="0"/>
          <w:numId w:val="1013"/>
        </w:numPr>
        <w:pStyle w:val="Compact"/>
      </w:pPr>
      <w:r>
        <w:t xml:space="preserve">Semaglutid gelangt</w:t>
      </w:r>
      <w:r>
        <w:t xml:space="preserve"> </w:t>
      </w:r>
      <w:r>
        <w:rPr>
          <w:bCs/>
          <w:b/>
        </w:rPr>
        <w:t xml:space="preserve">durch die Zellen hindurch</w:t>
      </w:r>
      <w:r>
        <w:t xml:space="preserve"> </w:t>
      </w:r>
      <w:r>
        <w:t xml:space="preserve">ins Blut, ohne dass die Verbindungen zwischen den Zellen geöffnet werden.</w:t>
      </w:r>
    </w:p>
    <w:p>
      <w:pPr>
        <w:pStyle w:val="FirstParagraph"/>
      </w:pPr>
      <w:r>
        <w:t xml:space="preserve">Eine neuere Übersichtsarbeit ergänzt, dass SNAC den pH-Wert in der unmittelbaren Umgebung anhebt, die Aktivierung von Pepsin dämpft und dazu beiträgt, dass Semaglutid als Einzelmolekül vorliegt, statt sich zu größeren, schlechter aufnehmbaren Verbänden zusammenzulagern (Vahora 2026, PMID 42687069).</w:t>
      </w:r>
    </w:p>
    <w:p>
      <w:pPr>
        <w:pStyle w:val="BodyText"/>
      </w:pPr>
      <w:r>
        <w:t xml:space="preserve">Trotz dieser Technik ist die Ausbeute gering. Dieselbe Übersicht gibt die absolute Bioverfügbarkeit von oralem Semaglutid mit nur etwa 0,4 bis 1 % an – und das unter optimierten Bedingungen: nüchtern und mit wenig Wasser. Nach einer Mahlzeit ist im Blut praktisch kein Semaglutid nachweisbar (Vahora 2026, PMID 42687069). Deshalb gelten für die Tablette strenge Einnahmeregeln, die in der Fachinformation beschrieben sind und mit der behandelnden Ärztin oder dem behandelnden Arzt besprochen werden sollten.</w:t>
      </w:r>
    </w:p>
    <w:p>
      <w:pPr>
        <w:pStyle w:val="BodyText"/>
      </w:pPr>
      <w:r>
        <w:t xml:space="preserve">Die geringe Bioverfügbarkeit hat eine praktische Konsequenz: Für die Tablette wird ein Vielfaches an Wirkstoff benötigt. In der Studie SUSTAIN-6 erhielten die Teilnehmenden 0,5 oder 1,0 mg Semaglutid einmal pro Woche als Spritze (Marso 2016, PMID 27633186). In der Tablettenstudie PIONEER 1 wurden dagegen täglich 3, 7 oder 14 mg untersucht (Aroda 2019, PMID 31186300). Dass die Langzeitwirkung trotzdem gleichmäßig ist, liegt an der langen Halbwertszeit: Schwankungen der Aufnahme von Tag zu Tag gleichen sich über die Woche weitgehend aus (Vahora 2026, PMID 42687069).</w:t>
      </w:r>
    </w:p>
    <w:p>
      <w:pPr>
        <w:pStyle w:val="BodyText"/>
      </w:pPr>
      <w:r>
        <w:t xml:space="preserve">Die Tablette wirkt, das zeigen die Studien. In PIONEER 1 mit 703 Menschen mit Typ-2-Diabetes sank der HbA1c-Wert nach 26 Wochen in der höchsten Dosis um 1,1 Prozentpunkte stärker als unter Placebo (Aroda 2019, PMID 31186300). In der Studie OASIS 1 wurde eine höhere Dosis von 50 mg täglich bei 667 Erwachsenen mit Übergewicht oder Adipositas ohne Diabetes geprüft. Nach 68 Wochen lag der mittlere Gewichtsverlust bei 15,1 %, unter Placebo bei 2,4 % (Knop 2023, PMID 37385278). Magen-Darm-Beschwerden traten bei 80 % der Teilnehmenden mit Semaglutid und bei 46 % mit Placebo auf.</w:t>
      </w:r>
    </w:p>
    <w:p>
      <w:pPr>
        <w:pStyle w:val="BodyText"/>
      </w:pPr>
      <w:r>
        <w:t xml:space="preserve">Ein wichtiger Hinweis für die Praxis: Die SNAC-Technik ist an die genaue Zusammensetzung der Tablette gebunden. Eine Untersuchung von Nachahmerprodukten fand bei mehreren oralen Semaglutid-Präparaten deutlich weniger Wirkstoff als angegeben und ein anderes Freisetzungsverhalten von Semaglutid und SNAC, was die Aufnahme verringern könnte (Hach 2024, PMID 39379664). Eine Tablette, die „Semaglutid“ enthält, ist also nicht automatisch so wirksam wie das zugelassene Präparat.</w:t>
      </w:r>
    </w:p>
    <w:p>
      <w:pPr>
        <w:pStyle w:val="BodyText"/>
      </w:pPr>
      <w:r>
        <w:t xml:space="preserve">Parallel zu den Peptid-Tabletten werden kleine, nicht peptidische Moleküle entwickelt, die denselben Rezeptor aktivieren und sich als gewöhnliche Tablette einnehmen lassen, etwa Orforglipron. Sie werden in Teil II zum Vergleich vorgestellt und in Teil V im Zusammenhang mit der Zukunft der Tabletten-Therapien behandelt.</w:t>
      </w:r>
    </w:p>
    <w:bookmarkEnd w:id="66"/>
    <w:bookmarkStart w:id="67" w:name="X1e31668aecaee748a4f038d3e89db5f731c6d66"/>
    <w:p>
      <w:pPr>
        <w:pStyle w:val="Heading3"/>
      </w:pPr>
      <w:r>
        <w:t xml:space="preserve">Ausnahme Lebensmittel: kurze Peptide aus Kollagen und Milch</w:t>
      </w:r>
    </w:p>
    <w:p>
      <w:pPr>
        <w:pStyle w:val="FirstParagraph"/>
      </w:pPr>
      <w:r>
        <w:t xml:space="preserve">Wenn Peptide im Magen-Darm-Trakt abgebaut werden, wie können dann Kollagenpeptide oder Milchpeptide wirken, die als Pulver oder Getränk verzehrt werden? Die Antwort ist differenziert.</w:t>
      </w:r>
    </w:p>
    <w:p>
      <w:pPr>
        <w:pStyle w:val="BodyText"/>
      </w:pPr>
      <w:r>
        <w:t xml:space="preserve">Bei der Verdauung entstehen nicht nur einzelne Aminosäuren, sondern auch sehr kurze Bruchstücke aus zwei oder drei Bausteinen. Einige davon sind gegen Enzyme relativ widerstandsfähig und werden über eigene Transportsysteme aufgenommen. So wurden nach dem Verzehr von Kollagenhydrolysat bei fünf gesunden Freiwilligen die Dipeptide Prolyl-Hydroxyprolin und Hydroxyprolyl-Glycin im Blutplasma gemessen (Sugihara 2012, PMID 22040651).</w:t>
      </w:r>
    </w:p>
    <w:p>
      <w:pPr>
        <w:pStyle w:val="BodyText"/>
      </w:pPr>
      <w:r>
        <w:t xml:space="preserve">Daraus folgt aber nicht automatisch, dass diese Bruchstücke im Körper eine bestimmte Wirkung entfalten – etwa an der Haut oder an den Gelenken. Ob das der Fall ist, lässt sich nur in kontrollierten Studien mit klinischen Endpunkten klären. Diese Daten werden in Teil II im Kapitel über Kollagenpeptide besprochen. Für größere Peptide wie Hormone gilt dagegen: Geschluckt werden sie verdaut.</w:t>
      </w:r>
    </w:p>
    <w:bookmarkEnd w:id="67"/>
    <w:bookmarkStart w:id="68" w:name="unter-der-zunge-wenig-belege"/>
    <w:p>
      <w:pPr>
        <w:pStyle w:val="Heading3"/>
      </w:pPr>
      <w:r>
        <w:t xml:space="preserve">Unter der Zunge: wenig Belege</w:t>
      </w:r>
    </w:p>
    <w:p>
      <w:pPr>
        <w:pStyle w:val="FirstParagraph"/>
      </w:pPr>
      <w:r>
        <w:t xml:space="preserve">Die Mundschleimhaut, besonders unter der Zunge, ist gut durchblutet. Stoffe, die hier aufgenommen werden, umgehen Magen und Leber. Für einige kleine Arzneistoffe funktioniert das gut, für Peptide ist die Schleimhaut jedoch eine erhebliche Barriere.</w:t>
      </w:r>
    </w:p>
    <w:p>
      <w:pPr>
        <w:pStyle w:val="BodyText"/>
      </w:pPr>
      <w:r>
        <w:t xml:space="preserve">Trotzdem werden vor allem in den USA Semaglutid und Tirzepatid als Tropfen oder Schmelztabletten für die Anwendung unter der Zunge angeboten. Eine Auswertung von Angeboten US-amerikanischer Apotheken, die Arzneimittel selbst zubereiten, fand 33 Produkte, die von den zugelassenen Präparaten abweichen. Von den 17 Produkten mit nur einem Wirkstoff waren 82 % für die Anwendung unter der Zunge gedacht, die übrigen als Schmelztablette. Die Autorinnen und Autoren halten eine solche Darreichungsform zwar für grundsätzlich nachvollziehbar, stellen aber fest, dass ein Vorteil gegenüber den zugelassenen Präparaten nicht belegt ist und die Daten zu Sicherheit und Wirksamkeit fehlen (Belcourt 2026, PMID 41689811).</w:t>
      </w:r>
    </w:p>
    <w:bookmarkEnd w:id="68"/>
    <w:bookmarkStart w:id="69" w:name="das-nasenspray-schnell-aber-begrenzt"/>
    <w:p>
      <w:pPr>
        <w:pStyle w:val="Heading3"/>
      </w:pPr>
      <w:r>
        <w:t xml:space="preserve">Das Nasenspray: schnell, aber begrenzt</w:t>
      </w:r>
    </w:p>
    <w:p>
      <w:pPr>
        <w:pStyle w:val="FirstParagraph"/>
      </w:pPr>
      <w:r>
        <w:t xml:space="preserve">Die Nasenschleimhaut hat eine große, gut durchblutete Oberfläche, und Stoffe gelangen von dort direkt ins Blut. Einige Peptid-Arzneimittel nutzen diesen Weg seit Langem, etwa das Vasopressin-Analogon Desmopressin. Auch Oxytocin wird als Nasenspray untersucht.</w:t>
      </w:r>
    </w:p>
    <w:p>
      <w:pPr>
        <w:pStyle w:val="BodyText"/>
      </w:pPr>
      <w:r>
        <w:t xml:space="preserve">Die Grenzen sind allerdings deutlich:</w:t>
      </w:r>
    </w:p>
    <w:p>
      <w:pPr>
        <w:numPr>
          <w:ilvl w:val="0"/>
          <w:numId w:val="1014"/>
        </w:numPr>
        <w:pStyle w:val="Compact"/>
      </w:pPr>
      <w:r>
        <w:t xml:space="preserve">Die Aufnahme ist für größere Peptide gering und schwankt stark – je nach Sprühtechnik, Schnupfen oder Schleimmenge.</w:t>
      </w:r>
    </w:p>
    <w:p>
      <w:pPr>
        <w:numPr>
          <w:ilvl w:val="0"/>
          <w:numId w:val="1014"/>
        </w:numPr>
        <w:pStyle w:val="Compact"/>
      </w:pPr>
      <w:r>
        <w:t xml:space="preserve">Ein Großteil des Sprühstoßes wird verschluckt oder über die Flimmerhärchen abtransportiert.</w:t>
      </w:r>
    </w:p>
    <w:p>
      <w:pPr>
        <w:numPr>
          <w:ilvl w:val="0"/>
          <w:numId w:val="1014"/>
        </w:numPr>
        <w:pStyle w:val="Compact"/>
      </w:pPr>
      <w:r>
        <w:t xml:space="preserve">Häufig verwendete Reizstoffe oder Hilfsstoffe können die Schleimhaut belasten.</w:t>
      </w:r>
    </w:p>
    <w:p>
      <w:pPr>
        <w:pStyle w:val="FirstParagraph"/>
      </w:pPr>
      <w:r>
        <w:t xml:space="preserve">Besonders beliebt ist die Vorstellung, Peptide könnten über die Nase „direkt ins Gehirn“ gelangen. Für einige Stoffe gibt es Hinweise auf solche Wege über Riech- und Gesichtsnerven, die Datenlage ist aber dünn. Eine viel zitierte kritische Übersicht kam für Oxytocin zu dem Ergebnis, dass nur sehr wenig des über die Nase gegebenen Oxytocins in der Hirn-Rückenmarks-Flüssigkeit ankommt, während die Konzentrationen im Blut auf Werte über dem natürlichen Niveau steigen – mit möglichen Wirkungen auf Magen-Darm-Trakt, Herz und Fortpflanzungsorgane (Leng 2016, PMID 26049207). Die Autoren mahnen zu Skepsis gegenüber Studien mit Verhaltenseffekten und fordern vorab registrierte Studien. Das ist für alle Peptide relevant, die als „Nasenspray fürs Gehirn“ beworben werden, etwa Semax oder Selank, die in Teil II behandelt werden.</w:t>
      </w:r>
    </w:p>
    <w:bookmarkEnd w:id="69"/>
    <w:bookmarkStart w:id="70" w:name="inhalation-ein-lehrreicher-fehlschlag"/>
    <w:p>
      <w:pPr>
        <w:pStyle w:val="Heading3"/>
      </w:pPr>
      <w:r>
        <w:t xml:space="preserve">Inhalation: ein lehrreicher Fehlschlag</w:t>
      </w:r>
    </w:p>
    <w:p>
      <w:pPr>
        <w:pStyle w:val="FirstParagraph"/>
      </w:pPr>
      <w:r>
        <w:t xml:space="preserve">Die Lunge bietet eine riesige Oberfläche mit sehr dünner Barriere zum Blut. Deshalb wurde intensiv an inhalierbarem Insulin gearbeitet. Ein erstes Produkt kam auf den Markt, wurde aber bald wieder zurückgezogen; andere Entwicklungen wurden gestoppt. Ein Kommentar aus dieser Zeit beschreibt Vor- und Nachteile aus Sicht von Patienten, Ärzten, Industrie und Kostenträgern – darunter die Größe der Inhalationsgeräte und die Kosten (Heinemann 2008, PMID 19885220). Später wurde in den USA ein anderes inhalierbares Insulin zugelassen. Für die meisten anderen Peptide spielt die Inhalation bisher keine Rolle.</w:t>
      </w:r>
    </w:p>
    <w:bookmarkEnd w:id="70"/>
    <w:bookmarkStart w:id="71" w:name="die-haut-eine-sehr-gute-barriere"/>
    <w:p>
      <w:pPr>
        <w:pStyle w:val="Heading3"/>
      </w:pPr>
      <w:r>
        <w:t xml:space="preserve">Die Haut: eine sehr gute Barriere</w:t>
      </w:r>
    </w:p>
    <w:p>
      <w:pPr>
        <w:pStyle w:val="FirstParagraph"/>
      </w:pPr>
      <w:r>
        <w:t xml:space="preserve">Die Haut ist eines der dichtesten Organe des Körpers. Ihre äußerste Schicht, die Hornschicht, besteht aus abgestorbenen Zellen, die in Fette eingebettet sind – eine Art Mauerwerk mit Mörtel. Eine bekannte Faustregel aus der Dermatologie besagt, dass ein Stoff kleiner als etwa 500 Dalton sein muss, um in nennenswertem Umfang durch die Haut zu gelangen. Die Autoren begründen das unter anderem damit, dass praktisch alle bekannten Kontaktallergene und alle in Pflastern zur Wirkstoffabgabe eingesetzten Arzneistoffe unter dieser Grenze liegen (Bos 2000, PMID 10839713).</w:t>
      </w:r>
    </w:p>
    <w:p>
      <w:pPr>
        <w:pStyle w:val="BodyText"/>
      </w:pPr>
      <w:r>
        <w:t xml:space="preserve">Für Peptide bedeutet das: Schon ab etwa vier bis fünf Aminosäuren liegen sie in der Regel über dieser Grenze. Ein Tripeptid wie GHK kann sie unterschreiten, Peptide wie Palmitoyl-Pentapeptid-4 oder Acetyl-Hexapeptid-8 liegen deutlich darüber. Kosmetik-Hersteller versuchen, das Eindringen durch Fettsäure-Anhänge (wie beim „Palmitoyl“-Peptid) oder spezielle Trägersysteme zu verbessern. Ob die Peptide dabei in ausreichender Menge an ihre vermuteten Zielzellen in tieferen Hautschichten gelangen, ist eine Frage, die für jedes Produkt eigens untersucht werden müsste. Die Studienlage dazu wird in Teil II besprochen.</w:t>
      </w:r>
    </w:p>
    <w:p>
      <w:pPr>
        <w:pStyle w:val="BodyText"/>
      </w:pPr>
      <w:r>
        <w:t xml:space="preserve">Eine Regel ist eine Faustregel: Es gibt Ausnahmen, und Hilfsmittel wie Mikronadel-Pflaster können die Barriere überwinden. Solche Pflaster tragen winzige Nadeln, die nur die oberste Hautschicht durchdringen. Für Peptide sind sie noch weitgehend in Entwicklung.</w:t>
      </w:r>
    </w:p>
    <w:p>
      <w:pPr>
        <w:pStyle w:val="BodyText"/>
      </w:pPr>
      <w:r>
        <w:t xml:space="preserve">Für Arzneimittel-Peptide wie GLP-1-Analoga, Wachstumshormon-Freisetzer oder Melanotan gilt: Eine einfache Creme oder ein Gel bringt sie nicht in nennenswerter Menge ins Blut. Angebote im Internet, die das Gegenteil behaupten, sollten Sie mit großer Skepsis betrachten.</w:t>
      </w:r>
    </w:p>
    <w:bookmarkEnd w:id="71"/>
    <w:bookmarkStart w:id="72" w:name="stabilität-das-unterschätzte-problem"/>
    <w:p>
      <w:pPr>
        <w:pStyle w:val="Heading3"/>
      </w:pPr>
      <w:r>
        <w:t xml:space="preserve">Stabilität: das unterschätzte Problem</w:t>
      </w:r>
    </w:p>
    <w:p>
      <w:pPr>
        <w:pStyle w:val="FirstParagraph"/>
      </w:pPr>
      <w:r>
        <w:t xml:space="preserve">Auch außerhalb des Körpers sind Peptide empfindlich. Sie können zerfallen, sich chemisch verändern (etwa durch Oxidation) oder zu größeren Verbänden verklumpen. Solche Verklumpungen – Fachleute sprechen von Aggregation oder Fibrillenbildung – können die Wirkung verringern und das Immunsystem reizen. Eine Untersuchung fand bei Nachahmer-Präparaten von Liraglutid eine stärkere Neigung zur Fibrillenbildung und eine geringere physikalische Stabilität als beim Original (Hach 2024, PMID 39379664).</w:t>
      </w:r>
    </w:p>
    <w:p>
      <w:pPr>
        <w:pStyle w:val="BodyText"/>
      </w:pPr>
      <w:r>
        <w:t xml:space="preserve">Deshalb werden zugelassene Peptid-Arzneimittel unter genau festgelegten Bedingungen hergestellt, verpackt, gekühlt transportiert und mit Haltbarkeitsdaten versehen. Graumarkt-Peptide werden dagegen meist als gefriergetrocknetes Pulver verkauft, das vor der Anwendung selbst aufgelöst werden muss. Jeder dieser Schritte – Transport ohne Kühlung, Lagerung, Auflösen, Aufziehen – ist eine mögliche Fehlerquelle.</w:t>
      </w:r>
    </w:p>
    <w:bookmarkEnd w:id="72"/>
    <w:bookmarkStart w:id="73" w:name="immunreaktionen"/>
    <w:p>
      <w:pPr>
        <w:pStyle w:val="Heading3"/>
      </w:pPr>
      <w:r>
        <w:t xml:space="preserve">Immunreaktionen</w:t>
      </w:r>
    </w:p>
    <w:p>
      <w:pPr>
        <w:pStyle w:val="FirstParagraph"/>
      </w:pPr>
      <w:r>
        <w:t xml:space="preserve">Peptide sind Eiweißstoffe und können vom Immunsystem als fremd erkannt werden, besonders wenn sie nicht genau einem körpereigenen Molekül entsprechen oder Verunreinigungen enthalten. Mögliche Folgen sind Reaktionen an der Einstichstelle, allergische Reaktionen oder die Bildung von Antikörpern, die die Wirkung abschwächen können. In der Analyse von Nachahmer-Semaglutid fanden sich computergestützt vorhergesagte neue Bindungsstellen für das Immunsystem, die auf ein mögliches Risiko für Immunreaktionen hindeuten (Hach 2024, PMID 39379664). Teil IV behandelt Immunreaktionen ausführlich.</w:t>
      </w:r>
    </w:p>
    <w:bookmarkEnd w:id="73"/>
    <w:bookmarkStart w:id="74" w:name="X8e062571b20763d2ec192351e319b6d0bac8fc6"/>
    <w:p>
      <w:pPr>
        <w:pStyle w:val="Heading3"/>
      </w:pPr>
      <w:r>
        <w:t xml:space="preserve">Überblick: Verabreichungswege im Vergleich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Weg</w:t>
            </w:r>
          </w:p>
        </w:tc>
        <w:tc>
          <w:tcPr/>
          <w:p>
            <w:pPr>
              <w:pStyle w:val="Compact"/>
              <w:jc w:val="left"/>
            </w:pPr>
            <w:r>
              <w:t xml:space="preserve">Hauptproblem</w:t>
            </w:r>
          </w:p>
        </w:tc>
        <w:tc>
          <w:tcPr/>
          <w:p>
            <w:pPr>
              <w:pStyle w:val="Compact"/>
              <w:jc w:val="left"/>
            </w:pPr>
            <w:r>
              <w:t xml:space="preserve">Beispiele</w:t>
            </w:r>
          </w:p>
        </w:tc>
      </w:tr>
      <w:tr>
        <w:tc>
          <w:tcPr/>
          <w:p>
            <w:pPr>
              <w:pStyle w:val="Compact"/>
              <w:jc w:val="left"/>
            </w:pPr>
            <w:r>
              <w:t xml:space="preserve">Spritze unter die Haut</w:t>
            </w:r>
          </w:p>
        </w:tc>
        <w:tc>
          <w:tcPr/>
          <w:p>
            <w:pPr>
              <w:pStyle w:val="Compact"/>
              <w:jc w:val="left"/>
            </w:pPr>
            <w:r>
              <w:t xml:space="preserve">Nadel, Sterilität, Kühlung</w:t>
            </w:r>
          </w:p>
        </w:tc>
        <w:tc>
          <w:tcPr/>
          <w:p>
            <w:pPr>
              <w:pStyle w:val="Compact"/>
              <w:jc w:val="left"/>
            </w:pPr>
            <w:r>
              <w:t xml:space="preserve">Insulin, Semaglutid, Tirzepatid</w:t>
            </w:r>
          </w:p>
        </w:tc>
      </w:tr>
      <w:tr>
        <w:tc>
          <w:tcPr/>
          <w:p>
            <w:pPr>
              <w:pStyle w:val="Compact"/>
              <w:jc w:val="left"/>
            </w:pPr>
            <w:r>
              <w:t xml:space="preserve">Tablette</w:t>
            </w:r>
          </w:p>
        </w:tc>
        <w:tc>
          <w:tcPr/>
          <w:p>
            <w:pPr>
              <w:pStyle w:val="Compact"/>
              <w:jc w:val="left"/>
            </w:pPr>
            <w:r>
              <w:t xml:space="preserve">Abbau im Magen-Darm-Trakt</w:t>
            </w:r>
          </w:p>
        </w:tc>
        <w:tc>
          <w:tcPr/>
          <w:p>
            <w:pPr>
              <w:pStyle w:val="Compact"/>
              <w:jc w:val="left"/>
            </w:pPr>
            <w:r>
              <w:t xml:space="preserve">Semaglutid mit SNAC</w:t>
            </w:r>
          </w:p>
        </w:tc>
      </w:tr>
      <w:tr>
        <w:tc>
          <w:tcPr/>
          <w:p>
            <w:pPr>
              <w:pStyle w:val="Compact"/>
              <w:jc w:val="left"/>
            </w:pPr>
            <w:r>
              <w:t xml:space="preserve">Unter der Zunge</w:t>
            </w:r>
          </w:p>
        </w:tc>
        <w:tc>
          <w:tcPr/>
          <w:p>
            <w:pPr>
              <w:pStyle w:val="Compact"/>
              <w:jc w:val="left"/>
            </w:pPr>
            <w:r>
              <w:t xml:space="preserve">Schleimhaut als Barriere</w:t>
            </w:r>
          </w:p>
        </w:tc>
        <w:tc>
          <w:tcPr/>
          <w:p>
            <w:pPr>
              <w:pStyle w:val="Compact"/>
              <w:jc w:val="left"/>
            </w:pPr>
            <w:r>
              <w:t xml:space="preserve">keine belastbaren Daten</w:t>
            </w:r>
          </w:p>
        </w:tc>
      </w:tr>
      <w:tr>
        <w:tc>
          <w:tcPr/>
          <w:p>
            <w:pPr>
              <w:pStyle w:val="Compact"/>
              <w:jc w:val="left"/>
            </w:pPr>
            <w:r>
              <w:t xml:space="preserve">Nasenspray</w:t>
            </w:r>
          </w:p>
        </w:tc>
        <w:tc>
          <w:tcPr/>
          <w:p>
            <w:pPr>
              <w:pStyle w:val="Compact"/>
              <w:jc w:val="left"/>
            </w:pPr>
            <w:r>
              <w:t xml:space="preserve">geringe, schwankende Aufnahme</w:t>
            </w:r>
          </w:p>
        </w:tc>
        <w:tc>
          <w:tcPr/>
          <w:p>
            <w:pPr>
              <w:pStyle w:val="Compact"/>
              <w:jc w:val="left"/>
            </w:pPr>
            <w:r>
              <w:t xml:space="preserve">Desmopressin, Oxytocin</w:t>
            </w:r>
          </w:p>
        </w:tc>
      </w:tr>
      <w:tr>
        <w:tc>
          <w:tcPr/>
          <w:p>
            <w:pPr>
              <w:pStyle w:val="Compact"/>
              <w:jc w:val="left"/>
            </w:pPr>
            <w:r>
              <w:t xml:space="preserve">Inhalation</w:t>
            </w:r>
          </w:p>
        </w:tc>
        <w:tc>
          <w:tcPr/>
          <w:p>
            <w:pPr>
              <w:pStyle w:val="Compact"/>
              <w:jc w:val="left"/>
            </w:pPr>
            <w:r>
              <w:t xml:space="preserve">Geräte, Lungensicherheit</w:t>
            </w:r>
          </w:p>
        </w:tc>
        <w:tc>
          <w:tcPr/>
          <w:p>
            <w:pPr>
              <w:pStyle w:val="Compact"/>
              <w:jc w:val="left"/>
            </w:pPr>
            <w:r>
              <w:t xml:space="preserve">inhalierbares Insulin</w:t>
            </w:r>
          </w:p>
        </w:tc>
      </w:tr>
      <w:tr>
        <w:tc>
          <w:tcPr/>
          <w:p>
            <w:pPr>
              <w:pStyle w:val="Compact"/>
              <w:jc w:val="left"/>
            </w:pPr>
            <w:r>
              <w:t xml:space="preserve">Haut</w:t>
            </w:r>
          </w:p>
        </w:tc>
        <w:tc>
          <w:tcPr/>
          <w:p>
            <w:pPr>
              <w:pStyle w:val="Compact"/>
              <w:jc w:val="left"/>
            </w:pPr>
            <w:r>
              <w:t xml:space="preserve">Hornschicht, Molekülgröße</w:t>
            </w:r>
          </w:p>
        </w:tc>
        <w:tc>
          <w:tcPr/>
          <w:p>
            <w:pPr>
              <w:pStyle w:val="Compact"/>
              <w:jc w:val="left"/>
            </w:pPr>
            <w:r>
              <w:t xml:space="preserve">Kosmetik-Peptide</w:t>
            </w:r>
          </w:p>
        </w:tc>
      </w:tr>
    </w:tbl>
    <w:bookmarkEnd w:id="74"/>
    <w:bookmarkStart w:id="75" w:name="das-wichtigste-in-kürze-1"/>
    <w:p>
      <w:pPr>
        <w:pStyle w:val="Heading3"/>
      </w:pPr>
      <w:r>
        <w:t xml:space="preserve">Das Wichtigste in Kürze</w:t>
      </w:r>
    </w:p>
    <w:p>
      <w:pPr>
        <w:numPr>
          <w:ilvl w:val="0"/>
          <w:numId w:val="1015"/>
        </w:numPr>
        <w:pStyle w:val="Compact"/>
      </w:pPr>
      <w:r>
        <w:t xml:space="preserve">Peptide werden im Verdauungstrakt abgebaut, sind groß und schlecht membrangängig. Deshalb werden die meisten Peptid-Arzneimittel gespritzt.</w:t>
      </w:r>
    </w:p>
    <w:p>
      <w:pPr>
        <w:numPr>
          <w:ilvl w:val="0"/>
          <w:numId w:val="1015"/>
        </w:numPr>
        <w:pStyle w:val="Compact"/>
      </w:pPr>
      <w:r>
        <w:t xml:space="preserve">Lange Wirkdauer erreicht man durch gezielte Veränderungen des Moleküls, etwa Fettsäure-Anhänge zur Bindung an Albumin.</w:t>
      </w:r>
    </w:p>
    <w:p>
      <w:pPr>
        <w:numPr>
          <w:ilvl w:val="0"/>
          <w:numId w:val="1015"/>
        </w:numPr>
        <w:pStyle w:val="Compact"/>
      </w:pPr>
      <w:r>
        <w:t xml:space="preserve">Die Semaglutid-Tablette nutzt den Hilfsstoff SNAC, der eine Aufnahme im Magen ermöglicht. Die Bioverfügbarkeit bleibt mit etwa 0,4 bis 1 % sehr gering.</w:t>
      </w:r>
    </w:p>
    <w:p>
      <w:pPr>
        <w:numPr>
          <w:ilvl w:val="0"/>
          <w:numId w:val="1015"/>
        </w:numPr>
        <w:pStyle w:val="Compact"/>
      </w:pPr>
      <w:r>
        <w:t xml:space="preserve">Bei Nasensprays und Cremes ist die Aufnahme größerer Peptide begrenzt. Versprechen wie „direkt ins Gehirn“ oder „durch die Haut ins Blut“ sind meist nicht belegt.</w:t>
      </w:r>
    </w:p>
    <w:p>
      <w:pPr>
        <w:numPr>
          <w:ilvl w:val="0"/>
          <w:numId w:val="1015"/>
        </w:numPr>
        <w:pStyle w:val="Compact"/>
      </w:pPr>
      <w:r>
        <w:t xml:space="preserve">Stabilität, Sterilität und Reinheit sind bei Peptiden keine Nebensache, sondern Voraussetzung für Sicherheit und Wirkung.</w:t>
      </w:r>
    </w:p>
    <w:bookmarkEnd w:id="75"/>
    <w:bookmarkEnd w:id="76"/>
    <w:bookmarkStart w:id="96" w:name="studien-richtig-lesen"/>
    <w:p>
      <w:pPr>
        <w:pStyle w:val="Heading2"/>
      </w:pPr>
      <w:r>
        <w:t xml:space="preserve">Studien richtig lesen</w:t>
      </w:r>
    </w:p>
    <w:p>
      <w:pPr>
        <w:pStyle w:val="FirstParagraph"/>
      </w:pPr>
      <w:r>
        <w:t xml:space="preserve">„Studien zeigen …“ – kaum eine Formulierung wird in der Werbung für Peptide so oft verwendet. Gemeint sein kann damit alles Mögliche: ein Versuch mit Zellen in einer Petrischale, ein Experiment an zwölf Ratten, ein Erfahrungsbericht eines einzelnen Patienten oder eine Studie mit 17.000 Teilnehmenden über mehr als drei Jahre. Wer Peptide beurteilen will, muss diese Unterschiede kennen. Dieses Kapitel ist eine Art Werkzeugkasten. Es erklärt die wichtigsten Studientypen, die Fallstricke bei der Interpretation von Ergebnissen und wie Sie selbst prüfen können, was hinter einer Behauptung steckt.</w:t>
      </w:r>
    </w:p>
    <w:bookmarkStart w:id="77" w:name="die-evidenzpyramide"/>
    <w:p>
      <w:pPr>
        <w:pStyle w:val="Heading3"/>
      </w:pPr>
      <w:r>
        <w:t xml:space="preserve">Die Evidenzpyramide</w:t>
      </w:r>
    </w:p>
    <w:p>
      <w:pPr>
        <w:pStyle w:val="FirstParagraph"/>
      </w:pPr>
      <w:r>
        <w:t xml:space="preserve">Fachleute ordnen Studientypen häufig in einer Pyramide an. Unten stehen Studienformen, die viele Hinweise, aber wenig Gewissheit liefern; oben jene, die am zuverlässigsten zeigen, ob eine Behandlung beim Menschen wirkt. Von unten nach oben:</w:t>
      </w:r>
    </w:p>
    <w:p>
      <w:pPr>
        <w:numPr>
          <w:ilvl w:val="0"/>
          <w:numId w:val="1016"/>
        </w:numPr>
        <w:pStyle w:val="Compact"/>
      </w:pPr>
      <w:r>
        <w:rPr>
          <w:bCs/>
          <w:b/>
        </w:rPr>
        <w:t xml:space="preserve">Labor- und Zellstudien</w:t>
      </w:r>
      <w:r>
        <w:t xml:space="preserve"> </w:t>
      </w:r>
      <w:r>
        <w:t xml:space="preserve">(in vitro, „im Glas“): Zellen oder Gewebe werden im Labor einem Stoff ausgesetzt.</w:t>
      </w:r>
    </w:p>
    <w:p>
      <w:pPr>
        <w:numPr>
          <w:ilvl w:val="0"/>
          <w:numId w:val="1016"/>
        </w:numPr>
        <w:pStyle w:val="Compact"/>
      </w:pPr>
      <w:r>
        <w:rPr>
          <w:bCs/>
          <w:b/>
        </w:rPr>
        <w:t xml:space="preserve">Tierstudien</w:t>
      </w:r>
      <w:r>
        <w:t xml:space="preserve"> </w:t>
      </w:r>
      <w:r>
        <w:t xml:space="preserve">(meist an Mäusen oder Ratten).</w:t>
      </w:r>
    </w:p>
    <w:p>
      <w:pPr>
        <w:numPr>
          <w:ilvl w:val="0"/>
          <w:numId w:val="1016"/>
        </w:numPr>
        <w:pStyle w:val="Compact"/>
      </w:pPr>
      <w:r>
        <w:rPr>
          <w:bCs/>
          <w:b/>
        </w:rPr>
        <w:t xml:space="preserve">Fallberichte und Fallserien</w:t>
      </w:r>
      <w:r>
        <w:t xml:space="preserve">: Beschreibungen einzelner oder weniger Patientinnen und Patienten.</w:t>
      </w:r>
    </w:p>
    <w:p>
      <w:pPr>
        <w:numPr>
          <w:ilvl w:val="0"/>
          <w:numId w:val="1016"/>
        </w:numPr>
        <w:pStyle w:val="Compact"/>
      </w:pPr>
      <w:r>
        <w:rPr>
          <w:bCs/>
          <w:b/>
        </w:rPr>
        <w:t xml:space="preserve">Beobachtungsstudien</w:t>
      </w:r>
      <w:r>
        <w:t xml:space="preserve">: Man beobachtet Menschen, die einen Stoff ohnehin nehmen oder nicht nehmen, und vergleicht, was mit ihnen geschieht.</w:t>
      </w:r>
    </w:p>
    <w:p>
      <w:pPr>
        <w:numPr>
          <w:ilvl w:val="0"/>
          <w:numId w:val="1016"/>
        </w:numPr>
        <w:pStyle w:val="Compact"/>
      </w:pPr>
      <w:r>
        <w:rPr>
          <w:bCs/>
          <w:b/>
        </w:rPr>
        <w:t xml:space="preserve">Kontrollierte Studien ohne Zufallszuteilung</w:t>
      </w:r>
      <w:r>
        <w:t xml:space="preserve"> </w:t>
      </w:r>
      <w:r>
        <w:t xml:space="preserve">und</w:t>
      </w:r>
      <w:r>
        <w:t xml:space="preserve"> </w:t>
      </w:r>
      <w:r>
        <w:rPr>
          <w:bCs/>
          <w:b/>
        </w:rPr>
        <w:t xml:space="preserve">offene Studien</w:t>
      </w:r>
      <w:r>
        <w:t xml:space="preserve">.</w:t>
      </w:r>
    </w:p>
    <w:p>
      <w:pPr>
        <w:numPr>
          <w:ilvl w:val="0"/>
          <w:numId w:val="1016"/>
        </w:numPr>
        <w:pStyle w:val="Compact"/>
      </w:pPr>
      <w:r>
        <w:rPr>
          <w:bCs/>
          <w:b/>
        </w:rPr>
        <w:t xml:space="preserve">Randomisierte kontrollierte Studien</w:t>
      </w:r>
      <w:r>
        <w:t xml:space="preserve"> </w:t>
      </w:r>
      <w:r>
        <w:t xml:space="preserve">(RCT).</w:t>
      </w:r>
    </w:p>
    <w:p>
      <w:pPr>
        <w:numPr>
          <w:ilvl w:val="0"/>
          <w:numId w:val="1016"/>
        </w:numPr>
        <w:pStyle w:val="Compact"/>
      </w:pPr>
      <w:r>
        <w:rPr>
          <w:bCs/>
          <w:b/>
        </w:rPr>
        <w:t xml:space="preserve">Systematische Übersichten und Meta-Analysen</w:t>
      </w:r>
      <w:r>
        <w:t xml:space="preserve">, die alle verfügbaren guten Studien zu einer Frage zusammenfassen.</w:t>
      </w:r>
    </w:p>
    <w:p>
      <w:pPr>
        <w:pStyle w:val="FirstParagraph"/>
      </w:pPr>
      <w:r>
        <w:t xml:space="preserve">Die Pyramide ist eine Vereinfachung. Eine große, sorgfältige Beobachtungsstudie kann aussagekräftiger sein als ein winziger, schlecht gemachter RCT, und eine Meta-Analyse ist nur so gut wie die Studien, die in sie eingehen. Als grobe Orientierung ist sie aber hilfreich – vor allem, um zu erkennen, wie weit unten in der Pyramide die Belege für viele Graumarkt-Peptide angesiedelt sind.</w:t>
      </w:r>
    </w:p>
    <w:bookmarkEnd w:id="77"/>
    <w:bookmarkStart w:id="78" w:name="X0cef3bbbf27fa5911035f52f63b00a3a0fe70ed"/>
    <w:p>
      <w:pPr>
        <w:pStyle w:val="Heading3"/>
      </w:pPr>
      <w:r>
        <w:t xml:space="preserve">Laborstudien: Was in der Petrischale passiert</w:t>
      </w:r>
    </w:p>
    <w:p>
      <w:pPr>
        <w:pStyle w:val="FirstParagraph"/>
      </w:pPr>
      <w:r>
        <w:t xml:space="preserve">In Zellkulturen lassen sich Mechanismen gut untersuchen: Welcher Rezeptor wird aktiviert? Welche Gene werden abgelesen? Ob Zellen schneller wachsen oder wandern? Solche Studien sind für die Grundlagenforschung unverzichtbar.</w:t>
      </w:r>
    </w:p>
    <w:p>
      <w:pPr>
        <w:pStyle w:val="BodyText"/>
      </w:pPr>
      <w:r>
        <w:t xml:space="preserve">Ihre Grenzen sind aber groß. Zellen in einer Schale haben keinen Blutkreislauf, keine Leber, die Stoffe abbaut, kein Immunsystem und keine Verdauung. Die Konzentrationen, die im Labor verwendet werden, sind oft viel höher als jene, die im menschlichen Körper überhaupt erreichbar wären. Ein Stoff, der in der Petrischale Krebszellen abtötet, kann im Körper wirkungslos oder giftig sein. Wenn ein Werbetext sich auf „Studien“ beruft und es sich um Zellkulturen handelt, ist das ein Hinweis auf einen möglichen Mechanismus – nicht auf einen Nutzen beim Menschen.</w:t>
      </w:r>
    </w:p>
    <w:bookmarkEnd w:id="78"/>
    <w:bookmarkStart w:id="79" w:name="Xc09fc08ae9a58d90135113a4e9afb8356fa50e5"/>
    <w:p>
      <w:pPr>
        <w:pStyle w:val="Heading3"/>
      </w:pPr>
      <w:r>
        <w:t xml:space="preserve">Tierstudien: wichtig, aber nicht übertragbar</w:t>
      </w:r>
    </w:p>
    <w:p>
      <w:pPr>
        <w:pStyle w:val="FirstParagraph"/>
      </w:pPr>
      <w:r>
        <w:t xml:space="preserve">Tierversuche ermöglichen es, Wirkungen in einem ganzen Organismus zu untersuchen und Sicherheitsfragen zu klären, bevor Menschen einem neuen Stoff ausgesetzt werden. Gleichzeitig unterscheiden sich Mäuse und Ratten in Stoffwechsel, Lebensdauer, Körpergröße und Krankheitsentstehung erheblich vom Menschen. Zudem werden Krankheiten bei Tieren oft künstlich ausgelöst – etwa eine Sehnenverletzung durch einen Schnitt –, was der Situation bei Menschen nur bedingt entspricht.</w:t>
      </w:r>
    </w:p>
    <w:p>
      <w:pPr>
        <w:pStyle w:val="BodyText"/>
      </w:pPr>
      <w:r>
        <w:t xml:space="preserve">Wie schwierig die Übertragung ist, zeigt eine systematische Übersicht, die Behandlungseffekte in Tierversuchen mit denen in klinischen Studien verglich (Perel 2007, PMID 17175568). Einige Beispiele daraus:</w:t>
      </w:r>
    </w:p>
    <w:p>
      <w:pPr>
        <w:numPr>
          <w:ilvl w:val="0"/>
          <w:numId w:val="1017"/>
        </w:numPr>
        <w:pStyle w:val="Compact"/>
      </w:pPr>
      <w:r>
        <w:t xml:space="preserve">Kortison-Präparate verbesserten bei Kopfverletzungen in Tiermodellen die Ergebnisse, in klinischen Studien am Menschen zeigte sich kein Nutzen.</w:t>
      </w:r>
    </w:p>
    <w:p>
      <w:pPr>
        <w:numPr>
          <w:ilvl w:val="0"/>
          <w:numId w:val="1017"/>
        </w:numPr>
        <w:pStyle w:val="Compact"/>
      </w:pPr>
      <w:r>
        <w:t xml:space="preserve">Der Wirkstoff Tirilazad verkleinerte bei Tieren mit Schlaganfall das geschädigte Hirnareal um 29 % und verbesserte neurologische Werte um 48 %. Bei Menschen mit Schlaganfall war er mit einem schlechteren Ergebnis verbunden.</w:t>
      </w:r>
    </w:p>
    <w:p>
      <w:pPr>
        <w:numPr>
          <w:ilvl w:val="0"/>
          <w:numId w:val="1017"/>
        </w:numPr>
        <w:pStyle w:val="Compact"/>
      </w:pPr>
      <w:r>
        <w:t xml:space="preserve">Andere Behandlungen, etwa die Auflösung von Blutgerinnseln beim Schlaganfall, wirkten sowohl bei Tieren als auch bei Menschen.</w:t>
      </w:r>
    </w:p>
    <w:p>
      <w:pPr>
        <w:pStyle w:val="FirstParagraph"/>
      </w:pPr>
      <w:r>
        <w:t xml:space="preserve">Die Autorinnen und Autoren führen die Abweichungen auf Verzerrungen in den Tierstudien und darauf zurück, dass Tiermodelle menschliche Krankheiten nicht ausreichend abbilden.</w:t>
      </w:r>
    </w:p>
    <w:p>
      <w:pPr>
        <w:pStyle w:val="BodyText"/>
      </w:pPr>
      <w:r>
        <w:t xml:space="preserve">Für dieses Buch hat das eine klare Konsequenz: Wenn für ein Peptid nur Tierdaten vorliegen, erhält es die Evidenzstufe D – unabhängig davon, wie beeindruckend die Ergebnisse bei Ratten aussehen. Und im Text wird stets ausdrücklich gesagt, wenn ein Ergebnis von Tieren oder aus dem Labor stammt.</w:t>
      </w:r>
    </w:p>
    <w:bookmarkEnd w:id="79"/>
    <w:bookmarkStart w:id="80" w:name="fallberichte-und-beobachtungsstudien"/>
    <w:p>
      <w:pPr>
        <w:pStyle w:val="Heading3"/>
      </w:pPr>
      <w:r>
        <w:t xml:space="preserve">Fallberichte und Beobachtungsstudien</w:t>
      </w:r>
    </w:p>
    <w:p>
      <w:pPr>
        <w:pStyle w:val="FirstParagraph"/>
      </w:pPr>
      <w:r>
        <w:rPr>
          <w:bCs/>
          <w:b/>
        </w:rPr>
        <w:t xml:space="preserve">Fallberichte</w:t>
      </w:r>
      <w:r>
        <w:t xml:space="preserve"> </w:t>
      </w:r>
      <w:r>
        <w:t xml:space="preserve">beschreiben einzelne Patientinnen oder Patienten. Für die Wirksamkeit sagen sie wenig, für die Sicherheit können sie dagegen sehr wertvoll sein: Seltene oder unerwartete Nebenwirkungen fallen oft zuerst in Fallberichten auf. Im Kapitel über den Graumarkt werden Sie mehrere solcher Berichte kennenlernen, etwa über schwere Unterzuckerungen durch gefälschte Präparate.</w:t>
      </w:r>
    </w:p>
    <w:p>
      <w:pPr>
        <w:pStyle w:val="BodyText"/>
      </w:pPr>
      <w:r>
        <w:rPr>
          <w:bCs/>
          <w:b/>
        </w:rPr>
        <w:t xml:space="preserve">Beobachtungsstudien</w:t>
      </w:r>
      <w:r>
        <w:t xml:space="preserve"> </w:t>
      </w:r>
      <w:r>
        <w:t xml:space="preserve">vergleichen Menschen, die einen Stoff nehmen, mit Menschen, die ihn nicht nehmen. Ihr Hauptproblem ist die sogenannte</w:t>
      </w:r>
      <w:r>
        <w:t xml:space="preserve"> </w:t>
      </w:r>
      <w:r>
        <w:rPr>
          <w:bCs/>
          <w:b/>
        </w:rPr>
        <w:t xml:space="preserve">Störgröße</w:t>
      </w:r>
      <w:r>
        <w:t xml:space="preserve"> </w:t>
      </w:r>
      <w:r>
        <w:t xml:space="preserve">(Confounding): Wer ein bestimmtes Präparat nimmt, unterscheidet sich oft auch in anderen Punkten – etwa in Einkommen, Gesundheitsbewusstsein oder Vorerkrankungen. Ein gefundener Zusammenhang muss deshalb keine Ursache-Wirkungs-Beziehung sein.</w:t>
      </w:r>
    </w:p>
    <w:p>
      <w:pPr>
        <w:pStyle w:val="BodyText"/>
      </w:pPr>
      <w:r>
        <w:t xml:space="preserve">Eine Sonderform sind Auswertungen von</w:t>
      </w:r>
      <w:r>
        <w:t xml:space="preserve"> </w:t>
      </w:r>
      <w:r>
        <w:rPr>
          <w:bCs/>
          <w:b/>
        </w:rPr>
        <w:t xml:space="preserve">Nebenwirkungsmeldesystemen</w:t>
      </w:r>
      <w:r>
        <w:t xml:space="preserve"> </w:t>
      </w:r>
      <w:r>
        <w:t xml:space="preserve">wie der europäischen Datenbank EudraVigilance oder dem US-amerikanischen FAERS. Sie sammeln Verdachtsmeldungen von Ärztinnen, Patienten und Herstellern. Solche Daten zeigen Signale, die man weiter prüfen sollte, aber sie beweisen keinen Zusammenhang und sagen nichts darüber aus, wie häufig eine Nebenwirkung tatsächlich ist.</w:t>
      </w:r>
    </w:p>
    <w:bookmarkEnd w:id="80"/>
    <w:bookmarkStart w:id="81" w:name="X8a3572a71fe691855cc80988cab7ac776fbf320"/>
    <w:p>
      <w:pPr>
        <w:pStyle w:val="Heading3"/>
      </w:pPr>
      <w:r>
        <w:t xml:space="preserve">Die randomisierte kontrollierte Studie (RCT)</w:t>
      </w:r>
    </w:p>
    <w:p>
      <w:pPr>
        <w:pStyle w:val="FirstParagraph"/>
      </w:pPr>
      <w:r>
        <w:t xml:space="preserve">Der RCT gilt als Goldstandard, um die Wirkung einer Behandlung zu prüfen. Drei Elemente machen ihn aus:</w:t>
      </w:r>
    </w:p>
    <w:p>
      <w:pPr>
        <w:pStyle w:val="BodyText"/>
      </w:pPr>
      <w:r>
        <w:rPr>
          <w:bCs/>
          <w:b/>
        </w:rPr>
        <w:t xml:space="preserve">Kontrollgruppe.</w:t>
      </w:r>
      <w:r>
        <w:t xml:space="preserve"> </w:t>
      </w:r>
      <w:r>
        <w:t xml:space="preserve">Neben der Gruppe, die den Wirkstoff erhält, gibt es eine Vergleichsgruppe – mit Placebo, einer Standardbehandlung oder gar keiner Behandlung. Nur so lässt sich sagen, ob eine Veränderung auf den Wirkstoff zurückgeht oder auch ohne ihn eingetreten wäre.</w:t>
      </w:r>
    </w:p>
    <w:p>
      <w:pPr>
        <w:pStyle w:val="BodyText"/>
      </w:pPr>
      <w:r>
        <w:rPr>
          <w:bCs/>
          <w:b/>
        </w:rPr>
        <w:t xml:space="preserve">Randomisierung.</w:t>
      </w:r>
      <w:r>
        <w:t xml:space="preserve"> </w:t>
      </w:r>
      <w:r>
        <w:t xml:space="preserve">Wer in welche Gruppe kommt, entscheidet der Zufall. Dadurch verteilen sich bekannte und unbekannte Einflussfaktoren gleichmäßig auf beide Gruppen. Unterschiede im Ergebnis lassen sich dann mit hoher Wahrscheinlichkeit auf die Behandlung zurückführen.</w:t>
      </w:r>
    </w:p>
    <w:p>
      <w:pPr>
        <w:pStyle w:val="BodyText"/>
      </w:pPr>
      <w:r>
        <w:rPr>
          <w:bCs/>
          <w:b/>
        </w:rPr>
        <w:t xml:space="preserve">Verblindung.</w:t>
      </w:r>
      <w:r>
        <w:t xml:space="preserve"> </w:t>
      </w:r>
      <w:r>
        <w:t xml:space="preserve">Bei einer</w:t>
      </w:r>
      <w:r>
        <w:t xml:space="preserve"> </w:t>
      </w:r>
      <w:r>
        <w:rPr>
          <w:bCs/>
          <w:b/>
        </w:rPr>
        <w:t xml:space="preserve">doppelblinden</w:t>
      </w:r>
      <w:r>
        <w:t xml:space="preserve"> </w:t>
      </w:r>
      <w:r>
        <w:t xml:space="preserve">Studie wissen weder die Teilnehmenden noch das Studienpersonal, wer den Wirkstoff und wer das Placebo bekommt. Das verhindert, dass Erwartungen das Ergebnis beeinflussen. In einer</w:t>
      </w:r>
      <w:r>
        <w:t xml:space="preserve"> </w:t>
      </w:r>
      <w:r>
        <w:rPr>
          <w:bCs/>
          <w:b/>
        </w:rPr>
        <w:t xml:space="preserve">offenen</w:t>
      </w:r>
      <w:r>
        <w:t xml:space="preserve"> </w:t>
      </w:r>
      <w:r>
        <w:t xml:space="preserve">Studie wissen alle Beteiligten Bescheid; das ist manchmal nicht anders möglich, macht die Ergebnisse aber anfälliger für Verzerrungen, besonders bei subjektiven Endpunkten wie Schmerz, Stimmung oder Hautbild.</w:t>
      </w:r>
    </w:p>
    <w:bookmarkEnd w:id="81"/>
    <w:bookmarkStart w:id="82" w:name="X8ef67140c841e013b9f939e075e4541205529ca"/>
    <w:p>
      <w:pPr>
        <w:pStyle w:val="Heading3"/>
      </w:pPr>
      <w:r>
        <w:t xml:space="preserve">Der Placebo-Effekt und warum Kontrollgruppen unverzichtbar sind</w:t>
      </w:r>
    </w:p>
    <w:p>
      <w:pPr>
        <w:pStyle w:val="FirstParagraph"/>
      </w:pPr>
      <w:r>
        <w:t xml:space="preserve">Menschen geht es in Studien oft besser, auch wenn sie nur ein Scheinpräparat erhalten. Das liegt an Erwartungen, an der zusätzlichen Aufmerksamkeit, an Lebensstiländerungen während einer Studie und daran, dass sich viele Beschwerden ohnehin von selbst bessern.</w:t>
      </w:r>
    </w:p>
    <w:p>
      <w:pPr>
        <w:pStyle w:val="BodyText"/>
      </w:pPr>
      <w:r>
        <w:t xml:space="preserve">Ein anschauliches Beispiel liefert die Studie STEP 1: Auch die Placebogruppe nahm über 68 Wochen im Mittel 2,4 % ihres Körpergewichts ab, weil alle Teilnehmenden zusätzlich eine Lebensstilberatung erhielten (Wilding 2021, PMID 33567185). Der eigentliche Effekt des Wirkstoffs ist der Unterschied zwischen den Gruppen – in diesem Fall 12,4 Prozentpunkte, nicht 14,9 %.</w:t>
      </w:r>
    </w:p>
    <w:p>
      <w:pPr>
        <w:pStyle w:val="BodyText"/>
      </w:pPr>
      <w:r>
        <w:t xml:space="preserve">Eine Übersichtsarbeit zu Peptiden in der Sportmedizin weist ausdrücklich darauf hin, dass der Placebo-Effekt einen Teil der berichteten Wirkungen unregulierter Peptide erklären könnte und soziale Medien diesen Effekt verstärken (Mendias 2026, PMID 41966639). Erfahrungsberichte aus Foren sind deshalb kein Ersatz für kontrollierte Studien.</w:t>
      </w:r>
    </w:p>
    <w:bookmarkEnd w:id="82"/>
    <w:bookmarkStart w:id="83" w:name="studienphasen"/>
    <w:p>
      <w:pPr>
        <w:pStyle w:val="Heading3"/>
      </w:pPr>
      <w:r>
        <w:t xml:space="preserve">Studienphasen</w:t>
      </w:r>
    </w:p>
    <w:p>
      <w:pPr>
        <w:pStyle w:val="FirstParagraph"/>
      </w:pPr>
      <w:r>
        <w:t xml:space="preserve">Neue Arzneimittel durchlaufen beim Menschen typischerweise vier Phasen: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Ziel</w:t>
            </w:r>
          </w:p>
        </w:tc>
        <w:tc>
          <w:tcPr/>
          <w:p>
            <w:pPr>
              <w:pStyle w:val="Compact"/>
              <w:jc w:val="left"/>
            </w:pPr>
            <w:r>
              <w:t xml:space="preserve">Typische Größe</w:t>
            </w:r>
          </w:p>
        </w:tc>
      </w:tr>
      <w:tr>
        <w:tc>
          <w:tcPr/>
          <w:p>
            <w:pPr>
              <w:pStyle w:val="Compact"/>
              <w:jc w:val="left"/>
            </w:pPr>
            <w:r>
              <w:t xml:space="preserve">Phase 1</w:t>
            </w:r>
          </w:p>
        </w:tc>
        <w:tc>
          <w:tcPr/>
          <w:p>
            <w:pPr>
              <w:pStyle w:val="Compact"/>
              <w:jc w:val="left"/>
            </w:pPr>
            <w:r>
              <w:t xml:space="preserve">Verträglichkeit, Verhalten im Körper</w:t>
            </w:r>
          </w:p>
        </w:tc>
        <w:tc>
          <w:tcPr/>
          <w:p>
            <w:pPr>
              <w:pStyle w:val="Compact"/>
              <w:jc w:val="left"/>
            </w:pPr>
            <w:r>
              <w:t xml:space="preserve">wenige Dutzend Gesunde</w:t>
            </w:r>
          </w:p>
        </w:tc>
      </w:tr>
      <w:tr>
        <w:tc>
          <w:tcPr/>
          <w:p>
            <w:pPr>
              <w:pStyle w:val="Compact"/>
              <w:jc w:val="left"/>
            </w:pPr>
            <w:r>
              <w:t xml:space="preserve">Phase 2</w:t>
            </w:r>
          </w:p>
        </w:tc>
        <w:tc>
          <w:tcPr/>
          <w:p>
            <w:pPr>
              <w:pStyle w:val="Compact"/>
              <w:jc w:val="left"/>
            </w:pPr>
            <w:r>
              <w:t xml:space="preserve">erste Wirksamkeit, Dosisfindung</w:t>
            </w:r>
          </w:p>
        </w:tc>
        <w:tc>
          <w:tcPr/>
          <w:p>
            <w:pPr>
              <w:pStyle w:val="Compact"/>
              <w:jc w:val="left"/>
            </w:pPr>
            <w:r>
              <w:t xml:space="preserve">etwa 100 bis einige Hundert</w:t>
            </w:r>
          </w:p>
        </w:tc>
      </w:tr>
      <w:tr>
        <w:tc>
          <w:tcPr/>
          <w:p>
            <w:pPr>
              <w:pStyle w:val="Compact"/>
              <w:jc w:val="left"/>
            </w:pPr>
            <w:r>
              <w:t xml:space="preserve">Phase 3</w:t>
            </w:r>
          </w:p>
        </w:tc>
        <w:tc>
          <w:tcPr/>
          <w:p>
            <w:pPr>
              <w:pStyle w:val="Compact"/>
              <w:jc w:val="left"/>
            </w:pPr>
            <w:r>
              <w:t xml:space="preserve">Wirksamkeit und Sicherheit im Vergleich</w:t>
            </w:r>
          </w:p>
        </w:tc>
        <w:tc>
          <w:tcPr/>
          <w:p>
            <w:pPr>
              <w:pStyle w:val="Compact"/>
              <w:jc w:val="left"/>
            </w:pPr>
            <w:r>
              <w:t xml:space="preserve">Hunderte bis Tausende</w:t>
            </w:r>
          </w:p>
        </w:tc>
      </w:tr>
      <w:tr>
        <w:tc>
          <w:tcPr/>
          <w:p>
            <w:pPr>
              <w:pStyle w:val="Compact"/>
              <w:jc w:val="left"/>
            </w:pPr>
            <w:r>
              <w:t xml:space="preserve">Phase 4</w:t>
            </w:r>
          </w:p>
        </w:tc>
        <w:tc>
          <w:tcPr/>
          <w:p>
            <w:pPr>
              <w:pStyle w:val="Compact"/>
              <w:jc w:val="left"/>
            </w:pPr>
            <w:r>
              <w:t xml:space="preserve">Beobachtung nach der Zulassung</w:t>
            </w:r>
          </w:p>
        </w:tc>
        <w:tc>
          <w:tcPr/>
          <w:p>
            <w:pPr>
              <w:pStyle w:val="Compact"/>
              <w:jc w:val="left"/>
            </w:pPr>
            <w:r>
              <w:t xml:space="preserve">oft sehr groß</w:t>
            </w:r>
          </w:p>
        </w:tc>
      </w:tr>
    </w:tbl>
    <w:p>
      <w:pPr>
        <w:pStyle w:val="BodyText"/>
      </w:pPr>
      <w:r>
        <w:t xml:space="preserve">Viele Wirkstoffe scheitern zwischen Phase 2 und Phase 3. Ein vielversprechendes Phase-2-Ergebnis ist deshalb noch keine Garantie für eine spätere Zulassung.</w:t>
      </w:r>
    </w:p>
    <w:bookmarkEnd w:id="83"/>
    <w:bookmarkStart w:id="84" w:name="endpunkte-was-wird-eigentlich-gemessen"/>
    <w:p>
      <w:pPr>
        <w:pStyle w:val="Heading3"/>
      </w:pPr>
      <w:r>
        <w:t xml:space="preserve">Endpunkte: Was wird eigentlich gemessen?</w:t>
      </w:r>
    </w:p>
    <w:p>
      <w:pPr>
        <w:pStyle w:val="FirstParagraph"/>
      </w:pPr>
      <w:r>
        <w:t xml:space="preserve">Jede Studie legt vorab einen</w:t>
      </w:r>
      <w:r>
        <w:t xml:space="preserve"> </w:t>
      </w:r>
      <w:r>
        <w:rPr>
          <w:bCs/>
          <w:b/>
        </w:rPr>
        <w:t xml:space="preserve">primären Endpunkt</w:t>
      </w:r>
      <w:r>
        <w:t xml:space="preserve"> </w:t>
      </w:r>
      <w:r>
        <w:t xml:space="preserve">fest – das Hauptziel, an dem der Erfolg gemessen wird. Dazu kommen sekundäre Endpunkte. Wird ein Ergebnis erst nachträglich als wichtig herausgestellt, ist Vorsicht geboten: Wer viele Endpunkte misst, findet fast immer irgendwo einen „signifikanten“ Unterschied.</w:t>
      </w:r>
    </w:p>
    <w:p>
      <w:pPr>
        <w:pStyle w:val="BodyText"/>
      </w:pPr>
      <w:r>
        <w:t xml:space="preserve">Besonders wichtig ist die Unterscheidung zwischen</w:t>
      </w:r>
      <w:r>
        <w:t xml:space="preserve"> </w:t>
      </w:r>
      <w:r>
        <w:rPr>
          <w:bCs/>
          <w:b/>
        </w:rPr>
        <w:t xml:space="preserve">harten Endpunkten</w:t>
      </w:r>
      <w:r>
        <w:t xml:space="preserve"> </w:t>
      </w:r>
      <w:r>
        <w:t xml:space="preserve">und</w:t>
      </w:r>
      <w:r>
        <w:t xml:space="preserve"> </w:t>
      </w:r>
      <w:r>
        <w:rPr>
          <w:bCs/>
          <w:b/>
        </w:rPr>
        <w:t xml:space="preserve">Surrogat-Endpunkten</w:t>
      </w:r>
      <w:r>
        <w:t xml:space="preserve">:</w:t>
      </w:r>
    </w:p>
    <w:p>
      <w:pPr>
        <w:numPr>
          <w:ilvl w:val="0"/>
          <w:numId w:val="1018"/>
        </w:numPr>
        <w:pStyle w:val="Compact"/>
      </w:pPr>
      <w:r>
        <w:rPr>
          <w:bCs/>
          <w:b/>
        </w:rPr>
        <w:t xml:space="preserve">Harte Endpunkte</w:t>
      </w:r>
      <w:r>
        <w:t xml:space="preserve"> </w:t>
      </w:r>
      <w:r>
        <w:t xml:space="preserve">sind Ereignisse, die für Patientinnen und Patienten unmittelbar zählen: Tod, Herzinfarkt, Schlaganfall, Knochenbruch, Erblindung, Lebensqualität.</w:t>
      </w:r>
    </w:p>
    <w:p>
      <w:pPr>
        <w:numPr>
          <w:ilvl w:val="0"/>
          <w:numId w:val="1018"/>
        </w:numPr>
        <w:pStyle w:val="Compact"/>
      </w:pPr>
      <w:r>
        <w:rPr>
          <w:bCs/>
          <w:b/>
        </w:rPr>
        <w:t xml:space="preserve">Surrogat-Endpunkte</w:t>
      </w:r>
      <w:r>
        <w:t xml:space="preserve"> </w:t>
      </w:r>
      <w:r>
        <w:t xml:space="preserve">(Ersatz-Endpunkte) sind Messwerte, von denen man annimmt, dass sie mit harten Endpunkten zusammenhängen: Blutzucker, HbA1c, Cholesterin, Blutdruck, Knochendichte, Körpergewicht oder Laborwerte wie IGF-1.</w:t>
      </w:r>
    </w:p>
    <w:p>
      <w:pPr>
        <w:pStyle w:val="FirstParagraph"/>
      </w:pPr>
      <w:r>
        <w:t xml:space="preserve">Surrogat-Endpunkte sind praktisch, weil sie sich schneller und mit weniger Teilnehmenden messen lassen. Aber sie können in die Irre führen. Das bekannteste Beispiel ist die Cardiac Arrhythmia Suppression Trial (CAST) aus den späten 1980er-Jahren. Man ging davon aus, dass Medikamente, die bestimmte Herzrhythmusstörungen nach einem Herzinfarkt unterdrücken, auch Todesfälle verhindern. Die Medikamente unterdrückten die Rhythmusstörungen tatsächlich – der Surrogat-Endpunkt war erreicht. Doch in der randomisierten Studie starben unter zwei dieser Medikamente mehr Menschen als unter Placebo: An Rhythmusstörungen starben 43 Teilnehmende mit Wirkstoff gegenüber 16 mit Placebo (Echt 1991, PMID 1900101).</w:t>
      </w:r>
    </w:p>
    <w:p>
      <w:pPr>
        <w:pStyle w:val="BodyText"/>
      </w:pPr>
      <w:r>
        <w:t xml:space="preserve">Bei Peptiden begegnen Ihnen Surrogat-Endpunkte ständig. Bei Wachstumshormon-Freisetzern wird oft nur gemessen, ob der Spiegel von Wachstumshormon oder IGF-1 steigt – nicht, ob Menschen dadurch gesünder, kräftiger oder länger leben. Bei den GLP-1-Medikamenten dagegen gibt es inzwischen große Studien mit harten Endpunkten wie Herzinfarkt und Schlaganfall. Das ist einer der Gründe, warum sie in diesem Buch die höchste Evidenzstufe erhalten.</w:t>
      </w:r>
    </w:p>
    <w:bookmarkEnd w:id="84"/>
    <w:bookmarkStart w:id="85" w:name="relative-und-absolute-risiken"/>
    <w:p>
      <w:pPr>
        <w:pStyle w:val="Heading3"/>
      </w:pPr>
      <w:r>
        <w:t xml:space="preserve">Relative und absolute Risiken</w:t>
      </w:r>
    </w:p>
    <w:p>
      <w:pPr>
        <w:pStyle w:val="FirstParagraph"/>
      </w:pPr>
      <w:r>
        <w:t xml:space="preserve">Kaum ein statistisches Detail wird so häufig missverstanden wie dieses. Nehmen wir die Studie SELECT: Über im Mittel 39,8 Monate trat das kombinierte Herz-Kreislauf-Ereignis bei 6,5 % der Teilnehmenden mit Semaglutid und bei 8,0 % mit Placebo auf. Das Hazard Ratio – ein Maß für das relative Risiko über die Zeit – betrug 0,80 (Lincoff 2023, PMID 37952131).</w:t>
      </w:r>
    </w:p>
    <w:p>
      <w:pPr>
        <w:pStyle w:val="BodyText"/>
      </w:pPr>
      <w:r>
        <w:t xml:space="preserve">Daraus lassen sich zwei Aussagen ableiten, die beide richtig sind:</w:t>
      </w:r>
    </w:p>
    <w:p>
      <w:pPr>
        <w:numPr>
          <w:ilvl w:val="0"/>
          <w:numId w:val="1019"/>
        </w:numPr>
        <w:pStyle w:val="Compact"/>
      </w:pPr>
      <w:r>
        <w:rPr>
          <w:bCs/>
          <w:b/>
        </w:rPr>
        <w:t xml:space="preserve">Relativ:</w:t>
      </w:r>
      <w:r>
        <w:t xml:space="preserve"> </w:t>
      </w:r>
      <w:r>
        <w:t xml:space="preserve">Das Risiko war um rund 20 % niedriger.</w:t>
      </w:r>
    </w:p>
    <w:p>
      <w:pPr>
        <w:numPr>
          <w:ilvl w:val="0"/>
          <w:numId w:val="1019"/>
        </w:numPr>
        <w:pStyle w:val="Compact"/>
      </w:pPr>
      <w:r>
        <w:rPr>
          <w:bCs/>
          <w:b/>
        </w:rPr>
        <w:t xml:space="preserve">Absolut:</w:t>
      </w:r>
      <w:r>
        <w:t xml:space="preserve"> </w:t>
      </w:r>
      <w:r>
        <w:t xml:space="preserve">Der Anteil der Betroffenen sank um 1,5 Prozentpunkte – von 8,0 auf 6,5 von 100 Menschen.</w:t>
      </w:r>
    </w:p>
    <w:p>
      <w:pPr>
        <w:pStyle w:val="FirstParagraph"/>
      </w:pPr>
      <w:r>
        <w:t xml:space="preserve">Aus dem absoluten Unterschied lässt sich die</w:t>
      </w:r>
      <w:r>
        <w:t xml:space="preserve"> </w:t>
      </w:r>
      <w:r>
        <w:rPr>
          <w:bCs/>
          <w:b/>
        </w:rPr>
        <w:t xml:space="preserve">Number Needed to Treat (NNT)</w:t>
      </w:r>
      <w:r>
        <w:t xml:space="preserve"> </w:t>
      </w:r>
      <w:r>
        <w:t xml:space="preserve">berechnen: wie viele Menschen behandelt werden müssen, damit einer ein Ereignis vermeidet. Hier sind das rechnerisch etwa 67 Menschen über gut drei Jahre. Das bedeutet nicht, dass die Behandlung unwichtig ist – bei Millionen Betroffenen ist der Effekt bedeutsam. Aber es zeigt, dass die meisten Behandelten kein Ereignis gehabt hätten, auch ohne Medikament, und dass einige trotz Medikament eines haben.</w:t>
      </w:r>
    </w:p>
    <w:p>
      <w:pPr>
        <w:pStyle w:val="BodyText"/>
      </w:pPr>
      <w:r>
        <w:t xml:space="preserve">Werbung und Schlagzeilen bevorzugen relative Zahlen, weil sie größer klingen. Gute Studienberichte nennen beides. Achten Sie deshalb immer auf die Ausgangshäufigkeit: Eine „Halbierung“ des Risikos von 2 auf 1 von 10.000 ist etwas völlig anderes als von 20 auf 10 von 100.</w:t>
      </w:r>
    </w:p>
    <w:p>
      <w:pPr>
        <w:pStyle w:val="BodyText"/>
      </w:pPr>
      <w:r>
        <w:t xml:space="preserve">Dasselbe gilt für Nebenwirkungen. In SELECT brachen 16,6 % der Teilnehmenden mit Semaglutid die Behandlung wegen unerwünschter Ereignisse ab, gegenüber 8,2 % mit Placebo (Lincoff 2023, PMID 37952131). Relativ ist das eine Verdopplung, absolut ein Unterschied von 8,4 Prozentpunkten.</w:t>
      </w:r>
    </w:p>
    <w:bookmarkEnd w:id="85"/>
    <w:bookmarkStart w:id="86" w:name="X05a639e05b231687b1a23dd50dc0275b23bd62b"/>
    <w:p>
      <w:pPr>
        <w:pStyle w:val="Heading3"/>
      </w:pPr>
      <w:r>
        <w:t xml:space="preserve">Statistische Signifikanz und Konfidenzintervalle</w:t>
      </w:r>
    </w:p>
    <w:p>
      <w:pPr>
        <w:pStyle w:val="FirstParagraph"/>
      </w:pPr>
      <w:r>
        <w:t xml:space="preserve">Ein</w:t>
      </w:r>
      <w:r>
        <w:t xml:space="preserve"> </w:t>
      </w:r>
      <w:r>
        <w:rPr>
          <w:bCs/>
          <w:b/>
        </w:rPr>
        <w:t xml:space="preserve">p-Wert</w:t>
      </w:r>
      <w:r>
        <w:t xml:space="preserve"> </w:t>
      </w:r>
      <w:r>
        <w:t xml:space="preserve">gibt an, wie wahrscheinlich ein mindestens so großer Unterschied wäre, wenn in Wirklichkeit kein Effekt bestünde. Ist er kleiner als 0,05, gilt ein Ergebnis üblicherweise als „statistisch signifikant“. Das heißt nicht, dass der Effekt groß oder bedeutsam ist – bei sehr großen Studien werden auch winzige Unterschiede signifikant.</w:t>
      </w:r>
    </w:p>
    <w:p>
      <w:pPr>
        <w:pStyle w:val="BodyText"/>
      </w:pPr>
      <w:r>
        <w:t xml:space="preserve">Aussagekräftiger ist oft das</w:t>
      </w:r>
      <w:r>
        <w:t xml:space="preserve"> </w:t>
      </w:r>
      <w:r>
        <w:rPr>
          <w:bCs/>
          <w:b/>
        </w:rPr>
        <w:t xml:space="preserve">95-%-Konfidenzintervall</w:t>
      </w:r>
      <w:r>
        <w:t xml:space="preserve">. Es gibt einen Bereich an, in dem der wahre Effekt mit hoher Wahrscheinlichkeit liegt. In STEP 1 lag der Unterschied im Körpergewicht zwischen Semaglutid und Placebo bei 12,4 Prozentpunkten, mit einem Konfidenzintervall von 11,5 bis 13,4 (Wilding 2021, PMID 33567185). Ein so enges Intervall zeigt eine präzise Schätzung. Bei kleinen Studien sind die Intervalle oft sehr breit – ein Zeichen, dass der wahre Effekt groß, klein oder sogar null sein könnte.</w:t>
      </w:r>
    </w:p>
    <w:bookmarkEnd w:id="86"/>
    <w:bookmarkStart w:id="87" w:name="Xa582895335aa8ed631a7adb8063422fcc959212"/>
    <w:p>
      <w:pPr>
        <w:pStyle w:val="Heading3"/>
      </w:pPr>
      <w:r>
        <w:t xml:space="preserve">Wie man zählt: die Frage nach dem Schätzer</w:t>
      </w:r>
    </w:p>
    <w:p>
      <w:pPr>
        <w:pStyle w:val="FirstParagraph"/>
      </w:pPr>
      <w:r>
        <w:t xml:space="preserve">Ein Detail, das in neueren Studien wichtig geworden ist: Wie werden Menschen gezählt, die die Behandlung abbrechen oder zusätzliche Medikamente nehmen? In der Studie PIONEER 1 wurden zwei Auswertungen berichtet. Wertet man alle Teilnehmenden aus, unabhängig davon, ob sie die Tabletten weiter nahmen, sank der HbA1c-Wert in der höchsten Dosis um 1,1 Prozentpunkte stärker als unter Placebo. Betrachtet man nur die Zeit, in der die Tabletten tatsächlich genommen wurden, waren es 1,4 Prozentpunkte (Aroda 2019, PMID 31186300). Beide Zahlen sind korrekt, beantworten aber unterschiedliche Fragen. Die erste ist meist realistischer für den Alltag.</w:t>
      </w:r>
    </w:p>
    <w:bookmarkEnd w:id="87"/>
    <w:bookmarkStart w:id="88" w:name="dauer-und-größe"/>
    <w:p>
      <w:pPr>
        <w:pStyle w:val="Heading3"/>
      </w:pPr>
      <w:r>
        <w:t xml:space="preserve">Dauer und Größe</w:t>
      </w:r>
    </w:p>
    <w:p>
      <w:pPr>
        <w:pStyle w:val="FirstParagraph"/>
      </w:pPr>
      <w:r>
        <w:t xml:space="preserve">Viele Peptid-Studien sind kurz. Eine Veränderung von Laborwerten nach zwei Wochen sagt wenig darüber, was nach zwei Jahren geschieht – weder über den Nutzen noch über Risiken wie Krebs, die sich oft erst nach Jahren zeigen. Ebenso wichtig ist die Größe: Seltene Nebenwirkungen, die einen von tausend Menschen betreffen, bleiben in einer Studie mit 40 Teilnehmenden zwangsläufig unentdeckt. Das Fehlen von Nebenwirkungen in einer kleinen Studie ist kein Beleg für Sicherheit.</w:t>
      </w:r>
    </w:p>
    <w:p>
      <w:pPr>
        <w:pStyle w:val="BodyText"/>
      </w:pPr>
      <w:r>
        <w:t xml:space="preserve">Aus theoretischen Überlegungen und Simulationen leitete der Epidemiologe John Ioannidis ab, dass Forschungsergebnisse umso unzuverlässiger sind, je kleiner die Studien und die Effekte sind, je mehr Fragestellungen ohne Vorauswahl getestet werden, je flexibler Design und Auswertung sind und je größer finanzielle Interessen und Vorurteile in einem Feld sind (Ioannidis 2005, PMID 16060722). Viele dieser Merkmale treffen auf die Forschung zu wenig untersuchten Peptiden zu.</w:t>
      </w:r>
    </w:p>
    <w:bookmarkEnd w:id="88"/>
    <w:bookmarkStart w:id="89" w:name="interessenkonflikte"/>
    <w:p>
      <w:pPr>
        <w:pStyle w:val="Heading3"/>
      </w:pPr>
      <w:r>
        <w:t xml:space="preserve">Interessenkonflikte</w:t>
      </w:r>
    </w:p>
    <w:p>
      <w:pPr>
        <w:pStyle w:val="FirstParagraph"/>
      </w:pPr>
      <w:r>
        <w:t xml:space="preserve">Die großen Zulassungsstudien werden fast immer von den Herstellern finanziert. Das ist rechtlich so vorgesehen und nicht automatisch ein Makel – diese Studien unterliegen strengen Regeln, werden vorab registriert und von Behörden geprüft. Trotzdem lohnt sich ein Blick auf die Finanzierung. Eine Cochrane-Übersicht kam zu dem Ergebnis, dass von der Industrie gesponserte Studien häufiger günstige Wirksamkeitsergebnisse (relatives Risiko 1,27) und häufiger günstige Schlussfolgerungen (relatives Risiko 1,34) berichteten als Studien mit anderer Finanzierung (Lundh 2017, PMID 28207928).</w:t>
      </w:r>
    </w:p>
    <w:p>
      <w:pPr>
        <w:pStyle w:val="BodyText"/>
      </w:pPr>
      <w:r>
        <w:t xml:space="preserve">Interessenkonflikte gibt es nicht nur bei Pharmakonzernen. Auch Forschende, die einen Stoff entdeckt haben und Patente halten, Kliniken, die Peptid-Therapien verkaufen, oder Influencer mit Rabattcodes haben ein Interesse an positiven Ergebnissen. Ein Warnsignal ist es, wenn fast alle Studien zu einem Stoff aus einer einzigen Arbeitsgruppe stammen und von unabhängigen Teams nicht bestätigt wurden.</w:t>
      </w:r>
    </w:p>
    <w:bookmarkEnd w:id="89"/>
    <w:bookmarkStart w:id="90" w:name="das-problem-der-verschwundenen-studien"/>
    <w:p>
      <w:pPr>
        <w:pStyle w:val="Heading3"/>
      </w:pPr>
      <w:r>
        <w:t xml:space="preserve">Das Problem der verschwundenen Studien</w:t>
      </w:r>
    </w:p>
    <w:p>
      <w:pPr>
        <w:pStyle w:val="FirstParagraph"/>
      </w:pPr>
      <w:r>
        <w:t xml:space="preserve">Nicht jede Studie wird veröffentlicht – und es sind vor allem die enttäuschenden, die verschwinden. Wie stark das verzerren kann, zeigte eine Untersuchung zu Antidepressiva. Von 74 bei der US-Arzneimittelbehörde FDA registrierten Studien wurden 31 % nicht veröffentlicht. Nach der veröffentlichten Literatur waren 94 % der Studien positiv, nach der Analyse der FDA nur 51 % (Turner 2008, PMID 18199864). Wer nur die Fachzeitschriften liest, bekommt ein zu rosiges Bild.</w:t>
      </w:r>
    </w:p>
    <w:bookmarkEnd w:id="90"/>
    <w:bookmarkStart w:id="91" w:name="studienregister"/>
    <w:p>
      <w:pPr>
        <w:pStyle w:val="Heading3"/>
      </w:pPr>
      <w:r>
        <w:t xml:space="preserve">Studienregister</w:t>
      </w:r>
    </w:p>
    <w:p>
      <w:pPr>
        <w:pStyle w:val="FirstParagraph"/>
      </w:pPr>
      <w:r>
        <w:t xml:space="preserve">Als Reaktion auf solche Befunde erklärte der Internationale Ausschuss der Herausgeber medizinischer Fachzeitschriften 2004, dass klinische Studien vor ihrem Beginn in einem öffentlichen Register eingetragen sein müssen, um später veröffentlicht zu werden (DeAngelis 2004, PMID 15355936). Heute sind Register ein zentrales Werkzeug:</w:t>
      </w:r>
    </w:p>
    <w:p>
      <w:pPr>
        <w:numPr>
          <w:ilvl w:val="0"/>
          <w:numId w:val="1020"/>
        </w:numPr>
        <w:pStyle w:val="Compact"/>
      </w:pPr>
      <w:r>
        <w:rPr>
          <w:bCs/>
          <w:b/>
        </w:rPr>
        <w:t xml:space="preserve">ClinicalTrials.gov</w:t>
      </w:r>
      <w:r>
        <w:t xml:space="preserve"> </w:t>
      </w:r>
      <w:r>
        <w:t xml:space="preserve">(USA) ist das größte Register. Jede Studie erhält eine Nummer im Format „NCT“ plus acht Ziffern. Die Studie SELECT etwa hat die Nummer NCT03574597.</w:t>
      </w:r>
    </w:p>
    <w:p>
      <w:pPr>
        <w:numPr>
          <w:ilvl w:val="0"/>
          <w:numId w:val="1020"/>
        </w:numPr>
        <w:pStyle w:val="Compact"/>
      </w:pPr>
      <w:r>
        <w:t xml:space="preserve">In der</w:t>
      </w:r>
      <w:r>
        <w:t xml:space="preserve"> </w:t>
      </w:r>
      <w:r>
        <w:rPr>
          <w:bCs/>
          <w:b/>
        </w:rPr>
        <w:t xml:space="preserve">EU</w:t>
      </w:r>
      <w:r>
        <w:t xml:space="preserve"> </w:t>
      </w:r>
      <w:r>
        <w:t xml:space="preserve">werden klinische Prüfungen im Clinical Trials Information System (CTIS) der Europäischen Arzneimittel-Agentur erfasst; ältere Studien finden sich im EU Clinical Trials Register.</w:t>
      </w:r>
    </w:p>
    <w:p>
      <w:pPr>
        <w:numPr>
          <w:ilvl w:val="0"/>
          <w:numId w:val="1020"/>
        </w:numPr>
        <w:pStyle w:val="Compact"/>
      </w:pPr>
      <w:r>
        <w:t xml:space="preserve">Die</w:t>
      </w:r>
      <w:r>
        <w:t xml:space="preserve"> </w:t>
      </w:r>
      <w:r>
        <w:rPr>
          <w:bCs/>
          <w:b/>
        </w:rPr>
        <w:t xml:space="preserve">Weltgesundheitsorganisation</w:t>
      </w:r>
      <w:r>
        <w:t xml:space="preserve"> </w:t>
      </w:r>
      <w:r>
        <w:t xml:space="preserve">bündelt viele nationale Register in einem Suchportal (ICTRP).</w:t>
      </w:r>
    </w:p>
    <w:p>
      <w:pPr>
        <w:pStyle w:val="FirstParagraph"/>
      </w:pPr>
      <w:r>
        <w:t xml:space="preserve">Im Register stehen unter anderem das geplante Studiendesign, die Zahl der Teilnehmenden, der primäre Endpunkt und der Status. So lässt sich prüfen, ob eine veröffentlichte Studie ihre ursprünglich geplanten Endpunkte berichtet – und ob zu einem Stoff Studien begonnen, aber nie veröffentlicht wurden. Für dieses Buch wurden Register vor allem genutzt, um laufende Studien zu finden. Wichtig: Ein Registereintrag ist kein Ergebnis. Dass eine Studie registriert ist, sagt nichts darüber, ob der Stoff wirkt.</w:t>
      </w:r>
    </w:p>
    <w:bookmarkEnd w:id="91"/>
    <w:bookmarkStart w:id="92" w:name="weitere-warnsignale"/>
    <w:p>
      <w:pPr>
        <w:pStyle w:val="Heading3"/>
      </w:pPr>
      <w:r>
        <w:t xml:space="preserve">Weitere Warnsignale</w:t>
      </w:r>
    </w:p>
    <w:p>
      <w:pPr>
        <w:numPr>
          <w:ilvl w:val="0"/>
          <w:numId w:val="1021"/>
        </w:numPr>
        <w:pStyle w:val="Compact"/>
      </w:pPr>
      <w:r>
        <w:rPr>
          <w:bCs/>
          <w:b/>
        </w:rPr>
        <w:t xml:space="preserve">Nur ein Kongress-Abstract oder ein Preprint.</w:t>
      </w:r>
      <w:r>
        <w:t xml:space="preserve"> </w:t>
      </w:r>
      <w:r>
        <w:t xml:space="preserve">Vorabveröffentlichungen (etwa auf medRxiv) und Kongressbeiträge sind noch nicht vollständig begutachtet.</w:t>
      </w:r>
    </w:p>
    <w:p>
      <w:pPr>
        <w:numPr>
          <w:ilvl w:val="0"/>
          <w:numId w:val="1021"/>
        </w:numPr>
        <w:pStyle w:val="Compact"/>
      </w:pPr>
      <w:r>
        <w:rPr>
          <w:bCs/>
          <w:b/>
        </w:rPr>
        <w:t xml:space="preserve">Fachzeitschriften mit fragwürdigen Standards.</w:t>
      </w:r>
      <w:r>
        <w:t xml:space="preserve"> </w:t>
      </w:r>
      <w:r>
        <w:t xml:space="preserve">Manche Zeitschriften veröffentlichen gegen Gebühr nahezu alles.</w:t>
      </w:r>
    </w:p>
    <w:p>
      <w:pPr>
        <w:numPr>
          <w:ilvl w:val="0"/>
          <w:numId w:val="1021"/>
        </w:numPr>
        <w:pStyle w:val="Compact"/>
      </w:pPr>
      <w:r>
        <w:rPr>
          <w:bCs/>
          <w:b/>
        </w:rPr>
        <w:t xml:space="preserve">Studien, die nicht auffindbar sind.</w:t>
      </w:r>
      <w:r>
        <w:t xml:space="preserve"> </w:t>
      </w:r>
      <w:r>
        <w:t xml:space="preserve">Wenn sich eine zitierte Studie in PubMed oder einem Register nicht finden lässt, ist Vorsicht geboten.</w:t>
      </w:r>
    </w:p>
    <w:p>
      <w:pPr>
        <w:numPr>
          <w:ilvl w:val="0"/>
          <w:numId w:val="1021"/>
        </w:numPr>
        <w:pStyle w:val="Compact"/>
      </w:pPr>
      <w:r>
        <w:rPr>
          <w:bCs/>
          <w:b/>
        </w:rPr>
        <w:t xml:space="preserve">Übertragung von Kranken auf Gesunde.</w:t>
      </w:r>
      <w:r>
        <w:t xml:space="preserve"> </w:t>
      </w:r>
      <w:r>
        <w:t xml:space="preserve">Ein Stoff, der bei einer bestimmten Erkrankung hilft, muss bei Gesunden keinen Nutzen haben – das Risiko-Nutzen-Verhältnis ist dort ein völlig anderes.</w:t>
      </w:r>
    </w:p>
    <w:p>
      <w:pPr>
        <w:numPr>
          <w:ilvl w:val="0"/>
          <w:numId w:val="1021"/>
        </w:numPr>
        <w:pStyle w:val="Compact"/>
      </w:pPr>
      <w:r>
        <w:rPr>
          <w:bCs/>
          <w:b/>
        </w:rPr>
        <w:t xml:space="preserve">Übertragung von einem Stoff auf einen anderen.</w:t>
      </w:r>
      <w:r>
        <w:t xml:space="preserve"> </w:t>
      </w:r>
      <w:r>
        <w:t xml:space="preserve">Ergebnisse zu Semaglutid gelten nicht automatisch für ein Graumarkt-Produkt, auf dem „Semaglutid“ steht – und Studien zu Thymosin Beta-4 nicht automatisch für das Fragment „TB-500“.</w:t>
      </w:r>
    </w:p>
    <w:bookmarkEnd w:id="92"/>
    <w:bookmarkStart w:id="93" w:name="zehn-fragen-an-jede-studie"/>
    <w:p>
      <w:pPr>
        <w:pStyle w:val="Heading3"/>
      </w:pPr>
      <w:r>
        <w:t xml:space="preserve">Zehn Fragen an jede Studie</w:t>
      </w:r>
    </w:p>
    <w:p>
      <w:pPr>
        <w:numPr>
          <w:ilvl w:val="0"/>
          <w:numId w:val="1022"/>
        </w:numPr>
        <w:pStyle w:val="Compact"/>
      </w:pPr>
      <w:r>
        <w:t xml:space="preserve">Wurden Menschen untersucht – oder Tiere oder Zellen?</w:t>
      </w:r>
    </w:p>
    <w:p>
      <w:pPr>
        <w:numPr>
          <w:ilvl w:val="0"/>
          <w:numId w:val="1022"/>
        </w:numPr>
        <w:pStyle w:val="Compact"/>
      </w:pPr>
      <w:r>
        <w:t xml:space="preserve">Gab es eine Kontrollgruppe, und wurde zufällig zugeteilt?</w:t>
      </w:r>
    </w:p>
    <w:p>
      <w:pPr>
        <w:numPr>
          <w:ilvl w:val="0"/>
          <w:numId w:val="1022"/>
        </w:numPr>
        <w:pStyle w:val="Compact"/>
      </w:pPr>
      <w:r>
        <w:t xml:space="preserve">War die Studie verblindet?</w:t>
      </w:r>
    </w:p>
    <w:p>
      <w:pPr>
        <w:numPr>
          <w:ilvl w:val="0"/>
          <w:numId w:val="1022"/>
        </w:numPr>
        <w:pStyle w:val="Compact"/>
      </w:pPr>
      <w:r>
        <w:t xml:space="preserve">Wie viele Teilnehmende waren es, und wie lange wurden sie beobachtet?</w:t>
      </w:r>
    </w:p>
    <w:p>
      <w:pPr>
        <w:numPr>
          <w:ilvl w:val="0"/>
          <w:numId w:val="1022"/>
        </w:numPr>
        <w:pStyle w:val="Compact"/>
      </w:pPr>
      <w:r>
        <w:t xml:space="preserve">Wer wurde untersucht – Kranke oder Gesunde, Junge oder Alte?</w:t>
      </w:r>
    </w:p>
    <w:p>
      <w:pPr>
        <w:numPr>
          <w:ilvl w:val="0"/>
          <w:numId w:val="1022"/>
        </w:numPr>
        <w:pStyle w:val="Compact"/>
      </w:pPr>
      <w:r>
        <w:t xml:space="preserve">Was war der primäre Endpunkt: ein harter Endpunkt oder ein Surrogat?</w:t>
      </w:r>
    </w:p>
    <w:p>
      <w:pPr>
        <w:numPr>
          <w:ilvl w:val="0"/>
          <w:numId w:val="1022"/>
        </w:numPr>
        <w:pStyle w:val="Compact"/>
      </w:pPr>
      <w:r>
        <w:t xml:space="preserve">Wie groß war der Unterschied absolut, nicht nur relativ?</w:t>
      </w:r>
    </w:p>
    <w:p>
      <w:pPr>
        <w:numPr>
          <w:ilvl w:val="0"/>
          <w:numId w:val="1022"/>
        </w:numPr>
        <w:pStyle w:val="Compact"/>
      </w:pPr>
      <w:r>
        <w:t xml:space="preserve">Wie viele brachen ab, und welche Nebenwirkungen traten auf?</w:t>
      </w:r>
    </w:p>
    <w:p>
      <w:pPr>
        <w:numPr>
          <w:ilvl w:val="0"/>
          <w:numId w:val="1022"/>
        </w:numPr>
        <w:pStyle w:val="Compact"/>
      </w:pPr>
      <w:r>
        <w:t xml:space="preserve">Wer hat die Studie bezahlt, und wurden die Ergebnisse unabhängig bestätigt?</w:t>
      </w:r>
    </w:p>
    <w:p>
      <w:pPr>
        <w:numPr>
          <w:ilvl w:val="0"/>
          <w:numId w:val="1022"/>
        </w:numPr>
        <w:pStyle w:val="Compact"/>
      </w:pPr>
      <w:r>
        <w:t xml:space="preserve">War die Studie vorab registriert, und stimmen die berichteten Endpunkte mit dem Register überein?</w:t>
      </w:r>
    </w:p>
    <w:bookmarkEnd w:id="93"/>
    <w:bookmarkStart w:id="94" w:name="wie-dieses-buch-die-evidenz-einstuft"/>
    <w:p>
      <w:pPr>
        <w:pStyle w:val="Heading3"/>
      </w:pPr>
      <w:r>
        <w:t xml:space="preserve">Wie dieses Buch die Evidenz einstuft</w:t>
      </w:r>
    </w:p>
    <w:p>
      <w:pPr>
        <w:pStyle w:val="FirstParagraph"/>
      </w:pPr>
      <w:r>
        <w:t xml:space="preserve">Jedes Peptid in Teil II erhält eine Evidenzstufe:</w:t>
      </w:r>
    </w:p>
    <w:p>
      <w:pPr>
        <w:numPr>
          <w:ilvl w:val="0"/>
          <w:numId w:val="1023"/>
        </w:numPr>
        <w:pStyle w:val="Compact"/>
      </w:pPr>
      <w:r>
        <w:rPr>
          <w:bCs/>
          <w:b/>
        </w:rPr>
        <w:t xml:space="preserve">A</w:t>
      </w:r>
      <w:r>
        <w:t xml:space="preserve">: mehrere große randomisierte Studien am Menschen, Zulassung als Arzneimittel.</w:t>
      </w:r>
    </w:p>
    <w:p>
      <w:pPr>
        <w:numPr>
          <w:ilvl w:val="0"/>
          <w:numId w:val="1023"/>
        </w:numPr>
        <w:pStyle w:val="Compact"/>
      </w:pPr>
      <w:r>
        <w:rPr>
          <w:bCs/>
          <w:b/>
        </w:rPr>
        <w:t xml:space="preserve">B</w:t>
      </w:r>
      <w:r>
        <w:t xml:space="preserve">: einzelne randomisierte Studien am Menschen.</w:t>
      </w:r>
    </w:p>
    <w:p>
      <w:pPr>
        <w:numPr>
          <w:ilvl w:val="0"/>
          <w:numId w:val="1023"/>
        </w:numPr>
        <w:pStyle w:val="Compact"/>
      </w:pPr>
      <w:r>
        <w:rPr>
          <w:bCs/>
          <w:b/>
        </w:rPr>
        <w:t xml:space="preserve">C</w:t>
      </w:r>
      <w:r>
        <w:t xml:space="preserve">: nur kleine oder unkontrollierte Humanstudien.</w:t>
      </w:r>
    </w:p>
    <w:p>
      <w:pPr>
        <w:numPr>
          <w:ilvl w:val="0"/>
          <w:numId w:val="1023"/>
        </w:numPr>
        <w:pStyle w:val="Compact"/>
      </w:pPr>
      <w:r>
        <w:rPr>
          <w:bCs/>
          <w:b/>
        </w:rPr>
        <w:t xml:space="preserve">D</w:t>
      </w:r>
      <w:r>
        <w:t xml:space="preserve">: nur Tier- und Laborstudien.</w:t>
      </w:r>
    </w:p>
    <w:p>
      <w:pPr>
        <w:pStyle w:val="FirstParagraph"/>
      </w:pPr>
      <w:r>
        <w:t xml:space="preserve">Die Stufe bewertet die</w:t>
      </w:r>
      <w:r>
        <w:t xml:space="preserve"> </w:t>
      </w:r>
      <w:r>
        <w:rPr>
          <w:bCs/>
          <w:b/>
        </w:rPr>
        <w:t xml:space="preserve">Menge und Qualität der Daten am Menschen</w:t>
      </w:r>
      <w:r>
        <w:t xml:space="preserve">, nicht, ob ein Stoff „gut“ oder „schlecht“ ist. Ein Peptid mit Stufe A kann erhebliche Nebenwirkungen haben, und ein Peptid mit Stufe D kann in Zukunft durchaus nützlich sein – es ist eben nur noch nicht ausreichend untersucht. Die Einstufung gilt zudem für eine bestimmte Anwendung: Ein Stoff kann für eine Erkrankung gut belegt sein und für eine andere gar nicht.</w:t>
      </w:r>
    </w:p>
    <w:bookmarkEnd w:id="94"/>
    <w:bookmarkStart w:id="95" w:name="das-wichtigste-in-kürze-2"/>
    <w:p>
      <w:pPr>
        <w:pStyle w:val="Heading3"/>
      </w:pPr>
      <w:r>
        <w:t xml:space="preserve">Das Wichtigste in Kürze</w:t>
      </w:r>
    </w:p>
    <w:p>
      <w:pPr>
        <w:numPr>
          <w:ilvl w:val="0"/>
          <w:numId w:val="1024"/>
        </w:numPr>
        <w:pStyle w:val="Compact"/>
      </w:pPr>
      <w:r>
        <w:t xml:space="preserve">Labor- und Tierstudien liefern Hinweise auf Mechanismen, aber keinen Beleg für einen Nutzen beim Menschen.</w:t>
      </w:r>
    </w:p>
    <w:p>
      <w:pPr>
        <w:numPr>
          <w:ilvl w:val="0"/>
          <w:numId w:val="1024"/>
        </w:numPr>
        <w:pStyle w:val="Compact"/>
      </w:pPr>
      <w:r>
        <w:t xml:space="preserve">Der randomisierte, kontrollierte, verblindete Vergleich ist der verlässlichste Weg, eine Wirkung nachzuweisen.</w:t>
      </w:r>
    </w:p>
    <w:p>
      <w:pPr>
        <w:numPr>
          <w:ilvl w:val="0"/>
          <w:numId w:val="1024"/>
        </w:numPr>
        <w:pStyle w:val="Compact"/>
      </w:pPr>
      <w:r>
        <w:t xml:space="preserve">Surrogat-Endpunkte wie Laborwerte können in die Irre führen; harte Endpunkte zählen.</w:t>
      </w:r>
    </w:p>
    <w:p>
      <w:pPr>
        <w:numPr>
          <w:ilvl w:val="0"/>
          <w:numId w:val="1024"/>
        </w:numPr>
        <w:pStyle w:val="Compact"/>
      </w:pPr>
      <w:r>
        <w:t xml:space="preserve">Relative Zahlen klingen größer als absolute. Fragen Sie immer nach der Ausgangshäufigkeit.</w:t>
      </w:r>
    </w:p>
    <w:p>
      <w:pPr>
        <w:numPr>
          <w:ilvl w:val="0"/>
          <w:numId w:val="1024"/>
        </w:numPr>
        <w:pStyle w:val="Compact"/>
      </w:pPr>
      <w:r>
        <w:t xml:space="preserve">Finanzierung, Veröffentlichungsverzerrung und fehlende Bestätigung durch unabhängige Gruppen können das Bild verzerren. Studienregister helfen, das zu prüfen.</w:t>
      </w:r>
    </w:p>
    <w:bookmarkEnd w:id="95"/>
    <w:bookmarkEnd w:id="96"/>
    <w:bookmarkStart w:id="114" w:name="der-graumarkt"/>
    <w:p>
      <w:pPr>
        <w:pStyle w:val="Heading2"/>
      </w:pPr>
      <w:r>
        <w:t xml:space="preserve">Der Graumarkt</w:t>
      </w:r>
    </w:p>
    <w:p>
      <w:pPr>
        <w:pStyle w:val="FirstParagraph"/>
      </w:pPr>
      <w:r>
        <w:t xml:space="preserve">Wer im Internet nach Peptiden sucht, landet schnell bei Online-Shops mit professionell wirkenden Seiten, Laborfotos und Reinheitszertifikaten. Angeboten werden Fläschchen mit weißem Pulver: BPC-157, TB-500, Ipamorelin, Melanotan II – und zunehmend auch Semaglutid, Tirzepatid oder noch gar nicht zugelassene Wirkstoffe wie Retatrutid. Fast immer steht irgendwo der Hinweis „Research Use Only“ oder „not for human consumption“ – nur für Forschungszwecke, nicht zur Anwendung am Menschen.</w:t>
      </w:r>
    </w:p>
    <w:p>
      <w:pPr>
        <w:pStyle w:val="BodyText"/>
      </w:pPr>
      <w:r>
        <w:t xml:space="preserve">Dieses Kapitel beschreibt, was über diesen Markt bekannt ist: aus Laboranalysen gekaufter und beschlagnahmter Produkte, aus Fallberichten von Vergiftungen und aus Auswertungen von Nebenwirkungsmeldungen. Es soll Ihnen helfen, die Risiken realistisch einzuschätzen. Bezugsquellen werden in diesem Buch grundsätzlich nicht genannt.</w:t>
      </w:r>
    </w:p>
    <w:bookmarkStart w:id="97" w:name="was-research-peptides-sind"/>
    <w:p>
      <w:pPr>
        <w:pStyle w:val="Heading3"/>
      </w:pPr>
      <w:r>
        <w:t xml:space="preserve">Was „Research Peptides“ sind</w:t>
      </w:r>
    </w:p>
    <w:p>
      <w:pPr>
        <w:pStyle w:val="FirstParagraph"/>
      </w:pPr>
      <w:r>
        <w:t xml:space="preserve">Als „Research Peptides“ oder „Research Chemicals“ werden Stoffe bezeichnet, die offiziell nur an Labore für Forschungszwecke verkauft werden. Der Aufdruck „nicht zur Anwendung am Menschen“ soll den Verkauf rechtlich absichern: Ein Produkt, das nicht als Arzneimittel angeboten wird, muss – so die Logik der Anbieter – auch keine Arzneimittelzulassung haben. In der Praxis richten sich viele dieser Shops aber erkennbar an Privatpersonen, die die Stoffe selbst spritzen wollen. Ob diese Konstruktion rechtlich trägt, wird im nächsten Kapitel besprochen; in vielen Fällen tut sie es nicht.</w:t>
      </w:r>
    </w:p>
    <w:p>
      <w:pPr>
        <w:pStyle w:val="BodyText"/>
      </w:pPr>
      <w:r>
        <w:t xml:space="preserve">Eine Übersicht aus den USA beschreibt das Muster am Beispiel von Semaglutid und Tirzepatid: Hersteller verkaufen Fläschchen „nur für Forschungszwecke“ oder „nicht zum menschlichen Verzehr“ direkt an Verbraucher, oft ohne die Materialien und das Wissen, die nötig wären, um den Wirkstoff aufzulösen, aufzuziehen und zu spritzen. Damit werden Ärztinnen, Ärzte und Apotheken umgangen – und mit ihnen die Prüfung auf Wechselwirkungen und die medizinische Überwachung (Belcourt 2025, PMID 39285774).</w:t>
      </w:r>
    </w:p>
    <w:p>
      <w:pPr>
        <w:pStyle w:val="BodyText"/>
      </w:pPr>
      <w:r>
        <w:t xml:space="preserve">Wie schwierig die Anwendung für Laien ist, untersuchte eine kleine Studie an einer US-Universität. 20 Erwachsene sollten anhand von Internetinformationen die nötigen Schritte durchführen, um ein solches Semaglutid-Pulver aufzulösen und eine Spritze vorzubereiten. Von 34 Arbeitsschritten führten sie im Mittel 15 korrekt aus. Die Forschenden beobachteten Fehler, die zu falscher Dosierung, Nadelstichverletzungen oder Infektionen führen könnten (Sedensky 2026, PMID 42541373).</w:t>
      </w:r>
    </w:p>
    <w:bookmarkEnd w:id="97"/>
    <w:bookmarkStart w:id="102" w:name="Xafcd743d57f83ef58ef1567de701afc24b717a6"/>
    <w:p>
      <w:pPr>
        <w:pStyle w:val="Heading3"/>
      </w:pPr>
      <w:r>
        <w:t xml:space="preserve">Was in den Fläschchen steckt: Laboranalysen</w:t>
      </w:r>
    </w:p>
    <w:p>
      <w:pPr>
        <w:pStyle w:val="FirstParagraph"/>
      </w:pPr>
      <w:r>
        <w:t xml:space="preserve">Die verlässlichsten Informationen über Graumarkt-Produkte stammen aus Laboranalysen. Sie werden vor allem von Anti-Doping-Laboren, Arzneimittelbehörden und einzelnen Forschungsgruppen durchgeführt, die Produkte gezielt kaufen oder von Zoll und Polizei erhalten.</w:t>
      </w:r>
    </w:p>
    <w:bookmarkStart w:id="98" w:name="Xe62cae00f42949beb6dfab9a7e12026cfbd6bbc"/>
    <w:p>
      <w:pPr>
        <w:pStyle w:val="Heading4"/>
      </w:pPr>
      <w:r>
        <w:t xml:space="preserve">Semaglutid aus illegalen Online-Apotheken</w:t>
      </w:r>
    </w:p>
    <w:p>
      <w:pPr>
        <w:pStyle w:val="FirstParagraph"/>
      </w:pPr>
      <w:r>
        <w:t xml:space="preserve">Eine besonders gründliche Untersuchung kombinierte eine Marktanalyse mit Testkäufen (Ashraf 2024, PMID 39509151). Die Forschenden werteten 1.080 Links aus Suchmaschinen aus. 317 führten zu Online-Apotheken, davon 134 zu 59 verschiedenen illegalen Websites. Die 30 wichtigsten Domains mit Verbindung zu illegalen Apotheken verzeichneten in drei Monaten des Jahres 2023 über 4,7 Millionen Besuche.</w:t>
      </w:r>
    </w:p>
    <w:p>
      <w:pPr>
        <w:pStyle w:val="BodyText"/>
      </w:pPr>
      <w:r>
        <w:t xml:space="preserve">Bei sechs illegalen Anbietern wurden Testkäufe durchgeführt. Die Ergebnisse:</w:t>
      </w:r>
    </w:p>
    <w:p>
      <w:pPr>
        <w:numPr>
          <w:ilvl w:val="0"/>
          <w:numId w:val="1025"/>
        </w:numPr>
        <w:pStyle w:val="Compact"/>
      </w:pPr>
      <w:r>
        <w:t xml:space="preserve">Drei bestellte Ozempic-Fertigpens kamen nie an – es handelte sich um Betrug ohne Lieferung.</w:t>
      </w:r>
    </w:p>
    <w:p>
      <w:pPr>
        <w:numPr>
          <w:ilvl w:val="0"/>
          <w:numId w:val="1025"/>
        </w:numPr>
        <w:pStyle w:val="Compact"/>
      </w:pPr>
      <w:r>
        <w:t xml:space="preserve">Drei Fläschchen mit Pulver wurden geliefert. Alle galten als wahrscheinlich minderwertig oder gefälscht; bei der Sichtprüfung erfüllten sie 59 bis 63 % der Kriterien nicht.</w:t>
      </w:r>
    </w:p>
    <w:p>
      <w:pPr>
        <w:numPr>
          <w:ilvl w:val="0"/>
          <w:numId w:val="1025"/>
        </w:numPr>
        <w:pStyle w:val="Compact"/>
      </w:pPr>
      <w:r>
        <w:t xml:space="preserve">Der Semaglutid-Gehalt lag 28,6 bis 38,7 %</w:t>
      </w:r>
      <w:r>
        <w:t xml:space="preserve"> </w:t>
      </w:r>
      <w:r>
        <w:rPr>
          <w:bCs/>
          <w:b/>
        </w:rPr>
        <w:t xml:space="preserve">über</w:t>
      </w:r>
      <w:r>
        <w:t xml:space="preserve"> </w:t>
      </w:r>
      <w:r>
        <w:t xml:space="preserve">der angegebenen Menge.</w:t>
      </w:r>
    </w:p>
    <w:p>
      <w:pPr>
        <w:numPr>
          <w:ilvl w:val="0"/>
          <w:numId w:val="1025"/>
        </w:numPr>
        <w:pStyle w:val="Compact"/>
      </w:pPr>
      <w:r>
        <w:t xml:space="preserve">Die gemessene Reinheit betrug nur 7,7 bis 14,4 % – statt der auf dem Etikett versprochenen 99 %.</w:t>
      </w:r>
    </w:p>
    <w:p>
      <w:pPr>
        <w:numPr>
          <w:ilvl w:val="0"/>
          <w:numId w:val="1025"/>
        </w:numPr>
        <w:pStyle w:val="Compact"/>
      </w:pPr>
      <w:r>
        <w:t xml:space="preserve">Lebende Keime wurden nicht gefunden, aber in</w:t>
      </w:r>
      <w:r>
        <w:t xml:space="preserve"> </w:t>
      </w:r>
      <w:r>
        <w:rPr>
          <w:bCs/>
          <w:b/>
        </w:rPr>
        <w:t xml:space="preserve">allen</w:t>
      </w:r>
      <w:r>
        <w:t xml:space="preserve"> </w:t>
      </w:r>
      <w:r>
        <w:t xml:space="preserve">Proben waren Endotoxine nachweisbar.</w:t>
      </w:r>
    </w:p>
    <w:p>
      <w:pPr>
        <w:pStyle w:val="FirstParagraph"/>
      </w:pPr>
      <w:r>
        <w:t xml:space="preserve">Diese Studie zeigt mehrere typische Probleme gleichzeitig: falsche Mengenangaben, geringe Reinheit, Verunreinigung und schlichten Betrug.</w:t>
      </w:r>
    </w:p>
    <w:bookmarkEnd w:id="98"/>
    <w:bookmarkStart w:id="99" w:name="X2d2112dc0328416966f297acab3ee717de71943"/>
    <w:p>
      <w:pPr>
        <w:pStyle w:val="Heading4"/>
      </w:pPr>
      <w:r>
        <w:t xml:space="preserve">Nachahmerprodukte im Vergleich zum Original</w:t>
      </w:r>
    </w:p>
    <w:p>
      <w:pPr>
        <w:pStyle w:val="FirstParagraph"/>
      </w:pPr>
      <w:r>
        <w:t xml:space="preserve">Eine weitere Untersuchung analysierte 16 injizierbare und 8 orale Semaglutid-Nachahmerprodukte sowie 2 Liraglutid-Nachahmer und verglich sie mit den Originalpräparaten (Hach 2024, PMID 39379664). Gefunden wurden neue Verunreinigungen, darunter größere Eiweißmoleküle, Spurenmetalle und Lösungsmittelreste. Mehrere orale Präparate enthielten deutlich weniger Semaglutid als angegeben. Zudem wurden Strukturen gefunden, die nach Computervorhersage vom Immunsystem erkannt werden könnten. Da die Studie vom Hersteller der Originalpräparate stammt, ist sie mit entsprechender Vorsicht zu lesen; die beschriebenen Probleme decken sich aber mit unabhängigen Befunden.</w:t>
      </w:r>
    </w:p>
    <w:bookmarkEnd w:id="99"/>
    <w:bookmarkStart w:id="100" w:name="melanotan-ii-aus-online-shops"/>
    <w:p>
      <w:pPr>
        <w:pStyle w:val="Heading4"/>
      </w:pPr>
      <w:r>
        <w:t xml:space="preserve">Melanotan II aus Online-Shops</w:t>
      </w:r>
    </w:p>
    <w:p>
      <w:pPr>
        <w:pStyle w:val="FirstParagraph"/>
      </w:pPr>
      <w:r>
        <w:t xml:space="preserve">Für das Bräunungspeptid Melanotan II untersuchte eine dänische Gruppe Fläschchen aus drei Online-Shops. Alle Shops gaben 10 mg pro Fläschchen an; tatsächlich enthielten die Fläschchen zwischen 4,32 und 8,84 mg. In Produkten von zwei Shops fanden sich unbekannte Verunreinigungen von 4,1 bis 5,9 % (Breindahl 2015, PMID 24771717).</w:t>
      </w:r>
    </w:p>
    <w:bookmarkEnd w:id="100"/>
    <w:bookmarkStart w:id="101" w:name="Xbb8be01c4d47c8ea49401f8af69029bc475fb02"/>
    <w:p>
      <w:pPr>
        <w:pStyle w:val="Heading4"/>
      </w:pPr>
      <w:r>
        <w:t xml:space="preserve">Beschlagnahmte Produkte aus dem Dopingumfeld</w:t>
      </w:r>
    </w:p>
    <w:p>
      <w:pPr>
        <w:pStyle w:val="FirstParagraph"/>
      </w:pPr>
      <w:r>
        <w:t xml:space="preserve">Das Kölner Anti-Doping-Labor analysiert seit Jahren beschlagnahmte Produkte. In einem Bericht über das Jahr 2009 beschrieb es unter anderem als Wachstumshormon beschriftete Fläschchen ohne jeden pharmakologisch aktiven Inhalt, ungereinigtes Long-R3-IGF-1 und Nahrungsergänzungsmittel, die das Wachstumshormon-freisetzende Peptid GHRP-2 enthielten (Kohler 2010, PMID 21204286). In Tabletten, die als frei verkäufliches Nahrungsergänzungsmittel angeboten wurden, wurden etwa 50 Mikrogramm GHRP-2 pro Tablette gemessen (Thomas 2010, PMID 20878896) – ein Stoff, der im Sport verboten ist und für den es keine Zulassung gibt.</w:t>
      </w:r>
    </w:p>
    <w:p>
      <w:pPr>
        <w:pStyle w:val="BodyText"/>
      </w:pPr>
      <w:r>
        <w:t xml:space="preserve">Zwischen 2010 und 2013 analysierte dasselbe Labor 337 weitere Produkte. Auf Peptidhormone und Wachstumsfaktoren entfielen 12,8 %, vor allem Wachstumshormon und Wachstumshormon-freisetzende Peptide. Zu den auffälligen Funden zählten Thymosin Beta-4 und ein Fusionsprotein mit unbekannter biologischer Wirkung (Krug 2014, PMID 25168622). In Norwegen enthielten 28 % der zwischen 2011 und 2014 beschlagnahmten und analysierten Produkte peptid- oder eiweißbasierte Dopingmittel (Hullstein 2015, PMID 26607218).</w:t>
      </w:r>
    </w:p>
    <w:p>
      <w:pPr>
        <w:pStyle w:val="BodyText"/>
      </w:pPr>
      <w:r>
        <w:t xml:space="preserve">Ein späterer Kölner Bericht beschreibt abgewandelte Varianten bekannter Peptide, die nicht als Arzneimittel existieren: Gly-GHRP-6, Gly-GHRP-2 und Gly-Ipamorelin – also die jeweiligen Peptide mit einer zusätzlichen Aminosäure Glycin am Anfang – sowie eine leicht veränderte Form des Wachstumshormons (Krug 2018, PMID 29864719). Solche Abwandlungen sind möglicherweise Versuche, Dopingtests zu umgehen; ihre Wirkung und Sicherheit beim Menschen sind unbekannt.</w:t>
      </w:r>
    </w:p>
    <w:p>
      <w:pPr>
        <w:pStyle w:val="BodyText"/>
      </w:pPr>
      <w:r>
        <w:t xml:space="preserve">Auch BPC-157 wurde in beschlagnahmten Fläschchen identifiziert. Eine US-Gruppe entwickelte daraufhin ein Nachweisverfahren für Urinproben (Cox 2017, PMID 28035768).</w:t>
      </w:r>
    </w:p>
    <w:p>
      <w:pPr>
        <w:pStyle w:val="BodyText"/>
      </w:pPr>
      <w:r>
        <w:t xml:space="preserve">Eine Übersichtsarbeit fasst zusammen, dass bei gefälschten Peptid- und Eiweiß-Arzneimitteln immer wieder der falsche Wirkstoff, die falsche Menge oder gar kein Wirkstoff gefunden wurde, dass giftige Verunreinigungen und herstellungsbedingte Nebenprodukte zu gesundheitlichen Schäden führten und dass in Beschlagnahmungen auch Substanzen auftauchten, die in klinischen Studien gescheitert waren oder sich noch in der Tierversuchsphase befanden (Janvier 2018, PMID 30165334).</w:t>
      </w:r>
    </w:p>
    <w:bookmarkEnd w:id="101"/>
    <w:bookmarkEnd w:id="102"/>
    <w:bookmarkStart w:id="103" w:name="Xdbf9ecf678eba8be8748312e5bd4dce3f2f47c2"/>
    <w:p>
      <w:pPr>
        <w:pStyle w:val="Heading3"/>
      </w:pPr>
      <w:r>
        <w:t xml:space="preserve">Die typischen Qualitätsprobleme im Überblick</w:t>
      </w:r>
    </w:p>
    <w:p>
      <w:pPr>
        <w:pStyle w:val="FirstParagraph"/>
      </w:pPr>
      <w:r>
        <w:t xml:space="preserve">Aus diesen Analysen ergibt sich ein wiederkehrendes Bild: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Folge</w:t>
            </w:r>
          </w:p>
        </w:tc>
        <w:tc>
          <w:tcPr/>
          <w:p>
            <w:pPr>
              <w:pStyle w:val="Compact"/>
              <w:jc w:val="left"/>
            </w:pPr>
            <w:r>
              <w:t xml:space="preserve">Beispiel</w:t>
            </w:r>
          </w:p>
        </w:tc>
      </w:tr>
      <w:tr>
        <w:tc>
          <w:tcPr/>
          <w:p>
            <w:pPr>
              <w:pStyle w:val="Compact"/>
              <w:jc w:val="left"/>
            </w:pPr>
            <w:r>
              <w:t xml:space="preserve">Zu viel Wirkstoff</w:t>
            </w:r>
          </w:p>
        </w:tc>
        <w:tc>
          <w:tcPr/>
          <w:p>
            <w:pPr>
              <w:pStyle w:val="Compact"/>
              <w:jc w:val="left"/>
            </w:pPr>
            <w:r>
              <w:t xml:space="preserve">Überdosierung, mehr Nebenwirkungen</w:t>
            </w:r>
          </w:p>
        </w:tc>
        <w:tc>
          <w:tcPr/>
          <w:p>
            <w:pPr>
              <w:pStyle w:val="Compact"/>
              <w:jc w:val="left"/>
            </w:pPr>
            <w:r>
              <w:t xml:space="preserve">Semaglutid bis 38,7 % über Angabe</w:t>
            </w:r>
          </w:p>
        </w:tc>
      </w:tr>
      <w:tr>
        <w:tc>
          <w:tcPr/>
          <w:p>
            <w:pPr>
              <w:pStyle w:val="Compact"/>
              <w:jc w:val="left"/>
            </w:pPr>
            <w:r>
              <w:t xml:space="preserve">Zu wenig Wirkstoff</w:t>
            </w:r>
          </w:p>
        </w:tc>
        <w:tc>
          <w:tcPr/>
          <w:p>
            <w:pPr>
              <w:pStyle w:val="Compact"/>
              <w:jc w:val="left"/>
            </w:pPr>
            <w:r>
              <w:t xml:space="preserve">Wirkungslosigkeit</w:t>
            </w:r>
          </w:p>
        </w:tc>
        <w:tc>
          <w:tcPr/>
          <w:p>
            <w:pPr>
              <w:pStyle w:val="Compact"/>
              <w:jc w:val="left"/>
            </w:pPr>
            <w:r>
              <w:t xml:space="preserve">Melanotan II 4,32 statt 10 mg</w:t>
            </w:r>
          </w:p>
        </w:tc>
      </w:tr>
      <w:tr>
        <w:tc>
          <w:tcPr/>
          <w:p>
            <w:pPr>
              <w:pStyle w:val="Compact"/>
              <w:jc w:val="left"/>
            </w:pPr>
            <w:r>
              <w:t xml:space="preserve">Falscher Wirkstoff</w:t>
            </w:r>
          </w:p>
        </w:tc>
        <w:tc>
          <w:tcPr/>
          <w:p>
            <w:pPr>
              <w:pStyle w:val="Compact"/>
              <w:jc w:val="left"/>
            </w:pPr>
            <w:r>
              <w:t xml:space="preserve">unvorhersehbare, teils lebensgefährliche Wirkung</w:t>
            </w:r>
          </w:p>
        </w:tc>
        <w:tc>
          <w:tcPr/>
          <w:p>
            <w:pPr>
              <w:pStyle w:val="Compact"/>
              <w:jc w:val="left"/>
            </w:pPr>
            <w:r>
              <w:t xml:space="preserve">Insulin statt Semaglutid</w:t>
            </w:r>
          </w:p>
        </w:tc>
      </w:tr>
      <w:tr>
        <w:tc>
          <w:tcPr/>
          <w:p>
            <w:pPr>
              <w:pStyle w:val="Compact"/>
              <w:jc w:val="left"/>
            </w:pPr>
            <w:r>
              <w:t xml:space="preserve">Kein Wirkstoff</w:t>
            </w:r>
          </w:p>
        </w:tc>
        <w:tc>
          <w:tcPr/>
          <w:p>
            <w:pPr>
              <w:pStyle w:val="Compact"/>
              <w:jc w:val="left"/>
            </w:pPr>
            <w:r>
              <w:t xml:space="preserve">Betrug, Wirkungslosigkeit</w:t>
            </w:r>
          </w:p>
        </w:tc>
        <w:tc>
          <w:tcPr/>
          <w:p>
            <w:pPr>
              <w:pStyle w:val="Compact"/>
              <w:jc w:val="left"/>
            </w:pPr>
            <w:r>
              <w:t xml:space="preserve">leere „Wachstumshormon“-Fläschchen</w:t>
            </w:r>
          </w:p>
        </w:tc>
      </w:tr>
      <w:tr>
        <w:tc>
          <w:tcPr/>
          <w:p>
            <w:pPr>
              <w:pStyle w:val="Compact"/>
              <w:jc w:val="left"/>
            </w:pPr>
            <w:r>
              <w:t xml:space="preserve">Verunreinigungen</w:t>
            </w:r>
          </w:p>
        </w:tc>
        <w:tc>
          <w:tcPr/>
          <w:p>
            <w:pPr>
              <w:pStyle w:val="Compact"/>
              <w:jc w:val="left"/>
            </w:pPr>
            <w:r>
              <w:t xml:space="preserve">Immunreaktionen, Giftwirkung</w:t>
            </w:r>
          </w:p>
        </w:tc>
        <w:tc>
          <w:tcPr/>
          <w:p>
            <w:pPr>
              <w:pStyle w:val="Compact"/>
              <w:jc w:val="left"/>
            </w:pPr>
            <w:r>
              <w:t xml:space="preserve">Nebenprodukte der Synthese</w:t>
            </w:r>
          </w:p>
        </w:tc>
      </w:tr>
      <w:tr>
        <w:tc>
          <w:tcPr/>
          <w:p>
            <w:pPr>
              <w:pStyle w:val="Compact"/>
              <w:jc w:val="left"/>
            </w:pPr>
            <w:r>
              <w:t xml:space="preserve">Endotoxine</w:t>
            </w:r>
          </w:p>
        </w:tc>
        <w:tc>
          <w:tcPr/>
          <w:p>
            <w:pPr>
              <w:pStyle w:val="Compact"/>
              <w:jc w:val="left"/>
            </w:pPr>
            <w:r>
              <w:t xml:space="preserve">Fieber, Entzündung, Kreislaufreaktionen</w:t>
            </w:r>
          </w:p>
        </w:tc>
        <w:tc>
          <w:tcPr/>
          <w:p>
            <w:pPr>
              <w:pStyle w:val="Compact"/>
              <w:jc w:val="left"/>
            </w:pPr>
            <w:r>
              <w:t xml:space="preserve">in allen Semaglutid-Testkäufen</w:t>
            </w:r>
          </w:p>
        </w:tc>
      </w:tr>
    </w:tbl>
    <w:bookmarkEnd w:id="103"/>
    <w:bookmarkStart w:id="104" w:name="X23058d267f27af8e982c29afd2d195d6e057aab"/>
    <w:p>
      <w:pPr>
        <w:pStyle w:val="Heading3"/>
      </w:pPr>
      <w:r>
        <w:t xml:space="preserve">Reinheit: Was die Prozentzahl bedeutet – und was nicht</w:t>
      </w:r>
    </w:p>
    <w:p>
      <w:pPr>
        <w:pStyle w:val="FirstParagraph"/>
      </w:pPr>
      <w:r>
        <w:t xml:space="preserve">Viele Anbieter werben mit „99 % Reinheit“ und legen Analysezertifikate bei. Dazu einige Hinweise:</w:t>
      </w:r>
    </w:p>
    <w:p>
      <w:pPr>
        <w:numPr>
          <w:ilvl w:val="0"/>
          <w:numId w:val="1026"/>
        </w:numPr>
        <w:pStyle w:val="Compact"/>
      </w:pPr>
      <w:r>
        <w:rPr>
          <w:bCs/>
          <w:b/>
        </w:rPr>
        <w:t xml:space="preserve">Reinheit misst nur bestimmte Verunreinigungen.</w:t>
      </w:r>
      <w:r>
        <w:t xml:space="preserve"> </w:t>
      </w:r>
      <w:r>
        <w:t xml:space="preserve">Eine typische Messung (Hochleistungsflüssigchromatographie, HPLC) zeigt, wie viel Prozent der messbaren Peptid-Signale auf den gewünschten Stoff entfallen. Nicht erfasst werden oft Salze, Wasser, Lösungsmittelreste, Metalle oder Endotoxine.</w:t>
      </w:r>
    </w:p>
    <w:p>
      <w:pPr>
        <w:numPr>
          <w:ilvl w:val="0"/>
          <w:numId w:val="1026"/>
        </w:numPr>
        <w:pStyle w:val="Compact"/>
      </w:pPr>
      <w:r>
        <w:rPr>
          <w:bCs/>
          <w:b/>
        </w:rPr>
        <w:t xml:space="preserve">Reinheit sagt nichts über die Menge.</w:t>
      </w:r>
      <w:r>
        <w:t xml:space="preserve"> </w:t>
      </w:r>
      <w:r>
        <w:t xml:space="preserve">Ein Fläschchen kann einen sehr reinen Stoff enthalten, aber in falscher Menge.</w:t>
      </w:r>
    </w:p>
    <w:p>
      <w:pPr>
        <w:numPr>
          <w:ilvl w:val="0"/>
          <w:numId w:val="1026"/>
        </w:numPr>
        <w:pStyle w:val="Compact"/>
      </w:pPr>
      <w:r>
        <w:rPr>
          <w:bCs/>
          <w:b/>
        </w:rPr>
        <w:t xml:space="preserve">Reinheit sagt nichts über Sterilität.</w:t>
      </w:r>
      <w:r>
        <w:t xml:space="preserve"> </w:t>
      </w:r>
      <w:r>
        <w:t xml:space="preserve">Ein Pulver kann chemisch rein und trotzdem mit Bakterien oder Bakterienbestandteilen verunreinigt sein.</w:t>
      </w:r>
    </w:p>
    <w:p>
      <w:pPr>
        <w:numPr>
          <w:ilvl w:val="0"/>
          <w:numId w:val="1026"/>
        </w:numPr>
        <w:pStyle w:val="Compact"/>
      </w:pPr>
      <w:r>
        <w:rPr>
          <w:bCs/>
          <w:b/>
        </w:rPr>
        <w:t xml:space="preserve">Zertifikate sind nicht überprüfbar.</w:t>
      </w:r>
      <w:r>
        <w:t xml:space="preserve"> </w:t>
      </w:r>
      <w:r>
        <w:t xml:space="preserve">Ob ein beigelegtes Zertifikat tatsächlich zu dem gelieferten Fläschchen gehört, lässt sich als Käuferin oder Käufer nicht feststellen. Die Testkäufe bei Semaglutid zeigten eine Reinheit von 7,7 bis 14,4 % trotz Etikett mit 99 % (Ashraf 2024, PMID 39509151).</w:t>
      </w:r>
    </w:p>
    <w:p>
      <w:pPr>
        <w:pStyle w:val="FirstParagraph"/>
      </w:pPr>
      <w:r>
        <w:t xml:space="preserve">Hinzu kommen Verunreinigungen, die bei der chemischen Synthese typischerweise entstehen: Peptide mit fehlenden oder doppelten Bausteinen, falsch gefaltete oder chemisch veränderte Varianten, Reste von Schutzgruppen und Reagenzien. Bei zugelassenen Arzneimitteln sind Grenzwerte für solche Verunreinigungen festgelegt und werden regelmäßig kontrolliert.</w:t>
      </w:r>
    </w:p>
    <w:bookmarkEnd w:id="104"/>
    <w:bookmarkStart w:id="105" w:name="endotoxine-unsichtbar-und-gefährlich"/>
    <w:p>
      <w:pPr>
        <w:pStyle w:val="Heading3"/>
      </w:pPr>
      <w:r>
        <w:t xml:space="preserve">Endotoxine: unsichtbar und gefährlich</w:t>
      </w:r>
    </w:p>
    <w:p>
      <w:pPr>
        <w:pStyle w:val="FirstParagraph"/>
      </w:pPr>
      <w:r>
        <w:t xml:space="preserve">Endotoxine sind Bestandteile der Zellwand bestimmter Bakterien. Sie bleiben auch dann bestehen, wenn die Bakterien abgetötet sind, und sind sehr hitzestabil. Gelangen sie ins Blut, können sie Fieber, Schüttelfrost, Blutdruckabfall und in größeren Mengen einen lebensbedrohlichen Schock auslösen. Deshalb gelten für Spritzen und Infusionen strenge Grenzwerte, und Arzneimittel-Hersteller prüfen jede Charge.</w:t>
      </w:r>
    </w:p>
    <w:p>
      <w:pPr>
        <w:pStyle w:val="BodyText"/>
      </w:pPr>
      <w:r>
        <w:t xml:space="preserve">Ein Pulver, das „steril“ oder „keimfrei“ ist, kann trotzdem Endotoxine enthalten – genau das zeigten die Semaglutid-Testkäufe: keine lebenden Keime, aber Endotoxine in allen Proben (Ashraf 2024, PMID 39509151). Auch das Auflösen mit unsterilem Wasser, die mehrfache Entnahme aus demselben Fläschchen oder die Wiederverwendung von Nadeln können Keime einbringen.</w:t>
      </w:r>
    </w:p>
    <w:bookmarkEnd w:id="105"/>
    <w:bookmarkStart w:id="106" w:name="fehldosierungen"/>
    <w:p>
      <w:pPr>
        <w:pStyle w:val="Heading3"/>
      </w:pPr>
      <w:r>
        <w:t xml:space="preserve">Fehldosierungen</w:t>
      </w:r>
    </w:p>
    <w:p>
      <w:pPr>
        <w:pStyle w:val="FirstParagraph"/>
      </w:pPr>
      <w:r>
        <w:t xml:space="preserve">Selbst wenn ein Produkt genau das enthält, was draufsteht, ist die richtige Dosierung auf dem Graumarkt schwierig. Pulver muss mit einer bestimmten Flüssigkeitsmenge aufgelöst werden; die Dosis ergibt sich dann aus einer Umrechnung. Wer sich verrechnet oder Einheiten verwechselt, kann leicht ein Vielfaches der beabsichtigten Menge spritzen.</w:t>
      </w:r>
    </w:p>
    <w:p>
      <w:pPr>
        <w:pStyle w:val="BodyText"/>
      </w:pPr>
      <w:r>
        <w:t xml:space="preserve">Eine Fallserie aus einem US-Giftinformationszentrum beschreibt drei Fälle mit Semaglutid aus Apotheken und einem Kosmetikstudio. Zwei Personen hatten sich versehentlich die zehnfache Menge gespritzt. Alle hatten über Tage Übelkeit, Erbrechen und Bauchschmerzen. Eine Person hatte ein Fläschchen mit Spritzen ohne jede Beratung erhalten, eine andere verwechselte Milliliter, „Einheiten“ und Milligramm (Lambson 2023, PMID 37392810). Die Autorinnen und Autoren betonen, dass Fläschchen anders als Fertigpens keine Sicherheitsmechanismen gegen solche Fehler bieten.</w:t>
      </w:r>
    </w:p>
    <w:bookmarkEnd w:id="106"/>
    <w:bookmarkStart w:id="107" w:name="X8195b13c562b01032a1540b1a55084e719b0c94"/>
    <w:p>
      <w:pPr>
        <w:pStyle w:val="Heading3"/>
      </w:pPr>
      <w:r>
        <w:t xml:space="preserve">Fälschungen von Ozempic und anderen GLP-1-Medikamenten</w:t>
      </w:r>
    </w:p>
    <w:p>
      <w:pPr>
        <w:pStyle w:val="FirstParagraph"/>
      </w:pPr>
      <w:r>
        <w:t xml:space="preserve">Mit der enormen Nachfrage nach Semaglutid tauchten weltweit Fälschungen auf. Die Weltgesundheitsorganisation warnte 2024 vor gefälschtem Ozempic in der globalen Lieferkette (Ruder 2024, PMID 39028647).</w:t>
      </w:r>
    </w:p>
    <w:p>
      <w:pPr>
        <w:pStyle w:val="BodyText"/>
      </w:pPr>
      <w:r>
        <w:t xml:space="preserve">Besonders gefährlich sind Fälschungen, die einen anderen Wirkstoff enthalten. In Italien wurde eine 31-jährige Frau im Unterzuckerungs-Koma in die Notaufnahme gebracht, nachdem sie sich vermeintliches Ozempic aus dem Internet gespritzt hatte. Die toxikologische Analyse ergab, dass das Fläschchen Insulin statt Semaglutid enthielt (Antonacci 2026, PMID 41125326). Aus den Niederlanden wurden zwei ähnliche Fälle berichtet: Zwei Menschen ohne Diabetes und ohne Adipositas hatten sich ohne Rezept beschafftes Semaglutid gespritzt und lagen mit schwerer Unterzuckerung, Kaliummangel und Unterkühlung im Koma. Ursache war eine Vergiftung mit synthetischem Insulin. Um den Blutzucker stabil zu halten, waren bis zu zwei Tage Dauerinfusion mit Traubenzucker nötig (Stammers 2026, PMID 42390457).</w:t>
      </w:r>
    </w:p>
    <w:p>
      <w:pPr>
        <w:pStyle w:val="BodyText"/>
      </w:pPr>
      <w:r>
        <w:t xml:space="preserve">Diese Fälle sind deshalb so bedeutsam, weil echtes Semaglutid bei Gesunden allein kaum eine nennenswerte Unterzuckerung verursacht. Eine Unterzuckerung nach einer „Abnehmspritze“ ist deshalb ein Warnsignal für ein gefälschtes Produkt.</w:t>
      </w:r>
    </w:p>
    <w:p>
      <w:pPr>
        <w:pStyle w:val="BodyText"/>
      </w:pPr>
      <w:r>
        <w:t xml:space="preserve">Eine Auswertung der europäischen Nebenwirkungsdatenbank EudraVigilance fand von 2018 bis 2025 insgesamt 234 Meldungen zu möglicherweise gefälschtem Semaglutid. 73,5 % betrafen Frauen, und 89,3 % der gemeldeten Nebenwirkungen waren schwerwiegend. Am häufigsten wurden Erbrechen, Übelkeit und Unterzuckerung gemeldet. Im Vergleich zu echtem Semaglutid wurden Unterzuckerung, Anwendung außerhalb der zugelassenen Indikation, Unwohlsein und Wirkungslosigkeit überproportional häufig gemeldet (Zinzi 2026, PMID 42137313). Wie bei allen Meldedaten gilt: Sie zeigen Signale, keine Häufigkeiten.</w:t>
      </w:r>
    </w:p>
    <w:bookmarkEnd w:id="107"/>
    <w:bookmarkStart w:id="108" w:name="nicht-zugelassene-glp-1-wirkstoffe"/>
    <w:p>
      <w:pPr>
        <w:pStyle w:val="Heading3"/>
      </w:pPr>
      <w:r>
        <w:t xml:space="preserve">Nicht zugelassene GLP-1-Wirkstoffe</w:t>
      </w:r>
    </w:p>
    <w:p>
      <w:pPr>
        <w:pStyle w:val="FirstParagraph"/>
      </w:pPr>
      <w:r>
        <w:t xml:space="preserve">Inzwischen werden auf dem Graumarkt auch Wirkstoffe angeboten, die noch gar nicht zugelassen sind, etwa der Dreifach-Agonist Retatrutid. Für solche Stoffe gibt es zwar Studien der Hersteller, aber keine geprüften Produkte – was in einem Fläschchen mit der Aufschrift „Retatrutid“ tatsächlich steckt, ist unbekannt. Eine Fachzeitschrift widmete diesem Schwarzmarkt 2026 einen eigenen Bericht (Rubin 2026, PMID 42853576).</w:t>
      </w:r>
    </w:p>
    <w:p>
      <w:pPr>
        <w:pStyle w:val="BodyText"/>
      </w:pPr>
      <w:r>
        <w:t xml:space="preserve">Ein Fallbericht beschreibt eine Frau Mitte zwanzig, die mit fünf Tagen anhaltender Übelkeit, wiederholtem Erbrechen und Durchfall ins Krankenhaus kam. Die Beschwerden besserten sich trotz mehrerer Medikamente gegen Übelkeit zunächst nicht. Erst durch wiederholtes Nachfragen kam heraus, dass ihr ein selbst ernannter Lebensberater ohne medizinische Qualifikation vier wöchentliche Spritzen eines Produkts verabreicht hatte, das angeblich Retatrutid enthielt. Sie selbst hatte die Spritzen nicht als Medikament betrachtet (Buzzi 2026, PMID 42843917). Der Fall zeigt ein weiteres Problem: Wer Peptide nicht als Arzneimittel wahrnimmt, erwähnt sie auch nicht gegenüber Ärztinnen und Ärzten.</w:t>
      </w:r>
    </w:p>
    <w:bookmarkEnd w:id="108"/>
    <w:bookmarkStart w:id="109" w:name="gefahren-jenseits-der-verunreinigung"/>
    <w:p>
      <w:pPr>
        <w:pStyle w:val="Heading3"/>
      </w:pPr>
      <w:r>
        <w:t xml:space="preserve">Gefahren jenseits der Verunreinigung</w:t>
      </w:r>
    </w:p>
    <w:p>
      <w:pPr>
        <w:pStyle w:val="FirstParagraph"/>
      </w:pPr>
      <w:r>
        <w:t xml:space="preserve">Auch ein perfekt reines Graumarkt-Peptid kann gefährlich sein, wenn der Stoff selbst nie ausreichend am Menschen untersucht wurde. Ein Fallbericht beschreibt einen 39-jährigen Mann, der sich Melanotan II aus dem Internet spritzte – nach eigenen Angaben das Sechsfache der Startmenge, die ihm empfohlen worden war. Er entwickelte Herzrasen, Unruhe, Schweißausbrüche und einen massiven Muskelzerfall (Rhabdomyolyse) mit Nierenfunktionsstörung und musste auf der Intensivstation behandelt werden. Die Analyse bestätigte, dass das Produkt tatsächlich Melanotan II enthielt (Nelson 2012, PMID 23121206).</w:t>
      </w:r>
    </w:p>
    <w:p>
      <w:pPr>
        <w:pStyle w:val="BodyText"/>
      </w:pPr>
      <w:r>
        <w:t xml:space="preserve">Übersichtsarbeiten nennen als mögliche Risiken unregulierter Peptide unter anderem Verunreinigungen, ungenaue Dosierung, krankhafte Gefäßneubildung, Krebsentstehung, Belastung des Herz-Kreislauf-Systems und überhöhte Hormonsignale (Moiz 2026, PMID 42757290). Viele dieser Risiken sind theoretisch abgeleitet, eben weil es kaum Humanstudien gibt. Eine sportmedizinische Übersicht kommt zu dem Schluss, dass viele nicht zugelassene Peptide in Tiermodellen günstige Effekte zeigen, belastbare Sicherheitsdaten am Menschen aber rar sind und ernsthafte Schäden möglich sind (Mendias 2026, PMID 41966639).</w:t>
      </w:r>
    </w:p>
    <w:bookmarkEnd w:id="109"/>
    <w:bookmarkStart w:id="110" w:name="compounding-in-den-usa"/>
    <w:p>
      <w:pPr>
        <w:pStyle w:val="Heading3"/>
      </w:pPr>
      <w:r>
        <w:t xml:space="preserve">Compounding in den USA</w:t>
      </w:r>
    </w:p>
    <w:p>
      <w:pPr>
        <w:pStyle w:val="FirstParagraph"/>
      </w:pPr>
      <w:r>
        <w:t xml:space="preserve">Eine Besonderheit des US-amerikanischen Marktes ist das</w:t>
      </w:r>
      <w:r>
        <w:t xml:space="preserve"> </w:t>
      </w:r>
      <w:r>
        <w:rPr>
          <w:bCs/>
          <w:b/>
        </w:rPr>
        <w:t xml:space="preserve">Compounding</w:t>
      </w:r>
      <w:r>
        <w:t xml:space="preserve">: Apotheken dürfen unter bestimmten Bedingungen Arzneimittel selbst zubereiten, etwa wenn ein zugelassenes Präparat nicht lieferbar ist. Während der Lieferengpässe bei Semaglutid und Tirzepatid entstand so ein großer Markt für Nachahmerpräparate, die oft über Telemedizin-Anbieter vertrieben wurden. Diese Präparate sind keine zugelassenen Arzneimittel; Wirksamkeit und Sicherheit wurden für sie nicht in Studien geprüft.</w:t>
      </w:r>
    </w:p>
    <w:p>
      <w:pPr>
        <w:pStyle w:val="BodyText"/>
      </w:pPr>
      <w:r>
        <w:t xml:space="preserve">Eine Auswertung der US-Nebenwirkungsdatenbank FAERS verglich Meldungen zu selbst zubereiteten und zugelassenen GLP-1-Präparaten. Von 81.078 Meldungen betrafen 707 selbst zubereitete Produkte. Bei diesen wurden unter anderem Bauchschmerzen, Gallenblasenentzündungen, Zubereitungsfehler und Verunreinigungen überproportional häufig gemeldet, ebenso Krankenhausaufenthalte; Anwendungs- und Dosierfehler wurden dagegen seltener gemeldet (McCall 2026, PMID 40285721). Die Autorinnen und Autoren betonen, dass solche Daten keinen Ursache-Wirkungs-Zusammenhang belegen.</w:t>
      </w:r>
    </w:p>
    <w:p>
      <w:pPr>
        <w:pStyle w:val="BodyText"/>
      </w:pPr>
      <w:r>
        <w:t xml:space="preserve">Nach dem Ende der Lieferengpässe dürfen Apotheken nach US-Recht nur noch Präparate herstellen, die sich von den zugelassenen unterscheiden – etwa durch eine andere Darreichungsform oder Zusatzstoffe. Eine Untersuchung fand 33 solcher Produkte, darunter Kombinationen mit Vitamin B12, Glycin, Niacinamid, einem Abführmittel oder einem Mittel gegen Übelkeit sowie Tropfen und Schmelztabletten für die Anwendung unter der Zunge. Für Vitamine und das Abführmittel fanden die Autorinnen und Autoren kaum eine Begründung. Für den Zusatz des Mittels gegen Übelkeit und für die neuen Darreichungsformen sehen sie zwar eine nachvollziehbare Idee, aber keine Belege für Wirksamkeit und Sicherheit (Belcourt 2026, PMID 41689811).</w:t>
      </w:r>
    </w:p>
    <w:p>
      <w:pPr>
        <w:pStyle w:val="BodyText"/>
      </w:pPr>
      <w:r>
        <w:t xml:space="preserve">Compounding ist kein Graumarkt im engeren Sinne: Die Apotheken sind zugelassen und unterliegen Aufsicht. Für Patientinnen und Patienten verschwimmt die Grenze aber, wenn Produkte über Online-Plattformen mit wenig ärztlicher Begleitung vertrieben werden. In Europa gibt es kein vergleichbares System; hier ist die Herstellung in der Apotheke an deutlich engere Voraussetzungen gebunden (mehr dazu im nächsten Kapitel).</w:t>
      </w:r>
    </w:p>
    <w:bookmarkEnd w:id="110"/>
    <w:bookmarkStart w:id="111" w:name="wer-den-graumarkt-nutzt-und-warum"/>
    <w:p>
      <w:pPr>
        <w:pStyle w:val="Heading3"/>
      </w:pPr>
      <w:r>
        <w:t xml:space="preserve">Wer den Graumarkt nutzt – und warum</w:t>
      </w:r>
    </w:p>
    <w:p>
      <w:pPr>
        <w:pStyle w:val="FirstParagraph"/>
      </w:pPr>
      <w:r>
        <w:t xml:space="preserve">Die Gründe für den Griff zum Graumarkt sind vielfältig: hohe Preise und fehlende Kostenübernahme für zugelassene Medikamente, Lieferengpässe, der Wunsch nach Gewichtsverlust ohne medizinische Indikation, Leistungssteigerung im Sport, Hoffnung auf schnellere Heilung von Verletzungen oder auf ein längeres Leben. Eine Übersichtsarbeit beschreibt, wie Online-Werbung, Erfahrungsberichte in sozialen Medien, Selbstinjektion, Kombinationen mehrerer Stoffe und schwache Nebenwirkungsüberwachung zusammenwirken und unklare Produkte normalisieren (Hailu 2026, PMID 42437212).</w:t>
      </w:r>
    </w:p>
    <w:p>
      <w:pPr>
        <w:pStyle w:val="BodyText"/>
      </w:pPr>
      <w:r>
        <w:t xml:space="preserve">Diese Motive sind nachvollziehbar. Die Analysen in diesem Kapitel zeigen aber, dass Käuferinnen und Käufer auf dem Graumarkt nicht wissen können, was sie tatsächlich erhalten.</w:t>
      </w:r>
    </w:p>
    <w:bookmarkEnd w:id="111"/>
    <w:bookmarkStart w:id="112" w:name="Xbeaec0ec992599e10436317df2f8472a29ed285"/>
    <w:p>
      <w:pPr>
        <w:pStyle w:val="Heading3"/>
      </w:pPr>
      <w:r>
        <w:t xml:space="preserve">Wenn Sie bereits Graumarkt-Peptide verwendet haben</w:t>
      </w:r>
    </w:p>
    <w:p>
      <w:pPr>
        <w:pStyle w:val="FirstParagraph"/>
      </w:pPr>
      <w:r>
        <w:t xml:space="preserve">Dieses Buch gibt keine Anwendungshinweise. Einige allgemeine Punkte sind aber aus Sicherheitsgründen wichtig:</w:t>
      </w:r>
    </w:p>
    <w:p>
      <w:pPr>
        <w:numPr>
          <w:ilvl w:val="0"/>
          <w:numId w:val="1027"/>
        </w:numPr>
        <w:pStyle w:val="Compact"/>
      </w:pPr>
      <w:r>
        <w:t xml:space="preserve">Informieren Sie Ihre Ärztin oder Ihren Arzt über alle Spritzen, Peptide und „Forschungschemikalien“, die Sie verwenden – auch wenn Sie sie nicht als Medikament betrachten.</w:t>
      </w:r>
    </w:p>
    <w:p>
      <w:pPr>
        <w:numPr>
          <w:ilvl w:val="0"/>
          <w:numId w:val="1027"/>
        </w:numPr>
        <w:pStyle w:val="Compact"/>
      </w:pPr>
      <w:r>
        <w:t xml:space="preserve">Unerwartete Beschwerden wie Zittern, Schwitzen, Verwirrtheit oder Bewusstseinsstörungen nach einer Spritze können auf eine Unterzuckerung hindeuten und sind ein Notfall.</w:t>
      </w:r>
    </w:p>
    <w:p>
      <w:pPr>
        <w:numPr>
          <w:ilvl w:val="0"/>
          <w:numId w:val="1027"/>
        </w:numPr>
        <w:pStyle w:val="Compact"/>
      </w:pPr>
      <w:r>
        <w:t xml:space="preserve">Verdächtige Produkte und Nebenwirkungen können den Behörden gemeldet werden: in Deutschland dem Bundesinstitut für Arzneimittel und Medizinprodukte (BfArM), in Österreich dem Bundesamt für Sicherheit im Gesundheitswesen (BASG).</w:t>
      </w:r>
    </w:p>
    <w:bookmarkEnd w:id="112"/>
    <w:bookmarkStart w:id="113" w:name="das-wichtigste-in-kürze-3"/>
    <w:p>
      <w:pPr>
        <w:pStyle w:val="Heading3"/>
      </w:pPr>
      <w:r>
        <w:t xml:space="preserve">Das Wichtigste in Kürze</w:t>
      </w:r>
    </w:p>
    <w:p>
      <w:pPr>
        <w:numPr>
          <w:ilvl w:val="0"/>
          <w:numId w:val="1028"/>
        </w:numPr>
        <w:pStyle w:val="Compact"/>
      </w:pPr>
      <w:r>
        <w:t xml:space="preserve">Der Hinweis „nur für Forschungszwecke“ schützt nicht vor Risiken; er verlagert die Verantwortung auf die Käuferinnen und Käufer.</w:t>
      </w:r>
    </w:p>
    <w:p>
      <w:pPr>
        <w:numPr>
          <w:ilvl w:val="0"/>
          <w:numId w:val="1028"/>
        </w:numPr>
        <w:pStyle w:val="Compact"/>
      </w:pPr>
      <w:r>
        <w:t xml:space="preserve">Laboranalysen fanden bei Graumarkt-Peptiden zu viel, zu wenig, den falschen oder gar keinen Wirkstoff sowie Verunreinigungen und Endotoxine.</w:t>
      </w:r>
    </w:p>
    <w:p>
      <w:pPr>
        <w:numPr>
          <w:ilvl w:val="0"/>
          <w:numId w:val="1028"/>
        </w:numPr>
        <w:pStyle w:val="Compact"/>
      </w:pPr>
      <w:r>
        <w:t xml:space="preserve">Gefälschte Semaglutid-Produkte, die Insulin enthielten, führten zu lebensgefährlichen Unterzuckerungen.</w:t>
      </w:r>
    </w:p>
    <w:p>
      <w:pPr>
        <w:numPr>
          <w:ilvl w:val="0"/>
          <w:numId w:val="1028"/>
        </w:numPr>
        <w:pStyle w:val="Compact"/>
      </w:pPr>
      <w:r>
        <w:t xml:space="preserve">Auch selbst zubereitete Präparate aus US-Apotheken sind nicht wie zugelassene Arzneimittel geprüft.</w:t>
      </w:r>
    </w:p>
    <w:p>
      <w:pPr>
        <w:numPr>
          <w:ilvl w:val="0"/>
          <w:numId w:val="1028"/>
        </w:numPr>
        <w:pStyle w:val="Compact"/>
      </w:pPr>
      <w:r>
        <w:t xml:space="preserve">Selbst ein reines Produkt bleibt riskant, wenn der Wirkstoff nie ausreichend am Menschen untersucht wurde.</w:t>
      </w:r>
    </w:p>
    <w:bookmarkEnd w:id="113"/>
    <w:bookmarkEnd w:id="114"/>
    <w:bookmarkStart w:id="128" w:name="rechtlicher-rahmen"/>
    <w:p>
      <w:pPr>
        <w:pStyle w:val="Heading2"/>
      </w:pPr>
      <w:r>
        <w:t xml:space="preserve">Rechtlicher Rahmen</w:t>
      </w:r>
    </w:p>
    <w:p>
      <w:pPr>
        <w:pStyle w:val="FirstParagraph"/>
      </w:pPr>
      <w:r>
        <w:t xml:space="preserve">Ob ein Peptid ein verschreibungspflichtiges Arzneimittel, ein Nahrungsergänzungsmittel, ein Kosmetikum oder ein verbotenes Dopingmittel ist, hängt nicht allein vom Molekül ab. Entscheidend ist auch, wofür es bestimmt ist, wie es angeboten wird und wie es im Körper wirkt. Dasselbe Kollagenpeptid kann als Lebensmittel im Supermarktregal stehen; ein Peptid mit nachweisbarer hormonartiger Wirkung ist dagegen fast immer ein Arzneimittel – egal, was auf dem Etikett steht. Dieses Kapitel gibt einen Überblick über die Regeln in der Europäischen Union, in Österreich, in Deutschland und in den USA sowie über die Anti-Doping-Bestimmungen.</w:t>
      </w:r>
    </w:p>
    <w:p>
      <w:pPr>
        <w:pStyle w:val="BlockText"/>
      </w:pPr>
      <w:r>
        <w:rPr>
          <w:bCs/>
          <w:b/>
        </w:rPr>
        <w:t xml:space="preserve">Wichtiger Hinweis:</w:t>
      </w:r>
      <w:r>
        <w:t xml:space="preserve"> </w:t>
      </w:r>
      <w:r>
        <w:t xml:space="preserve">Dieses Kapitel gibt den Stand 2026 nach bestem Wissen wieder und stellt keine Rechtsberatung dar. Gesetze, Verordnungen, Behördenpraxis und die Verbotsliste der Welt-Anti-Doping-Agentur ändern sich regelmäßig. Bitte prüfen Sie im Einzelfall die aktuelle Rechtslage und wenden Sie sich bei konkreten Fragen an eine Rechtsanwältin, einen Rechtsanwalt oder die zuständige Behörde.</w:t>
      </w:r>
    </w:p>
    <w:bookmarkStart w:id="115" w:name="Xe09fbab8f99f800f86893d0e5a480a2a00a548d"/>
    <w:p>
      <w:pPr>
        <w:pStyle w:val="Heading3"/>
      </w:pPr>
      <w:r>
        <w:t xml:space="preserve">Drei Schubladen: Arzneimittel, Lebensmittel, Kosmetik</w:t>
      </w:r>
    </w:p>
    <w:p>
      <w:pPr>
        <w:pStyle w:val="FirstParagraph"/>
      </w:pPr>
      <w:r>
        <w:t xml:space="preserve">Das europäische Recht unterscheidet im Wesentlichen drei Produktkategorien, in die Peptide fallen können. Jede hat eigene Regeln: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Kategorie</w:t>
            </w:r>
          </w:p>
        </w:tc>
        <w:tc>
          <w:tcPr/>
          <w:p>
            <w:pPr>
              <w:pStyle w:val="Compact"/>
              <w:jc w:val="left"/>
            </w:pPr>
            <w:r>
              <w:t xml:space="preserve">Behördliche Prüfung vor Verkauf</w:t>
            </w:r>
          </w:p>
        </w:tc>
        <w:tc>
          <w:tcPr/>
          <w:p>
            <w:pPr>
              <w:pStyle w:val="Compact"/>
              <w:jc w:val="left"/>
            </w:pPr>
            <w:r>
              <w:t xml:space="preserve">Typische Peptide</w:t>
            </w:r>
          </w:p>
        </w:tc>
      </w:tr>
      <w:tr>
        <w:tc>
          <w:tcPr/>
          <w:p>
            <w:pPr>
              <w:pStyle w:val="Compact"/>
              <w:jc w:val="left"/>
            </w:pPr>
            <w:r>
              <w:t xml:space="preserve">Arzneimittel</w:t>
            </w:r>
          </w:p>
        </w:tc>
        <w:tc>
          <w:tcPr/>
          <w:p>
            <w:pPr>
              <w:pStyle w:val="Compact"/>
              <w:jc w:val="left"/>
            </w:pPr>
            <w:r>
              <w:t xml:space="preserve">Zulassung mit Wirksamkeits- und Sicherheitsnachweis</w:t>
            </w:r>
          </w:p>
        </w:tc>
        <w:tc>
          <w:tcPr/>
          <w:p>
            <w:pPr>
              <w:pStyle w:val="Compact"/>
              <w:jc w:val="left"/>
            </w:pPr>
            <w:r>
              <w:t xml:space="preserve">Insulin, Semaglutid, Oxytocin</w:t>
            </w:r>
          </w:p>
        </w:tc>
      </w:tr>
      <w:tr>
        <w:tc>
          <w:tcPr/>
          <w:p>
            <w:pPr>
              <w:pStyle w:val="Compact"/>
              <w:jc w:val="left"/>
            </w:pPr>
            <w:r>
              <w:t xml:space="preserve">Lebensmittel und Nahrungsergänzung</w:t>
            </w:r>
          </w:p>
        </w:tc>
        <w:tc>
          <w:tcPr/>
          <w:p>
            <w:pPr>
              <w:pStyle w:val="Compact"/>
              <w:jc w:val="left"/>
            </w:pPr>
            <w:r>
              <w:t xml:space="preserve">keine Zulassung, Hersteller verantwortlich</w:t>
            </w:r>
          </w:p>
        </w:tc>
        <w:tc>
          <w:tcPr/>
          <w:p>
            <w:pPr>
              <w:pStyle w:val="Compact"/>
              <w:jc w:val="left"/>
            </w:pPr>
            <w:r>
              <w:t xml:space="preserve">Kollagenpeptide, Milchpeptide</w:t>
            </w:r>
          </w:p>
        </w:tc>
      </w:tr>
      <w:tr>
        <w:tc>
          <w:tcPr/>
          <w:p>
            <w:pPr>
              <w:pStyle w:val="Compact"/>
              <w:jc w:val="left"/>
            </w:pPr>
            <w:r>
              <w:t xml:space="preserve">Kosmetik</w:t>
            </w:r>
          </w:p>
        </w:tc>
        <w:tc>
          <w:tcPr/>
          <w:p>
            <w:pPr>
              <w:pStyle w:val="Compact"/>
              <w:jc w:val="left"/>
            </w:pPr>
            <w:r>
              <w:t xml:space="preserve">keine Zulassung, Sicherheitsbewertung durch Hersteller</w:t>
            </w:r>
          </w:p>
        </w:tc>
        <w:tc>
          <w:tcPr/>
          <w:p>
            <w:pPr>
              <w:pStyle w:val="Compact"/>
              <w:jc w:val="left"/>
            </w:pPr>
            <w:r>
              <w:t xml:space="preserve">Palmitoyl-Pentapeptid-4, Argireline</w:t>
            </w:r>
          </w:p>
        </w:tc>
      </w:tr>
    </w:tbl>
    <w:p>
      <w:pPr>
        <w:pStyle w:val="BodyText"/>
      </w:pPr>
      <w:r>
        <w:t xml:space="preserve">Dazu kommen Stoffe, die in keine dieser Kategorien rechtmäßig passen – etwa nicht zugelassene Wirkstoffe mit pharmakologischer Wirkung, die als „Forschungschemikalien“ verkauft werden. Für sie gibt es keinen legalen Weg in den Handel als Produkt zur Anwendung am Menschen.</w:t>
      </w:r>
    </w:p>
    <w:bookmarkEnd w:id="115"/>
    <w:bookmarkStart w:id="116" w:name="was-ein-arzneimittel-ist"/>
    <w:p>
      <w:pPr>
        <w:pStyle w:val="Heading3"/>
      </w:pPr>
      <w:r>
        <w:t xml:space="preserve">Was ein Arzneimittel ist</w:t>
      </w:r>
    </w:p>
    <w:p>
      <w:pPr>
        <w:pStyle w:val="FirstParagraph"/>
      </w:pPr>
      <w:r>
        <w:t xml:space="preserve">Die Definition des Arzneimittels ist in der EU durch eine Richtlinie (Richtlinie 2001/83/EG) vorgegeben und in den nationalen Arzneimittelgesetzen umgesetzt. Sie hat zwei Seiten:</w:t>
      </w:r>
    </w:p>
    <w:p>
      <w:pPr>
        <w:numPr>
          <w:ilvl w:val="0"/>
          <w:numId w:val="1029"/>
        </w:numPr>
        <w:pStyle w:val="Compact"/>
      </w:pPr>
      <w:r>
        <w:rPr>
          <w:bCs/>
          <w:b/>
        </w:rPr>
        <w:t xml:space="preserve">Präsentationsarzneimittel</w:t>
      </w:r>
      <w:r>
        <w:t xml:space="preserve">: Ein Produkt ist ein Arzneimittel, wenn es als Mittel zur Heilung oder Verhütung von Krankheiten</w:t>
      </w:r>
      <w:r>
        <w:t xml:space="preserve"> </w:t>
      </w:r>
      <w:r>
        <w:rPr>
          <w:bCs/>
          <w:b/>
        </w:rPr>
        <w:t xml:space="preserve">dargestellt</w:t>
      </w:r>
      <w:r>
        <w:t xml:space="preserve"> </w:t>
      </w:r>
      <w:r>
        <w:t xml:space="preserve">wird. Schon die Werbung mit Aussagen wie „beschleunigt die Heilung von Sehnenverletzungen“ kann ein Produkt zum Arzneimittel machen.</w:t>
      </w:r>
    </w:p>
    <w:p>
      <w:pPr>
        <w:numPr>
          <w:ilvl w:val="0"/>
          <w:numId w:val="1029"/>
        </w:numPr>
        <w:pStyle w:val="Compact"/>
      </w:pPr>
      <w:r>
        <w:rPr>
          <w:bCs/>
          <w:b/>
        </w:rPr>
        <w:t xml:space="preserve">Funktionsarzneimittel</w:t>
      </w:r>
      <w:r>
        <w:t xml:space="preserve">: Ein Produkt ist ein Arzneimittel, wenn es die menschlichen Körperfunktionen durch eine</w:t>
      </w:r>
      <w:r>
        <w:t xml:space="preserve"> </w:t>
      </w:r>
      <w:r>
        <w:rPr>
          <w:bCs/>
          <w:b/>
        </w:rPr>
        <w:t xml:space="preserve">pharmakologische, immunologische oder metabolische Wirkung</w:t>
      </w:r>
      <w:r>
        <w:t xml:space="preserve"> </w:t>
      </w:r>
      <w:r>
        <w:t xml:space="preserve">wiederherstellen, korrigieren oder beeinflussen kann – unabhängig davon, wie es beworben wird.</w:t>
      </w:r>
    </w:p>
    <w:p>
      <w:pPr>
        <w:pStyle w:val="FirstParagraph"/>
      </w:pPr>
      <w:r>
        <w:t xml:space="preserve">Fällt ein Produkt sowohl unter die Definition eines Arzneimittels als auch unter die eines anderen Produkts, geht nach dieser Richtlinie im Zweifel das Arzneimittelrecht vor. Für Peptide mit hormonartiger Wirkung – etwa Wachstumshormon-Freisetzer, GLP-1-Analoga oder Melanotan – bedeutet das: Sie sind in aller Regel Arzneimittel, auch wenn sie als Nahrungsergänzung, Kosmetik oder „Forschungschemikalie“ deklariert werden.</w:t>
      </w:r>
    </w:p>
    <w:bookmarkEnd w:id="116"/>
    <w:bookmarkStart w:id="117" w:name="zulassung-in-der-eu"/>
    <w:p>
      <w:pPr>
        <w:pStyle w:val="Heading3"/>
      </w:pPr>
      <w:r>
        <w:t xml:space="preserve">Zulassung in der EU</w:t>
      </w:r>
    </w:p>
    <w:p>
      <w:pPr>
        <w:pStyle w:val="FirstParagraph"/>
      </w:pPr>
      <w:r>
        <w:t xml:space="preserve">Ein Arzneimittel darf in der EU nur in den Verkehr gebracht werden, wenn es zugelassen ist. Für die Zulassung muss der Hersteller Daten zu Qualität, Wirksamkeit und Unbedenklichkeit vorlegen – in der Regel aus den in Kapitel „Studien richtig lesen“ beschriebenen Phase-3-Studien.</w:t>
      </w:r>
    </w:p>
    <w:p>
      <w:pPr>
        <w:pStyle w:val="BodyText"/>
      </w:pPr>
      <w:r>
        <w:t xml:space="preserve">Es gibt zwei Hauptwege:</w:t>
      </w:r>
    </w:p>
    <w:p>
      <w:pPr>
        <w:numPr>
          <w:ilvl w:val="0"/>
          <w:numId w:val="1030"/>
        </w:numPr>
        <w:pStyle w:val="Compact"/>
      </w:pPr>
      <w:r>
        <w:rPr>
          <w:bCs/>
          <w:b/>
        </w:rPr>
        <w:t xml:space="preserve">Zentrales Verfahren</w:t>
      </w:r>
      <w:r>
        <w:t xml:space="preserve"> </w:t>
      </w:r>
      <w:r>
        <w:t xml:space="preserve">über die Europäische Arzneimittel-Agentur (EMA). Die Zulassung gilt dann in allen Mitgliedstaaten. Für biotechnologisch hergestellte Arzneimittel und neue Wirkstoffe gegen bestimmte Erkrankungen – darunter Diabetes – ist dieser Weg verpflichtend. Die meisten modernen Peptid-Arzneimittel sind zentral zugelassen.</w:t>
      </w:r>
    </w:p>
    <w:p>
      <w:pPr>
        <w:numPr>
          <w:ilvl w:val="0"/>
          <w:numId w:val="1030"/>
        </w:numPr>
        <w:pStyle w:val="Compact"/>
      </w:pPr>
      <w:r>
        <w:rPr>
          <w:bCs/>
          <w:b/>
        </w:rPr>
        <w:t xml:space="preserve">Nationale und dezentrale Verfahren</w:t>
      </w:r>
      <w:r>
        <w:t xml:space="preserve"> </w:t>
      </w:r>
      <w:r>
        <w:t xml:space="preserve">über die Behörden der Mitgliedstaaten, in Österreich das Bundesamt für Sicherheit im Gesundheitswesen (BASG), in Deutschland das Bundesinstitut für Arzneimittel und Medizinprodukte (BfArM) beziehungsweise für bestimmte biologische Arzneimittel das Paul-Ehrlich-Institut.</w:t>
      </w:r>
    </w:p>
    <w:p>
      <w:pPr>
        <w:pStyle w:val="FirstParagraph"/>
      </w:pPr>
      <w:r>
        <w:t xml:space="preserve">Zusammen mit der Zulassung wird festgelegt, ob ein Arzneimittel</w:t>
      </w:r>
      <w:r>
        <w:t xml:space="preserve"> </w:t>
      </w:r>
      <w:r>
        <w:rPr>
          <w:bCs/>
          <w:b/>
        </w:rPr>
        <w:t xml:space="preserve">verschreibungspflichtig</w:t>
      </w:r>
      <w:r>
        <w:t xml:space="preserve"> </w:t>
      </w:r>
      <w:r>
        <w:t xml:space="preserve">ist. Fast alle Peptid-Arzneimittel sind es. Die genauen Anwendungsgebiete, Dosierungen, Gegenanzeigen und Nebenwirkungen stehen in der</w:t>
      </w:r>
      <w:r>
        <w:t xml:space="preserve"> </w:t>
      </w:r>
      <w:r>
        <w:rPr>
          <w:bCs/>
          <w:b/>
        </w:rPr>
        <w:t xml:space="preserve">Fachinformation</w:t>
      </w:r>
      <w:r>
        <w:t xml:space="preserve"> </w:t>
      </w:r>
      <w:r>
        <w:t xml:space="preserve">(für Fachleute) und in der</w:t>
      </w:r>
      <w:r>
        <w:t xml:space="preserve"> </w:t>
      </w:r>
      <w:r>
        <w:rPr>
          <w:bCs/>
          <w:b/>
        </w:rPr>
        <w:t xml:space="preserve">Gebrauchsinformation</w:t>
      </w:r>
      <w:r>
        <w:t xml:space="preserve"> </w:t>
      </w:r>
      <w:r>
        <w:t xml:space="preserve">(Beipackzettel). Die Zulassung gilt für bestimmte Anwendungsgebiete. Ärztinnen und Ärzte dürfen ein zugelassenes Arzneimittel unter bestimmten Voraussetzungen auch außerhalb dieser Anwendungsgebiete verordnen („Off-Label-Use“), tragen dann aber eine erhöhte Verantwortung für Aufklärung und Abwägung; die Kosten werden in der Regel nicht von der Krankenversicherung übernommen.</w:t>
      </w:r>
    </w:p>
    <w:p>
      <w:pPr>
        <w:pStyle w:val="BodyText"/>
      </w:pPr>
      <w:r>
        <w:t xml:space="preserve">Einige Peptide, die in diesem Buch vorkommen, sind in anderen Ländern zugelassen, aber nicht in der EU – etwa einige in Russland verwendete Präparate. Eine ausländische Zulassung macht ein Produkt in der EU nicht verkehrsfähig.</w:t>
      </w:r>
    </w:p>
    <w:bookmarkEnd w:id="117"/>
    <w:bookmarkStart w:id="118" w:name="nahrungsergänzungsmittel"/>
    <w:p>
      <w:pPr>
        <w:pStyle w:val="Heading3"/>
      </w:pPr>
      <w:r>
        <w:t xml:space="preserve">Nahrungsergänzungsmittel</w:t>
      </w:r>
    </w:p>
    <w:p>
      <w:pPr>
        <w:pStyle w:val="FirstParagraph"/>
      </w:pPr>
      <w:r>
        <w:t xml:space="preserve">Nahrungsergänzungsmittel sind rechtlich Lebensmittel. Sie sollen die normale Ernährung ergänzen und enthalten Nährstoffe oder sonstige Stoffe mit ernährungsbezogener oder physiologischer Wirkung (Richtlinie 2002/46/EG). Sie benötigen</w:t>
      </w:r>
      <w:r>
        <w:t xml:space="preserve"> </w:t>
      </w:r>
      <w:r>
        <w:rPr>
          <w:bCs/>
          <w:b/>
        </w:rPr>
        <w:t xml:space="preserve">keine Zulassung</w:t>
      </w:r>
      <w:r>
        <w:t xml:space="preserve">. Je nach Land sind sie vor dem ersten Verkauf bei einer Behörde anzuzeigen; in Deutschland etwa beim Bundesamt für Verbraucherschutz und Lebensmittelsicherheit. Für die Sicherheit ist der Hersteller verantwortlich, kontrolliert wird stichprobenartig durch die Lebensmittelüberwachung.</w:t>
      </w:r>
    </w:p>
    <w:p>
      <w:pPr>
        <w:pStyle w:val="BodyText"/>
      </w:pPr>
      <w:r>
        <w:t xml:space="preserve">Wichtige Grenzen:</w:t>
      </w:r>
    </w:p>
    <w:p>
      <w:pPr>
        <w:numPr>
          <w:ilvl w:val="0"/>
          <w:numId w:val="1031"/>
        </w:numPr>
        <w:pStyle w:val="Compact"/>
      </w:pPr>
      <w:r>
        <w:t xml:space="preserve">Ein Stoff, der pharmakologisch wirkt, kann kein Nahrungsergänzungsmittel sein. Wird er dennoch so verkauft, handelt es sich um ein nicht zugelassenes Arzneimittel.</w:t>
      </w:r>
    </w:p>
    <w:p>
      <w:pPr>
        <w:numPr>
          <w:ilvl w:val="0"/>
          <w:numId w:val="1031"/>
        </w:numPr>
        <w:pStyle w:val="Compact"/>
      </w:pPr>
      <w:r>
        <w:rPr>
          <w:bCs/>
          <w:b/>
        </w:rPr>
        <w:t xml:space="preserve">Gesundheitsbezogene Angaben</w:t>
      </w:r>
      <w:r>
        <w:t xml:space="preserve"> </w:t>
      </w:r>
      <w:r>
        <w:t xml:space="preserve">wie „unterstützt die Gelenke“ oder „senkt den Blutdruck“ sind nur erlaubt, wenn sie von der EU nach Prüfung durch die Europäische Behörde für Lebensmittelsicherheit (EFSA) zugelassen und in einer Liste aufgeführt sind (Verordnung (EG) Nr. 1924/2006). Für viele beworbene Wirkungen von Peptid-Lebensmitteln gibt es nach unserem Kenntnisstand keine zugelassene Angabe. Werbung, die dennoch eine solche Wirkung verspricht, ist unzulässig.</w:t>
      </w:r>
    </w:p>
    <w:p>
      <w:pPr>
        <w:numPr>
          <w:ilvl w:val="0"/>
          <w:numId w:val="1031"/>
        </w:numPr>
        <w:pStyle w:val="Compact"/>
      </w:pPr>
      <w:r>
        <w:rPr>
          <w:bCs/>
          <w:b/>
        </w:rPr>
        <w:t xml:space="preserve">Krankheitsbezogene Aussagen</w:t>
      </w:r>
      <w:r>
        <w:t xml:space="preserve"> </w:t>
      </w:r>
      <w:r>
        <w:t xml:space="preserve">(etwa „wirkt gegen Arthrose“) sind für Lebensmittel generell verboten.</w:t>
      </w:r>
    </w:p>
    <w:p>
      <w:pPr>
        <w:pStyle w:val="FirstParagraph"/>
      </w:pPr>
      <w:r>
        <w:t xml:space="preserve">Dass auch Nahrungsergänzungsmittel nicht frei von verbotenen Wirkstoffen sind, zeigt ein Fall aus dem Kölner Anti-Doping-Labor: In als frei verkäufliches Nahrungsergänzungsmittel angebotenen Tabletten wurde das Wachstumshormon-freisetzende Peptid GHRP-2 nachgewiesen (Thomas 2010, PMID 20878896).</w:t>
      </w:r>
    </w:p>
    <w:bookmarkEnd w:id="118"/>
    <w:bookmarkStart w:id="119" w:name="novel-food"/>
    <w:p>
      <w:pPr>
        <w:pStyle w:val="Heading3"/>
      </w:pPr>
      <w:r>
        <w:t xml:space="preserve">Novel Food</w:t>
      </w:r>
    </w:p>
    <w:p>
      <w:pPr>
        <w:pStyle w:val="FirstParagraph"/>
      </w:pPr>
      <w:r>
        <w:t xml:space="preserve">Eine eigene Hürde für Lebensmittel ist die</w:t>
      </w:r>
      <w:r>
        <w:t xml:space="preserve"> </w:t>
      </w:r>
      <w:r>
        <w:rPr>
          <w:bCs/>
          <w:b/>
        </w:rPr>
        <w:t xml:space="preserve">Novel-Food-Verordnung</w:t>
      </w:r>
      <w:r>
        <w:t xml:space="preserve"> </w:t>
      </w:r>
      <w:r>
        <w:t xml:space="preserve">(Verordnung (EU) 2015/2283). Als „neuartig“ gelten Lebensmittel und Zutaten, die vor dem 15. Mai 1997 in der EU nicht in nennenswertem Umfang für den menschlichen Verzehr verwendet wurden. Sie dürfen erst nach einer Sicherheitsbewertung und einer Zulassung durch die EU verkauft werden.</w:t>
      </w:r>
    </w:p>
    <w:p>
      <w:pPr>
        <w:pStyle w:val="BodyText"/>
      </w:pPr>
      <w:r>
        <w:t xml:space="preserve">Für Peptide bedeutet das: Kollagenhydrolysate aus Gelatine haben eine lange Verzehrsgeschichte und sind kein Novel Food. Ein neu synthetisiertes Peptid ohne Verzehrsgeschichte, das als Lebensmittel verkauft werden soll, wäre dagegen grundsätzlich ein Novel Food und bräuchte eine Zulassung – sofern es nicht ohnehin wegen seiner pharmakologischen Wirkung als Arzneimittel einzustufen ist. Ob ein Stoff als Novel Food gilt, ist im Einzelfall zu prüfen; die EU-Kommission führt dazu einen Katalog.</w:t>
      </w:r>
    </w:p>
    <w:bookmarkEnd w:id="119"/>
    <w:bookmarkStart w:id="120" w:name="kosmetik"/>
    <w:p>
      <w:pPr>
        <w:pStyle w:val="Heading3"/>
      </w:pPr>
      <w:r>
        <w:t xml:space="preserve">Kosmetik</w:t>
      </w:r>
    </w:p>
    <w:p>
      <w:pPr>
        <w:pStyle w:val="FirstParagraph"/>
      </w:pPr>
      <w:r>
        <w:t xml:space="preserve">Kosmetische Mittel sind in der EU durch die Kosmetikverordnung (Verordnung (EG) Nr. 1223/2009) geregelt. Sie sind zur äußerlichen Anwendung auf Haut, Haaren, Nägeln, Lippen, Zähnen oder Schleimhäuten der Mundhöhle bestimmt – zur Reinigung, Pflege, zum Schutz oder zur Veränderung des Aussehens.</w:t>
      </w:r>
    </w:p>
    <w:p>
      <w:pPr>
        <w:numPr>
          <w:ilvl w:val="0"/>
          <w:numId w:val="1032"/>
        </w:numPr>
        <w:pStyle w:val="Compact"/>
      </w:pPr>
      <w:r>
        <w:t xml:space="preserve">Kosmetika brauchen</w:t>
      </w:r>
      <w:r>
        <w:t xml:space="preserve"> </w:t>
      </w:r>
      <w:r>
        <w:rPr>
          <w:bCs/>
          <w:b/>
        </w:rPr>
        <w:t xml:space="preserve">keine Zulassung</w:t>
      </w:r>
      <w:r>
        <w:t xml:space="preserve">. Eine verantwortliche Person in der EU muss aber eine Sicherheitsbewertung vorlegen und das Produkt vor dem Verkauf in einem EU-Portal melden.</w:t>
      </w:r>
    </w:p>
    <w:p>
      <w:pPr>
        <w:numPr>
          <w:ilvl w:val="0"/>
          <w:numId w:val="1032"/>
        </w:numPr>
        <w:pStyle w:val="Compact"/>
      </w:pPr>
      <w:r>
        <w:t xml:space="preserve">Bestimmte Stoffe sind verboten oder nur eingeschränkt erlaubt.</w:t>
      </w:r>
    </w:p>
    <w:p>
      <w:pPr>
        <w:numPr>
          <w:ilvl w:val="0"/>
          <w:numId w:val="1032"/>
        </w:numPr>
        <w:pStyle w:val="Compact"/>
      </w:pPr>
      <w:r>
        <w:t xml:space="preserve">Werbeaussagen müssen belegbar sein und dürfen nicht irreführen. Aussagen über die Behandlung von Krankheiten sind unzulässig.</w:t>
      </w:r>
    </w:p>
    <w:p>
      <w:pPr>
        <w:numPr>
          <w:ilvl w:val="0"/>
          <w:numId w:val="1032"/>
        </w:numPr>
        <w:pStyle w:val="Compact"/>
      </w:pPr>
      <w:r>
        <w:rPr>
          <w:bCs/>
          <w:b/>
        </w:rPr>
        <w:t xml:space="preserve">Was gespritzt wird, ist nie ein Kosmetikum.</w:t>
      </w:r>
      <w:r>
        <w:t xml:space="preserve"> </w:t>
      </w:r>
      <w:r>
        <w:t xml:space="preserve">Injektionen fallen nicht unter die Definition kosmetischer Mittel.</w:t>
      </w:r>
    </w:p>
    <w:p>
      <w:pPr>
        <w:pStyle w:val="FirstParagraph"/>
      </w:pPr>
      <w:r>
        <w:t xml:space="preserve">Kosmetik-Peptide wie Palmitoyl-Pentapeptid-4 oder Acetyl-Hexapeptid-8 sind deshalb legal in Cremes und Seren. Ein Peptid wie Melanotan II, das unter die Haut gespritzt wird und im ganzen Körper wirkt, ist dagegen kein Kosmetikum, auch wenn es als „Bräunungsmittel“ beworben wird.</w:t>
      </w:r>
    </w:p>
    <w:bookmarkEnd w:id="120"/>
    <w:bookmarkStart w:id="121" w:name="österreich"/>
    <w:p>
      <w:pPr>
        <w:pStyle w:val="Heading3"/>
      </w:pPr>
      <w:r>
        <w:t xml:space="preserve">Österreich</w:t>
      </w:r>
    </w:p>
    <w:p>
      <w:pPr>
        <w:pStyle w:val="FirstParagraph"/>
      </w:pPr>
      <w:r>
        <w:t xml:space="preserve">In Österreich regelt das</w:t>
      </w:r>
      <w:r>
        <w:t xml:space="preserve"> </w:t>
      </w:r>
      <w:r>
        <w:rPr>
          <w:bCs/>
          <w:b/>
        </w:rPr>
        <w:t xml:space="preserve">Arzneimittelgesetz (AMG)</w:t>
      </w:r>
      <w:r>
        <w:t xml:space="preserve"> </w:t>
      </w:r>
      <w:r>
        <w:t xml:space="preserve">Zulassung, Herstellung und Abgabe von Arzneimitteln. Zuständig für Zulassung und Überwachung ist das Bundesamt für Sicherheit im Gesundheitswesen (BASG) mit der AGES Medizinmarktaufsicht. Verschreibungspflichtige Arzneimittel werden nur in Apotheken gegen Rezept abgegeben; der Versandhandel aus Apotheken ist auf nicht verschreibungspflichtige Arzneimittel beschränkt.</w:t>
      </w:r>
    </w:p>
    <w:p>
      <w:pPr>
        <w:pStyle w:val="BodyText"/>
      </w:pPr>
      <w:r>
        <w:t xml:space="preserve">Die Einfuhr von Arzneimitteln regelt das</w:t>
      </w:r>
      <w:r>
        <w:t xml:space="preserve"> </w:t>
      </w:r>
      <w:r>
        <w:rPr>
          <w:bCs/>
          <w:b/>
        </w:rPr>
        <w:t xml:space="preserve">Arzneiwareneinfuhrgesetz</w:t>
      </w:r>
      <w:r>
        <w:t xml:space="preserve">. Privatpersonen dürfen Arzneimittel nur unter bestimmten Voraussetzungen und in Mengen für den persönlichen Bedarf einführen; für Bestellungen aus Ländern außerhalb des Europäischen Wirtschaftsraums gelten strengere Regeln. Nicht zugelassene Wirkstoffe von „Forschungschemikalien“-Shops erfüllen diese Voraussetzungen in aller Regel nicht. Der Zoll kann solche Sendungen beschlagnahmen.</w:t>
      </w:r>
    </w:p>
    <w:p>
      <w:pPr>
        <w:pStyle w:val="BodyText"/>
      </w:pPr>
      <w:r>
        <w:t xml:space="preserve">Für den Sport gilt das</w:t>
      </w:r>
      <w:r>
        <w:t xml:space="preserve"> </w:t>
      </w:r>
      <w:r>
        <w:rPr>
          <w:bCs/>
          <w:b/>
        </w:rPr>
        <w:t xml:space="preserve">Anti-Doping-Bundesgesetz 2021</w:t>
      </w:r>
      <w:r>
        <w:t xml:space="preserve">. Es verweist auf die Verbotsliste der Welt-Anti-Doping-Agentur und enthält Verbote und Strafbestimmungen, insbesondere für das Inverkehrbringen und die Weitergabe verbotener Wirkstoffe. Zuständig für Kontrollen ist die Nationale Anti-Doping Agentur Austria (NADA Austria).</w:t>
      </w:r>
    </w:p>
    <w:p>
      <w:pPr>
        <w:pStyle w:val="BodyText"/>
      </w:pPr>
      <w:r>
        <w:t xml:space="preserve">Stand 2026, bitte aktuell prüfen.</w:t>
      </w:r>
    </w:p>
    <w:bookmarkEnd w:id="121"/>
    <w:bookmarkStart w:id="122" w:name="deutschland"/>
    <w:p>
      <w:pPr>
        <w:pStyle w:val="Heading3"/>
      </w:pPr>
      <w:r>
        <w:t xml:space="preserve">Deutschland</w:t>
      </w:r>
    </w:p>
    <w:p>
      <w:pPr>
        <w:pStyle w:val="FirstParagraph"/>
      </w:pPr>
      <w:r>
        <w:t xml:space="preserve">In Deutschland gilt das</w:t>
      </w:r>
      <w:r>
        <w:t xml:space="preserve"> </w:t>
      </w:r>
      <w:r>
        <w:rPr>
          <w:bCs/>
          <w:b/>
        </w:rPr>
        <w:t xml:space="preserve">Arzneimittelgesetz (AMG)</w:t>
      </w:r>
      <w:r>
        <w:t xml:space="preserve">. Zulassungsbehörden sind das BfArM und das Paul-Ehrlich-Institut. Verschreibungspflichtige Arzneimittel dürfen nur gegen Rezept abgegeben werden, auch im Versandhandel durch zugelassene Versandapotheken.</w:t>
      </w:r>
    </w:p>
    <w:p>
      <w:pPr>
        <w:pStyle w:val="BodyText"/>
      </w:pPr>
      <w:r>
        <w:t xml:space="preserve">Für die Einfuhr gilt grundsätzlich ein Verbot, nicht zugelassene Arzneimittel nach Deutschland zu verbringen. Eine Ausnahme besteht für den persönlichen Bedarf, wenn das Arzneimittel im Herkunftsland rechtmäßig in Verkehr ist und aus einem Mitgliedstaat der EU oder des Europäischen Wirtschaftsraums ohne gewerbsmäßige Vermittlung bezogen wird; daneben gibt es eng begrenzte Sonderregeln. Für Graumarkt-Peptide, die nirgendwo als Arzneimittel zugelassen sind, greift diese Ausnahme nach unserem Verständnis nicht.</w:t>
      </w:r>
    </w:p>
    <w:p>
      <w:pPr>
        <w:pStyle w:val="BodyText"/>
      </w:pPr>
      <w:r>
        <w:t xml:space="preserve">Wer Arzneimittel ohne Erlaubnis herstellt, in Verkehr bringt oder an andere abgibt, kann sich nach dem AMG strafbar machen. Das gilt besonders für sogenannte bedenkliche Arzneimittel, bei denen der begründete Verdacht schädlicher Wirkungen besteht.</w:t>
      </w:r>
    </w:p>
    <w:p>
      <w:pPr>
        <w:pStyle w:val="BodyText"/>
      </w:pPr>
      <w:r>
        <w:t xml:space="preserve">Für den Sport gilt zusätzlich das</w:t>
      </w:r>
      <w:r>
        <w:t xml:space="preserve"> </w:t>
      </w:r>
      <w:r>
        <w:rPr>
          <w:bCs/>
          <w:b/>
        </w:rPr>
        <w:t xml:space="preserve">Anti-Doping-Gesetz (AntiDopG)</w:t>
      </w:r>
      <w:r>
        <w:t xml:space="preserve">. Es verbietet unter anderem Herstellung, Handel und Inverkehrbringen von Dopingmitteln sowie deren Anwendung bei anderen. Erwerb und Besitz bestimmter, in einer Anlage zum Gesetz aufgeführter Stoffe – darunter Peptidhormone – sind in nicht geringer Menge zu Dopingzwecken strafbar. Für Spitzensportlerinnen und Spitzensportler ist auch das Selbstdoping strafbar. Zuständig für Kontrollen ist die Nationale Anti Doping Agentur Deutschland (NADA).</w:t>
      </w:r>
    </w:p>
    <w:p>
      <w:pPr>
        <w:pStyle w:val="BodyText"/>
      </w:pPr>
      <w:r>
        <w:t xml:space="preserve">Stand 2026, bitte aktuell prüfen.</w:t>
      </w:r>
    </w:p>
    <w:bookmarkEnd w:id="122"/>
    <w:bookmarkStart w:id="123" w:name="usa"/>
    <w:p>
      <w:pPr>
        <w:pStyle w:val="Heading3"/>
      </w:pPr>
      <w:r>
        <w:t xml:space="preserve">USA</w:t>
      </w:r>
    </w:p>
    <w:p>
      <w:pPr>
        <w:pStyle w:val="FirstParagraph"/>
      </w:pPr>
      <w:r>
        <w:t xml:space="preserve">In den USA ist die</w:t>
      </w:r>
      <w:r>
        <w:t xml:space="preserve"> </w:t>
      </w:r>
      <w:r>
        <w:rPr>
          <w:bCs/>
          <w:b/>
        </w:rPr>
        <w:t xml:space="preserve">Food and Drug Administration (FDA)</w:t>
      </w:r>
      <w:r>
        <w:t xml:space="preserve"> </w:t>
      </w:r>
      <w:r>
        <w:t xml:space="preserve">zuständig. Neue Arzneimittel brauchen eine Zulassung (bei chemisch hergestellten Wirkstoffen über einen „New Drug Application“, bei biologischen Wirkstoffen über einen „Biologics License Application“).</w:t>
      </w:r>
    </w:p>
    <w:p>
      <w:pPr>
        <w:pStyle w:val="BodyText"/>
      </w:pPr>
      <w:r>
        <w:rPr>
          <w:bCs/>
          <w:b/>
        </w:rPr>
        <w:t xml:space="preserve">Nahrungsergänzungsmittel</w:t>
      </w:r>
      <w:r>
        <w:t xml:space="preserve"> </w:t>
      </w:r>
      <w:r>
        <w:t xml:space="preserve">(Dietary Supplements) sind seit einem Gesetz von 1994 weitgehend ohne Vorabprüfung verkehrsfähig. Ein Stoff, der zuerst als Arzneimittel zugelassen oder als Arzneimittel in größerem Umfang klinisch untersucht wurde, darf aber grundsätzlich nicht nachträglich als Nahrungsergänzungsmittel verkauft werden. Aus diesem Grund können viele Peptide in den USA nicht legal als Supplement vermarktet werden.</w:t>
      </w:r>
    </w:p>
    <w:p>
      <w:pPr>
        <w:pStyle w:val="BodyText"/>
      </w:pPr>
      <w:r>
        <w:rPr>
          <w:bCs/>
          <w:b/>
        </w:rPr>
        <w:t xml:space="preserve">Compounding</w:t>
      </w:r>
      <w:r>
        <w:t xml:space="preserve">: US-Apotheken dürfen unter bestimmten Voraussetzungen Arzneimittel selbst zubereiten – einzeln für bestimmte Patientinnen und Patienten oder in größerem Maßstab in besonders überwachten Betrieben. Bei Lieferengpässen zugelassener Arzneimittel dürfen sie auch Kopien herstellen. Nach dem Ende der Engpässe bei Semaglutid und Tirzepatid dürfen sie nach US-Recht nur noch abweichende Präparate herstellen (Belcourt 2026, PMID 41689811). Welche Wirkstoffe als Ausgangsstoffe für das Compounding verwendet werden dürfen, legt die FDA in Listen fest. Nach unserem Kenntnisstand hat die FDA mehrere beliebte Graumarkt-Peptide, darunter BPC-157, wegen Sicherheitsbedenken als nicht geeignet für das Compounding eingestuft. Diese Listen und die politische Debatte darüber ändern sich; bitte prüfen Sie den aktuellen Stand.</w:t>
      </w:r>
    </w:p>
    <w:p>
      <w:pPr>
        <w:pStyle w:val="BodyText"/>
      </w:pPr>
      <w:r>
        <w:rPr>
          <w:bCs/>
          <w:b/>
        </w:rPr>
        <w:t xml:space="preserve">„Research Use Only“</w:t>
      </w:r>
      <w:r>
        <w:t xml:space="preserve">: Der Verkauf von Peptiden mit dem Hinweis „nur für Forschungszwecke“ an Verbraucherinnen und Verbraucher bewegt sich auch in den USA in einer rechtlichen Grauzone, die von Fachleuten als Umgehung der Verschreibungspflicht beschrieben wird (Belcourt 2025, PMID 39285774). Die FDA hat gegen einzelne Anbieter Warnschreiben verschickt.</w:t>
      </w:r>
    </w:p>
    <w:p>
      <w:pPr>
        <w:pStyle w:val="BodyText"/>
      </w:pPr>
      <w:r>
        <w:rPr>
          <w:bCs/>
          <w:b/>
        </w:rPr>
        <w:t xml:space="preserve">Einfuhr</w:t>
      </w:r>
      <w:r>
        <w:t xml:space="preserve">: Die FDA duldet unter engen Voraussetzungen die Einfuhr kleiner Mengen von Arzneimitteln für den persönlichen Gebrauch. Ein Rechtsanspruch besteht nicht, und nicht zugelassene Wirkstoffe ohne ärztliche Begleitung fallen in der Regel nicht darunter.</w:t>
      </w:r>
    </w:p>
    <w:p>
      <w:pPr>
        <w:pStyle w:val="BodyText"/>
      </w:pPr>
      <w:r>
        <w:t xml:space="preserve">Stand 2026, bitte aktuell prüfen.</w:t>
      </w:r>
    </w:p>
    <w:bookmarkEnd w:id="123"/>
    <w:bookmarkStart w:id="124" w:name="doping-die-verbotsliste-der-wada"/>
    <w:p>
      <w:pPr>
        <w:pStyle w:val="Heading3"/>
      </w:pPr>
      <w:r>
        <w:t xml:space="preserve">Doping: die Verbotsliste der WADA</w:t>
      </w:r>
    </w:p>
    <w:p>
      <w:pPr>
        <w:pStyle w:val="FirstParagraph"/>
      </w:pPr>
      <w:r>
        <w:t xml:space="preserve">Für Sportlerinnen und Sportler, die Dopingkontrollen unterliegen, ist die</w:t>
      </w:r>
      <w:r>
        <w:t xml:space="preserve"> </w:t>
      </w:r>
      <w:r>
        <w:rPr>
          <w:bCs/>
          <w:b/>
        </w:rPr>
        <w:t xml:space="preserve">Verbotsliste der Welt-Anti-Doping-Agentur (WADA)</w:t>
      </w:r>
      <w:r>
        <w:t xml:space="preserve"> </w:t>
      </w:r>
      <w:r>
        <w:t xml:space="preserve">maßgeblich. Sie wird jährlich überarbeitet und tritt jeweils am 1. Januar in Kraft. Für Peptide sind vor allem zwei Abschnitte wichtig, die im Wettkampf und außerhalb des Wettkampfs gelten:</w:t>
      </w:r>
    </w:p>
    <w:p>
      <w:pPr>
        <w:pStyle w:val="BodyText"/>
      </w:pPr>
      <w:r>
        <w:rPr>
          <w:bCs/>
          <w:b/>
        </w:rPr>
        <w:t xml:space="preserve">S0 – Nicht zugelassene Substanzen.</w:t>
      </w:r>
      <w:r>
        <w:t xml:space="preserve"> </w:t>
      </w:r>
      <w:r>
        <w:t xml:space="preserve">Verboten sind pharmakologisch wirksame Stoffe, die in keinem anderen Abschnitt der Liste genannt sind und von keiner Gesundheitsbehörde für die Anwendung am Menschen zugelassen sind – etwa Wirkstoffe in vorklinischer oder klinischer Entwicklung, eingestellte Entwicklungen, Designerdrogen und nur für Tiere zugelassene Stoffe. Viele Graumarkt-Peptide fallen in diese Gruppe. BPC-157 wird in der Liste nach unserem Kenntnisstand ausdrücklich als Beispiel genannt.</w:t>
      </w:r>
    </w:p>
    <w:p>
      <w:pPr>
        <w:pStyle w:val="BodyText"/>
      </w:pPr>
      <w:r>
        <w:rPr>
          <w:bCs/>
          <w:b/>
        </w:rPr>
        <w:t xml:space="preserve">S2 – Peptidhormone, Wachstumsfaktoren, verwandte Substanzen und Mimetika.</w:t>
      </w:r>
      <w:r>
        <w:t xml:space="preserve"> </w:t>
      </w:r>
      <w:r>
        <w:t xml:space="preserve">Hierzu zählen unter anderem:</w:t>
      </w:r>
    </w:p>
    <w:p>
      <w:pPr>
        <w:numPr>
          <w:ilvl w:val="0"/>
          <w:numId w:val="1033"/>
        </w:numPr>
        <w:pStyle w:val="Compact"/>
      </w:pPr>
      <w:r>
        <w:t xml:space="preserve">Wachstumshormon und seine Fragmente (zum Beispiel AOD-9604),</w:t>
      </w:r>
    </w:p>
    <w:p>
      <w:pPr>
        <w:numPr>
          <w:ilvl w:val="0"/>
          <w:numId w:val="1033"/>
        </w:numPr>
        <w:pStyle w:val="Compact"/>
      </w:pPr>
      <w:r>
        <w:t xml:space="preserve">Wachstumshormon-Releasing-Hormon und seine Analoga (zum Beispiel CJC-1295, Sermorelin, Tesamorelin),</w:t>
      </w:r>
    </w:p>
    <w:p>
      <w:pPr>
        <w:numPr>
          <w:ilvl w:val="0"/>
          <w:numId w:val="1033"/>
        </w:numPr>
        <w:pStyle w:val="Compact"/>
      </w:pPr>
      <w:r>
        <w:t xml:space="preserve">Wachstumshormon-Sekretagoga und Wachstumshormon-freisetzende Peptide (zum Beispiel Ipamorelin, GHRP-2, GHRP-6, Hexarelin, Macimorelin und nach unserem Kenntnisstand auch das nicht peptidische Ibutamoren),</w:t>
      </w:r>
    </w:p>
    <w:p>
      <w:pPr>
        <w:numPr>
          <w:ilvl w:val="0"/>
          <w:numId w:val="1033"/>
        </w:numPr>
        <w:pStyle w:val="Compact"/>
      </w:pPr>
      <w:r>
        <w:t xml:space="preserve">Wachstumsfaktoren wie IGF-1 und seine Analoga sowie Thymosin Beta-4 und seine Abkömmlinge (zum Beispiel TB-500),</w:t>
      </w:r>
    </w:p>
    <w:p>
      <w:pPr>
        <w:numPr>
          <w:ilvl w:val="0"/>
          <w:numId w:val="1033"/>
        </w:numPr>
        <w:pStyle w:val="Compact"/>
      </w:pPr>
      <w:r>
        <w:t xml:space="preserve">bei Männern Hormone und Freisetzungsfaktoren der Sexualhormon-Achse (zum Beispiel Gonadorelin und Kisspeptin).</w:t>
      </w:r>
    </w:p>
    <w:p>
      <w:pPr>
        <w:pStyle w:val="FirstParagraph"/>
      </w:pPr>
      <w:r>
        <w:t xml:space="preserve">Zusätzlich sind im Abschnitt S4 unter anderem Insuline als Stoffwechsel-Modulatoren verboten. GLP-1-Medikamente wie Semaglutid oder Tirzepatid sind nach unserem Kenntnisstand derzeit nicht auf der Verbotsliste. Die Liste nennt Beispiele, ist aber nicht abschließend: Auch nicht genannte Stoffe mit ähnlicher chemischer Struktur oder ähnlicher biologischer Wirkung können verboten sein.</w:t>
      </w:r>
    </w:p>
    <w:p>
      <w:pPr>
        <w:pStyle w:val="BodyText"/>
      </w:pPr>
      <w:r>
        <w:t xml:space="preserve">Im Anti-Doping-Recht gilt die</w:t>
      </w:r>
      <w:r>
        <w:t xml:space="preserve"> </w:t>
      </w:r>
      <w:r>
        <w:rPr>
          <w:bCs/>
          <w:b/>
        </w:rPr>
        <w:t xml:space="preserve">verschuldensunabhängige Verantwortlichkeit</w:t>
      </w:r>
      <w:r>
        <w:t xml:space="preserve">: Wird ein verbotener Stoff in einer Probe gefunden, ist das ein Verstoß – unabhängig davon, ob er absichtlich eingenommen wurde oder etwa aus einem verunreinigten Nahrungsergänzungsmittel stammt. Wer ein zugelassenes, verbotenes Arzneimittel aus medizinischen Gründen braucht, kann eine</w:t>
      </w:r>
      <w:r>
        <w:t xml:space="preserve"> </w:t>
      </w:r>
      <w:r>
        <w:rPr>
          <w:bCs/>
          <w:b/>
        </w:rPr>
        <w:t xml:space="preserve">Medizinische Ausnahmegenehmigung</w:t>
      </w:r>
      <w:r>
        <w:t xml:space="preserve"> </w:t>
      </w:r>
      <w:r>
        <w:t xml:space="preserve">(Therapeutic Use Exemption, TUE) beantragen. Für nicht zugelassene Stoffe aus Abschnitt S0 ist das praktisch ausgeschlossen.</w:t>
      </w:r>
    </w:p>
    <w:p>
      <w:pPr>
        <w:pStyle w:val="BodyText"/>
      </w:pPr>
      <w:r>
        <w:t xml:space="preserve">Die Dopingkontroll-Labore entwickeln laufend Nachweisverfahren für neue Peptide, oft auf der Grundlage beschlagnahmter Produkte (Cox 2017, PMID 28035768). Dass ein Stoff gestern nicht nachweisbar war, heißt nicht, dass er es morgen nicht ist – und eingefrorene Proben können Jahre später erneut untersucht werden.</w:t>
      </w:r>
    </w:p>
    <w:p>
      <w:pPr>
        <w:pStyle w:val="BodyText"/>
      </w:pPr>
      <w:r>
        <w:t xml:space="preserve">Stand 2026, bitte die aktuelle Verbotsliste der WADA prüfen.</w:t>
      </w:r>
    </w:p>
    <w:bookmarkEnd w:id="124"/>
    <w:bookmarkStart w:id="125" w:name="haftung-wer-trägt-das-risiko"/>
    <w:p>
      <w:pPr>
        <w:pStyle w:val="Heading3"/>
      </w:pPr>
      <w:r>
        <w:t xml:space="preserve">Haftung: Wer trägt das Risiko?</w:t>
      </w:r>
    </w:p>
    <w:p>
      <w:pPr>
        <w:pStyle w:val="FirstParagraph"/>
      </w:pPr>
      <w:r>
        <w:t xml:space="preserve">Bei</w:t>
      </w:r>
      <w:r>
        <w:t xml:space="preserve"> </w:t>
      </w:r>
      <w:r>
        <w:rPr>
          <w:bCs/>
          <w:b/>
        </w:rPr>
        <w:t xml:space="preserve">zugelassenen Arzneimitteln</w:t>
      </w:r>
      <w:r>
        <w:t xml:space="preserve"> </w:t>
      </w:r>
      <w:r>
        <w:t xml:space="preserve">sind Hersteller, Apotheken und verordnende Ärztinnen und Ärzte in ein System von Verantwortung und Haftung eingebunden. In Deutschland sieht das Arzneimittelgesetz eine besondere Haftung des Herstellers für Schäden durch zugelassene Arzneimittel vor, die nicht von einem Verschulden abhängt; in Österreich greifen das allgemeine Schadenersatzrecht und das Produkthaftungsgesetz. Nebenwirkungen werden gemeldet, ausgewertet und können zu Warnhinweisen oder Marktrücknahmen führen.</w:t>
      </w:r>
    </w:p>
    <w:p>
      <w:pPr>
        <w:pStyle w:val="BodyText"/>
      </w:pPr>
      <w:r>
        <w:t xml:space="preserve">Bei</w:t>
      </w:r>
      <w:r>
        <w:t xml:space="preserve"> </w:t>
      </w:r>
      <w:r>
        <w:rPr>
          <w:bCs/>
          <w:b/>
        </w:rPr>
        <w:t xml:space="preserve">Graumarkt-Produkten</w:t>
      </w:r>
      <w:r>
        <w:t xml:space="preserve"> </w:t>
      </w:r>
      <w:r>
        <w:t xml:space="preserve">fehlt dieses System weitgehend:</w:t>
      </w:r>
    </w:p>
    <w:p>
      <w:pPr>
        <w:numPr>
          <w:ilvl w:val="0"/>
          <w:numId w:val="1034"/>
        </w:numPr>
        <w:pStyle w:val="Compact"/>
      </w:pPr>
      <w:r>
        <w:t xml:space="preserve">Die Anbieter sitzen oft im Ausland, wechseln häufig ihre Namen und Websites und sind praktisch nicht greifbar.</w:t>
      </w:r>
    </w:p>
    <w:p>
      <w:pPr>
        <w:numPr>
          <w:ilvl w:val="0"/>
          <w:numId w:val="1034"/>
        </w:numPr>
        <w:pStyle w:val="Compact"/>
      </w:pPr>
      <w:r>
        <w:t xml:space="preserve">Mit dem Hinweis „nicht zur Anwendung am Menschen“ versuchen sie, jede Verantwortung von sich zu weisen.</w:t>
      </w:r>
    </w:p>
    <w:p>
      <w:pPr>
        <w:numPr>
          <w:ilvl w:val="0"/>
          <w:numId w:val="1034"/>
        </w:numPr>
        <w:pStyle w:val="Compact"/>
      </w:pPr>
      <w:r>
        <w:t xml:space="preserve">Wer ein solches Produkt selbst anwendet, trägt das gesundheitliche und finanzielle Risiko weitgehend allein.</w:t>
      </w:r>
    </w:p>
    <w:p>
      <w:pPr>
        <w:numPr>
          <w:ilvl w:val="0"/>
          <w:numId w:val="1034"/>
        </w:numPr>
        <w:pStyle w:val="Compact"/>
      </w:pPr>
      <w:r>
        <w:t xml:space="preserve">Wer ein solches Produkt an andere weitergibt oder bei anderen anwendet – etwa in einem Fitnessstudio, Kosmetik- oder Wellnessbetrieb –, kann sich strafbar machen und haftet unter Umständen für Schäden.</w:t>
      </w:r>
    </w:p>
    <w:p>
      <w:pPr>
        <w:pStyle w:val="FirstParagraph"/>
      </w:pPr>
      <w:r>
        <w:t xml:space="preserve">Auch bei der</w:t>
      </w:r>
      <w:r>
        <w:t xml:space="preserve"> </w:t>
      </w:r>
      <w:r>
        <w:rPr>
          <w:bCs/>
          <w:b/>
        </w:rPr>
        <w:t xml:space="preserve">Anwendung durch Ärztinnen und Ärzte</w:t>
      </w:r>
      <w:r>
        <w:t xml:space="preserve"> </w:t>
      </w:r>
      <w:r>
        <w:t xml:space="preserve">gelten strenge Maßstäbe. Wer nicht zugelassene Wirkstoffe verabreicht, muss umfassend über die unsichere Datenlage aufklären und haftet bei Behandlungsfehlern. Berufsrechtliche Folgen sind möglich.</w:t>
      </w:r>
    </w:p>
    <w:bookmarkEnd w:id="125"/>
    <w:bookmarkStart w:id="126" w:name="die-rechtslage-auf-einen-blick"/>
    <w:p>
      <w:pPr>
        <w:pStyle w:val="Heading3"/>
      </w:pPr>
      <w:r>
        <w:t xml:space="preserve">Die Rechtslage auf einen Blick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Einordnung (vereinfacht)</w:t>
            </w:r>
          </w:p>
        </w:tc>
      </w:tr>
      <w:tr>
        <w:tc>
          <w:tcPr/>
          <w:p>
            <w:pPr>
              <w:pStyle w:val="Compact"/>
              <w:jc w:val="left"/>
            </w:pPr>
            <w:r>
              <w:t xml:space="preserve">Zugelassenes Peptid auf Rezept aus der Apotheke</w:t>
            </w:r>
          </w:p>
        </w:tc>
        <w:tc>
          <w:tcPr/>
          <w:p>
            <w:pPr>
              <w:pStyle w:val="Compact"/>
              <w:jc w:val="left"/>
            </w:pPr>
            <w:r>
              <w:t xml:space="preserve">legal, ärztlich begleitet</w:t>
            </w:r>
          </w:p>
        </w:tc>
      </w:tr>
      <w:tr>
        <w:tc>
          <w:tcPr/>
          <w:p>
            <w:pPr>
              <w:pStyle w:val="Compact"/>
              <w:jc w:val="left"/>
            </w:pPr>
            <w:r>
              <w:t xml:space="preserve">Zugelassenes Peptid ohne Rezept aus dem Internet</w:t>
            </w:r>
          </w:p>
        </w:tc>
        <w:tc>
          <w:tcPr/>
          <w:p>
            <w:pPr>
              <w:pStyle w:val="Compact"/>
              <w:jc w:val="left"/>
            </w:pPr>
            <w:r>
              <w:t xml:space="preserve">in der Regel illegal, Fälschungsrisiko</w:t>
            </w:r>
          </w:p>
        </w:tc>
      </w:tr>
      <w:tr>
        <w:tc>
          <w:tcPr/>
          <w:p>
            <w:pPr>
              <w:pStyle w:val="Compact"/>
              <w:jc w:val="left"/>
            </w:pPr>
            <w:r>
              <w:t xml:space="preserve">Nicht zugelassenes Peptid als „Forschungschemikalie“</w:t>
            </w:r>
          </w:p>
        </w:tc>
        <w:tc>
          <w:tcPr/>
          <w:p>
            <w:pPr>
              <w:pStyle w:val="Compact"/>
              <w:jc w:val="left"/>
            </w:pPr>
            <w:r>
              <w:t xml:space="preserve">in der Regel nicht verkehrsfähiges Arzneimittel</w:t>
            </w:r>
          </w:p>
        </w:tc>
      </w:tr>
      <w:tr>
        <w:tc>
          <w:tcPr/>
          <w:p>
            <w:pPr>
              <w:pStyle w:val="Compact"/>
              <w:jc w:val="left"/>
            </w:pPr>
            <w:r>
              <w:t xml:space="preserve">Kollagenpeptide als Lebensmittel</w:t>
            </w:r>
          </w:p>
        </w:tc>
        <w:tc>
          <w:tcPr/>
          <w:p>
            <w:pPr>
              <w:pStyle w:val="Compact"/>
              <w:jc w:val="left"/>
            </w:pPr>
            <w:r>
              <w:t xml:space="preserve">legal, Werbeaussagen eingeschränkt</w:t>
            </w:r>
          </w:p>
        </w:tc>
      </w:tr>
      <w:tr>
        <w:tc>
          <w:tcPr/>
          <w:p>
            <w:pPr>
              <w:pStyle w:val="Compact"/>
              <w:jc w:val="left"/>
            </w:pPr>
            <w:r>
              <w:t xml:space="preserve">Peptid-Creme als Kosmetikum</w:t>
            </w:r>
          </w:p>
        </w:tc>
        <w:tc>
          <w:tcPr/>
          <w:p>
            <w:pPr>
              <w:pStyle w:val="Compact"/>
              <w:jc w:val="left"/>
            </w:pPr>
            <w:r>
              <w:t xml:space="preserve">legal, sofern sicher und nicht als Heilmittel beworben</w:t>
            </w:r>
          </w:p>
        </w:tc>
      </w:tr>
      <w:tr>
        <w:tc>
          <w:tcPr/>
          <w:p>
            <w:pPr>
              <w:pStyle w:val="Compact"/>
              <w:jc w:val="left"/>
            </w:pPr>
            <w:r>
              <w:t xml:space="preserve">Verbotenes Peptid im kontrollierten Sport</w:t>
            </w:r>
          </w:p>
        </w:tc>
        <w:tc>
          <w:tcPr/>
          <w:p>
            <w:pPr>
              <w:pStyle w:val="Compact"/>
              <w:jc w:val="left"/>
            </w:pPr>
            <w:r>
              <w:t xml:space="preserve">Dopingverstoß, teils strafbar</w:t>
            </w:r>
          </w:p>
        </w:tc>
      </w:tr>
    </w:tbl>
    <w:bookmarkEnd w:id="126"/>
    <w:bookmarkStart w:id="127" w:name="das-wichtigste-in-kürze-4"/>
    <w:p>
      <w:pPr>
        <w:pStyle w:val="Heading3"/>
      </w:pPr>
      <w:r>
        <w:t xml:space="preserve">Das Wichtigste in Kürze</w:t>
      </w:r>
    </w:p>
    <w:p>
      <w:pPr>
        <w:numPr>
          <w:ilvl w:val="0"/>
          <w:numId w:val="1035"/>
        </w:numPr>
        <w:pStyle w:val="Compact"/>
      </w:pPr>
      <w:r>
        <w:t xml:space="preserve">Ob ein Peptid Arzneimittel, Lebensmittel oder Kosmetikum ist, hängt von Wirkung, Zweckbestimmung und Aufmachung ab. Bei pharmakologischer Wirkung geht das Arzneimittelrecht vor.</w:t>
      </w:r>
    </w:p>
    <w:p>
      <w:pPr>
        <w:numPr>
          <w:ilvl w:val="0"/>
          <w:numId w:val="1035"/>
        </w:numPr>
        <w:pStyle w:val="Compact"/>
      </w:pPr>
      <w:r>
        <w:t xml:space="preserve">Arzneimittel brauchen eine Zulassung. Die meisten Peptid-Arzneimittel sind verschreibungspflichtig.</w:t>
      </w:r>
    </w:p>
    <w:p>
      <w:pPr>
        <w:numPr>
          <w:ilvl w:val="0"/>
          <w:numId w:val="1035"/>
        </w:numPr>
        <w:pStyle w:val="Compact"/>
      </w:pPr>
      <w:r>
        <w:t xml:space="preserve">Der Aufdruck „nur für Forschungszwecke“ macht den Verkauf an Privatpersonen nicht legal und schützt diese nicht.</w:t>
      </w:r>
    </w:p>
    <w:p>
      <w:pPr>
        <w:numPr>
          <w:ilvl w:val="0"/>
          <w:numId w:val="1035"/>
        </w:numPr>
        <w:pStyle w:val="Compact"/>
      </w:pPr>
      <w:r>
        <w:t xml:space="preserve">Viele Graumarkt-Peptide sind im Sport verboten, oft über die Abschnitte S0 und S2 der WADA-Liste.</w:t>
      </w:r>
    </w:p>
    <w:p>
      <w:pPr>
        <w:numPr>
          <w:ilvl w:val="0"/>
          <w:numId w:val="1035"/>
        </w:numPr>
        <w:pStyle w:val="Compact"/>
      </w:pPr>
      <w:r>
        <w:t xml:space="preserve">Bei Graumarkt-Produkten tragen Anwenderinnen und Anwender das Risiko weitgehend allein.</w:t>
      </w:r>
    </w:p>
    <w:p>
      <w:pPr>
        <w:pStyle w:val="FirstParagraph"/>
      </w:pPr>
      <w:r>
        <w:t xml:space="preserve">Alle Angaben in diesem Kapitel: Stand 2026, keine Rechtsberatung, bitte aktuell prüfen.</w:t>
      </w:r>
    </w:p>
    <w:bookmarkEnd w:id="127"/>
    <w:bookmarkEnd w:id="128"/>
    <w:bookmarkEnd w:id="129"/>
    <w:bookmarkStart w:id="338" w:name="teil-ii-a-stoffwechsel-und-gewicht"/>
    <w:p>
      <w:pPr>
        <w:pStyle w:val="Heading1"/>
      </w:pPr>
      <w:r>
        <w:t xml:space="preserve">Teil II · A – Stoffwechsel und Gewicht</w:t>
      </w:r>
    </w:p>
    <w:p>
      <w:pPr>
        <w:pStyle w:val="FirstParagraph"/>
      </w:pPr>
      <w:r>
        <w:t xml:space="preserve">Keine Gruppe von Peptiden hat die Medizin der letzten Jahre so verändert wie die Wirkstoffe dieses Abschnitts. Sie sind ursprünglich für Typ-2-Diabetes entwickelt worden, wurden dann zu den wirksamsten Abnehmmedikamenten, die es je gab, und werden inzwischen bei Herzschwäche, Schlafapnoe, Fettleber und Nierenerkrankungen untersucht. Gleichzeitig ist kaum ein Bereich so stark vom Graumarkt betroffen: Wirkstoffe, die noch in Studien stecken, werden im Internet als „Research Peptides“ verkauft.</w:t>
      </w:r>
    </w:p>
    <w:bookmarkStart w:id="130" w:name="Xc085878cc04128084abaff6a0e5d4046f2b1b43"/>
    <w:p>
      <w:pPr>
        <w:pStyle w:val="Heading3"/>
      </w:pPr>
      <w:r>
        <w:t xml:space="preserve">Was diese Wirkstoffe verbindet: Hormone aus Darm und Bauchspeicheldrüse</w:t>
      </w:r>
    </w:p>
    <w:p>
      <w:pPr>
        <w:pStyle w:val="FirstParagraph"/>
      </w:pPr>
      <w:r>
        <w:t xml:space="preserve">Fast alle Wirkstoffe dieser Gruppe ahmen Hormone nach, die der Körper rund um eine Mahlzeit ausschüttet. Vier davon sollten Sie kennen:</w:t>
      </w:r>
    </w:p>
    <w:p>
      <w:pPr>
        <w:numPr>
          <w:ilvl w:val="0"/>
          <w:numId w:val="1036"/>
        </w:numPr>
        <w:pStyle w:val="Compact"/>
      </w:pPr>
      <w:r>
        <w:rPr>
          <w:bCs/>
          <w:b/>
        </w:rPr>
        <w:t xml:space="preserve">GLP-1 (Glucagon-like Peptide-1)</w:t>
      </w:r>
      <w:r>
        <w:t xml:space="preserve"> </w:t>
      </w:r>
      <w:r>
        <w:t xml:space="preserve">wird von Zellen im Dünn- und Dickdarm freigesetzt, sobald Nahrung ankommt. Es verstärkt die Insulinausschüttung – aber nur, wenn der Blutzucker erhöht ist –, bremst die Magenentleerung und meldet dem Gehirn Sättigung. Körpereigenes GLP-1 wird innerhalb weniger Minuten abgebaut; die Medikamente sind so verändert, dass sie einen Tag bis eine Woche wirken.</w:t>
      </w:r>
    </w:p>
    <w:p>
      <w:pPr>
        <w:numPr>
          <w:ilvl w:val="0"/>
          <w:numId w:val="1036"/>
        </w:numPr>
        <w:pStyle w:val="Compact"/>
      </w:pPr>
      <w:r>
        <w:rPr>
          <w:bCs/>
          <w:b/>
        </w:rPr>
        <w:t xml:space="preserve">GIP (Glukose-abhängiges insulinotropes Polypeptid)</w:t>
      </w:r>
      <w:r>
        <w:t xml:space="preserve"> </w:t>
      </w:r>
      <w:r>
        <w:t xml:space="preserve">stammt aus dem oberen Dünndarm und verstärkt ebenfalls die Insulinausschüttung. Seine Rolle für Appetit und Körpergewicht ist widersprüchlich: Tirzepatid aktiviert den GIP-Rezeptor, Maridebart Cafraglutid blockiert ihn – und beide führen zu Gewichtsverlust.</w:t>
      </w:r>
    </w:p>
    <w:p>
      <w:pPr>
        <w:numPr>
          <w:ilvl w:val="0"/>
          <w:numId w:val="1036"/>
        </w:numPr>
        <w:pStyle w:val="Compact"/>
      </w:pPr>
      <w:r>
        <w:rPr>
          <w:bCs/>
          <w:b/>
        </w:rPr>
        <w:t xml:space="preserve">Glukagon</w:t>
      </w:r>
      <w:r>
        <w:t xml:space="preserve"> </w:t>
      </w:r>
      <w:r>
        <w:t xml:space="preserve">ist das Gegenspielerhormon des Insulins aus der Bauchspeicheldrüse. Es hebt den Blutzucker, steigert aber auch den Energieverbrauch und den Fettabbau in der Leber. Neuere Wirkstoffe nutzen gezielt diese zweite Seite.</w:t>
      </w:r>
    </w:p>
    <w:p>
      <w:pPr>
        <w:numPr>
          <w:ilvl w:val="0"/>
          <w:numId w:val="1036"/>
        </w:numPr>
        <w:pStyle w:val="Compact"/>
      </w:pPr>
      <w:r>
        <w:rPr>
          <w:bCs/>
          <w:b/>
        </w:rPr>
        <w:t xml:space="preserve">Amylin</w:t>
      </w:r>
      <w:r>
        <w:t xml:space="preserve"> </w:t>
      </w:r>
      <w:r>
        <w:t xml:space="preserve">wird zusammen mit Insulin aus den Betazellen der Bauchspeicheldrüse ausgeschüttet. Es wirkt im Hirnstamm sättigend und verlangsamt die Magenentleerung.</w:t>
      </w:r>
    </w:p>
    <w:p>
      <w:pPr>
        <w:pStyle w:val="FirstParagraph"/>
      </w:pPr>
      <w:r>
        <w:t xml:space="preserve">GLP-1 und GIP nennt man</w:t>
      </w:r>
      <w:r>
        <w:t xml:space="preserve"> </w:t>
      </w:r>
      <w:r>
        <w:rPr>
          <w:bCs/>
          <w:b/>
        </w:rPr>
        <w:t xml:space="preserve">Inkretine</w:t>
      </w:r>
      <w:r>
        <w:t xml:space="preserve"> </w:t>
      </w:r>
      <w:r>
        <w:t xml:space="preserve">(abgeleitet aus dem Englischen „INtestinal seCRETion of INsulin“, also vom Darm ausgelöste Insulinausschüttung): Sie erklären, warum Zucker, der gegessen wird, mehr Insulin freisetzt als dieselbe Menge Zucker direkt in die Vene. Die Entwicklung lässt sich als Stufenfolge lesen: erst reine GLP-1-Agonisten, dann Kombinationen mit GIP, Glukagon oder Amylin in einem Molekül, schließlich Tabletten, die gar keine Peptide mehr sind.</w:t>
      </w:r>
    </w:p>
    <w:p>
      <w:pPr>
        <w:pStyle w:val="BodyText"/>
      </w:pPr>
      <w:r>
        <w:t xml:space="preserve">Zwei Wirkstoffe dieser Gruppe passen nicht in dieses Schema:</w:t>
      </w:r>
      <w:r>
        <w:t xml:space="preserve"> </w:t>
      </w:r>
      <w:r>
        <w:rPr>
          <w:bCs/>
          <w:b/>
        </w:rPr>
        <w:t xml:space="preserve">Setmelanotid</w:t>
      </w:r>
      <w:r>
        <w:t xml:space="preserve"> </w:t>
      </w:r>
      <w:r>
        <w:t xml:space="preserve">greift tiefer im Gehirn an, am Melanocortin-4-Rezeptor, und ist nur für seltene genetische Formen der Adipositas gedacht.</w:t>
      </w:r>
      <w:r>
        <w:t xml:space="preserve"> </w:t>
      </w:r>
      <w:r>
        <w:rPr>
          <w:bCs/>
          <w:b/>
        </w:rPr>
        <w:t xml:space="preserve">AOD-9604</w:t>
      </w:r>
      <w:r>
        <w:t xml:space="preserve"> </w:t>
      </w:r>
      <w:r>
        <w:t xml:space="preserve">ist ein Bruchstück des Wachstumshormons, das als „Fatburner“ vermarktet wird, ohne dass veröffentlichte Humanstudien vorliegen.</w:t>
      </w:r>
    </w:p>
    <w:bookmarkEnd w:id="130"/>
    <w:bookmarkStart w:id="131" w:name="überblick"/>
    <w:p>
      <w:pPr>
        <w:pStyle w:val="Heading3"/>
      </w:pPr>
      <w:r>
        <w:t xml:space="preserve">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Exenatid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erster GLP-1-Agonist, aus Echsengift</w:t>
            </w:r>
          </w:p>
        </w:tc>
      </w:tr>
      <w:tr>
        <w:tc>
          <w:tcPr/>
          <w:p>
            <w:pPr>
              <w:pStyle w:val="Compact"/>
              <w:jc w:val="left"/>
            </w:pPr>
            <w:r>
              <w:t xml:space="preserve">Liraglutid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tägliche Spritze, Generika</w:t>
            </w:r>
          </w:p>
        </w:tc>
      </w:tr>
      <w:tr>
        <w:tc>
          <w:tcPr/>
          <w:p>
            <w:pPr>
              <w:pStyle w:val="Compact"/>
              <w:jc w:val="left"/>
            </w:pPr>
            <w:r>
              <w:t xml:space="preserve">Dulaglutid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wöchentlich, Antikörper-Fusion</w:t>
            </w:r>
          </w:p>
        </w:tc>
      </w:tr>
      <w:tr>
        <w:tc>
          <w:tcPr/>
          <w:p>
            <w:pPr>
              <w:pStyle w:val="Compact"/>
              <w:jc w:val="left"/>
            </w:pPr>
            <w:r>
              <w:t xml:space="preserve">Semaglutid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Spritze und Tablette, Herzschutz belegt</w:t>
            </w:r>
          </w:p>
        </w:tc>
      </w:tr>
      <w:tr>
        <w:tc>
          <w:tcPr/>
          <w:p>
            <w:pPr>
              <w:pStyle w:val="Compact"/>
              <w:jc w:val="left"/>
            </w:pPr>
            <w:r>
              <w:t xml:space="preserve">Tirzepatid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GIP plus GLP-1, Maßstab 2026</w:t>
            </w:r>
          </w:p>
        </w:tc>
      </w:tr>
      <w:tr>
        <w:tc>
          <w:tcPr/>
          <w:p>
            <w:pPr>
              <w:pStyle w:val="Compact"/>
              <w:jc w:val="left"/>
            </w:pPr>
            <w:r>
              <w:t xml:space="preserve">Retatrutid</w:t>
            </w:r>
          </w:p>
        </w:tc>
        <w:tc>
          <w:tcPr/>
          <w:p>
            <w:pPr>
              <w:pStyle w:val="Compact"/>
              <w:jc w:val="left"/>
            </w:pPr>
            <w:r>
              <w:t xml:space="preserve">B</w:t>
            </w:r>
          </w:p>
        </w:tc>
        <w:tc>
          <w:tcPr/>
          <w:p>
            <w:pPr>
              <w:pStyle w:val="Compact"/>
              <w:jc w:val="left"/>
            </w:pPr>
            <w:r>
              <w:t xml:space="preserve">nein</w:t>
            </w:r>
          </w:p>
        </w:tc>
        <w:tc>
          <w:tcPr/>
          <w:p>
            <w:pPr>
              <w:pStyle w:val="Compact"/>
              <w:jc w:val="left"/>
            </w:pPr>
            <w:r>
              <w:t xml:space="preserve">GIP, GLP-1 und Glukagon</w:t>
            </w:r>
          </w:p>
        </w:tc>
      </w:tr>
      <w:tr>
        <w:tc>
          <w:tcPr/>
          <w:p>
            <w:pPr>
              <w:pStyle w:val="Compact"/>
              <w:jc w:val="left"/>
            </w:pPr>
            <w:r>
              <w:t xml:space="preserve">Survodutid</w:t>
            </w:r>
          </w:p>
        </w:tc>
        <w:tc>
          <w:tcPr/>
          <w:p>
            <w:pPr>
              <w:pStyle w:val="Compact"/>
              <w:jc w:val="left"/>
            </w:pPr>
            <w:r>
              <w:t xml:space="preserve">B</w:t>
            </w:r>
          </w:p>
        </w:tc>
        <w:tc>
          <w:tcPr/>
          <w:p>
            <w:pPr>
              <w:pStyle w:val="Compact"/>
              <w:jc w:val="left"/>
            </w:pPr>
            <w:r>
              <w:t xml:space="preserve">nein</w:t>
            </w:r>
          </w:p>
        </w:tc>
        <w:tc>
          <w:tcPr/>
          <w:p>
            <w:pPr>
              <w:pStyle w:val="Compact"/>
              <w:jc w:val="left"/>
            </w:pPr>
            <w:r>
              <w:t xml:space="preserve">Glukagon plus GLP-1, Fokus Leber</w:t>
            </w:r>
          </w:p>
        </w:tc>
      </w:tr>
      <w:tr>
        <w:tc>
          <w:tcPr/>
          <w:p>
            <w:pPr>
              <w:pStyle w:val="Compact"/>
              <w:jc w:val="left"/>
            </w:pPr>
            <w:r>
              <w:t xml:space="preserve">Mazdutid</w:t>
            </w:r>
          </w:p>
        </w:tc>
        <w:tc>
          <w:tcPr/>
          <w:p>
            <w:pPr>
              <w:pStyle w:val="Compact"/>
              <w:jc w:val="left"/>
            </w:pPr>
            <w:r>
              <w:t xml:space="preserve">A</w:t>
            </w:r>
          </w:p>
        </w:tc>
        <w:tc>
          <w:tcPr/>
          <w:p>
            <w:pPr>
              <w:pStyle w:val="Compact"/>
              <w:jc w:val="left"/>
            </w:pPr>
            <w:r>
              <w:t xml:space="preserve">nur China</w:t>
            </w:r>
          </w:p>
        </w:tc>
        <w:tc>
          <w:tcPr/>
          <w:p>
            <w:pPr>
              <w:pStyle w:val="Compact"/>
              <w:jc w:val="left"/>
            </w:pPr>
            <w:r>
              <w:t xml:space="preserve">Glukagon plus GLP-1</w:t>
            </w:r>
          </w:p>
        </w:tc>
      </w:tr>
      <w:tr>
        <w:tc>
          <w:tcPr/>
          <w:p>
            <w:pPr>
              <w:pStyle w:val="Compact"/>
              <w:jc w:val="left"/>
            </w:pPr>
            <w:r>
              <w:t xml:space="preserve">Cagrilintid / CagriSema</w:t>
            </w:r>
          </w:p>
        </w:tc>
        <w:tc>
          <w:tcPr/>
          <w:p>
            <w:pPr>
              <w:pStyle w:val="Compact"/>
              <w:jc w:val="left"/>
            </w:pPr>
            <w:r>
              <w:t xml:space="preserve">B</w:t>
            </w:r>
          </w:p>
        </w:tc>
        <w:tc>
          <w:tcPr/>
          <w:p>
            <w:pPr>
              <w:pStyle w:val="Compact"/>
              <w:jc w:val="left"/>
            </w:pPr>
            <w:r>
              <w:t xml:space="preserve">nein</w:t>
            </w:r>
          </w:p>
        </w:tc>
        <w:tc>
          <w:tcPr/>
          <w:p>
            <w:pPr>
              <w:pStyle w:val="Compact"/>
              <w:jc w:val="left"/>
            </w:pPr>
            <w:r>
              <w:t xml:space="preserve">Amylin, mit Semaglutid kombiniert</w:t>
            </w:r>
          </w:p>
        </w:tc>
      </w:tr>
      <w:tr>
        <w:tc>
          <w:tcPr/>
          <w:p>
            <w:pPr>
              <w:pStyle w:val="Compact"/>
              <w:jc w:val="left"/>
            </w:pPr>
            <w:r>
              <w:t xml:space="preserve">Amycretin (Zenagamtid)</w:t>
            </w:r>
          </w:p>
        </w:tc>
        <w:tc>
          <w:tcPr/>
          <w:p>
            <w:pPr>
              <w:pStyle w:val="Compact"/>
              <w:jc w:val="left"/>
            </w:pPr>
            <w:r>
              <w:t xml:space="preserve">B</w:t>
            </w:r>
          </w:p>
        </w:tc>
        <w:tc>
          <w:tcPr/>
          <w:p>
            <w:pPr>
              <w:pStyle w:val="Compact"/>
              <w:jc w:val="left"/>
            </w:pPr>
            <w:r>
              <w:t xml:space="preserve">nein</w:t>
            </w:r>
          </w:p>
        </w:tc>
        <w:tc>
          <w:tcPr/>
          <w:p>
            <w:pPr>
              <w:pStyle w:val="Compact"/>
              <w:jc w:val="left"/>
            </w:pPr>
            <w:r>
              <w:t xml:space="preserve">Amylin und GLP-1 in einem Molekül</w:t>
            </w:r>
          </w:p>
        </w:tc>
      </w:tr>
      <w:tr>
        <w:tc>
          <w:tcPr/>
          <w:p>
            <w:pPr>
              <w:pStyle w:val="Compact"/>
              <w:jc w:val="left"/>
            </w:pPr>
            <w:r>
              <w:t xml:space="preserve">Maridebart Cafraglutid</w:t>
            </w:r>
          </w:p>
        </w:tc>
        <w:tc>
          <w:tcPr/>
          <w:p>
            <w:pPr>
              <w:pStyle w:val="Compact"/>
              <w:jc w:val="left"/>
            </w:pPr>
            <w:r>
              <w:t xml:space="preserve">B</w:t>
            </w:r>
          </w:p>
        </w:tc>
        <w:tc>
          <w:tcPr/>
          <w:p>
            <w:pPr>
              <w:pStyle w:val="Compact"/>
              <w:jc w:val="left"/>
            </w:pPr>
            <w:r>
              <w:t xml:space="preserve">nein</w:t>
            </w:r>
          </w:p>
        </w:tc>
        <w:tc>
          <w:tcPr/>
          <w:p>
            <w:pPr>
              <w:pStyle w:val="Compact"/>
              <w:jc w:val="left"/>
            </w:pPr>
            <w:r>
              <w:t xml:space="preserve">GIP-Blocker, monatliche Gabe</w:t>
            </w:r>
          </w:p>
        </w:tc>
      </w:tr>
      <w:tr>
        <w:tc>
          <w:tcPr/>
          <w:p>
            <w:pPr>
              <w:pStyle w:val="Compact"/>
              <w:jc w:val="left"/>
            </w:pPr>
            <w:r>
              <w:t xml:space="preserve">Pramlintid</w:t>
            </w:r>
          </w:p>
        </w:tc>
        <w:tc>
          <w:tcPr/>
          <w:p>
            <w:pPr>
              <w:pStyle w:val="Compact"/>
              <w:jc w:val="left"/>
            </w:pPr>
            <w:r>
              <w:t xml:space="preserve">A</w:t>
            </w:r>
          </w:p>
        </w:tc>
        <w:tc>
          <w:tcPr/>
          <w:p>
            <w:pPr>
              <w:pStyle w:val="Compact"/>
              <w:jc w:val="left"/>
            </w:pPr>
            <w:r>
              <w:t xml:space="preserve">nur USA</w:t>
            </w:r>
          </w:p>
        </w:tc>
        <w:tc>
          <w:tcPr/>
          <w:p>
            <w:pPr>
              <w:pStyle w:val="Compact"/>
              <w:jc w:val="left"/>
            </w:pPr>
            <w:r>
              <w:t xml:space="preserve">erstes Amylin-Medikament</w:t>
            </w:r>
          </w:p>
        </w:tc>
      </w:tr>
      <w:tr>
        <w:tc>
          <w:tcPr/>
          <w:p>
            <w:pPr>
              <w:pStyle w:val="Compact"/>
              <w:jc w:val="left"/>
            </w:pPr>
            <w:r>
              <w:t xml:space="preserve">Setmelanotid</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seltene genetische Adipositas</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nein</w:t>
            </w:r>
          </w:p>
        </w:tc>
        <w:tc>
          <w:tcPr/>
          <w:p>
            <w:pPr>
              <w:pStyle w:val="Compact"/>
              <w:jc w:val="left"/>
            </w:pPr>
            <w:r>
              <w:t xml:space="preserve">Wachstumshormon-Fragment, Graumarkt</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offen</w:t>
            </w:r>
          </w:p>
        </w:tc>
        <w:tc>
          <w:tcPr/>
          <w:p>
            <w:pPr>
              <w:pStyle w:val="Compact"/>
              <w:jc w:val="left"/>
            </w:pPr>
            <w:r>
              <w:t xml:space="preserve">kein Peptid, Tablette (Vergleich)</w:t>
            </w:r>
          </w:p>
        </w:tc>
      </w:tr>
    </w:tbl>
    <w:p>
      <w:pPr>
        <w:pStyle w:val="BodyText"/>
      </w:pPr>
      <w:r>
        <w:t xml:space="preserve">Die Evidenzstufen sind in Teil I erklärt. Zulassungsangaben beziehen sich auf den Stand Oktober 2026 und auf mindestens ein Anwendungsgebiet; Einzelheiten stehen im jeweiligen Kapitel. Bitte prüfen Sie den aktuellen Stand, denn gerade in dieser Gruppe ändern sich Zulassungen schnell.</w:t>
      </w:r>
    </w:p>
    <w:bookmarkEnd w:id="131"/>
    <w:bookmarkStart w:id="132" w:name="lesehinweis"/>
    <w:p>
      <w:pPr>
        <w:pStyle w:val="Heading3"/>
      </w:pPr>
      <w:r>
        <w:t xml:space="preserve">Lesehinweis</w:t>
      </w:r>
    </w:p>
    <w:p>
      <w:pPr>
        <w:pStyle w:val="FirstParagraph"/>
      </w:pPr>
      <w:r>
        <w:t xml:space="preserve">Die Kapitel folgen grob der historischen Entwicklung: von den etablierten GLP-1-Agonisten (Exenatid bis Semaglutid) über die Kombinationswirkstoffe (Tirzepatid bis Maridebart Cafraglutid) zu den Sonderfällen (Pramlintid, Setmelanotid, AOD-9604) und schließlich zu Orforglipron, das als Nicht-Peptid zum Vergleich aufgenommen ist.</w:t>
      </w:r>
    </w:p>
    <w:p>
      <w:pPr>
        <w:pStyle w:val="BodyText"/>
      </w:pPr>
      <w:r>
        <w:t xml:space="preserve">Wer sich einen schnellen Überblick verschaffen will, beginnt mit Semaglutid und Tirzepatid – an ihnen werden alle anderen gemessen. Die direkten Vergleiche von Gewichtsverlust, Blutzuckersenkung, Herz-Kreislauf-Ergebnissen und Nebenwirkungen über alle Wirkstoffe hinweg finden Sie in Teil III. Klassenrisiken wie Gallenblasen- und Bauchspeicheldrüsenprobleme, Muskelverlust und Fragen zur Schilddrüse behandelt Teil IV ausführlich.</w:t>
      </w:r>
    </w:p>
    <w:p>
      <w:pPr>
        <w:pStyle w:val="BodyText"/>
      </w:pPr>
      <w:r>
        <w:t xml:space="preserve">Zwei Grundsätze gelten für die ganze Gruppe: Erstens beschreiben die Kapitel Studienergebnisse, keine Behandlungsanleitungen – für zugelassene Medikamente sind Fachinformation und ärztliche Begleitung maßgeblich. Zweitens kehrt bei fast allen Wirkstoffen ein Großteil des verlorenen Gewichts zurück, wenn die Behandlung endet. Diese Medikamente wirken, solange sie genommen werden; sie sind keine Kur.</w:t>
      </w:r>
    </w:p>
    <w:bookmarkEnd w:id="132"/>
    <w:bookmarkStart w:id="148" w:name="exenatid"/>
    <w:p>
      <w:pPr>
        <w:pStyle w:val="Heading2"/>
      </w:pPr>
      <w:r>
        <w:t xml:space="preserve">Exenatid</w:t>
      </w:r>
    </w:p>
    <w:bookmarkStart w:id="133" w:name="steckbrief"/>
    <w:p>
      <w:pPr>
        <w:pStyle w:val="Heading3"/>
      </w:pPr>
      <w:r>
        <w:t xml:space="preserve">Steckbrief</w:t>
      </w:r>
    </w:p>
    <w:p>
      <w:pPr>
        <w:numPr>
          <w:ilvl w:val="0"/>
          <w:numId w:val="1037"/>
        </w:numPr>
        <w:pStyle w:val="Compact"/>
      </w:pPr>
      <w:r>
        <w:rPr>
          <w:bCs/>
          <w:b/>
        </w:rPr>
        <w:t xml:space="preserve">Art/Struktur:</w:t>
      </w:r>
      <w:r>
        <w:t xml:space="preserve"> </w:t>
      </w:r>
      <w:r>
        <w:t xml:space="preserve">Peptid aus 39 Aminosäuren, synthetisch hergestellte Form von Exendin-4. Etwa die Hälfte der Sequenz stimmt mit dem menschlichen Darmhormon GLP-1 überein.</w:t>
      </w:r>
    </w:p>
    <w:p>
      <w:pPr>
        <w:numPr>
          <w:ilvl w:val="0"/>
          <w:numId w:val="1037"/>
        </w:numPr>
        <w:pStyle w:val="Compact"/>
      </w:pPr>
      <w:r>
        <w:rPr>
          <w:bCs/>
          <w:b/>
        </w:rPr>
        <w:t xml:space="preserve">Herkunft:</w:t>
      </w:r>
      <w:r>
        <w:t xml:space="preserve"> </w:t>
      </w:r>
      <w:r>
        <w:t xml:space="preserve">Exendin-4 wurde 1992 aus dem Gift der Gila-Krustenechse (</w:t>
      </w:r>
      <w:r>
        <w:rPr>
          <w:iCs/>
          <w:i/>
        </w:rPr>
        <w:t xml:space="preserve">Heloderma suspectum</w:t>
      </w:r>
      <w:r>
        <w:t xml:space="preserve">) isoliert (Eng 1992, PMID 1313797).</w:t>
      </w:r>
    </w:p>
    <w:p>
      <w:pPr>
        <w:numPr>
          <w:ilvl w:val="0"/>
          <w:numId w:val="1037"/>
        </w:numPr>
        <w:pStyle w:val="Compact"/>
      </w:pPr>
      <w:r>
        <w:rPr>
          <w:bCs/>
          <w:b/>
        </w:rPr>
        <w:t xml:space="preserve">Wirkprinzip:</w:t>
      </w:r>
      <w:r>
        <w:t xml:space="preserve"> </w:t>
      </w:r>
      <w:r>
        <w:t xml:space="preserve">GLP-1-Rezeptor-Agonist. Exenatid ahmt das Sättigungs- und Inkretinhormon GLP-1 nach, wird aber deutlich langsamer abgebaut.</w:t>
      </w:r>
    </w:p>
    <w:p>
      <w:pPr>
        <w:numPr>
          <w:ilvl w:val="0"/>
          <w:numId w:val="1037"/>
        </w:numPr>
        <w:pStyle w:val="Compact"/>
      </w:pPr>
      <w:r>
        <w:rPr>
          <w:bCs/>
          <w:b/>
        </w:rPr>
        <w:t xml:space="preserve">Darreichungsformen:</w:t>
      </w:r>
      <w:r>
        <w:t xml:space="preserve"> </w:t>
      </w:r>
      <w:r>
        <w:t xml:space="preserve">zweimal täglich (Byetta) und einmal wöchentlich als Depot mit Mikrokügelchen (Bydureon, später als Fertigpen bzw. Autoinjektor). In Studien zusätzlich: Pumpenimplantat (ITCA 650) und pegylierte Varianten (PB-119, NLY01).</w:t>
      </w:r>
    </w:p>
    <w:p>
      <w:pPr>
        <w:numPr>
          <w:ilvl w:val="0"/>
          <w:numId w:val="1037"/>
        </w:numPr>
        <w:pStyle w:val="Compact"/>
      </w:pPr>
      <w:r>
        <w:rPr>
          <w:bCs/>
          <w:b/>
        </w:rPr>
        <w:t xml:space="preserve">Zulassung EU:</w:t>
      </w:r>
      <w:r>
        <w:t xml:space="preserve"> </w:t>
      </w:r>
      <w:r>
        <w:t xml:space="preserve">ja, zur Behandlung des Typ-2-Diabetes (Byetta, Bydureon). Keine Zulassung zur Gewichtsreduktion.</w:t>
      </w:r>
    </w:p>
    <w:p>
      <w:pPr>
        <w:numPr>
          <w:ilvl w:val="0"/>
          <w:numId w:val="1037"/>
        </w:numPr>
        <w:pStyle w:val="Compact"/>
      </w:pPr>
      <w:r>
        <w:rPr>
          <w:bCs/>
          <w:b/>
        </w:rPr>
        <w:t xml:space="preserve">Zulassung USA:</w:t>
      </w:r>
      <w:r>
        <w:t xml:space="preserve"> </w:t>
      </w:r>
      <w:r>
        <w:t xml:space="preserve">ja, Typ-2-Diabetes (Byetta 2005 als erster GLP-1-Rezeptor-Agonist überhaupt, Bydureon/Bydureon BCise), die Wochenform auch für Jugendliche ab 10 Jahren. Inzwischen gibt es dort auch Nachahmerpräparate der Zweimal-täglich-Form. Verfügbarkeit einzelner Präparate schwankt – bitte aktuell prüfen.</w:t>
      </w:r>
    </w:p>
    <w:p>
      <w:pPr>
        <w:numPr>
          <w:ilvl w:val="0"/>
          <w:numId w:val="1037"/>
        </w:numPr>
        <w:pStyle w:val="Compact"/>
      </w:pPr>
      <w:r>
        <w:rPr>
          <w:bCs/>
          <w:b/>
        </w:rPr>
        <w:t xml:space="preserve">WADA:</w:t>
      </w:r>
      <w:r>
        <w:t xml:space="preserve"> </w:t>
      </w:r>
      <w:r>
        <w:t xml:space="preserve">nicht gelistet (Stand 2026, bitte aktuell prüfen).</w:t>
      </w:r>
    </w:p>
    <w:p>
      <w:pPr>
        <w:numPr>
          <w:ilvl w:val="0"/>
          <w:numId w:val="1037"/>
        </w:numPr>
        <w:pStyle w:val="Compact"/>
      </w:pPr>
      <w:r>
        <w:rPr>
          <w:bCs/>
          <w:b/>
        </w:rPr>
        <w:t xml:space="preserve">Evidenzstufe:</w:t>
      </w:r>
      <w:r>
        <w:t xml:space="preserve"> </w:t>
      </w:r>
      <w:r>
        <w:rPr>
          <w:bCs/>
          <w:b/>
        </w:rPr>
        <w:t xml:space="preserve">A</w:t>
      </w:r>
      <w:r>
        <w:t xml:space="preserve"> </w:t>
      </w:r>
      <w:r>
        <w:t xml:space="preserve">– zahlreiche große randomisierte Studien, eine große kardiovaskuläre Endpunktstudie, Zulassung seit 2005.</w:t>
      </w:r>
    </w:p>
    <w:bookmarkEnd w:id="133"/>
    <w:bookmarkStart w:id="134" w:name="wie-es-wirken-soll"/>
    <w:p>
      <w:pPr>
        <w:pStyle w:val="Heading3"/>
      </w:pPr>
      <w:r>
        <w:t xml:space="preserve">Wie es wirken soll</w:t>
      </w:r>
    </w:p>
    <w:p>
      <w:pPr>
        <w:pStyle w:val="FirstParagraph"/>
      </w:pPr>
      <w:r>
        <w:t xml:space="preserve">Nach einer Mahlzeit schüttet der Darm das Hormon GLP-1 (Glucagon-like Peptide-1) aus. Es signalisiert der Bauchspeicheldrüse, mehr Insulin freizusetzen – aber nur, solange der Blutzucker erhöht ist. Gleichzeitig bremst es das Hormon Glukagon, das den Blutzucker anhebt, verlangsamt die Magenentleerung und wirkt im Gehirn auf Zentren, die Hunger und Sättigung steuern. Weil die Insulinfreisetzung zuckerabhängig ist, verursachen GLP-1-Rezeptor-Agonisten allein selten Unterzuckerungen.</w:t>
      </w:r>
    </w:p>
    <w:p>
      <w:pPr>
        <w:pStyle w:val="BodyText"/>
      </w:pPr>
      <w:r>
        <w:t xml:space="preserve">Das körpereigene GLP-1 hat jedoch einen entscheidenden Nachteil: Das Enzym DPP-4 zerlegt es innerhalb von etwa zwei Minuten. Als Medikament ist es daher unbrauchbar. Exendin-4 aus dem Echsengift bindet ebenfalls an den GLP-1-Rezeptor, ist aber gegen DPP-4 weitgehend unempfindlich. Diese zufällige Entdeckung machte Exenatid zum ersten Vertreter einer Wirkstoffklasse, die zwei Jahrzehnte später mit Semaglutid und Tirzepatid die Medizin verändern sollte.</w:t>
      </w:r>
    </w:p>
    <w:p>
      <w:pPr>
        <w:pStyle w:val="BodyText"/>
      </w:pPr>
      <w:r>
        <w:t xml:space="preserve">Die ursprüngliche Form wirkt nur einige Stunden und muss deshalb zweimal täglich vor den Hauptmahlzeiten gespritzt werden. Sie senkt vor allem den Blutzuckeranstieg nach dem Essen, unter anderem weil sie die Magenentleerung deutlich verlangsamt. Die Wochenform verpackt denselben Wirkstoff in abbaubare Kunststoff-Mikrokügelchen (PLGA), aus denen er langsam freigesetzt wird. Dadurch bleibt der Spiegel konstanter; der Effekt auf den Nüchternzucker wird stärker, der auf die Magenentleerung schwächt sich mit der Zeit etwas ab.</w:t>
      </w:r>
    </w:p>
    <w:p>
      <w:pPr>
        <w:pStyle w:val="BodyText"/>
      </w:pPr>
      <w:r>
        <w:t xml:space="preserve">Ein wichtiger Unterschied zu den späteren Wirkstoffen: Exenatid ist dem menschlichen GLP-1 nur zu etwa der Hälfte ähnlich. Das Immunsystem erkennt es daher häufiger als fremd und bildet Antikörper. Bei den meisten Behandelten bleibt das ohne Folgen; bei einem kleinen Teil mit hohen Antikörperspiegeln kann die Wirkung nachlassen.</w:t>
      </w:r>
    </w:p>
    <w:bookmarkEnd w:id="134"/>
    <w:bookmarkStart w:id="142" w:name="studien-am-menschen"/>
    <w:p>
      <w:pPr>
        <w:pStyle w:val="Heading3"/>
      </w:pPr>
      <w:r>
        <w:t xml:space="preserve">Studien am Menschen</w:t>
      </w:r>
    </w:p>
    <w:p>
      <w:pPr>
        <w:pStyle w:val="FirstParagraph"/>
      </w:pPr>
      <w:r>
        <w:t xml:space="preserve">Die Studienlage zu Exenatid ist umfangreich. Die für dieses Buch ausgewertete PubMed-Abfrage (Suchbegriff „exenatide“ in Titel oder Abstract, Abfragedatum Oktober 2026) ergab 437 Humanstudien; auf ClinicalTrials.gov sind 379 Registereinträge mit Exenatid verzeichnet. Viele davon sind kleine Mechanismus- oder Kombinationsstudien. Für die Bewertung tragen vor allem drei Gruppen: die Zulassungsprogramme AMIGO (Zweimal-täglich-Form) und DURATION (Wochenform), die kardiovaskuläre Endpunktstudie EXSCEL und eine Reihe von Studien jenseits des Diabetes, insbesondere zur Parkinson-Krankheit.</w:t>
      </w:r>
    </w:p>
    <w:bookmarkStart w:id="135" w:name="die-amigo-studien-der-start-der-klasse"/>
    <w:p>
      <w:pPr>
        <w:pStyle w:val="Heading4"/>
      </w:pPr>
      <w:r>
        <w:t xml:space="preserve">Die AMIGO-Studien: der Start der Klasse</w:t>
      </w:r>
    </w:p>
    <w:p>
      <w:pPr>
        <w:pStyle w:val="FirstParagraph"/>
      </w:pPr>
      <w:r>
        <w:t xml:space="preserve">Drei placebokontrollierte Studien über je 30 Wochen bildeten die Grundlage der ersten Zulassung. Sie prüften Exenatid zweimal täglich (5 oder 10 Mikrogramm pro Gabe) als Zusatz zu bestehenden Tabletten.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 (10-µg-Arm vs. Placebo)</w:t>
            </w:r>
          </w:p>
        </w:tc>
      </w:tr>
      <w:tr>
        <w:tc>
          <w:tcPr/>
          <w:p>
            <w:pPr>
              <w:pStyle w:val="Compact"/>
              <w:jc w:val="left"/>
            </w:pPr>
            <w:r>
              <w:t xml:space="preserve">Buse 2004, PMID 15504997</w:t>
            </w:r>
          </w:p>
        </w:tc>
        <w:tc>
          <w:tcPr/>
          <w:p>
            <w:pPr>
              <w:pStyle w:val="Compact"/>
              <w:jc w:val="left"/>
            </w:pPr>
            <w:r>
              <w:t xml:space="preserve">Typ-2-Diabetes unter Sulfonylharnstoff, RCT gegen Placebo</w:t>
            </w:r>
          </w:p>
        </w:tc>
        <w:tc>
          <w:tcPr/>
          <w:p>
            <w:pPr>
              <w:pStyle w:val="Compact"/>
              <w:jc w:val="left"/>
            </w:pPr>
            <w:r>
              <w:t xml:space="preserve">30 Wochen</w:t>
            </w:r>
          </w:p>
        </w:tc>
        <w:tc>
          <w:tcPr/>
          <w:p>
            <w:pPr>
              <w:pStyle w:val="Compact"/>
              <w:jc w:val="left"/>
            </w:pPr>
            <w:r>
              <w:t xml:space="preserve">HbA1c −0,86 vs. +0,12 Prozentpunkte; Gewicht −1,6 kg</w:t>
            </w:r>
          </w:p>
        </w:tc>
      </w:tr>
      <w:tr>
        <w:tc>
          <w:tcPr/>
          <w:p>
            <w:pPr>
              <w:pStyle w:val="Compact"/>
              <w:jc w:val="left"/>
            </w:pPr>
            <w:r>
              <w:t xml:space="preserve">DeFronzo 2005, PMID 15855572</w:t>
            </w:r>
          </w:p>
        </w:tc>
        <w:tc>
          <w:tcPr/>
          <w:p>
            <w:pPr>
              <w:pStyle w:val="Compact"/>
              <w:jc w:val="left"/>
            </w:pPr>
            <w:r>
              <w:t xml:space="preserve">Typ-2-Diabetes unter Metformin, RCT gegen Placebo</w:t>
            </w:r>
          </w:p>
        </w:tc>
        <w:tc>
          <w:tcPr/>
          <w:p>
            <w:pPr>
              <w:pStyle w:val="Compact"/>
              <w:jc w:val="left"/>
            </w:pPr>
            <w:r>
              <w:t xml:space="preserve">30 Wochen</w:t>
            </w:r>
          </w:p>
        </w:tc>
        <w:tc>
          <w:tcPr/>
          <w:p>
            <w:pPr>
              <w:pStyle w:val="Compact"/>
              <w:jc w:val="left"/>
            </w:pPr>
            <w:r>
              <w:t xml:space="preserve">HbA1c −0,78 vs. +0,08; Gewicht −2,8 kg; 46 % vs. 13 % erreichten HbA1c ≤ 7 %</w:t>
            </w:r>
          </w:p>
        </w:tc>
      </w:tr>
      <w:tr>
        <w:tc>
          <w:tcPr/>
          <w:p>
            <w:pPr>
              <w:pStyle w:val="Compact"/>
              <w:jc w:val="left"/>
            </w:pPr>
            <w:r>
              <w:t xml:space="preserve">Kendall 2005, PMID 15855571</w:t>
            </w:r>
          </w:p>
        </w:tc>
        <w:tc>
          <w:tcPr/>
          <w:p>
            <w:pPr>
              <w:pStyle w:val="Compact"/>
              <w:jc w:val="left"/>
            </w:pPr>
            <w:r>
              <w:t xml:space="preserve">Typ-2-Diabetes unter Metformin plus Sulfonylharnstoff, RCT</w:t>
            </w:r>
          </w:p>
        </w:tc>
        <w:tc>
          <w:tcPr/>
          <w:p>
            <w:pPr>
              <w:pStyle w:val="Compact"/>
              <w:jc w:val="left"/>
            </w:pPr>
            <w:r>
              <w:t xml:space="preserve">30 Wochen</w:t>
            </w:r>
          </w:p>
        </w:tc>
        <w:tc>
          <w:tcPr/>
          <w:p>
            <w:pPr>
              <w:pStyle w:val="Compact"/>
              <w:jc w:val="left"/>
            </w:pPr>
            <w:r>
              <w:t xml:space="preserve">HbA1c −0,8 vs. +0,2; leichte Unterzuckerungen 28 % vs. 13 %</w:t>
            </w:r>
          </w:p>
        </w:tc>
      </w:tr>
      <w:tr>
        <w:tc>
          <w:tcPr/>
          <w:p>
            <w:pPr>
              <w:pStyle w:val="Compact"/>
              <w:jc w:val="left"/>
            </w:pPr>
            <w:r>
              <w:t xml:space="preserve">Heine 2005, PMID 16230722</w:t>
            </w:r>
          </w:p>
        </w:tc>
        <w:tc>
          <w:tcPr/>
          <w:p>
            <w:pPr>
              <w:pStyle w:val="Compact"/>
              <w:jc w:val="left"/>
            </w:pPr>
            <w:r>
              <w:t xml:space="preserve">551 Personen, offener Vergleich mit Insulin glargin</w:t>
            </w:r>
          </w:p>
        </w:tc>
        <w:tc>
          <w:tcPr/>
          <w:p>
            <w:pPr>
              <w:pStyle w:val="Compact"/>
              <w:jc w:val="left"/>
            </w:pPr>
            <w:r>
              <w:t xml:space="preserve">26 Wochen</w:t>
            </w:r>
          </w:p>
        </w:tc>
        <w:tc>
          <w:tcPr/>
          <w:p>
            <w:pPr>
              <w:pStyle w:val="Compact"/>
              <w:jc w:val="left"/>
            </w:pPr>
            <w:r>
              <w:t xml:space="preserve">HbA1c jeweils −1,11; Gewicht −2,3 kg vs. +1,8 kg</w:t>
            </w:r>
          </w:p>
        </w:tc>
      </w:tr>
    </w:tbl>
    <w:p>
      <w:pPr>
        <w:pStyle w:val="BodyText"/>
      </w:pPr>
      <w:r>
        <w:t xml:space="preserve">Der HbA1c-Wert (Langzeitzucker) beschreibt den Anteil des „verzuckerten“ roten Blutfarbstoffs und spiegelt den Blutzucker der letzten zwei bis drei Monate wider. Eine Senkung um 0,8 bis 1 Prozentpunkt galt damals als klinisch bedeutsam. Neu war, dass das Gewicht nicht anstieg, wie bei Insulin oder Sulfonylharnstoffen üblich, sondern sank. Die Studie von Kendall zeigt aber auch: In Kombination mit einem Sulfonylharnstoff, der unabhängig vom Blutzucker Insulin freisetzt, nahmen leichte Unterzuckerungen zu.</w:t>
      </w:r>
    </w:p>
    <w:p>
      <w:pPr>
        <w:pStyle w:val="BodyText"/>
      </w:pPr>
      <w:r>
        <w:t xml:space="preserve">Im direkten Vergleich mit Insulin glargin (Heine 2005, PMID 16230722) senkten beide Behandlungen den HbA1c gleich stark. Die Gewichtsdifferenz betrug 4,1 kg zugunsten von Exenatid, nächtliche Unterzuckerungen waren seltener (0,9 vs. 2,4 Ereignisse pro Patientenjahr). Der Preis: Übelkeit trat bei 57,1 % gegenüber 8,6 % auf, Erbrechen bei 17,4 % gegenüber 3,7 %. 19,4 % der Exenatid-Gruppe brachen die Studie ab, gegenüber 9,7 % unter Insulin.</w:t>
      </w:r>
    </w:p>
    <w:bookmarkEnd w:id="135"/>
    <w:bookmarkStart w:id="136" w:name="das-duration-programm-einmal-pro-woche"/>
    <w:p>
      <w:pPr>
        <w:pStyle w:val="Heading4"/>
      </w:pPr>
      <w:r>
        <w:t xml:space="preserve">Das DURATION-Programm: einmal pro Woche</w:t>
      </w:r>
    </w:p>
    <w:p>
      <w:pPr>
        <w:pStyle w:val="FirstParagraph"/>
      </w:pPr>
      <w:r>
        <w:t xml:space="preserve">Die Wochenform wurde in einer Serie von Studien mit dem Namen DURATION geprüft – gegen die Zweimal-täglich-Form, gegen Tabletten, gegen Insulin und gegen Liraglutid.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DURATION-1 (Drucker 2008), PMID 18782641</w:t>
            </w:r>
          </w:p>
        </w:tc>
        <w:tc>
          <w:tcPr/>
          <w:p>
            <w:pPr>
              <w:pStyle w:val="Compact"/>
              <w:jc w:val="left"/>
            </w:pPr>
            <w:r>
              <w:t xml:space="preserve">295 Personen, offen: Exenatid wöchentlich vs. zweimal täglich</w:t>
            </w:r>
          </w:p>
        </w:tc>
        <w:tc>
          <w:tcPr/>
          <w:p>
            <w:pPr>
              <w:pStyle w:val="Compact"/>
              <w:jc w:val="left"/>
            </w:pPr>
            <w:r>
              <w:t xml:space="preserve">30 Wochen</w:t>
            </w:r>
          </w:p>
        </w:tc>
        <w:tc>
          <w:tcPr/>
          <w:p>
            <w:pPr>
              <w:pStyle w:val="Compact"/>
              <w:jc w:val="left"/>
            </w:pPr>
            <w:r>
              <w:t xml:space="preserve">HbA1c −1,9 vs. −1,5; Zielwert ≤ 7 % bei 77 % vs. 61 %</w:t>
            </w:r>
          </w:p>
        </w:tc>
      </w:tr>
      <w:tr>
        <w:tc>
          <w:tcPr/>
          <w:p>
            <w:pPr>
              <w:pStyle w:val="Compact"/>
              <w:jc w:val="left"/>
            </w:pPr>
            <w:r>
              <w:t xml:space="preserve">DURATION-1, 5-Jahres-Daten (Wysham 2015), PMID 25744115</w:t>
            </w:r>
          </w:p>
        </w:tc>
        <w:tc>
          <w:tcPr/>
          <w:p>
            <w:pPr>
              <w:pStyle w:val="Compact"/>
              <w:jc w:val="left"/>
            </w:pPr>
            <w:r>
              <w:t xml:space="preserve">258 Personen in der Verlängerung, 153 blieben 5 Jahre</w:t>
            </w:r>
          </w:p>
        </w:tc>
        <w:tc>
          <w:tcPr/>
          <w:p>
            <w:pPr>
              <w:pStyle w:val="Compact"/>
              <w:jc w:val="left"/>
            </w:pPr>
            <w:r>
              <w:t xml:space="preserve">5 Jahre</w:t>
            </w:r>
          </w:p>
        </w:tc>
        <w:tc>
          <w:tcPr/>
          <w:p>
            <w:pPr>
              <w:pStyle w:val="Compact"/>
              <w:jc w:val="left"/>
            </w:pPr>
            <w:r>
              <w:t xml:space="preserve">HbA1c weiterhin −1,6; Gewicht −3,0 kg</w:t>
            </w:r>
          </w:p>
        </w:tc>
      </w:tr>
      <w:tr>
        <w:tc>
          <w:tcPr/>
          <w:p>
            <w:pPr>
              <w:pStyle w:val="Compact"/>
              <w:jc w:val="left"/>
            </w:pPr>
            <w:r>
              <w:t xml:space="preserve">DURATION-2 (Bergenstal 2010), PMID 20580422</w:t>
            </w:r>
          </w:p>
        </w:tc>
        <w:tc>
          <w:tcPr/>
          <w:p>
            <w:pPr>
              <w:pStyle w:val="Compact"/>
              <w:jc w:val="left"/>
            </w:pPr>
            <w:r>
              <w:t xml:space="preserve">514 Personen unter Metformin, vs. Sitagliptin oder Pioglitazon</w:t>
            </w:r>
          </w:p>
        </w:tc>
        <w:tc>
          <w:tcPr/>
          <w:p>
            <w:pPr>
              <w:pStyle w:val="Compact"/>
              <w:jc w:val="left"/>
            </w:pPr>
            <w:r>
              <w:t xml:space="preserve">26 Wochen</w:t>
            </w:r>
          </w:p>
        </w:tc>
        <w:tc>
          <w:tcPr/>
          <w:p>
            <w:pPr>
              <w:pStyle w:val="Compact"/>
              <w:jc w:val="left"/>
            </w:pPr>
            <w:r>
              <w:t xml:space="preserve">HbA1c −1,5 vs. −0,9 bzw. −1,2; Gewicht −2,3 kg</w:t>
            </w:r>
          </w:p>
        </w:tc>
      </w:tr>
      <w:tr>
        <w:tc>
          <w:tcPr/>
          <w:p>
            <w:pPr>
              <w:pStyle w:val="Compact"/>
              <w:jc w:val="left"/>
            </w:pPr>
            <w:r>
              <w:t xml:space="preserve">DURATION-3 (Diamant 2010), PMID 20609969</w:t>
            </w:r>
          </w:p>
        </w:tc>
        <w:tc>
          <w:tcPr/>
          <w:p>
            <w:pPr>
              <w:pStyle w:val="Compact"/>
              <w:jc w:val="left"/>
            </w:pPr>
            <w:r>
              <w:t xml:space="preserve">456 Personen, offen vs. Insulin glargin</w:t>
            </w:r>
          </w:p>
        </w:tc>
        <w:tc>
          <w:tcPr/>
          <w:p>
            <w:pPr>
              <w:pStyle w:val="Compact"/>
              <w:jc w:val="left"/>
            </w:pPr>
            <w:r>
              <w:t xml:space="preserve">26 Wochen</w:t>
            </w:r>
          </w:p>
        </w:tc>
        <w:tc>
          <w:tcPr/>
          <w:p>
            <w:pPr>
              <w:pStyle w:val="Compact"/>
              <w:jc w:val="left"/>
            </w:pPr>
            <w:r>
              <w:t xml:space="preserve">HbA1c −1,5 vs. −1,3; Abbruch wegen Nebenwirkungen 5 % vs. 1 %</w:t>
            </w:r>
          </w:p>
        </w:tc>
      </w:tr>
      <w:tr>
        <w:tc>
          <w:tcPr/>
          <w:p>
            <w:pPr>
              <w:pStyle w:val="Compact"/>
              <w:jc w:val="left"/>
            </w:pPr>
            <w:r>
              <w:t xml:space="preserve">DURATION-6 (Buse 2013), PMID 23141817</w:t>
            </w:r>
          </w:p>
        </w:tc>
        <w:tc>
          <w:tcPr/>
          <w:p>
            <w:pPr>
              <w:pStyle w:val="Compact"/>
              <w:jc w:val="left"/>
            </w:pPr>
            <w:r>
              <w:t xml:space="preserve">911 Personen, offen vs. Liraglutid täglich</w:t>
            </w:r>
          </w:p>
        </w:tc>
        <w:tc>
          <w:tcPr/>
          <w:p>
            <w:pPr>
              <w:pStyle w:val="Compact"/>
              <w:jc w:val="left"/>
            </w:pPr>
            <w:r>
              <w:t xml:space="preserve">26 Wochen</w:t>
            </w:r>
          </w:p>
        </w:tc>
        <w:tc>
          <w:tcPr/>
          <w:p>
            <w:pPr>
              <w:pStyle w:val="Compact"/>
              <w:jc w:val="left"/>
            </w:pPr>
            <w:r>
              <w:t xml:space="preserve">HbA1c −1,28 vs. −1,48; Nicht-Unterlegenheit verfehlt</w:t>
            </w:r>
          </w:p>
        </w:tc>
      </w:tr>
    </w:tbl>
    <w:p>
      <w:pPr>
        <w:pStyle w:val="BodyText"/>
      </w:pPr>
      <w:r>
        <w:t xml:space="preserve">Die Wochenform senkte den Langzeitzucker in DURATION-1 stärker als die tägliche Form, bei vergleichbarem Gewichtsverlust und ohne mehr Unterzuckerungen. Bemerkenswert ist die Fünf-Jahres-Auswertung (Wysham 2015, PMID 25744115): Von den 258 Personen der Verlängerungsphase blieben 153 (59,3 %) fünf Jahre in Behandlung. Bei ihnen lag der HbA1c weiterhin 1,6 Prozentpunkte unter dem Ausgangswert, 43,9 % erreichten einen Wert unter 7 %. Solche Verlängerungen haben allerdings eine eingebaute Verzerrung: Wer schlecht ansprach oder Nebenwirkungen hatte, ist oft nicht mehr dabei.</w:t>
      </w:r>
    </w:p>
    <w:p>
      <w:pPr>
        <w:pStyle w:val="BodyText"/>
      </w:pPr>
      <w:r>
        <w:t xml:space="preserve">In DURATION-2 (Bergenstal 2010, PMID 20580422) war die Wochenform zwei damals gängigen Tabletten überlegen: Der Unterschied zu Sitagliptin betrug 0,6 Prozentpunkte, zu Pioglitazon 0,3 Prozentpunkte. Beim Gewicht lag der Unterschied zu Pioglitazon, das eher zu Gewichtszunahme führt, bei 5,1 kg. In DURATION-3 (Diamant 2010, PMID 20609969) war Exenatid wöchentlich dem Basalinsulin glargin leicht überlegen (Differenz −0,16 Prozentpunkte), allerdings brachen mehr Personen die Behandlung wegen Nebenwirkungen ab.</w:t>
      </w:r>
    </w:p>
    <w:bookmarkEnd w:id="136"/>
    <w:bookmarkStart w:id="137" w:name="X9b2fced5712e22a9888387956129f2679001248"/>
    <w:p>
      <w:pPr>
        <w:pStyle w:val="Heading4"/>
      </w:pPr>
      <w:r>
        <w:t xml:space="preserve">Direktvergleiche innerhalb der GLP-1-Klasse</w:t>
      </w:r>
    </w:p>
    <w:p>
      <w:pPr>
        <w:pStyle w:val="FirstParagraph"/>
      </w:pPr>
      <w:r>
        <w:t xml:space="preserve">Für die Einordnung von Exenatid sind die Kopf-an-Kopf-Studien mit späteren Wirkstoffen besonders aufschlussreich. Sie zeigen, dass Exenatid zwar wirksam ist, aber von den Nachfolgern übertroffen wird.</w:t>
      </w:r>
    </w:p>
    <w:p>
      <w:pPr>
        <w:pStyle w:val="BodyText"/>
      </w:pPr>
      <w:r>
        <w:t xml:space="preserve">In</w:t>
      </w:r>
      <w:r>
        <w:t xml:space="preserve"> </w:t>
      </w:r>
      <w:r>
        <w:rPr>
          <w:bCs/>
          <w:b/>
        </w:rPr>
        <w:t xml:space="preserve">DURATION-6</w:t>
      </w:r>
      <w:r>
        <w:t xml:space="preserve"> </w:t>
      </w:r>
      <w:r>
        <w:t xml:space="preserve">(Buse 2013, PMID 23141817) trat die Wochenform gegen Liraglutid einmal täglich an. Liraglutid senkte den HbA1c um 1,48 Prozentpunkte, Exenatid um 1,28. Der Unterschied von 0,21 Prozentpunkten verfehlte die vorab festgelegte Grenze für „nicht schlechter“. Dafür war Exenatid besser verträglich: Übelkeit trat bei 9 % gegenüber 21 % auf, Durchfall bei 6 % gegenüber 13 %, Erbrechen bei 4 % gegenüber 11 %.</w:t>
      </w:r>
    </w:p>
    <w:p>
      <w:pPr>
        <w:pStyle w:val="BodyText"/>
      </w:pPr>
      <w:r>
        <w:t xml:space="preserve">In</w:t>
      </w:r>
      <w:r>
        <w:t xml:space="preserve"> </w:t>
      </w:r>
      <w:r>
        <w:rPr>
          <w:bCs/>
          <w:b/>
        </w:rPr>
        <w:t xml:space="preserve">SUSTAIN 3</w:t>
      </w:r>
      <w:r>
        <w:t xml:space="preserve"> </w:t>
      </w:r>
      <w:r>
        <w:t xml:space="preserve">(Ahmann 2018, PMID 29246950) verlor Exenatid wöchentlich über 56 Wochen deutlich gegen Semaglutid wöchentlich. Der HbA1c sank um 0,9 gegenüber 1,5 Prozentpunkten, das Gewicht um 1,9 gegenüber 5,6 kg. Einen HbA1c unter 7 % erreichten 40 % gegenüber 67 %. Magen-Darm-Beschwerden waren unter Exenatid etwas seltener (33,3 % vs. 41,8 %), Reaktionen an der Einstichstelle dagegen viel häufiger (22,0 % vs. 1,2 %).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Vergleich</w:t>
            </w:r>
          </w:p>
        </w:tc>
        <w:tc>
          <w:tcPr/>
          <w:p>
            <w:pPr>
              <w:pStyle w:val="Compact"/>
              <w:jc w:val="left"/>
            </w:pPr>
            <w:r>
              <w:t xml:space="preserve">Design</w:t>
            </w:r>
          </w:p>
        </w:tc>
        <w:tc>
          <w:tcPr/>
          <w:p>
            <w:pPr>
              <w:pStyle w:val="Compact"/>
              <w:jc w:val="left"/>
            </w:pPr>
            <w:r>
              <w:t xml:space="preserve">Dauer</w:t>
            </w:r>
          </w:p>
        </w:tc>
        <w:tc>
          <w:tcPr/>
          <w:p>
            <w:pPr>
              <w:pStyle w:val="Compact"/>
              <w:jc w:val="left"/>
            </w:pPr>
            <w:r>
              <w:t xml:space="preserve">Ergebnis (Exenatid wöchentlich vs. Vergleich)</w:t>
            </w:r>
          </w:p>
        </w:tc>
      </w:tr>
      <w:tr>
        <w:tc>
          <w:tcPr/>
          <w:p>
            <w:pPr>
              <w:pStyle w:val="Compact"/>
              <w:jc w:val="left"/>
            </w:pPr>
            <w:r>
              <w:t xml:space="preserve">DURATION-6 (Buse 2013), PMID 23141817</w:t>
            </w:r>
          </w:p>
        </w:tc>
        <w:tc>
          <w:tcPr/>
          <w:p>
            <w:pPr>
              <w:pStyle w:val="Compact"/>
              <w:jc w:val="left"/>
            </w:pPr>
            <w:r>
              <w:t xml:space="preserve">911 Personen, offen vs. Liraglutid</w:t>
            </w:r>
          </w:p>
        </w:tc>
        <w:tc>
          <w:tcPr/>
          <w:p>
            <w:pPr>
              <w:pStyle w:val="Compact"/>
              <w:jc w:val="left"/>
            </w:pPr>
            <w:r>
              <w:t xml:space="preserve">26 Wochen</w:t>
            </w:r>
          </w:p>
        </w:tc>
        <w:tc>
          <w:tcPr/>
          <w:p>
            <w:pPr>
              <w:pStyle w:val="Compact"/>
              <w:jc w:val="left"/>
            </w:pPr>
            <w:r>
              <w:t xml:space="preserve">HbA1c −1,28 vs. −1,48; Übelkeit 9 % vs. 21 %</w:t>
            </w:r>
          </w:p>
        </w:tc>
      </w:tr>
      <w:tr>
        <w:tc>
          <w:tcPr/>
          <w:p>
            <w:pPr>
              <w:pStyle w:val="Compact"/>
              <w:jc w:val="left"/>
            </w:pPr>
            <w:r>
              <w:t xml:space="preserve">SUSTAIN 3 (Ahmann 2018), PMID 29246950</w:t>
            </w:r>
          </w:p>
        </w:tc>
        <w:tc>
          <w:tcPr/>
          <w:p>
            <w:pPr>
              <w:pStyle w:val="Compact"/>
              <w:jc w:val="left"/>
            </w:pPr>
            <w:r>
              <w:t xml:space="preserve">offen vs. Semaglutid wöchentlich</w:t>
            </w:r>
          </w:p>
        </w:tc>
        <w:tc>
          <w:tcPr/>
          <w:p>
            <w:pPr>
              <w:pStyle w:val="Compact"/>
              <w:jc w:val="left"/>
            </w:pPr>
            <w:r>
              <w:t xml:space="preserve">56 Wochen</w:t>
            </w:r>
          </w:p>
        </w:tc>
        <w:tc>
          <w:tcPr/>
          <w:p>
            <w:pPr>
              <w:pStyle w:val="Compact"/>
              <w:jc w:val="left"/>
            </w:pPr>
            <w:r>
              <w:t xml:space="preserve">HbA1c −0,9 vs. −1,5; Gewicht −1,9 vs. −5,6 kg</w:t>
            </w:r>
          </w:p>
        </w:tc>
      </w:tr>
    </w:tbl>
    <w:p>
      <w:pPr>
        <w:pStyle w:val="BodyText"/>
      </w:pPr>
      <w:r>
        <w:t xml:space="preserve">Zusammengefasst ordnet sich Exenatid innerhalb der Klasse im unteren Mittelfeld ein: stärker als die DPP-4-Hemmer (Gliptine), schwächer als Liraglutid, Dulaglutid und vor allem Semaglutid.</w:t>
      </w:r>
    </w:p>
    <w:bookmarkEnd w:id="137"/>
    <w:bookmarkStart w:id="138" w:name="exscel-die-herz-kreislauf-studie"/>
    <w:p>
      <w:pPr>
        <w:pStyle w:val="Heading4"/>
      </w:pPr>
      <w:r>
        <w:t xml:space="preserve">EXSCEL: die Herz-Kreislauf-Studie</w:t>
      </w:r>
    </w:p>
    <w:p>
      <w:pPr>
        <w:pStyle w:val="FirstParagraph"/>
      </w:pPr>
      <w:r>
        <w:t xml:space="preserve">Seit 2008 verlangt die US-Arzneimittelbehörde FDA von neuen Diabetesmedikamenten den Nachweis, dass sie das Herz-Kreislauf-Risiko nicht erhöhen. Für Exenatid wöchentlich wurde dafür EXSCEL durchgeführt – eine der größten Studien dieser Art.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EXSCEL (Holman 2017), PMID 28910237</w:t>
            </w:r>
          </w:p>
        </w:tc>
        <w:tc>
          <w:tcPr/>
          <w:p>
            <w:pPr>
              <w:pStyle w:val="Compact"/>
              <w:jc w:val="left"/>
            </w:pPr>
            <w:r>
              <w:t xml:space="preserve">14.752 Personen mit Typ-2-Diabetes, 73,1 % mit Herz-Kreislauf-Vorerkrankung, RCT gegen Placebo</w:t>
            </w:r>
          </w:p>
        </w:tc>
        <w:tc>
          <w:tcPr/>
          <w:p>
            <w:pPr>
              <w:pStyle w:val="Compact"/>
              <w:jc w:val="left"/>
            </w:pPr>
            <w:r>
              <w:t xml:space="preserve">median 3,2 Jahre</w:t>
            </w:r>
          </w:p>
        </w:tc>
        <w:tc>
          <w:tcPr/>
          <w:p>
            <w:pPr>
              <w:pStyle w:val="Compact"/>
              <w:jc w:val="left"/>
            </w:pPr>
            <w:r>
              <w:t xml:space="preserve">Schwere Herz-Kreislauf-Ereignisse 11,4 % vs. 12,2 %; HR 0,91 (0,83–1,00), Überlegenheit knapp verfehlt (p = 0,06)</w:t>
            </w:r>
          </w:p>
        </w:tc>
      </w:tr>
      <w:tr>
        <w:tc>
          <w:tcPr/>
          <w:p>
            <w:pPr>
              <w:pStyle w:val="Compact"/>
              <w:jc w:val="left"/>
            </w:pPr>
            <w:r>
              <w:t xml:space="preserve">FREEDOM-CVO (Ruff 2022), PMID 34873344</w:t>
            </w:r>
          </w:p>
        </w:tc>
        <w:tc>
          <w:tcPr/>
          <w:p>
            <w:pPr>
              <w:pStyle w:val="Compact"/>
              <w:jc w:val="left"/>
            </w:pPr>
            <w:r>
              <w:t xml:space="preserve">4.156 Personen, Exenatid-Pumpenimplantat ITCA 650 vs. Placebo</w:t>
            </w:r>
          </w:p>
        </w:tc>
        <w:tc>
          <w:tcPr/>
          <w:p>
            <w:pPr>
              <w:pStyle w:val="Compact"/>
              <w:jc w:val="left"/>
            </w:pPr>
            <w:r>
              <w:t xml:space="preserve">median 16 Monate</w:t>
            </w:r>
          </w:p>
        </w:tc>
        <w:tc>
          <w:tcPr/>
          <w:p>
            <w:pPr>
              <w:pStyle w:val="Compact"/>
              <w:jc w:val="left"/>
            </w:pPr>
            <w:r>
              <w:t xml:space="preserve">Ereignisse 4,6 % vs. 3,8 %; HR 1,21 (0,90–1,63), Sicherheitskriterium erfüllt</w:t>
            </w:r>
          </w:p>
        </w:tc>
      </w:tr>
    </w:tbl>
    <w:p>
      <w:pPr>
        <w:pStyle w:val="BodyText"/>
      </w:pPr>
      <w:r>
        <w:t xml:space="preserve">Der kombinierte Hauptendpunkt von EXSCEL (Holman 2017, PMID 28910237) – Tod durch Herz-Kreislauf-Ursache, nicht tödlicher Herzinfarkt oder Schlaganfall – trat unter Exenatid bei 839 von 7.356 Personen (11,4 %) auf, unter Placebo bei 905 von 7.396 (12,2 %). Das entspricht einem Hazard Ratio (relatives Risiko über die Zeit) von 0,91. Exenatid war damit sicher, aber nicht nachweislich schützend. Akute Bauchspeicheldrüsenentzündung, Bauchspeicheldrüsenkrebs und medulläres Schilddrüsenkarzinom traten nicht häufiger auf als unter Placebo.</w:t>
      </w:r>
    </w:p>
    <w:p>
      <w:pPr>
        <w:pStyle w:val="BodyText"/>
      </w:pPr>
      <w:r>
        <w:t xml:space="preserve">Warum Exenatid in EXSCEL schwächer abschnitt als Liraglutid in LEADER oder Dulaglutid in REWIND, ist nicht abschließend geklärt. Diskutiert werden eine schwächere Wirkung des Moleküls selbst, die hohe Abbruchrate in der Studie und ein pragmatisches Design mit wenig Kontrolle. In einer gemeinsamen Meta-Analyse der sieben großen GLP-1-Endpunktstudien mit zusammen 56.004 Teilnehmenden (Kristensen 2019, PMID 31422062) senkte die Klasse schwere Herz-Kreislauf-Ereignisse um 12 % (HR 0,88) – ohne bedeutsame Unterschiede zwischen den Untergruppen. EXSCEL passt also in das Gesamtbild, liegt aber am schwächeren Rand.</w:t>
      </w:r>
    </w:p>
    <w:p>
      <w:pPr>
        <w:pStyle w:val="BodyText"/>
      </w:pPr>
      <w:r>
        <w:t xml:space="preserve">Das Pumpenimplantat ITCA 650, ein streichholzgroßes Gerät, das Exenatid über Monate gleichmäßig abgeben sollte, erfüllte in FREEDOM-CVO (Ruff 2022, PMID 34873344) nur die großzügige Sicherheitsgrenze aus dem Jahr 2008. Der Punktschätzer lag ungünstig über 1, Nebenwirkungen waren häufiger als unter Placebo (72 % vs. 63,9 %). Eine Zulassung erhielt das System nicht.</w:t>
      </w:r>
    </w:p>
    <w:bookmarkEnd w:id="138"/>
    <w:bookmarkStart w:id="139" w:name="Xa335a74282a0d2703f27a8e074f7f6ca17610f2"/>
    <w:p>
      <w:pPr>
        <w:pStyle w:val="Heading4"/>
      </w:pPr>
      <w:r>
        <w:t xml:space="preserve">Gewicht ohne Diabetes und bei Jugendlichen</w:t>
      </w:r>
    </w:p>
    <w:p>
      <w:pPr>
        <w:pStyle w:val="FirstParagraph"/>
      </w:pPr>
      <w:r>
        <w:t xml:space="preserve">Exenatid ist nicht zur Gewichtsreduktion zugelassen, wurde aber in kleineren Studien dafür untersucht. Bei 152 Erwachsenen mit Adipositas ohne Diabetes nahmen die Teilnehmenden unter Exenatid zweimal täglich plus Lebensstilprogramm in 24 Wochen 5,1 kg ab, unter Placebo 1,6 kg (Rosenstock 2010, PMID 20332357). Eine Meta-Analyse von sechs kleinen Studien mit 362 Teilnehmenden fand einen mittleren Mehrverlust von 4,47 kg gegenüber Kontrollen (Su 2016, PMID 27343423). Das ist ein Bruchteil dessen, was später mit Semaglutid oder Tirzepatid erreicht wurde.</w:t>
      </w:r>
    </w:p>
    <w:p>
      <w:pPr>
        <w:pStyle w:val="BodyText"/>
      </w:pPr>
      <w:r>
        <w:t xml:space="preserve">Bei Jugendlichen mit Typ-2-Diabetes senkte die Wochenform in einer Studie mit 83 Teilnehmenden den HbA1c nach 24 Wochen um 0,85 Prozentpunkte stärker als Placebo (Tamborlane 2022, PMID 35679098). Ein Gewichtsunterschied von −1,22 kg war statistisch nicht gesichert. Diese Studie bildete die Grundlage für die Ausweitung der Zulassung auf Jugendliche.</w:t>
      </w:r>
    </w:p>
    <w:bookmarkEnd w:id="139"/>
    <w:bookmarkStart w:id="140" w:name="X7541d4f7287ffd1709441d792c3a5c8b3f6d3b2"/>
    <w:p>
      <w:pPr>
        <w:pStyle w:val="Heading4"/>
      </w:pPr>
      <w:r>
        <w:t xml:space="preserve">Parkinson: Hoffnung, Ernüchterung und eine Expression of Concern</w:t>
      </w:r>
    </w:p>
    <w:p>
      <w:pPr>
        <w:pStyle w:val="FirstParagraph"/>
      </w:pPr>
      <w:r>
        <w:t xml:space="preserve">Kein anderes Einsatzgebiet hat Exenatid so viel Aufmerksamkeit jenseits des Diabetes eingebracht wie die Parkinson-Krankheit. Ausgangspunkt waren Tier- und Zellversuche, in denen GLP-1-Rezeptor-Agonisten Nervenzellen schützten.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Exenatide-PD (Athauda 2017), PMID 28781108</w:t>
            </w:r>
          </w:p>
        </w:tc>
        <w:tc>
          <w:tcPr/>
          <w:p>
            <w:pPr>
              <w:pStyle w:val="Compact"/>
              <w:jc w:val="left"/>
            </w:pPr>
            <w:r>
              <w:t xml:space="preserve">62 Personen mit mittelschwerem Parkinson, RCT gegen Placebo</w:t>
            </w:r>
          </w:p>
        </w:tc>
        <w:tc>
          <w:tcPr/>
          <w:p>
            <w:pPr>
              <w:pStyle w:val="Compact"/>
              <w:jc w:val="left"/>
            </w:pPr>
            <w:r>
              <w:t xml:space="preserve">48 Wochen + 12 Wochen Auswaschphase</w:t>
            </w:r>
          </w:p>
        </w:tc>
        <w:tc>
          <w:tcPr/>
          <w:p>
            <w:pPr>
              <w:pStyle w:val="Compact"/>
              <w:jc w:val="left"/>
            </w:pPr>
            <w:r>
              <w:t xml:space="preserve">Motorik-Score −3,5 Punkte besser als Placebo (p = 0,0318)</w:t>
            </w:r>
          </w:p>
        </w:tc>
      </w:tr>
      <w:tr>
        <w:tc>
          <w:tcPr/>
          <w:p>
            <w:pPr>
              <w:pStyle w:val="Compact"/>
              <w:jc w:val="left"/>
            </w:pPr>
            <w:r>
              <w:t xml:space="preserve">Exenatide-PD3 (Vijiaratnam 2025), PMID 39919773</w:t>
            </w:r>
          </w:p>
        </w:tc>
        <w:tc>
          <w:tcPr/>
          <w:p>
            <w:pPr>
              <w:pStyle w:val="Compact"/>
              <w:jc w:val="left"/>
            </w:pPr>
            <w:r>
              <w:t xml:space="preserve">194 Personen, RCT gegen Placebo, sechs Zentren</w:t>
            </w:r>
          </w:p>
        </w:tc>
        <w:tc>
          <w:tcPr/>
          <w:p>
            <w:pPr>
              <w:pStyle w:val="Compact"/>
              <w:jc w:val="left"/>
            </w:pPr>
            <w:r>
              <w:t xml:space="preserve">96 Wochen</w:t>
            </w:r>
          </w:p>
        </w:tc>
        <w:tc>
          <w:tcPr/>
          <w:p>
            <w:pPr>
              <w:pStyle w:val="Compact"/>
              <w:jc w:val="left"/>
            </w:pPr>
            <w:r>
              <w:t xml:space="preserve">Kein Unterschied: +5,7 vs. +4,5 Punkte Verschlechterung (p = 0,47)</w:t>
            </w:r>
          </w:p>
        </w:tc>
      </w:tr>
      <w:tr>
        <w:tc>
          <w:tcPr/>
          <w:p>
            <w:pPr>
              <w:pStyle w:val="Compact"/>
              <w:jc w:val="left"/>
            </w:pPr>
            <w:r>
              <w:t xml:space="preserve">NLY01 (McGarry 2024), PMID 38101901</w:t>
            </w:r>
          </w:p>
        </w:tc>
        <w:tc>
          <w:tcPr/>
          <w:p>
            <w:pPr>
              <w:pStyle w:val="Compact"/>
              <w:jc w:val="left"/>
            </w:pPr>
            <w:r>
              <w:t xml:space="preserve">255 Personen mit frühem unbehandeltem Parkinson, pegyliertes Exenatid vs. Placebo</w:t>
            </w:r>
          </w:p>
        </w:tc>
        <w:tc>
          <w:tcPr/>
          <w:p>
            <w:pPr>
              <w:pStyle w:val="Compact"/>
              <w:jc w:val="left"/>
            </w:pPr>
            <w:r>
              <w:t xml:space="preserve">36 Wochen</w:t>
            </w:r>
          </w:p>
        </w:tc>
        <w:tc>
          <w:tcPr/>
          <w:p>
            <w:pPr>
              <w:pStyle w:val="Compact"/>
              <w:jc w:val="left"/>
            </w:pPr>
            <w:r>
              <w:t xml:space="preserve">Kein Unterschied in beiden Dosisgruppen</w:t>
            </w:r>
          </w:p>
        </w:tc>
      </w:tr>
    </w:tbl>
    <w:p>
      <w:pPr>
        <w:pStyle w:val="BodyText"/>
      </w:pPr>
      <w:r>
        <w:t xml:space="preserve">Die kleine Studie von Athauda 2017 (PMID 28781108) fand nach 60 Wochen einen Unterschied von 3,5 Punkten auf der motorischen Bewertungsskala MDS-UPDRS Teil III, der auch nach dem Absetzen anhielt. Das wurde vielfach als möglicher erster Hinweis auf eine krankheitsverlangsamende Wirkung gedeutet. Die Autorinnen und Autoren blieben vorsichtig: Ob Exenatid den Krankheitsverlauf beeinflusst oder nur lang anhaltende Symptomeffekte hat, sei unklar.</w:t>
      </w:r>
    </w:p>
    <w:p>
      <w:pPr>
        <w:pStyle w:val="BodyText"/>
      </w:pPr>
      <w:r>
        <w:t xml:space="preserve">Die größere Phase-3-Studie Exenatide-PD3 (Vijiaratnam 2025, PMID 39919773) konnte das nicht bestätigen. Nach 96 Wochen hatte sich der Motorik-Score in beiden Gruppen ähnlich verschlechtert. Die Forschenden schlossen, dass es keinen Beleg für Exenatid als krankheitsmodifizierende Behandlung gebe. Zu dieser Publikation veröffentlichte die Fachzeitschrift 2026 eine sogenannte Expression of Concern (Expression of Concern, The Lancet 2026, PMID 42330995) – einen redaktionellen Hinweis, dass Fragen zu einer Veröffentlichung geprüft werden. Der PubMed-Eintrag enthält keine Zusammenfassung der Gründe; die Bewertung der Studie sollte daher bis zur Klärung mit Vorbehalt erfolgen. Auch eine pegylierte, länger wirksame Exenatid-Variante (NLY01) zeigte bei frühem Parkinson keinen Nutzen (McGarry 2024, PMID 38101901).</w:t>
      </w:r>
    </w:p>
    <w:p>
      <w:pPr>
        <w:pStyle w:val="BodyText"/>
      </w:pPr>
      <w:r>
        <w:t xml:space="preserve">Bei der Multisystematrophie, einer seltenen verwandten Erkrankung, fand eine offene Studie mit 50 Teilnehmenden einen Vorteil im Hauptendpunkt, aber keinen Unterschied in objektiven Messgrößen wie Biomarkern oder Bildgebung (Vijiaratnam 2025, PMID 40727970). Die Autorinnen und Autoren halten selbst einen Placebo- oder Beobachtereffekt für möglich.</w:t>
      </w:r>
    </w:p>
    <w:bookmarkEnd w:id="140"/>
    <w:bookmarkStart w:id="141" w:name="weitere-einsatzgebiete-in-studien"/>
    <w:p>
      <w:pPr>
        <w:pStyle w:val="Heading4"/>
      </w:pPr>
      <w:r>
        <w:t xml:space="preserve">Weitere Einsatzgebiete in Studien</w:t>
      </w:r>
    </w:p>
    <w:p>
      <w:pPr>
        <w:numPr>
          <w:ilvl w:val="0"/>
          <w:numId w:val="1038"/>
        </w:numPr>
        <w:pStyle w:val="Compact"/>
      </w:pPr>
      <w:r>
        <w:rPr>
          <w:bCs/>
          <w:b/>
        </w:rPr>
        <w:t xml:space="preserve">Alzheimer und leichte kognitive Störung:</w:t>
      </w:r>
      <w:r>
        <w:t xml:space="preserve"> </w:t>
      </w:r>
      <w:r>
        <w:t xml:space="preserve">Eine vorzeitig beendete Pilotstudie fand keine Unterschiede bei Gedächtnis- oder Bildgebungsmaßen (Mullins 2019, PMID 31518224). Eine Studie über 32 Wochen bei leichter kognitiver Störung zeigte ebenfalls keinen Nutzen (Dei Cas 2024, PMID 38565814).</w:t>
      </w:r>
    </w:p>
    <w:p>
      <w:pPr>
        <w:numPr>
          <w:ilvl w:val="0"/>
          <w:numId w:val="1038"/>
        </w:numPr>
        <w:pStyle w:val="Compact"/>
      </w:pPr>
      <w:r>
        <w:rPr>
          <w:bCs/>
          <w:b/>
        </w:rPr>
        <w:t xml:space="preserve">Alkoholabhängigkeit:</w:t>
      </w:r>
      <w:r>
        <w:t xml:space="preserve"> </w:t>
      </w:r>
      <w:r>
        <w:t xml:space="preserve">In einer Studie mit 127 Teilnehmenden verringerte Exenatid wöchentlich die Zahl der Tage mit starkem Trinken nicht signifikant. In einer nachträglichen Untergruppenanalyse bei Menschen mit Adipositas war ein Effekt zu sehen; im Hirn-MRT war die Reaktion auf Alkoholreize abgeschwächt (Klausen 2022, PMID 36066977). Solche Untergruppenbefunde sind Hypothesen, keine Belege.</w:t>
      </w:r>
    </w:p>
    <w:p>
      <w:pPr>
        <w:numPr>
          <w:ilvl w:val="0"/>
          <w:numId w:val="1038"/>
        </w:numPr>
        <w:pStyle w:val="Compact"/>
      </w:pPr>
      <w:r>
        <w:rPr>
          <w:bCs/>
          <w:b/>
        </w:rPr>
        <w:t xml:space="preserve">Idiopathische intrakranielle Hypertension</w:t>
      </w:r>
      <w:r>
        <w:t xml:space="preserve"> </w:t>
      </w:r>
      <w:r>
        <w:t xml:space="preserve">(erhöhter Hirndruck ohne erkennbare Ursache, meist bei jungen Frauen mit Übergewicht): Bei 16 Frauen senkte Exenatid den gemessenen Hirndruck nach 24 Stunden um durchschnittlich 6,4 cm Wassersäule gegenüber Placebo (Mitchell 2023, PMID 36907221). Die Studie ist sehr klein; eine größere Studie steht aus.</w:t>
      </w:r>
    </w:p>
    <w:bookmarkEnd w:id="141"/>
    <w:bookmarkEnd w:id="142"/>
    <w:bookmarkStart w:id="143" w:name="tier--und-laborstudien"/>
    <w:p>
      <w:pPr>
        <w:pStyle w:val="Heading3"/>
      </w:pPr>
      <w:r>
        <w:t xml:space="preserve">Tier- und Laborstudien</w:t>
      </w:r>
    </w:p>
    <w:p>
      <w:pPr>
        <w:pStyle w:val="FirstParagraph"/>
      </w:pPr>
      <w:r>
        <w:t xml:space="preserve">Exendin-4 wurde ursprünglich gar nicht als Diabetesmittel gesucht. In der Erstbeschreibung von 1992 untersuchten die Forschenden seine Wirkung auf Zellen aus der Bauchspeicheldrüse von Meerschweinchen (Eng 1992, PMID 1313797). Erst später zeigte sich, dass es am GLP-1-Rezeptor ansetzt.</w:t>
      </w:r>
    </w:p>
    <w:p>
      <w:pPr>
        <w:pStyle w:val="BodyText"/>
      </w:pPr>
      <w:r>
        <w:t xml:space="preserve">In der Folge entstand eine große Zahl von Tierstudien. Bei Ratten, denen ein Teil der Bauchspeicheldrüse entfernt worden war, förderte Exendin-4 die Neubildung und Teilung von insulinproduzierenden Betazellen und milderte die Entwicklung eines Diabetes (Xu 1999, PMID 10580413). Ob sich eine solche Betazell-Regeneration auch beim Menschen in nennenswertem Ausmaß erreichen lässt, ist bis heute nicht belegt.</w:t>
      </w:r>
    </w:p>
    <w:p>
      <w:pPr>
        <w:pStyle w:val="BodyText"/>
      </w:pPr>
      <w:r>
        <w:t xml:space="preserve">Dazu kamen Versuche an Nagetieren zu Nervenschutz (Parkinson, Alzheimer, Schlaganfall), Alkohol- und Suchtverhalten sowie Hirndruck. Diese Tierdaten waren der Anlass für die oben beschriebenen Humanstudien – deren Ergebnisse bisher deutlich bescheidener ausfallen. Das ist ein lehrreiches Beispiel dafür, wie schwer sich Ergebnisse von Ratten und Mäusen auf den Menschen übertragen lassen.</w:t>
      </w:r>
    </w:p>
    <w:p>
      <w:pPr>
        <w:pStyle w:val="BodyText"/>
      </w:pPr>
      <w:r>
        <w:t xml:space="preserve">Zur Schilddrüse: Bei Ratten und Mäusen lösen GLP-1-Rezeptor-Agonisten eine Vermehrung der C-Zellen der Schilddrüse aus, bei Primaten und Menschen sind diese Zellen dagegen kaum mit dem Rezeptor ausgestattet (Bjerre Knudsen 2010, PMID 20203154). Mehr dazu im Kapitel Liraglutid und in Teil IV.</w:t>
      </w:r>
    </w:p>
    <w:bookmarkEnd w:id="143"/>
    <w:bookmarkStart w:id="144" w:name="risiken-und-nebenwirkungen"/>
    <w:p>
      <w:pPr>
        <w:pStyle w:val="Heading3"/>
      </w:pPr>
      <w:r>
        <w:t xml:space="preserve">Risiken und Nebenwirkungen</w:t>
      </w:r>
    </w:p>
    <w:p>
      <w:pPr>
        <w:pStyle w:val="FirstParagraph"/>
      </w:pPr>
      <w:r>
        <w:rPr>
          <w:bCs/>
          <w:b/>
        </w:rPr>
        <w:t xml:space="preserve">Belegt aus randomisierten Studien:</w:t>
      </w:r>
    </w:p>
    <w:p>
      <w:pPr>
        <w:numPr>
          <w:ilvl w:val="0"/>
          <w:numId w:val="1039"/>
        </w:numPr>
        <w:pStyle w:val="Compact"/>
      </w:pPr>
      <w:r>
        <w:rPr>
          <w:bCs/>
          <w:b/>
        </w:rPr>
        <w:t xml:space="preserve">Magen-Darm-Beschwerden</w:t>
      </w:r>
      <w:r>
        <w:t xml:space="preserve"> </w:t>
      </w:r>
      <w:r>
        <w:t xml:space="preserve">sind die häufigste Nebenwirkung. Bei der Zweimal-täglich-Form trat Übelkeit im Vergleich mit Insulin glargin bei 57,1 % der Behandelten auf, Erbrechen bei 17,4 % (Heine 2005, PMID 16230722). Die Wochenform verursacht weniger Übelkeit; in DURATION-6 waren es 9 % (Buse 2013, PMID 23141817). Die Beschwerden nehmen mit der Zeit meist ab.</w:t>
      </w:r>
    </w:p>
    <w:p>
      <w:pPr>
        <w:numPr>
          <w:ilvl w:val="0"/>
          <w:numId w:val="1039"/>
        </w:numPr>
        <w:pStyle w:val="Compact"/>
      </w:pPr>
      <w:r>
        <w:rPr>
          <w:bCs/>
          <w:b/>
        </w:rPr>
        <w:t xml:space="preserve">Unterzuckerung</w:t>
      </w:r>
      <w:r>
        <w:t xml:space="preserve"> </w:t>
      </w:r>
      <w:r>
        <w:t xml:space="preserve">ist allein selten, wird aber in Kombination mit Sulfonylharnstoffen oder Insulin häufiger (Kendall 2005, PMID 15855571).</w:t>
      </w:r>
    </w:p>
    <w:p>
      <w:pPr>
        <w:numPr>
          <w:ilvl w:val="0"/>
          <w:numId w:val="1039"/>
        </w:numPr>
        <w:pStyle w:val="Compact"/>
      </w:pPr>
      <w:r>
        <w:rPr>
          <w:bCs/>
          <w:b/>
        </w:rPr>
        <w:t xml:space="preserve">Reaktionen an der Einstichstelle:</w:t>
      </w:r>
      <w:r>
        <w:t xml:space="preserve"> </w:t>
      </w:r>
      <w:r>
        <w:t xml:space="preserve">Bei der Wochenform bilden sich häufig tastbare Knötchen unter der Haut, weil die Mikrokügelchen dort langsam abgebaut werden. In der Fünf-Jahres-Auswertung von DURATION-1 wurden solche Reaktionen mit der Zeit seltener (Wysham 2015, PMID 25744115).</w:t>
      </w:r>
    </w:p>
    <w:p>
      <w:pPr>
        <w:numPr>
          <w:ilvl w:val="0"/>
          <w:numId w:val="1039"/>
        </w:numPr>
        <w:pStyle w:val="Compact"/>
      </w:pPr>
      <w:r>
        <w:rPr>
          <w:bCs/>
          <w:b/>
        </w:rPr>
        <w:t xml:space="preserve">Antikörperbildung:</w:t>
      </w:r>
      <w:r>
        <w:t xml:space="preserve"> </w:t>
      </w:r>
      <w:r>
        <w:t xml:space="preserve">Wegen der Herkunft aus Echsengift bildet ein Teil der Behandelten Antikörper. Dies ist ausführlicher in Teil IV beschrieben.</w:t>
      </w:r>
    </w:p>
    <w:p>
      <w:pPr>
        <w:pStyle w:val="FirstParagraph"/>
      </w:pPr>
      <w:r>
        <w:rPr>
          <w:bCs/>
          <w:b/>
        </w:rPr>
        <w:t xml:space="preserve">Untersucht, aber nicht bestätigt oder unsicher:</w:t>
      </w:r>
    </w:p>
    <w:p>
      <w:pPr>
        <w:numPr>
          <w:ilvl w:val="0"/>
          <w:numId w:val="1040"/>
        </w:numPr>
        <w:pStyle w:val="Compact"/>
      </w:pPr>
      <w:r>
        <w:rPr>
          <w:bCs/>
          <w:b/>
        </w:rPr>
        <w:t xml:space="preserve">Akute Bauchspeicheldrüsenentzündung (Pankreatitis):</w:t>
      </w:r>
      <w:r>
        <w:t xml:space="preserve"> </w:t>
      </w:r>
      <w:r>
        <w:t xml:space="preserve">Kurz nach der Markteinführung gab es Spontanmeldungen, die zu Warnhinweisen führten. In einer gepoolten Auswertung von zwei Versicherungsdatenbanken mit 49.956 Personen unter Exenatid zweimal täglich war das Risiko ohne Korrektur nicht erhöht (relatives Risiko 1,0), nach Korrektur für Fehlklassifikation leicht erhöht (1,3; Konfidenzintervall 1,0–1,7) (Dore 2013, PMID 23981106). In EXSCEL trat Pankreatitis nicht häufiger auf als unter Placebo (Holman 2017, PMID 28910237). Eine Pankreatitis bleibt als seltene Nebenwirkung in der Fachinformation aufgeführt.</w:t>
      </w:r>
    </w:p>
    <w:p>
      <w:pPr>
        <w:numPr>
          <w:ilvl w:val="0"/>
          <w:numId w:val="1040"/>
        </w:numPr>
        <w:pStyle w:val="Compact"/>
      </w:pPr>
      <w:r>
        <w:rPr>
          <w:bCs/>
          <w:b/>
        </w:rPr>
        <w:t xml:space="preserve">Krebs der Bauchspeicheldrüse und Schilddrüse:</w:t>
      </w:r>
      <w:r>
        <w:t xml:space="preserve"> </w:t>
      </w:r>
      <w:r>
        <w:t xml:space="preserve">In einer US-Kohortenstudie mit 33.629 Personen unter Exenatid war das Risiko für Bauchspeicheldrüsenkrebs nicht erhöht (HR 0,76); für Schilddrüsenkrebs lag der Schätzwert bei 1,46, mit einem Konfidenzintervall von 0,98 bis 2,19, also statistisch nicht gesichert (Liang 2019, PMID 30474347). Eine Meta-Analyse von 50 randomisierten Studien zur ganzen GLP-1-Klasse fand insgesamt kein erhöhtes Krebsrisiko, aber ein Signal für Schilddrüsenkrebs (Odds Ratio 1,55), das weiter untersucht werden muss (Silverii 2025, PMID 40437949). Eine europäische Sicherheitsstudie zum Bauchspeicheldrüsenkrebs unter Exenatid läuft (NCT05663515).</w:t>
      </w:r>
    </w:p>
    <w:p>
      <w:pPr>
        <w:numPr>
          <w:ilvl w:val="0"/>
          <w:numId w:val="1040"/>
        </w:numPr>
        <w:pStyle w:val="Compact"/>
      </w:pPr>
      <w:r>
        <w:rPr>
          <w:bCs/>
          <w:b/>
        </w:rPr>
        <w:t xml:space="preserve">Herz-Kreislauf-Risiko:</w:t>
      </w:r>
      <w:r>
        <w:t xml:space="preserve"> </w:t>
      </w:r>
      <w:r>
        <w:t xml:space="preserve">In EXSCEL nicht erhöht.</w:t>
      </w:r>
    </w:p>
    <w:p>
      <w:pPr>
        <w:pStyle w:val="FirstParagraph"/>
      </w:pPr>
      <w:r>
        <w:rPr>
          <w:bCs/>
          <w:b/>
        </w:rPr>
        <w:t xml:space="preserve">Hinweise für die Praxis:</w:t>
      </w:r>
      <w:r>
        <w:t xml:space="preserve"> </w:t>
      </w:r>
      <w:r>
        <w:t xml:space="preserve">Exenatid wird über die Nieren ausgeschieden; bei stark eingeschränkter Nierenfunktion wird es nicht empfohlen. Wie alle GLP-1-Rezeptor-Agonisten verlangsamt es die Magenentleerung und kann so die Aufnahme anderer Medikamente beeinflussen. Für Anwendung, Gegenanzeigen und Wechselwirkungen ist die aktuelle Fachinformation maßgeblich; die Behandlung gehört in ärztliche Hände.</w:t>
      </w:r>
    </w:p>
    <w:bookmarkEnd w:id="144"/>
    <w:bookmarkStart w:id="145" w:name="rechtslage"/>
    <w:p>
      <w:pPr>
        <w:pStyle w:val="Heading3"/>
      </w:pPr>
      <w:r>
        <w:t xml:space="preserve">Rechtslage</w:t>
      </w:r>
    </w:p>
    <w:p>
      <w:pPr>
        <w:numPr>
          <w:ilvl w:val="0"/>
          <w:numId w:val="1041"/>
        </w:numPr>
        <w:pStyle w:val="Compact"/>
      </w:pPr>
      <w:r>
        <w:rPr>
          <w:bCs/>
          <w:b/>
        </w:rPr>
        <w:t xml:space="preserve">EU:</w:t>
      </w:r>
      <w:r>
        <w:t xml:space="preserve"> </w:t>
      </w:r>
      <w:r>
        <w:t xml:space="preserve">Exenatid ist als verschreibungspflichtiges Arzneimittel zur Behandlung des Typ-2-Diabetes zentral zugelassen (Byetta seit 2006, Bydureon seit 2011). Es ist nicht zur Gewichtsreduktion zugelassen.</w:t>
      </w:r>
    </w:p>
    <w:p>
      <w:pPr>
        <w:numPr>
          <w:ilvl w:val="0"/>
          <w:numId w:val="1041"/>
        </w:numPr>
        <w:pStyle w:val="Compact"/>
      </w:pPr>
      <w:r>
        <w:rPr>
          <w:bCs/>
          <w:b/>
        </w:rPr>
        <w:t xml:space="preserve">Deutschland und Österreich:</w:t>
      </w:r>
      <w:r>
        <w:t xml:space="preserve"> </w:t>
      </w:r>
      <w:r>
        <w:t xml:space="preserve">verschreibungspflichtig. Die Verordnung zur reinen Gewichtsabnahme wäre ein Off-Label-Gebrauch und wird von den Krankenkassen in der Regel nicht übernommen. Einzelne Darreichungsformen sind nicht in allen Ländern dauerhaft im Handel – bitte aktuell prüfen.</w:t>
      </w:r>
    </w:p>
    <w:p>
      <w:pPr>
        <w:numPr>
          <w:ilvl w:val="0"/>
          <w:numId w:val="1041"/>
        </w:numPr>
        <w:pStyle w:val="Compact"/>
      </w:pPr>
      <w:r>
        <w:rPr>
          <w:bCs/>
          <w:b/>
        </w:rPr>
        <w:t xml:space="preserve">USA:</w:t>
      </w:r>
      <w:r>
        <w:t xml:space="preserve"> </w:t>
      </w:r>
      <w:r>
        <w:t xml:space="preserve">zugelassen für Typ-2-Diabetes; die Wochenform auch für Jugendliche ab 10 Jahren. Für die Zweimal-täglich-Form sind Generika zugelassen.</w:t>
      </w:r>
    </w:p>
    <w:p>
      <w:pPr>
        <w:numPr>
          <w:ilvl w:val="0"/>
          <w:numId w:val="1041"/>
        </w:numPr>
        <w:pStyle w:val="Compact"/>
      </w:pPr>
      <w:r>
        <w:rPr>
          <w:bCs/>
          <w:b/>
        </w:rPr>
        <w:t xml:space="preserve">Sport (WADA):</w:t>
      </w:r>
      <w:r>
        <w:t xml:space="preserve"> </w:t>
      </w:r>
      <w:r>
        <w:t xml:space="preserve">GLP-1-Rezeptor-Agonisten stehen nicht auf der Verbotsliste (Stand 2026, bitte aktuell prüfen).</w:t>
      </w:r>
    </w:p>
    <w:p>
      <w:pPr>
        <w:numPr>
          <w:ilvl w:val="0"/>
          <w:numId w:val="1041"/>
        </w:numPr>
        <w:pStyle w:val="Compact"/>
      </w:pPr>
      <w:r>
        <w:rPr>
          <w:bCs/>
          <w:b/>
        </w:rPr>
        <w:t xml:space="preserve">Graumarkt:</w:t>
      </w:r>
      <w:r>
        <w:t xml:space="preserve"> </w:t>
      </w:r>
      <w:r>
        <w:t xml:space="preserve">Exenatid spielt im Graumarkt neben Semaglutid und Tirzepatid kaum eine Rolle. Allgemeine Risiken nicht zugelassener Bezugswege beschreibt Teil I.</w:t>
      </w:r>
    </w:p>
    <w:bookmarkEnd w:id="145"/>
    <w:bookmarkStart w:id="146" w:name="laufende-studien-und-ausblick"/>
    <w:p>
      <w:pPr>
        <w:pStyle w:val="Heading3"/>
      </w:pPr>
      <w:r>
        <w:t xml:space="preserve">Laufende Studien und Ausblick</w:t>
      </w:r>
    </w:p>
    <w:p>
      <w:pPr>
        <w:pStyle w:val="FirstParagraph"/>
      </w:pPr>
      <w:r>
        <w:rPr>
          <w:bCs/>
          <w:b/>
        </w:rPr>
        <w:t xml:space="preserve">Gesichert (registrierte Studien):</w:t>
      </w:r>
      <w:r>
        <w:t xml:space="preserve"> </w:t>
      </w:r>
      <w:r>
        <w:t xml:space="preserve">Exenatid ist als Diabetesmittel weitgehend „ausgeforscht“; neue Zulassungsstudien in dieser Indikation gibt es kaum noch. Aktuelle Registereinträge betreffen vor allem:</w:t>
      </w:r>
    </w:p>
    <w:p>
      <w:pPr>
        <w:numPr>
          <w:ilvl w:val="0"/>
          <w:numId w:val="1042"/>
        </w:numPr>
        <w:pStyle w:val="Compact"/>
      </w:pPr>
      <w:r>
        <w:t xml:space="preserve">Abwandlungen des Moleküls: In China werden pegylierte Varianten entwickelt. Für PB-119 senkte eine Phase-2-Studie mit 251 Teilnehmenden den HbA1c nach 12 Wochen um bis zu 1,18 Prozentpunkte stärker als Placebo (Ji 2021, PMID 33687487). Ein weiterer Kandidat, JY09 – Exendin-4 gekoppelt an einen Antikörperbaustein (Fc-Fusionsprotein), das in den Studien alle zwei Wochen gespritzt wird –, wird in Phase-3-Studien gegen Placebo und gegen Dulaglutid geprüft (NCT06254014, NCT06257966).</w:t>
      </w:r>
    </w:p>
    <w:p>
      <w:pPr>
        <w:numPr>
          <w:ilvl w:val="0"/>
          <w:numId w:val="1042"/>
        </w:numPr>
        <w:pStyle w:val="Compact"/>
      </w:pPr>
      <w:r>
        <w:t xml:space="preserve">Neurologie: Die pegylierte Variante NLY01 wird bei Multipler Sklerose in einer Phase-2-Studie mit 120 Teilnehmenden untersucht (NCT07497399).</w:t>
      </w:r>
    </w:p>
    <w:p>
      <w:pPr>
        <w:numPr>
          <w:ilvl w:val="0"/>
          <w:numId w:val="1042"/>
        </w:numPr>
        <w:pStyle w:val="Compact"/>
      </w:pPr>
      <w:r>
        <w:t xml:space="preserve">Sicherheit: Neben der europäischen Studie zum Bauchspeicheldrüsenkrebs (NCT05663515) läuft ein Langzeit-Überwachungsprogramm für medulläre Schilddrüsenkarzinome unter GLP-1-Rezeptor-Agonisten (NCT01511393).</w:t>
      </w:r>
    </w:p>
    <w:p>
      <w:pPr>
        <w:numPr>
          <w:ilvl w:val="0"/>
          <w:numId w:val="1042"/>
        </w:numPr>
        <w:pStyle w:val="Compact"/>
      </w:pPr>
      <w:r>
        <w:t xml:space="preserve">Diagnostik: Radioaktiv markiertes Exendin-4 wird als Spürsubstanz in der PET-Bildgebung von Insulinomen (seltenen insulinbildenden Tumoren) eingesetzt (NCT07808879).</w:t>
      </w:r>
    </w:p>
    <w:p>
      <w:pPr>
        <w:pStyle w:val="FirstParagraph"/>
      </w:pPr>
      <w:r>
        <w:rPr>
          <w:bCs/>
          <w:b/>
        </w:rPr>
        <w:t xml:space="preserve">Einschätzung:</w:t>
      </w:r>
      <w:r>
        <w:t xml:space="preserve"> </w:t>
      </w:r>
      <w:r>
        <w:t xml:space="preserve">Exenatid wird in der Diabetesbehandlung weiter an Bedeutung verlieren, weil stärkere und bequemer anzuwendende Nachfolger verfügbar sind. Seine bleibende Rolle ist die eines Pioniers und eines Werkzeugs für die Forschung. Ob die Parkinson-Hypothese noch einmal auflebt, hängt von besser hirngängigen Wirkstoffen und der Klärung um Exenatide-PD3 ab.</w:t>
      </w:r>
    </w:p>
    <w:bookmarkEnd w:id="146"/>
    <w:bookmarkStart w:id="147" w:name="fazit"/>
    <w:p>
      <w:pPr>
        <w:pStyle w:val="Heading3"/>
      </w:pPr>
      <w:r>
        <w:t xml:space="preserve">Fazit</w:t>
      </w:r>
    </w:p>
    <w:p>
      <w:pPr>
        <w:pStyle w:val="FirstParagraph"/>
      </w:pPr>
      <w:r>
        <w:t xml:space="preserve">Exenatid war 2005 der erste GLP-1-Rezeptor-Agonist auf dem Markt und gehört zu den am besten untersuchten Peptidarzneimitteln überhaupt. In großen Studien senkte es den Langzeitzucker um etwa 1 bis 1,5 Prozentpunkte und das Gewicht um einige Kilogramm, in EXSCEL mit 14.752 Teilnehmenden ohne erhöhtes Herz-Kreislauf-Risiko, aber auch ohne nachgewiesenen Schutz. Im direkten Vergleich unterliegt es Liraglutid und Semaglutid. Die anfangs vielversprechenden Daten zur Parkinson-Krankheit bestätigten sich in der größeren Phase-3-Studie nicht. Für Menschen mit Typ-2-Diabetes bleibt Exenatid eine geprüfte, aber nicht mehr erste Wahl – die Entscheidung gehört in ärztliche Hände.</w:t>
      </w:r>
    </w:p>
    <w:bookmarkEnd w:id="147"/>
    <w:bookmarkEnd w:id="148"/>
    <w:bookmarkStart w:id="163" w:name="liraglutid"/>
    <w:p>
      <w:pPr>
        <w:pStyle w:val="Heading2"/>
      </w:pPr>
      <w:r>
        <w:t xml:space="preserve">Liraglutid</w:t>
      </w:r>
    </w:p>
    <w:bookmarkStart w:id="149" w:name="steckbrief-1"/>
    <w:p>
      <w:pPr>
        <w:pStyle w:val="Heading3"/>
      </w:pPr>
      <w:r>
        <w:t xml:space="preserve">Steckbrief</w:t>
      </w:r>
    </w:p>
    <w:p>
      <w:pPr>
        <w:numPr>
          <w:ilvl w:val="0"/>
          <w:numId w:val="1043"/>
        </w:numPr>
        <w:pStyle w:val="Compact"/>
      </w:pPr>
      <w:r>
        <w:rPr>
          <w:bCs/>
          <w:b/>
        </w:rPr>
        <w:t xml:space="preserve">Art/Struktur:</w:t>
      </w:r>
      <w:r>
        <w:t xml:space="preserve"> </w:t>
      </w:r>
      <w:r>
        <w:t xml:space="preserve">Abgewandeltes menschliches GLP-1 aus 31 Aminosäuren. Es stimmt zu 97 % mit dem körpereigenen Hormon überein; an einer Stelle ist eine Aminosäure ausgetauscht, an einer anderen hängt über einen kurzen Verbindungsbaustein eine Fettsäure mit 16 Kohlenstoffatomen.</w:t>
      </w:r>
    </w:p>
    <w:p>
      <w:pPr>
        <w:numPr>
          <w:ilvl w:val="0"/>
          <w:numId w:val="1043"/>
        </w:numPr>
        <w:pStyle w:val="Compact"/>
      </w:pPr>
      <w:r>
        <w:rPr>
          <w:bCs/>
          <w:b/>
        </w:rPr>
        <w:t xml:space="preserve">Herkunft:</w:t>
      </w:r>
      <w:r>
        <w:t xml:space="preserve"> </w:t>
      </w:r>
      <w:r>
        <w:t xml:space="preserve">entwickelt von Novo Nordisk (Knudsen 2019, PMID 31031702), gentechnisch in Hefe hergestellt.</w:t>
      </w:r>
    </w:p>
    <w:p>
      <w:pPr>
        <w:numPr>
          <w:ilvl w:val="0"/>
          <w:numId w:val="1043"/>
        </w:numPr>
        <w:pStyle w:val="Compact"/>
      </w:pPr>
      <w:r>
        <w:rPr>
          <w:bCs/>
          <w:b/>
        </w:rPr>
        <w:t xml:space="preserve">Wirkprinzip:</w:t>
      </w:r>
      <w:r>
        <w:t xml:space="preserve"> </w:t>
      </w:r>
      <w:r>
        <w:t xml:space="preserve">GLP-1-Rezeptor-Agonist. Die Fettsäure lässt das Molekül an das Bluteiweiß Albumin binden; dadurch reicht eine Spritze pro Tag.</w:t>
      </w:r>
    </w:p>
    <w:p>
      <w:pPr>
        <w:numPr>
          <w:ilvl w:val="0"/>
          <w:numId w:val="1043"/>
        </w:numPr>
        <w:pStyle w:val="Compact"/>
      </w:pPr>
      <w:r>
        <w:rPr>
          <w:bCs/>
          <w:b/>
        </w:rPr>
        <w:t xml:space="preserve">Präparate:</w:t>
      </w:r>
      <w:r>
        <w:t xml:space="preserve"> </w:t>
      </w:r>
      <w:r>
        <w:t xml:space="preserve">Victoza (Typ-2-Diabetes, bis 1,8 mg täglich), Saxenda (Gewichtsmanagement, bis 3,0 mg täglich), Xultophy (fixe Kombination mit Insulin degludec). Seit 2024 gibt es Nachahmerpräparate.</w:t>
      </w:r>
    </w:p>
    <w:p>
      <w:pPr>
        <w:numPr>
          <w:ilvl w:val="0"/>
          <w:numId w:val="1043"/>
        </w:numPr>
        <w:pStyle w:val="Compact"/>
      </w:pPr>
      <w:r>
        <w:rPr>
          <w:bCs/>
          <w:b/>
        </w:rPr>
        <w:t xml:space="preserve">Zulassung EU:</w:t>
      </w:r>
      <w:r>
        <w:t xml:space="preserve"> </w:t>
      </w:r>
      <w:r>
        <w:t xml:space="preserve">ja – Typ-2-Diabetes (seit 2009) und Gewichtsmanagement (seit 2015), jeweils auch für Jugendliche.</w:t>
      </w:r>
    </w:p>
    <w:p>
      <w:pPr>
        <w:numPr>
          <w:ilvl w:val="0"/>
          <w:numId w:val="1043"/>
        </w:numPr>
        <w:pStyle w:val="Compact"/>
      </w:pPr>
      <w:r>
        <w:rPr>
          <w:bCs/>
          <w:b/>
        </w:rPr>
        <w:t xml:space="preserve">Zulassung USA:</w:t>
      </w:r>
      <w:r>
        <w:t xml:space="preserve"> </w:t>
      </w:r>
      <w:r>
        <w:t xml:space="preserve">ja – Typ-2-Diabetes (seit 2010, ab 10 Jahren), Senkung des Herz-Kreislauf-Risikos bei Typ-2-Diabetes und Gewichtsmanagement (seit 2014, ab 12 Jahren). Generika für beide Anwendungsgebiete sind zugelassen.</w:t>
      </w:r>
    </w:p>
    <w:p>
      <w:pPr>
        <w:numPr>
          <w:ilvl w:val="0"/>
          <w:numId w:val="1043"/>
        </w:numPr>
        <w:pStyle w:val="Compact"/>
      </w:pPr>
      <w:r>
        <w:rPr>
          <w:bCs/>
          <w:b/>
        </w:rPr>
        <w:t xml:space="preserve">WADA:</w:t>
      </w:r>
      <w:r>
        <w:t xml:space="preserve"> </w:t>
      </w:r>
      <w:r>
        <w:t xml:space="preserve">nicht gelistet (Stand 2026, bitte aktuell prüfen).</w:t>
      </w:r>
    </w:p>
    <w:p>
      <w:pPr>
        <w:numPr>
          <w:ilvl w:val="0"/>
          <w:numId w:val="1043"/>
        </w:numPr>
        <w:pStyle w:val="Compact"/>
      </w:pPr>
      <w:r>
        <w:rPr>
          <w:bCs/>
          <w:b/>
        </w:rPr>
        <w:t xml:space="preserve">Evidenzstufe:</w:t>
      </w:r>
      <w:r>
        <w:t xml:space="preserve"> </w:t>
      </w:r>
      <w:r>
        <w:rPr>
          <w:bCs/>
          <w:b/>
        </w:rPr>
        <w:t xml:space="preserve">A</w:t>
      </w:r>
      <w:r>
        <w:t xml:space="preserve"> </w:t>
      </w:r>
      <w:r>
        <w:t xml:space="preserve">– zwei große Zulassungsprogramme (LEAD, SCALE), eine große Endpunktstudie (LEADER), Studien bei Kindern und Jugendlichen.</w:t>
      </w:r>
    </w:p>
    <w:bookmarkEnd w:id="149"/>
    <w:bookmarkStart w:id="150" w:name="wie-es-wirken-soll-1"/>
    <w:p>
      <w:pPr>
        <w:pStyle w:val="Heading3"/>
      </w:pPr>
      <w:r>
        <w:t xml:space="preserve">Wie es wirken soll</w:t>
      </w:r>
    </w:p>
    <w:p>
      <w:pPr>
        <w:pStyle w:val="FirstParagraph"/>
      </w:pPr>
      <w:r>
        <w:t xml:space="preserve">Liraglutid wirkt wie das körpereigene Darmhormon GLP-1: Es verstärkt die zuckerabhängige Insulinausschüttung, hemmt das blutzuckersteigernde Glukagon, verlangsamt die Magenentleerung und dämpft im Gehirn den Appetit. Der grundlegende Mechanismus der Klasse ist im Kapitel Exenatid beschrieben.</w:t>
      </w:r>
    </w:p>
    <w:p>
      <w:pPr>
        <w:pStyle w:val="BodyText"/>
      </w:pPr>
      <w:r>
        <w:t xml:space="preserve">Der Unterschied liegt in der Bauweise. Während Exenatid aus dem Gift einer Echse stammt und dem menschlichen Hormon nur zur Hälfte gleicht, ist Liraglutid fast identisch mit dem körpereigenen GLP-1. Der Trick, der es haltbar macht, ist die angehängte Fettsäure. Sie sorgt dafür, dass sich das Molekül im Blut an Albumin anlagert, sich zu kleinen Verbänden zusammenlagert und so vor dem Abbau durch das Enzym DPP-4 und vor der Ausscheidung über die Nieren geschützt ist. Die Halbwertszeit steigt dadurch von wenigen Minuten auf rund einen halben Tag.</w:t>
      </w:r>
    </w:p>
    <w:p>
      <w:pPr>
        <w:pStyle w:val="BodyText"/>
      </w:pPr>
      <w:r>
        <w:t xml:space="preserve">Für die Gewichtsabnahme sind vor allem Wirkungen im Gehirn verantwortlich. Bei Mäusen und Ratten gelangt markiertes Liraglutid in bestimmte Regionen des Hypothalamus, des Steuerzentrums für Hunger und Sättigung, und aktiviert dort Nervenzellen, die das Sättigungsgefühl fördern (Secher 2014, PMID 25202980). Beim Menschen äußert sich das in geringerer Nahrungsaufnahme; ein nennenswerter Anstieg des Energieverbrauchs ist nicht belegt.</w:t>
      </w:r>
    </w:p>
    <w:p>
      <w:pPr>
        <w:pStyle w:val="BodyText"/>
      </w:pPr>
      <w:r>
        <w:t xml:space="preserve">Aus Liraglutid ging später Semaglutid hervor: gleiche Grundidee, aber mit einer stärkeren Albuminbindung, die eine Spritze pro Woche ermöglicht (Knudsen 2019, PMID 31031702).</w:t>
      </w:r>
    </w:p>
    <w:bookmarkEnd w:id="150"/>
    <w:bookmarkStart w:id="157" w:name="studien-am-menschen-1"/>
    <w:p>
      <w:pPr>
        <w:pStyle w:val="Heading3"/>
      </w:pPr>
      <w:r>
        <w:t xml:space="preserve">Studien am Menschen</w:t>
      </w:r>
    </w:p>
    <w:p>
      <w:pPr>
        <w:pStyle w:val="FirstParagraph"/>
      </w:pPr>
      <w:r>
        <w:t xml:space="preserve">Liraglutid gehört zu den am besten untersuchten Peptidarzneimitteln. Die für dieses Buch ausgewertete PubMed-Abfrage (Suchbegriff „liraglutide“ in Titel oder Abstract, Abfragedatum Oktober 2026) ergab 613 Humanstudien – mehr als für jedes andere Peptid in diesem Buch. ClinicalTrials.gov verzeichnet 517 Registereinträge. Im Folgenden stehen die Zulassungs- und Endpunktstudien im Mittelpunkt; daneben gibt es Hunderte kleinerer Studien zu Leber, Herz, Gehirn, Fruchtbarkeit und Essstörungen.</w:t>
      </w:r>
    </w:p>
    <w:bookmarkStart w:id="151" w:name="typ-2-diabetes-das-lead-programm"/>
    <w:p>
      <w:pPr>
        <w:pStyle w:val="Heading4"/>
      </w:pPr>
      <w:r>
        <w:t xml:space="preserve">Typ-2-Diabetes: das LEAD-Programm</w:t>
      </w:r>
    </w:p>
    <w:p>
      <w:pPr>
        <w:pStyle w:val="FirstParagraph"/>
      </w:pPr>
      <w:r>
        <w:t xml:space="preserve">Für die Diabeteszulassung wurde Liraglutid in sechs Studien unter dem Namen LEAD (Liraglutide Effect and Action in Diabetes) geprüft, jeweils mit 1,2 oder 1,8 mg pro Tag. Zwei sind besonders aufschlussreich, weil sie gegen damals etablierte Therapien antraten. Dazu kommt der Vergleich mit dem DPP-4-Hemmer Sitagliptin.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LEAD-3 Mono (Garber 2009), PMID 18819705</w:t>
            </w:r>
          </w:p>
        </w:tc>
        <w:tc>
          <w:tcPr/>
          <w:p>
            <w:pPr>
              <w:pStyle w:val="Compact"/>
              <w:jc w:val="left"/>
            </w:pPr>
            <w:r>
              <w:t xml:space="preserve">746 Personen mit frühem Typ-2-Diabetes, doppelblind vs. Glimepirid</w:t>
            </w:r>
          </w:p>
        </w:tc>
        <w:tc>
          <w:tcPr/>
          <w:p>
            <w:pPr>
              <w:pStyle w:val="Compact"/>
              <w:jc w:val="left"/>
            </w:pPr>
            <w:r>
              <w:t xml:space="preserve">52 Wochen</w:t>
            </w:r>
          </w:p>
        </w:tc>
        <w:tc>
          <w:tcPr/>
          <w:p>
            <w:pPr>
              <w:pStyle w:val="Compact"/>
              <w:jc w:val="left"/>
            </w:pPr>
            <w:r>
              <w:t xml:space="preserve">HbA1c −1,14 (1,8 mg) vs. −0,51 Prozentpunkte</w:t>
            </w:r>
          </w:p>
        </w:tc>
      </w:tr>
      <w:tr>
        <w:tc>
          <w:tcPr/>
          <w:p>
            <w:pPr>
              <w:pStyle w:val="Compact"/>
              <w:jc w:val="left"/>
            </w:pPr>
            <w:r>
              <w:t xml:space="preserve">LEAD-6 (Buse 2009), PMID 19515413</w:t>
            </w:r>
          </w:p>
        </w:tc>
        <w:tc>
          <w:tcPr/>
          <w:p>
            <w:pPr>
              <w:pStyle w:val="Compact"/>
              <w:jc w:val="left"/>
            </w:pPr>
            <w:r>
              <w:t xml:space="preserve">offen vs. Exenatid zweimal täglich</w:t>
            </w:r>
          </w:p>
        </w:tc>
        <w:tc>
          <w:tcPr/>
          <w:p>
            <w:pPr>
              <w:pStyle w:val="Compact"/>
              <w:jc w:val="left"/>
            </w:pPr>
            <w:r>
              <w:t xml:space="preserve">26 Wochen</w:t>
            </w:r>
          </w:p>
        </w:tc>
        <w:tc>
          <w:tcPr/>
          <w:p>
            <w:pPr>
              <w:pStyle w:val="Compact"/>
              <w:jc w:val="left"/>
            </w:pPr>
            <w:r>
              <w:t xml:space="preserve">HbA1c −1,12 vs. −0,79; Gewicht −3,24 vs. −2,87 kg</w:t>
            </w:r>
          </w:p>
        </w:tc>
      </w:tr>
      <w:tr>
        <w:tc>
          <w:tcPr/>
          <w:p>
            <w:pPr>
              <w:pStyle w:val="Compact"/>
              <w:jc w:val="left"/>
            </w:pPr>
            <w:r>
              <w:t xml:space="preserve">Pratley 2010, PMID 20417856</w:t>
            </w:r>
          </w:p>
        </w:tc>
        <w:tc>
          <w:tcPr/>
          <w:p>
            <w:pPr>
              <w:pStyle w:val="Compact"/>
              <w:jc w:val="left"/>
            </w:pPr>
            <w:r>
              <w:t xml:space="preserve">658 Personen unter Metformin, offen vs. Sitagliptin</w:t>
            </w:r>
          </w:p>
        </w:tc>
        <w:tc>
          <w:tcPr/>
          <w:p>
            <w:pPr>
              <w:pStyle w:val="Compact"/>
              <w:jc w:val="left"/>
            </w:pPr>
            <w:r>
              <w:t xml:space="preserve">26 Wochen</w:t>
            </w:r>
          </w:p>
        </w:tc>
        <w:tc>
          <w:tcPr/>
          <w:p>
            <w:pPr>
              <w:pStyle w:val="Compact"/>
              <w:jc w:val="left"/>
            </w:pPr>
            <w:r>
              <w:t xml:space="preserve">HbA1c −1,50 (1,8 mg) vs. −0,90; Übelkeit 27 % vs. 5 %</w:t>
            </w:r>
          </w:p>
        </w:tc>
      </w:tr>
    </w:tbl>
    <w:p>
      <w:pPr>
        <w:pStyle w:val="BodyText"/>
      </w:pPr>
      <w:r>
        <w:t xml:space="preserve">Der Langzeitzuckerwert HbA1c sank unter Liraglutid in diesen Studien um 1,1 bis 1,5 Prozentpunkte. In LEAD-3 (Garber 2009, PMID 18819705) war Liraglutid als erstes Diabetesmittel dem Sulfonylharnstoff Glimepirid überlegen, der den Blutzucker unabhängig von Mahlzeiten senkt und häufiger zu Unterzuckerungen führt. Gegen Sitagliptin (Pratley 2010, PMID 20417856) betrug der Vorteil 0,6 Prozentpunkte, allerdings mit deutlich mehr Übelkeit.</w:t>
      </w:r>
    </w:p>
    <w:bookmarkEnd w:id="151"/>
    <w:bookmarkStart w:id="152" w:name="Xfb5911034c80acee3e1ebb53d6a45b3b8f7c1c9"/>
    <w:p>
      <w:pPr>
        <w:pStyle w:val="Heading4"/>
      </w:pPr>
      <w:r>
        <w:t xml:space="preserve">Direktvergleiche innerhalb der GLP-1-Klasse</w:t>
      </w:r>
    </w:p>
    <w:p>
      <w:pPr>
        <w:pStyle w:val="FirstParagraph"/>
      </w:pPr>
      <w:r>
        <w:t xml:space="preserve">Liraglutid ist der am häufigsten verwendete Vergleichspartner der Klasse. Die Ergebnisse ergeben eine klare Rangfolge: Liraglutid ist stärker als Exenatid, etwa gleich stark wie Dulaglutid und schwächer als Semaglutid.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Dauer</w:t>
            </w:r>
          </w:p>
        </w:tc>
        <w:tc>
          <w:tcPr/>
          <w:p>
            <w:pPr>
              <w:pStyle w:val="Compact"/>
              <w:jc w:val="left"/>
            </w:pPr>
            <w:r>
              <w:t xml:space="preserve">Ergebnis (Liraglutid vs. Vergleich)</w:t>
            </w:r>
          </w:p>
        </w:tc>
      </w:tr>
      <w:tr>
        <w:tc>
          <w:tcPr/>
          <w:p>
            <w:pPr>
              <w:pStyle w:val="Compact"/>
              <w:jc w:val="left"/>
            </w:pPr>
            <w:r>
              <w:t xml:space="preserve">LEAD-6 (Buse 2009), PMID 19515413</w:t>
            </w:r>
          </w:p>
        </w:tc>
        <w:tc>
          <w:tcPr/>
          <w:p>
            <w:pPr>
              <w:pStyle w:val="Compact"/>
              <w:jc w:val="left"/>
            </w:pPr>
            <w:r>
              <w:t xml:space="preserve">vs. Exenatid zweimal täglich</w:t>
            </w:r>
          </w:p>
        </w:tc>
        <w:tc>
          <w:tcPr/>
          <w:p>
            <w:pPr>
              <w:pStyle w:val="Compact"/>
              <w:jc w:val="left"/>
            </w:pPr>
            <w:r>
              <w:t xml:space="preserve">26 Wochen</w:t>
            </w:r>
          </w:p>
        </w:tc>
        <w:tc>
          <w:tcPr/>
          <w:p>
            <w:pPr>
              <w:pStyle w:val="Compact"/>
              <w:jc w:val="left"/>
            </w:pPr>
            <w:r>
              <w:t xml:space="preserve">HbA1c −1,12 vs. −0,79; Zielwert &lt; 7 % bei 54 % vs. 43 %</w:t>
            </w:r>
          </w:p>
        </w:tc>
      </w:tr>
      <w:tr>
        <w:tc>
          <w:tcPr/>
          <w:p>
            <w:pPr>
              <w:pStyle w:val="Compact"/>
              <w:jc w:val="left"/>
            </w:pPr>
            <w:r>
              <w:t xml:space="preserve">DURATION-6 (Buse 2013), PMID 23141817</w:t>
            </w:r>
          </w:p>
        </w:tc>
        <w:tc>
          <w:tcPr/>
          <w:p>
            <w:pPr>
              <w:pStyle w:val="Compact"/>
              <w:jc w:val="left"/>
            </w:pPr>
            <w:r>
              <w:t xml:space="preserve">911 Personen, vs. Exenatid wöchentlich</w:t>
            </w:r>
          </w:p>
        </w:tc>
        <w:tc>
          <w:tcPr/>
          <w:p>
            <w:pPr>
              <w:pStyle w:val="Compact"/>
              <w:jc w:val="left"/>
            </w:pPr>
            <w:r>
              <w:t xml:space="preserve">26 Wochen</w:t>
            </w:r>
          </w:p>
        </w:tc>
        <w:tc>
          <w:tcPr/>
          <w:p>
            <w:pPr>
              <w:pStyle w:val="Compact"/>
              <w:jc w:val="left"/>
            </w:pPr>
            <w:r>
              <w:t xml:space="preserve">HbA1c −1,48 vs. −1,28; Übelkeit 21 % vs. 9 %</w:t>
            </w:r>
          </w:p>
        </w:tc>
      </w:tr>
      <w:tr>
        <w:tc>
          <w:tcPr/>
          <w:p>
            <w:pPr>
              <w:pStyle w:val="Compact"/>
              <w:jc w:val="left"/>
            </w:pPr>
            <w:r>
              <w:t xml:space="preserve">AWARD-6 (Dungan 2014), PMID 25018121</w:t>
            </w:r>
          </w:p>
        </w:tc>
        <w:tc>
          <w:tcPr/>
          <w:p>
            <w:pPr>
              <w:pStyle w:val="Compact"/>
              <w:jc w:val="left"/>
            </w:pPr>
            <w:r>
              <w:t xml:space="preserve">599 Personen, vs. Dulaglutid wöchentlich</w:t>
            </w:r>
          </w:p>
        </w:tc>
        <w:tc>
          <w:tcPr/>
          <w:p>
            <w:pPr>
              <w:pStyle w:val="Compact"/>
              <w:jc w:val="left"/>
            </w:pPr>
            <w:r>
              <w:t xml:space="preserve">26 Wochen</w:t>
            </w:r>
          </w:p>
        </w:tc>
        <w:tc>
          <w:tcPr/>
          <w:p>
            <w:pPr>
              <w:pStyle w:val="Compact"/>
              <w:jc w:val="left"/>
            </w:pPr>
            <w:r>
              <w:t xml:space="preserve">HbA1c −1,36 vs. −1,42; gleichwertig</w:t>
            </w:r>
          </w:p>
        </w:tc>
      </w:tr>
      <w:tr>
        <w:tc>
          <w:tcPr/>
          <w:p>
            <w:pPr>
              <w:pStyle w:val="Compact"/>
              <w:jc w:val="left"/>
            </w:pPr>
            <w:r>
              <w:t xml:space="preserve">PIONEER 4 (Pratley 2019), PMID 31186120</w:t>
            </w:r>
          </w:p>
        </w:tc>
        <w:tc>
          <w:tcPr/>
          <w:p>
            <w:pPr>
              <w:pStyle w:val="Compact"/>
              <w:jc w:val="left"/>
            </w:pPr>
            <w:r>
              <w:t xml:space="preserve">711 Personen, vs. Semaglutid-Tablette und Placebo</w:t>
            </w:r>
          </w:p>
        </w:tc>
        <w:tc>
          <w:tcPr/>
          <w:p>
            <w:pPr>
              <w:pStyle w:val="Compact"/>
              <w:jc w:val="left"/>
            </w:pPr>
            <w:r>
              <w:t xml:space="preserve">52 Wochen</w:t>
            </w:r>
          </w:p>
        </w:tc>
        <w:tc>
          <w:tcPr/>
          <w:p>
            <w:pPr>
              <w:pStyle w:val="Compact"/>
              <w:jc w:val="left"/>
            </w:pPr>
            <w:r>
              <w:t xml:space="preserve">HbA1c −1,1 vs. −1,2 nach 26 Wochen; Gewicht −3,1 vs. −4,4 kg</w:t>
            </w:r>
          </w:p>
        </w:tc>
      </w:tr>
      <w:tr>
        <w:tc>
          <w:tcPr/>
          <w:p>
            <w:pPr>
              <w:pStyle w:val="Compact"/>
              <w:jc w:val="left"/>
            </w:pPr>
            <w:r>
              <w:t xml:space="preserve">SUSTAIN 10 (Capehorn 2020), PMID 31539622</w:t>
            </w:r>
          </w:p>
        </w:tc>
        <w:tc>
          <w:tcPr/>
          <w:p>
            <w:pPr>
              <w:pStyle w:val="Compact"/>
              <w:jc w:val="left"/>
            </w:pPr>
            <w:r>
              <w:t xml:space="preserve">Liraglutid 1,2 mg vs. Semaglutid 1,0 mg wöchentlich</w:t>
            </w:r>
          </w:p>
        </w:tc>
        <w:tc>
          <w:tcPr/>
          <w:p>
            <w:pPr>
              <w:pStyle w:val="Compact"/>
              <w:jc w:val="left"/>
            </w:pPr>
            <w:r>
              <w:t xml:space="preserve">30 Wochen</w:t>
            </w:r>
          </w:p>
        </w:tc>
        <w:tc>
          <w:tcPr/>
          <w:p>
            <w:pPr>
              <w:pStyle w:val="Compact"/>
              <w:jc w:val="left"/>
            </w:pPr>
            <w:r>
              <w:t xml:space="preserve">HbA1c −1,0 vs. −1,7; Gewicht −1,9 vs. −5,8 kg</w:t>
            </w:r>
          </w:p>
        </w:tc>
      </w:tr>
      <w:tr>
        <w:tc>
          <w:tcPr/>
          <w:p>
            <w:pPr>
              <w:pStyle w:val="Compact"/>
              <w:jc w:val="left"/>
            </w:pPr>
            <w:r>
              <w:t xml:space="preserve">STEP 8 (Rubino 2022), PMID 35015037</w:t>
            </w:r>
          </w:p>
        </w:tc>
        <w:tc>
          <w:tcPr/>
          <w:p>
            <w:pPr>
              <w:pStyle w:val="Compact"/>
              <w:jc w:val="left"/>
            </w:pPr>
            <w:r>
              <w:t xml:space="preserve">338 Personen mit Adipositas ohne Diabetes, Liraglutid 3,0 mg vs. Semaglutid 2,4 mg</w:t>
            </w:r>
          </w:p>
        </w:tc>
        <w:tc>
          <w:tcPr/>
          <w:p>
            <w:pPr>
              <w:pStyle w:val="Compact"/>
              <w:jc w:val="left"/>
            </w:pPr>
            <w:r>
              <w:t xml:space="preserve">68 Wochen</w:t>
            </w:r>
          </w:p>
        </w:tc>
        <w:tc>
          <w:tcPr/>
          <w:p>
            <w:pPr>
              <w:pStyle w:val="Compact"/>
              <w:jc w:val="left"/>
            </w:pPr>
            <w:r>
              <w:t xml:space="preserve">Gewicht −6,4 % vs. −15,8 %</w:t>
            </w:r>
          </w:p>
        </w:tc>
      </w:tr>
    </w:tbl>
    <w:p>
      <w:pPr>
        <w:pStyle w:val="BodyText"/>
      </w:pPr>
      <w:r>
        <w:t xml:space="preserve">In LEAD-6 (Buse 2009, PMID 19515413) senkte Liraglutid den Nüchternzucker deutlich stärker als Exenatid zweimal täglich, den Zuckeranstieg nach Frühstück und Abendessen dagegen weniger – ein Hinweis darauf, dass kurz wirksame Formen stärker über die Magenentleerung wirken. Übelkeit hielt unter Liraglutid kürzer an, leichte Unterzuckerungen waren seltener (25,5 % vs. 33,6 % der Teilnehmenden).</w:t>
      </w:r>
    </w:p>
    <w:p>
      <w:pPr>
        <w:pStyle w:val="BodyText"/>
      </w:pPr>
      <w:r>
        <w:t xml:space="preserve">Gegen Dulaglutid war Liraglutid in AWARD-6 (Dungan 2014, PMID 25018121) gleichwertig, bei ähnlicher Verträglichkeit; Übelkeit trat bei 18 % gegenüber 20 % auf.</w:t>
      </w:r>
    </w:p>
    <w:p>
      <w:pPr>
        <w:pStyle w:val="BodyText"/>
      </w:pPr>
      <w:r>
        <w:t xml:space="preserve">Gegen Semaglutid verlor Liraglutid in allen Vergleichen. Am deutlichsten war das in STEP 8 (Rubino 2022, PMID 35015037) beim Gewicht: Mit der jeweils für Adipositas zugelassenen Dosis nahmen Teilnehmende unter Semaglutid im Mittel 15,8 % ab, unter Liraglutid 6,4 % (Placebo: 1,9 %). Eine Abnahme von mindestens 15 % erreichten 55,6 % gegenüber 12,0 %. Die Behandlung vorzeitig beendet hatten 27,6 % unter Liraglutid und 13,5 % unter Semaglutid. Bei der Semaglutid-Tablette fiel der Unterschied in PIONEER 4 (Pratley 2019, PMID 31186120) kleiner aus: Beim HbA1c war die Tablette nach dem Hauptauswertungsverfahren nicht schlechter, beim Gewicht um 1,2 kg überlegen. Einzelheiten zu diesen Studien stehen im Kapitel Semaglutid.</w:t>
      </w:r>
    </w:p>
    <w:bookmarkEnd w:id="152"/>
    <w:bookmarkStart w:id="153" w:name="leader-herz-kreislauf-und-nieren"/>
    <w:p>
      <w:pPr>
        <w:pStyle w:val="Heading4"/>
      </w:pPr>
      <w:r>
        <w:t xml:space="preserve">LEADER: Herz, Kreislauf und Nieren</w:t>
      </w:r>
    </w:p>
    <w:p>
      <w:pPr>
        <w:pStyle w:val="FirstParagraph"/>
      </w:pPr>
      <w:r>
        <w:t xml:space="preserve">LEADER war die erste große Studie, die für einen GLP-1-Rezeptor-Agonisten einen Schutz vor Herz-Kreislauf-Ereignissen zeigte. Sie hat die Rolle der gesamten Klasse in den Diabetes-Leitlinien verändert.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LEADER (Marso 2016), PMID 27295427</w:t>
            </w:r>
          </w:p>
        </w:tc>
        <w:tc>
          <w:tcPr/>
          <w:p>
            <w:pPr>
              <w:pStyle w:val="Compact"/>
              <w:jc w:val="left"/>
            </w:pPr>
            <w:r>
              <w:t xml:space="preserve">9.340 Personen mit Typ-2-Diabetes und hohem Herz-Kreislauf-Risiko, RCT gegen Placebo</w:t>
            </w:r>
          </w:p>
        </w:tc>
        <w:tc>
          <w:tcPr/>
          <w:p>
            <w:pPr>
              <w:pStyle w:val="Compact"/>
              <w:jc w:val="left"/>
            </w:pPr>
            <w:r>
              <w:t xml:space="preserve">median 3,8 Jahre</w:t>
            </w:r>
          </w:p>
        </w:tc>
        <w:tc>
          <w:tcPr/>
          <w:p>
            <w:pPr>
              <w:pStyle w:val="Compact"/>
              <w:jc w:val="left"/>
            </w:pPr>
            <w:r>
              <w:t xml:space="preserve">Schwere Herz-Kreislauf-Ereignisse 13,0 % vs. 14,9 %; HR 0,87 (0,78–0,97)</w:t>
            </w:r>
          </w:p>
        </w:tc>
      </w:tr>
      <w:tr>
        <w:tc>
          <w:tcPr/>
          <w:p>
            <w:pPr>
              <w:pStyle w:val="Compact"/>
              <w:jc w:val="left"/>
            </w:pPr>
            <w:r>
              <w:t xml:space="preserve">LEADER, Nierenauswertung (Mann 2017), PMID 28854085</w:t>
            </w:r>
          </w:p>
        </w:tc>
        <w:tc>
          <w:tcPr/>
          <w:p>
            <w:pPr>
              <w:pStyle w:val="Compact"/>
              <w:jc w:val="left"/>
            </w:pPr>
            <w:r>
              <w:t xml:space="preserve">dieselben 9.340 Personen, vorab geplante Auswertung</w:t>
            </w:r>
          </w:p>
        </w:tc>
        <w:tc>
          <w:tcPr/>
          <w:p>
            <w:pPr>
              <w:pStyle w:val="Compact"/>
              <w:jc w:val="left"/>
            </w:pPr>
            <w:r>
              <w:t xml:space="preserve">median 3,84 Jahre</w:t>
            </w:r>
          </w:p>
        </w:tc>
        <w:tc>
          <w:tcPr/>
          <w:p>
            <w:pPr>
              <w:pStyle w:val="Compact"/>
              <w:jc w:val="left"/>
            </w:pPr>
            <w:r>
              <w:t xml:space="preserve">Nierenendpunkt 268 vs. 337 Fälle; HR 0,78, vor allem weniger neue Makroalbuminurie</w:t>
            </w:r>
          </w:p>
        </w:tc>
      </w:tr>
    </w:tbl>
    <w:p>
      <w:pPr>
        <w:pStyle w:val="BodyText"/>
      </w:pPr>
      <w:r>
        <w:t xml:space="preserve">Der Hauptendpunkt – Tod durch Herz-Kreislauf-Ursache, nicht tödlicher Herzinfarkt oder Schlaganfall – trat unter Liraglutid bei 608 von 4.668 Personen (13,0 %) auf, unter Placebo bei 694 von 4.672 (14,9 %) (Marso 2016, PMID 27295427). Das entspricht einer relativen Risikosenkung um 13 %. Getragen wurde der Effekt vor allem von weniger Herz-Kreislauf-Todesfällen (4,7 % vs. 6,0 %; HR 0,78). Auch die Gesamtsterblichkeit war niedriger (8,2 % vs. 9,6 %; HR 0,85). Die einzelnen Komponenten Herzinfarkt, Schlaganfall und Krankenhausaufnahme wegen Herzschwäche waren für sich genommen nicht signifikant reduziert.</w:t>
      </w:r>
    </w:p>
    <w:p>
      <w:pPr>
        <w:pStyle w:val="BodyText"/>
      </w:pPr>
      <w:r>
        <w:t xml:space="preserve">In absoluten Zahlen bedeutet das: Über knapp vier Jahre hatten etwa zwei von hundert Behandelten weniger ein schweres Herz-Kreislauf-Ereignis. Für eine Hochrisikogruppe ist das ein relevanter Effekt.</w:t>
      </w:r>
    </w:p>
    <w:p>
      <w:pPr>
        <w:pStyle w:val="BodyText"/>
      </w:pPr>
      <w:r>
        <w:t xml:space="preserve">Die Nierenauswertung (Mann 2017, PMID 28854085) zeigte weniger Fälle einer neu auftretenden starken Eiweißausscheidung im Urin (Makroalbuminurie). Harte Nierenendpunkte wie Dialysepflicht waren selten und unterschieden sich nicht deutlich. Akutes Nierenversagen trat nicht häufiger auf.</w:t>
      </w:r>
    </w:p>
    <w:p>
      <w:pPr>
        <w:pStyle w:val="BodyText"/>
      </w:pPr>
      <w:r>
        <w:t xml:space="preserve">Nicht jede Herzgruppe profitiert. In der FIGHT-Studie mit 300 Personen, die kurz zuvor wegen einer schweren Herzschwäche mit stark eingeschränkter Pumpfunktion im Krankenhaus gewesen waren, verbesserte Liraglutid den Verlauf nicht (Margulies 2016, PMID 27483064). Es gab sogar etwas mehr erneute Krankenhausaufnahmen wegen Herzschwäche (41 % vs. 34 %), ohne dass der Unterschied statistisch gesichert war. Die Autorinnen und Autoren sahen keine Grundlage für den Einsatz in dieser Situation.</w:t>
      </w:r>
    </w:p>
    <w:bookmarkEnd w:id="153"/>
    <w:bookmarkStart w:id="154" w:name="adipositas-das-scale-programm"/>
    <w:p>
      <w:pPr>
        <w:pStyle w:val="Heading4"/>
      </w:pPr>
      <w:r>
        <w:t xml:space="preserve">Adipositas: das SCALE-Programm</w:t>
      </w:r>
    </w:p>
    <w:p>
      <w:pPr>
        <w:pStyle w:val="FirstParagraph"/>
      </w:pPr>
      <w:r>
        <w:t xml:space="preserve">Mit 3,0 mg pro Tag – fast doppelt so viel wie die höchste Diabetesdosis – wurde Liraglutid 2014/2015 als erstes GLP-1-Medikament zur Gewichtsreduktion zugelassen. Grundlage war das Studienprogramm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SCALE Obesity and Prediabetes (Pi-Sunyer 2015), PMID 26132939</w:t>
            </w:r>
          </w:p>
        </w:tc>
        <w:tc>
          <w:tcPr/>
          <w:p>
            <w:pPr>
              <w:pStyle w:val="Compact"/>
              <w:jc w:val="left"/>
            </w:pPr>
            <w:r>
              <w:t xml:space="preserve">3.731 Erwachsene mit Adipositas ohne Diabetes, RCT gegen Placebo</w:t>
            </w:r>
          </w:p>
        </w:tc>
        <w:tc>
          <w:tcPr/>
          <w:p>
            <w:pPr>
              <w:pStyle w:val="Compact"/>
              <w:jc w:val="left"/>
            </w:pPr>
            <w:r>
              <w:t xml:space="preserve">56 Wochen</w:t>
            </w:r>
          </w:p>
        </w:tc>
        <w:tc>
          <w:tcPr/>
          <w:p>
            <w:pPr>
              <w:pStyle w:val="Compact"/>
              <w:jc w:val="left"/>
            </w:pPr>
            <w:r>
              <w:t xml:space="preserve">−8,4 kg vs. −2,8 kg; ≥ 5 % Abnahme bei 63,2 % vs. 27,1 %</w:t>
            </w:r>
          </w:p>
        </w:tc>
      </w:tr>
      <w:tr>
        <w:tc>
          <w:tcPr/>
          <w:p>
            <w:pPr>
              <w:pStyle w:val="Compact"/>
              <w:jc w:val="left"/>
            </w:pPr>
            <w:r>
              <w:t xml:space="preserve">SCALE, 3-Jahres-Teil (le Roux 2017), PMID 28237263</w:t>
            </w:r>
          </w:p>
        </w:tc>
        <w:tc>
          <w:tcPr/>
          <w:p>
            <w:pPr>
              <w:pStyle w:val="Compact"/>
              <w:jc w:val="left"/>
            </w:pPr>
            <w:r>
              <w:t xml:space="preserve">2.254 Personen mit Prädiabetes</w:t>
            </w:r>
          </w:p>
        </w:tc>
        <w:tc>
          <w:tcPr/>
          <w:p>
            <w:pPr>
              <w:pStyle w:val="Compact"/>
              <w:jc w:val="left"/>
            </w:pPr>
            <w:r>
              <w:t xml:space="preserve">160 Wochen</w:t>
            </w:r>
          </w:p>
        </w:tc>
        <w:tc>
          <w:tcPr/>
          <w:p>
            <w:pPr>
              <w:pStyle w:val="Compact"/>
              <w:jc w:val="left"/>
            </w:pPr>
            <w:r>
              <w:t xml:space="preserve">Diabetes neu bei 2 % vs. 6 %; Gewicht −6,1 % vs. −1,9 %</w:t>
            </w:r>
          </w:p>
        </w:tc>
      </w:tr>
      <w:tr>
        <w:tc>
          <w:tcPr/>
          <w:p>
            <w:pPr>
              <w:pStyle w:val="Compact"/>
              <w:jc w:val="left"/>
            </w:pPr>
            <w:r>
              <w:t xml:space="preserve">SCALE Diabetes (Davies 2015), PMID 26284720</w:t>
            </w:r>
          </w:p>
        </w:tc>
        <w:tc>
          <w:tcPr/>
          <w:p>
            <w:pPr>
              <w:pStyle w:val="Compact"/>
              <w:jc w:val="left"/>
            </w:pPr>
            <w:r>
              <w:t xml:space="preserve">846 Personen mit Typ-2-Diabetes und Übergewicht</w:t>
            </w:r>
          </w:p>
        </w:tc>
        <w:tc>
          <w:tcPr/>
          <w:p>
            <w:pPr>
              <w:pStyle w:val="Compact"/>
              <w:jc w:val="left"/>
            </w:pPr>
            <w:r>
              <w:t xml:space="preserve">56 Wochen</w:t>
            </w:r>
          </w:p>
        </w:tc>
        <w:tc>
          <w:tcPr/>
          <w:p>
            <w:pPr>
              <w:pStyle w:val="Compact"/>
              <w:jc w:val="left"/>
            </w:pPr>
            <w:r>
              <w:t xml:space="preserve">−6,0 % (3,0 mg) vs. −2,0 %</w:t>
            </w:r>
          </w:p>
        </w:tc>
      </w:tr>
      <w:tr>
        <w:tc>
          <w:tcPr/>
          <w:p>
            <w:pPr>
              <w:pStyle w:val="Compact"/>
              <w:jc w:val="left"/>
            </w:pPr>
            <w:r>
              <w:t xml:space="preserve">SCALE Maintenance (Wadden 2013), PMID 23812094</w:t>
            </w:r>
          </w:p>
        </w:tc>
        <w:tc>
          <w:tcPr/>
          <w:p>
            <w:pPr>
              <w:pStyle w:val="Compact"/>
              <w:jc w:val="left"/>
            </w:pPr>
            <w:r>
              <w:t xml:space="preserve">422 Personen nach Diät mit ≥ 5 % Abnahme</w:t>
            </w:r>
          </w:p>
        </w:tc>
        <w:tc>
          <w:tcPr/>
          <w:p>
            <w:pPr>
              <w:pStyle w:val="Compact"/>
              <w:jc w:val="left"/>
            </w:pPr>
            <w:r>
              <w:t xml:space="preserve">56 Wochen</w:t>
            </w:r>
          </w:p>
        </w:tc>
        <w:tc>
          <w:tcPr/>
          <w:p>
            <w:pPr>
              <w:pStyle w:val="Compact"/>
              <w:jc w:val="left"/>
            </w:pPr>
            <w:r>
              <w:t xml:space="preserve">zusätzlich −6,2 % vs. −0,2 %</w:t>
            </w:r>
          </w:p>
        </w:tc>
      </w:tr>
      <w:tr>
        <w:tc>
          <w:tcPr/>
          <w:p>
            <w:pPr>
              <w:pStyle w:val="Compact"/>
              <w:jc w:val="left"/>
            </w:pPr>
            <w:r>
              <w:t xml:space="preserve">SCALE Sleep Apnea (Blackman 2016), PMID 27005405</w:t>
            </w:r>
          </w:p>
        </w:tc>
        <w:tc>
          <w:tcPr/>
          <w:p>
            <w:pPr>
              <w:pStyle w:val="Compact"/>
              <w:jc w:val="left"/>
            </w:pPr>
            <w:r>
              <w:t xml:space="preserve">Erwachsene mit Adipositas und mittel- bis schwergradiger Schlafapnoe</w:t>
            </w:r>
          </w:p>
        </w:tc>
        <w:tc>
          <w:tcPr/>
          <w:p>
            <w:pPr>
              <w:pStyle w:val="Compact"/>
              <w:jc w:val="left"/>
            </w:pPr>
            <w:r>
              <w:t xml:space="preserve">32 Wochen</w:t>
            </w:r>
          </w:p>
        </w:tc>
        <w:tc>
          <w:tcPr/>
          <w:p>
            <w:pPr>
              <w:pStyle w:val="Compact"/>
              <w:jc w:val="left"/>
            </w:pPr>
            <w:r>
              <w:t xml:space="preserve">Atemaussetzer −12,2 vs. −6,1 pro Stunde; Gewicht −5,7 % vs. −1,6 %</w:t>
            </w:r>
          </w:p>
        </w:tc>
      </w:tr>
    </w:tbl>
    <w:p>
      <w:pPr>
        <w:pStyle w:val="BodyText"/>
      </w:pPr>
      <w:r>
        <w:t xml:space="preserve">In der größten Studie (Pi-Sunyer 2015, PMID 26132939) verloren die Teilnehmenden unter Liraglutid im Mittel 8,4 kg, unter Placebo 2,8 kg – jeweils mit Ernährungs- und Bewegungsberatung. Ein Drittel (33,1 %) nahm mehr als 10 % des Körpergewichts ab, gegenüber 10,6 % unter Placebo. Schwerwiegende unerwünschte Ereignisse traten bei 6,2 % gegenüber 5,0 % auf.</w:t>
      </w:r>
    </w:p>
    <w:p>
      <w:pPr>
        <w:pStyle w:val="BodyText"/>
      </w:pPr>
      <w:r>
        <w:t xml:space="preserve">Die Teilnehmenden mit Prädiabetes (Vorstufe des Diabetes) wurden drei Jahre lang weiterbehandelt (le Roux 2017, PMID 28237263). Unter Liraglutid entwickelten 2 % einen Typ-2-Diabetes, unter Placebo 6 %. Die Studie hat jedoch eine wichtige Schwäche: Nur die Hälfte der Teilnehmenden (50 %) blieb bis zum Ende dabei, und wer ausschied, wurde nicht weiter beobachtet. Die Ergebnisse sind daher mit Vorsicht zu lesen.</w:t>
      </w:r>
    </w:p>
    <w:p>
      <w:pPr>
        <w:pStyle w:val="BodyText"/>
      </w:pPr>
      <w:r>
        <w:t xml:space="preserve">Bei Menschen mit Typ-2-Diabetes fiel der Gewichtsverlust geringer aus (Davies 2015, PMID 26284720) – ein Muster, das sich bei allen GLP-1-Medikamenten wiederholt. In SCALE Maintenance (Wadden 2013, PMID 23812094) half Liraglutid, nach einer Diätphase das Gewicht zu halten: 81,4 % hielten den zuvor erreichten Gewichtsverlust, gegenüber 48,9 % unter Placebo.</w:t>
      </w:r>
    </w:p>
    <w:p>
      <w:pPr>
        <w:pStyle w:val="BodyText"/>
      </w:pPr>
      <w:r>
        <w:t xml:space="preserve">Im Rückblick wirkt der Gewichtseffekt von Liraglutid bescheiden, seit Semaglutid und Tirzepatid im Mittel 15 bis über 20 % erreichen. Für seine Zeit war er ein Durchbruch: Kein zuvor zugelassenes Mittel hatte in Studien dieser Größe ähnliche Werte gezeigt.</w:t>
      </w:r>
    </w:p>
    <w:bookmarkEnd w:id="154"/>
    <w:bookmarkStart w:id="155" w:name="kinder-und-jugendliche"/>
    <w:p>
      <w:pPr>
        <w:pStyle w:val="Heading4"/>
      </w:pPr>
      <w:r>
        <w:t xml:space="preserve">Kinder und Jugendliche</w:t>
      </w:r>
    </w:p>
    <w:p>
      <w:pPr>
        <w:pStyle w:val="FirstParagraph"/>
      </w:pPr>
      <w:r>
        <w:t xml:space="preserve">Liraglutid ist einer der wenigen Wirkstoffe dieser Klasse, die gezielt bei Kindern und Jugendlichen untersucht wurden.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ELLIPSE (Tamborlane 2019), PMID 31034184</w:t>
            </w:r>
          </w:p>
        </w:tc>
        <w:tc>
          <w:tcPr/>
          <w:p>
            <w:pPr>
              <w:pStyle w:val="Compact"/>
              <w:jc w:val="left"/>
            </w:pPr>
            <w:r>
              <w:t xml:space="preserve">134 Kinder und Jugendliche (10 bis unter 17 Jahre) mit Typ-2-Diabetes, RCT gegen Placebo</w:t>
            </w:r>
          </w:p>
        </w:tc>
        <w:tc>
          <w:tcPr/>
          <w:p>
            <w:pPr>
              <w:pStyle w:val="Compact"/>
              <w:jc w:val="left"/>
            </w:pPr>
            <w:r>
              <w:t xml:space="preserve">52 Wochen</w:t>
            </w:r>
          </w:p>
        </w:tc>
        <w:tc>
          <w:tcPr/>
          <w:p>
            <w:pPr>
              <w:pStyle w:val="Compact"/>
              <w:jc w:val="left"/>
            </w:pPr>
            <w:r>
              <w:t xml:space="preserve">HbA1c −1,06 Prozentpunkte gegenüber Placebo nach 26 Wochen, −1,30 nach 52 Wochen</w:t>
            </w:r>
          </w:p>
        </w:tc>
      </w:tr>
      <w:tr>
        <w:tc>
          <w:tcPr/>
          <w:p>
            <w:pPr>
              <w:pStyle w:val="Compact"/>
              <w:jc w:val="left"/>
            </w:pPr>
            <w:r>
              <w:t xml:space="preserve">SCALE Teens (Kelly 2020), PMID 32233338</w:t>
            </w:r>
          </w:p>
        </w:tc>
        <w:tc>
          <w:tcPr/>
          <w:p>
            <w:pPr>
              <w:pStyle w:val="Compact"/>
              <w:jc w:val="left"/>
            </w:pPr>
            <w:r>
              <w:t xml:space="preserve">251 Jugendliche (12 bis unter 18 Jahre) mit Adipositas, RCT gegen Placebo</w:t>
            </w:r>
          </w:p>
        </w:tc>
        <w:tc>
          <w:tcPr/>
          <w:p>
            <w:pPr>
              <w:pStyle w:val="Compact"/>
              <w:jc w:val="left"/>
            </w:pPr>
            <w:r>
              <w:t xml:space="preserve">56 Wochen</w:t>
            </w:r>
          </w:p>
        </w:tc>
        <w:tc>
          <w:tcPr/>
          <w:p>
            <w:pPr>
              <w:pStyle w:val="Compact"/>
              <w:jc w:val="left"/>
            </w:pPr>
            <w:r>
              <w:t xml:space="preserve">BMI-Abnahme ≥ 5 % bei 43,3 % vs. 18,7 %; Gewicht −4,50 kg gegenüber Placebo</w:t>
            </w:r>
          </w:p>
        </w:tc>
      </w:tr>
      <w:tr>
        <w:tc>
          <w:tcPr/>
          <w:p>
            <w:pPr>
              <w:pStyle w:val="Compact"/>
              <w:jc w:val="left"/>
            </w:pPr>
            <w:r>
              <w:t xml:space="preserve">SCALE Kids (Fox 2025), PMID 39258838</w:t>
            </w:r>
          </w:p>
        </w:tc>
        <w:tc>
          <w:tcPr/>
          <w:p>
            <w:pPr>
              <w:pStyle w:val="Compact"/>
              <w:jc w:val="left"/>
            </w:pPr>
            <w:r>
              <w:t xml:space="preserve">82 Kinder (6 bis unter 12 Jahre) mit Adipositas, RCT gegen Placebo</w:t>
            </w:r>
          </w:p>
        </w:tc>
        <w:tc>
          <w:tcPr/>
          <w:p>
            <w:pPr>
              <w:pStyle w:val="Compact"/>
              <w:jc w:val="left"/>
            </w:pPr>
            <w:r>
              <w:t xml:space="preserve">56 Wochen</w:t>
            </w:r>
          </w:p>
        </w:tc>
        <w:tc>
          <w:tcPr/>
          <w:p>
            <w:pPr>
              <w:pStyle w:val="Compact"/>
              <w:jc w:val="left"/>
            </w:pPr>
            <w:r>
              <w:t xml:space="preserve">BMI −5,8 % vs. +1,6 %</w:t>
            </w:r>
          </w:p>
        </w:tc>
      </w:tr>
    </w:tbl>
    <w:p>
      <w:pPr>
        <w:pStyle w:val="BodyText"/>
      </w:pPr>
      <w:r>
        <w:t xml:space="preserve">In SCALE Teens (Kelly 2020, PMID 32233338) zeigte sich nach dem Absetzen ein Wiederanstieg des BMI, der stärker war als unter Placebo. Magen-Darm-Beschwerden betrafen 64,8 % gegenüber 36,5 %; 10,4 % brachen die Behandlung wegen Nebenwirkungen ab. In der Liraglutid-Gruppe gab es einen Suizid, den die Prüfärzte als wahrscheinlich nicht mit der Behandlung zusammenhängend einstuften.</w:t>
      </w:r>
    </w:p>
    <w:p>
      <w:pPr>
        <w:pStyle w:val="BodyText"/>
      </w:pPr>
      <w:r>
        <w:t xml:space="preserve">In SCALE Kids (Fox 2025, PMID 39258838) nahm das Körpergewicht der wachsenden Kinder unter Liraglutid im Mittel um 1,6 % zu, unter Placebo um 10,0 %. Magen-Darm-Beschwerden traten bei 80 % gegenüber 54 % auf, schwerwiegende unerwünschte Ereignisse bei 12 % gegenüber 8 %. Bei Kindern stellt sich besonders die Frage, wie lange eine solche Behandlung dauern soll und welche Langzeitwirkungen auf Wachstum und Knochen bestehen. Dazu läuft unter anderem eine Studie zum Knochenstoffwechsel bei 12- bis 21-Jährigen unter GLP-1-Therapie (NCT06903923).</w:t>
      </w:r>
    </w:p>
    <w:bookmarkEnd w:id="155"/>
    <w:bookmarkStart w:id="156" w:name="weitere-einsatzgebiete-in-studien-1"/>
    <w:p>
      <w:pPr>
        <w:pStyle w:val="Heading4"/>
      </w:pPr>
      <w:r>
        <w:t xml:space="preserve">Weitere Einsatzgebiete in Studien</w:t>
      </w:r>
    </w:p>
    <w:p>
      <w:pPr>
        <w:numPr>
          <w:ilvl w:val="0"/>
          <w:numId w:val="1044"/>
        </w:numPr>
        <w:pStyle w:val="Compact"/>
      </w:pPr>
      <w:r>
        <w:rPr>
          <w:bCs/>
          <w:b/>
        </w:rPr>
        <w:t xml:space="preserve">Fettleberentzündung (NASH/MASH):</w:t>
      </w:r>
      <w:r>
        <w:t xml:space="preserve"> </w:t>
      </w:r>
      <w:r>
        <w:t xml:space="preserve">In der kleinen Phase-2-Studie LEAN mit 52 Teilnehmenden bildete sich die Entzündung in der Leberbiopsie bei 39 % unter Liraglutid und bei 9 % unter Placebo zurück; eine Zunahme der Vernarbung (Fibrose) war seltener (9 % vs. 36 %) (Armstrong 2016, PMID 26608256). Größere Studien wurden später mit Semaglutid durchgeführt.</w:t>
      </w:r>
    </w:p>
    <w:p>
      <w:pPr>
        <w:numPr>
          <w:ilvl w:val="0"/>
          <w:numId w:val="1044"/>
        </w:numPr>
        <w:pStyle w:val="Compact"/>
      </w:pPr>
      <w:r>
        <w:rPr>
          <w:bCs/>
          <w:b/>
        </w:rPr>
        <w:t xml:space="preserve">Alzheimer-Krankheit:</w:t>
      </w:r>
      <w:r>
        <w:t xml:space="preserve"> </w:t>
      </w:r>
      <w:r>
        <w:t xml:space="preserve">In der Phase-2b-Studie ELAD mit 204 Personen ohne Diabetes veränderte sich der Hauptendpunkt, der Zuckerstoffwechsel im Gehirn, nicht (Edison 2026, PMID 41326666). In einem Nebenendpunkt zu exekutiven Funktionen schnitt Liraglutid besser ab, bei Alltagsfähigkeiten und Demenzschwere nicht. Nebenendpunkte ohne Korrektur für Mehrfachtests sind nur Hinweise.</w:t>
      </w:r>
    </w:p>
    <w:p>
      <w:pPr>
        <w:numPr>
          <w:ilvl w:val="0"/>
          <w:numId w:val="1044"/>
        </w:numPr>
        <w:pStyle w:val="Compact"/>
      </w:pPr>
      <w:r>
        <w:rPr>
          <w:bCs/>
          <w:b/>
        </w:rPr>
        <w:t xml:space="preserve">Alkohol und andere Süchte:</w:t>
      </w:r>
      <w:r>
        <w:t xml:space="preserve"> </w:t>
      </w:r>
      <w:r>
        <w:t xml:space="preserve">In einer schwedischen Registerstudie mit 227.866 Menschen mit Alkoholabhängigkeit war die Einnahme von Liraglutid mit einem um 28 % geringeren Risiko für alkoholbedingte Krankenhausaufnahmen verbunden (Lähteenvuo 2025, PMID 39535805). Beobachtungsdaten dieser Art zeigen Zusammenhänge, keine Ursache-Wirkungs-Beziehung.</w:t>
      </w:r>
    </w:p>
    <w:bookmarkEnd w:id="156"/>
    <w:bookmarkEnd w:id="157"/>
    <w:bookmarkStart w:id="158" w:name="tier--und-laborstudien-1"/>
    <w:p>
      <w:pPr>
        <w:pStyle w:val="Heading3"/>
      </w:pPr>
      <w:r>
        <w:t xml:space="preserve">Tier- und Laborstudien</w:t>
      </w:r>
    </w:p>
    <w:p>
      <w:pPr>
        <w:pStyle w:val="FirstParagraph"/>
      </w:pPr>
      <w:r>
        <w:t xml:space="preserve">Ein großer Teil des heutigen Verständnisses der GLP-1-Wirkung im Gehirn stammt aus Tierversuchen mit Liraglutid. Bei Ratten und Mäusen wurde gezeigt, dass das Molekül trotz seiner Größe bestimmte Hirnregionen ohne dichte Blut-Hirn-Schranke erreicht und dort appetitzügelnde Nervenzellen anregt (Secher 2014, PMID 25202980).</w:t>
      </w:r>
    </w:p>
    <w:p>
      <w:pPr>
        <w:pStyle w:val="BodyText"/>
      </w:pPr>
      <w:r>
        <w:t xml:space="preserve">Besonders folgenreich waren die Befunde zur Schilddrüse. In Langzeitversuchen mit Ratten und Mäusen führte Liraglutid zu einer Vermehrung der C-Zellen (die das Hormon Calcitonin bilden) und zu C-Zell-Tumoren. Die Untersuchung des Mechanismus ergab, dass Nagetier-C-Zellen reichlich GLP-1-Rezeptoren tragen, die von Menschen und Affen dagegen kaum (Bjerre Knudsen 2010, PMID 20203154). Bei Javaneraffen führten 20 Monate Liraglutid in einer Exposition, die mehr als 60-mal höher lag als beim Menschen, nicht zu einer C-Zell-Vermehrung. Dennoch steht seitdem für die gesamte Klasse ein Warnhinweis zum medullären Schilddrüsenkarzinom in der Fachinformation, insbesondere in den USA.</w:t>
      </w:r>
    </w:p>
    <w:p>
      <w:pPr>
        <w:pStyle w:val="BodyText"/>
      </w:pPr>
      <w:r>
        <w:t xml:space="preserve">Weitere Tierstudien befassten sich mit Herzschutz, Nervenschutz (Alzheimer- und Parkinson-Modelle), Leberverfettung und Nierenschäden. Die Übertragbarkeit auf den Menschen ist wie bei Exenatid begrenzt: Die Alzheimer-Studie ELAD zum Beispiel verfehlte ihren Hauptendpunkt, obwohl die Tierdaten positiv waren.</w:t>
      </w:r>
    </w:p>
    <w:bookmarkEnd w:id="158"/>
    <w:bookmarkStart w:id="159" w:name="risiken-und-nebenwirkungen-1"/>
    <w:p>
      <w:pPr>
        <w:pStyle w:val="Heading3"/>
      </w:pPr>
      <w:r>
        <w:t xml:space="preserve">Risiken und Nebenwirkungen</w:t>
      </w:r>
    </w:p>
    <w:p>
      <w:pPr>
        <w:pStyle w:val="FirstParagraph"/>
      </w:pPr>
      <w:r>
        <w:rPr>
          <w:bCs/>
          <w:b/>
        </w:rPr>
        <w:t xml:space="preserve">Belegt aus randomisierten Studien:</w:t>
      </w:r>
    </w:p>
    <w:p>
      <w:pPr>
        <w:numPr>
          <w:ilvl w:val="0"/>
          <w:numId w:val="1045"/>
        </w:numPr>
        <w:pStyle w:val="Compact"/>
      </w:pPr>
      <w:r>
        <w:rPr>
          <w:bCs/>
          <w:b/>
        </w:rPr>
        <w:t xml:space="preserve">Magen-Darm-Beschwerden:</w:t>
      </w:r>
      <w:r>
        <w:t xml:space="preserve"> </w:t>
      </w:r>
      <w:r>
        <w:t xml:space="preserve">Übelkeit, Durchfall, Erbrechen und Verstopfung sind die häufigsten Nebenwirkungen und meist der Grund für Therapieabbrüche (Marso 2016, PMID 27295427). Sie treten vor allem zu Beginn und nach Dosissteigerungen auf. Bei der höheren Adipositas-Dosis sind sie häufiger als bei der Diabetesdosis (Davies 2015, PMID 26284720).</w:t>
      </w:r>
    </w:p>
    <w:p>
      <w:pPr>
        <w:numPr>
          <w:ilvl w:val="0"/>
          <w:numId w:val="1045"/>
        </w:numPr>
        <w:pStyle w:val="Compact"/>
      </w:pPr>
      <w:r>
        <w:rPr>
          <w:bCs/>
          <w:b/>
        </w:rPr>
        <w:t xml:space="preserve">Gallenblase:</w:t>
      </w:r>
      <w:r>
        <w:t xml:space="preserve"> </w:t>
      </w:r>
      <w:r>
        <w:t xml:space="preserve">Eine Meta-Analyse von 76 randomisierten Studien mit 103.371 Teilnehmenden fand für die GLP-1-Klasse ein um 37 % erhöhtes relatives Risiko für Gallenblasen- und Gallenwegserkrankungen wie Gallensteine und Gallenblasenentzündung (He 2022, PMID 35344001). Das Risiko war bei höheren Dosen, längerer Anwendung und in Studien zur Gewichtsabnahme größer (relatives Risiko 2,29). Ein Teil davon dürfte mit der schnellen Gewichtsabnahme selbst zusammenhängen.</w:t>
      </w:r>
    </w:p>
    <w:p>
      <w:pPr>
        <w:numPr>
          <w:ilvl w:val="0"/>
          <w:numId w:val="1045"/>
        </w:numPr>
        <w:pStyle w:val="Compact"/>
      </w:pPr>
      <w:r>
        <w:rPr>
          <w:bCs/>
          <w:b/>
        </w:rPr>
        <w:t xml:space="preserve">Unterzuckerung:</w:t>
      </w:r>
      <w:r>
        <w:t xml:space="preserve"> </w:t>
      </w:r>
      <w:r>
        <w:t xml:space="preserve">allein selten, in Kombination mit Sulfonylharnstoffen oder Insulin häufiger.</w:t>
      </w:r>
    </w:p>
    <w:p>
      <w:pPr>
        <w:numPr>
          <w:ilvl w:val="0"/>
          <w:numId w:val="1045"/>
        </w:numPr>
        <w:pStyle w:val="Compact"/>
      </w:pPr>
      <w:r>
        <w:rPr>
          <w:bCs/>
          <w:b/>
        </w:rPr>
        <w:t xml:space="preserve">Herzfrequenz:</w:t>
      </w:r>
      <w:r>
        <w:t xml:space="preserve"> </w:t>
      </w:r>
      <w:r>
        <w:t xml:space="preserve">Liraglutid erhöht den Ruhepuls leicht um einige Schläge pro Minute; die klinische Bedeutung gilt angesichts der LEADER-Ergebnisse als gering.</w:t>
      </w:r>
    </w:p>
    <w:p>
      <w:pPr>
        <w:pStyle w:val="FirstParagraph"/>
      </w:pPr>
      <w:r>
        <w:rPr>
          <w:bCs/>
          <w:b/>
        </w:rPr>
        <w:t xml:space="preserve">Untersucht, aber unsicher oder nicht bestätigt:</w:t>
      </w:r>
    </w:p>
    <w:p>
      <w:pPr>
        <w:numPr>
          <w:ilvl w:val="0"/>
          <w:numId w:val="1046"/>
        </w:numPr>
        <w:pStyle w:val="Compact"/>
      </w:pPr>
      <w:r>
        <w:rPr>
          <w:bCs/>
          <w:b/>
        </w:rPr>
        <w:t xml:space="preserve">Bauchspeicheldrüsenentzündung:</w:t>
      </w:r>
      <w:r>
        <w:t xml:space="preserve"> </w:t>
      </w:r>
      <w:r>
        <w:t xml:space="preserve">In LEADER trat sie unter Liraglutid nicht häufiger auf als unter Placebo (Marso 2016, PMID 27295427). Eine ältere Meta-Analyse fand ebenfalls kein erhöhtes Risiko (Alves 2012, PMID 23010561). Die Fachinformation führt sie dennoch als seltene Nebenwirkung; bei starken anhaltenden Bauchschmerzen ist ärztliche Abklärung nötig.</w:t>
      </w:r>
    </w:p>
    <w:p>
      <w:pPr>
        <w:numPr>
          <w:ilvl w:val="0"/>
          <w:numId w:val="1046"/>
        </w:numPr>
        <w:pStyle w:val="Compact"/>
      </w:pPr>
      <w:r>
        <w:rPr>
          <w:bCs/>
          <w:b/>
        </w:rPr>
        <w:t xml:space="preserve">Schilddrüsenkrebs:</w:t>
      </w:r>
      <w:r>
        <w:t xml:space="preserve"> </w:t>
      </w:r>
      <w:r>
        <w:t xml:space="preserve">Die Tierbefunde sind oben beschrieben. Beim Menschen sind die Daten widersprüchlich. Eine französische Fall-Kontroll-Studie mit 2.562 Fällen fand nach ein bis drei Jahren GLP-1-Therapie ein erhöhtes Risiko für Schilddrüsenkrebs insgesamt (HR 1,58) und für das seltene medulläre Karzinom (HR 1,78) (Bezin 2023, PMID 36356111). Eine Meta-Analyse von 50 randomisierten Studien zeigte ebenfalls ein Signal (Odds Ratio 1,55) (Silverii 2025, PMID 40437949). Diskutiert wird, ob ein Teil davon auf häufigere Untersuchungen bei Behandelten zurückgeht. Menschen mit medullärem Schilddrüsenkarzinom in der eigenen oder familiären Vorgeschichte sollen GLP-1-Rezeptor-Agonisten laut Fachinformation nicht anwenden.</w:t>
      </w:r>
    </w:p>
    <w:p>
      <w:pPr>
        <w:numPr>
          <w:ilvl w:val="0"/>
          <w:numId w:val="1046"/>
        </w:numPr>
        <w:pStyle w:val="Compact"/>
      </w:pPr>
      <w:r>
        <w:rPr>
          <w:bCs/>
          <w:b/>
        </w:rPr>
        <w:t xml:space="preserve">Psychische Nebenwirkungen und Suizidgedanken:</w:t>
      </w:r>
      <w:r>
        <w:t xml:space="preserve"> </w:t>
      </w:r>
      <w:r>
        <w:t xml:space="preserve">Nach Einzelmeldungen prüften die europäische und die US-Behörde 2023/2024 einen möglichen Zusammenhang und fanden keinen Beleg für einen ursächlichen Zusammenhang (Stand 2026, bitte aktuell prüfen). In einer skandinavischen Kohortenstudie mit 124.517 Personen unter GLP-1-Rezeptor-Agonisten war das Suizidrisiko gegenüber SGLT2-Hemmern nicht erhöht (HR 1,25; Konfidenzintervall 0,83–1,88) (Ueda 2024, PMID 39226030). Eine Meta-Analyse aus dem Jahr 2026 fand in randomisierten Studien ebenfalls keinen Zusammenhang (Choudhury 2026, PMID 41862354). Die Beobachtung bleibt Gegenstand weiterer Überwachung.</w:t>
      </w:r>
    </w:p>
    <w:p>
      <w:pPr>
        <w:pStyle w:val="FirstParagraph"/>
      </w:pPr>
      <w:r>
        <w:rPr>
          <w:bCs/>
          <w:b/>
        </w:rPr>
        <w:t xml:space="preserve">Hinweise für die Praxis:</w:t>
      </w:r>
      <w:r>
        <w:t xml:space="preserve"> </w:t>
      </w:r>
      <w:r>
        <w:t xml:space="preserve">Liraglutid ist in der Schwangerschaft nicht angezeigt. Wie alle GLP-1-Rezeptor-Agonisten verlangsamt es die Magenentleerung, was bei Narkosen und bei der Aufnahme anderer Medikamente eine Rolle spielen kann. Die Fachinformation und die ärztliche Begleitung sind maßgeblich, auch für die schrittweise Dosissteigerung.</w:t>
      </w:r>
    </w:p>
    <w:bookmarkEnd w:id="159"/>
    <w:bookmarkStart w:id="160" w:name="rechtslage-1"/>
    <w:p>
      <w:pPr>
        <w:pStyle w:val="Heading3"/>
      </w:pPr>
      <w:r>
        <w:t xml:space="preserve">Rechtslage</w:t>
      </w:r>
    </w:p>
    <w:p>
      <w:pPr>
        <w:numPr>
          <w:ilvl w:val="0"/>
          <w:numId w:val="1047"/>
        </w:numPr>
        <w:pStyle w:val="Compact"/>
      </w:pPr>
      <w:r>
        <w:rPr>
          <w:bCs/>
          <w:b/>
        </w:rPr>
        <w:t xml:space="preserve">EU:</w:t>
      </w:r>
      <w:r>
        <w:t xml:space="preserve"> </w:t>
      </w:r>
      <w:r>
        <w:t xml:space="preserve">Victoza ist seit 2009 zur Behandlung des Typ-2-Diabetes zugelassen, Saxenda seit 2015 zum Gewichtsmanagement bei Erwachsenen und Jugendlichen. Beide sind verschreibungspflichtig.</w:t>
      </w:r>
    </w:p>
    <w:p>
      <w:pPr>
        <w:numPr>
          <w:ilvl w:val="0"/>
          <w:numId w:val="1047"/>
        </w:numPr>
        <w:pStyle w:val="Compact"/>
      </w:pPr>
      <w:r>
        <w:rPr>
          <w:bCs/>
          <w:b/>
        </w:rPr>
        <w:t xml:space="preserve">Deutschland:</w:t>
      </w:r>
      <w:r>
        <w:t xml:space="preserve"> </w:t>
      </w:r>
      <w:r>
        <w:t xml:space="preserve">Bei Diabetes erstatten die gesetzlichen Krankenkassen Liraglutid. Mittel zur Gewichtsreduktion sind dagegen nach § 34 SGB V grundsätzlich von der Erstattung ausgeschlossen; Saxenda müssen Versicherte in der Regel selbst bezahlen (Stand 2026, bitte aktuell prüfen).</w:t>
      </w:r>
    </w:p>
    <w:p>
      <w:pPr>
        <w:numPr>
          <w:ilvl w:val="0"/>
          <w:numId w:val="1047"/>
        </w:numPr>
        <w:pStyle w:val="Compact"/>
      </w:pPr>
      <w:r>
        <w:rPr>
          <w:bCs/>
          <w:b/>
        </w:rPr>
        <w:t xml:space="preserve">Österreich:</w:t>
      </w:r>
      <w:r>
        <w:t xml:space="preserve"> </w:t>
      </w:r>
      <w:r>
        <w:t xml:space="preserve">verschreibungspflichtig; die Kostenübernahme für das Gewichtsmanagement ist eingeschränkt und an Bedingungen geknüpft (bitte aktuell prüfen).</w:t>
      </w:r>
    </w:p>
    <w:p>
      <w:pPr>
        <w:numPr>
          <w:ilvl w:val="0"/>
          <w:numId w:val="1047"/>
        </w:numPr>
        <w:pStyle w:val="Compact"/>
      </w:pPr>
      <w:r>
        <w:rPr>
          <w:bCs/>
          <w:b/>
        </w:rPr>
        <w:t xml:space="preserve">USA:</w:t>
      </w:r>
      <w:r>
        <w:t xml:space="preserve"> </w:t>
      </w:r>
      <w:r>
        <w:t xml:space="preserve">Victoza und Saxenda zugelassen, Victoza zusätzlich zur Senkung des Herz-Kreislauf-Risikos. Seit 2024 sind Generika der Diabetesform, seit 2025 auch der Adipositasform auf dem Markt.</w:t>
      </w:r>
    </w:p>
    <w:p>
      <w:pPr>
        <w:numPr>
          <w:ilvl w:val="0"/>
          <w:numId w:val="1047"/>
        </w:numPr>
        <w:pStyle w:val="Compact"/>
      </w:pPr>
      <w:r>
        <w:rPr>
          <w:bCs/>
          <w:b/>
        </w:rPr>
        <w:t xml:space="preserve">Generika in Europa:</w:t>
      </w:r>
      <w:r>
        <w:t xml:space="preserve"> </w:t>
      </w:r>
      <w:r>
        <w:t xml:space="preserve">Da Liraglutid ein synthetisch bzw. gentechnisch herstellbares Peptid mit abgelaufenem Patentschutz ist, kommen auch in Europa Nachahmerpräparate auf den Markt. Der Stand unterscheidet sich je nach Land; bitte aktuell prüfen.</w:t>
      </w:r>
    </w:p>
    <w:p>
      <w:pPr>
        <w:numPr>
          <w:ilvl w:val="0"/>
          <w:numId w:val="1047"/>
        </w:numPr>
        <w:pStyle w:val="Compact"/>
      </w:pPr>
      <w:r>
        <w:rPr>
          <w:bCs/>
          <w:b/>
        </w:rPr>
        <w:t xml:space="preserve">Sport (WADA):</w:t>
      </w:r>
      <w:r>
        <w:t xml:space="preserve"> </w:t>
      </w:r>
      <w:r>
        <w:t xml:space="preserve">nicht gelistet (Stand 2026, bitte aktuell prüfen).</w:t>
      </w:r>
    </w:p>
    <w:p>
      <w:pPr>
        <w:pStyle w:val="FirstParagraph"/>
      </w:pPr>
      <w:r>
        <w:t xml:space="preserve">Die Generika machen Liraglutid zu einem Sonderfall der Klasse: Es ist der erste GLP-1-Wirkstoff mit bewiesenem Herz-Kreislauf-Nutzen, der deutlich günstiger werden kann. Das hat besonders in Ländern mit begrenzten Gesundheitsbudgets Bedeutung, auch wenn die tägliche Spritze und der geringere Effekt im Vergleich zu Semaglutid Nachteile bleiben. Mehr zu Patentabläufen und Preisen in Teil V.</w:t>
      </w:r>
    </w:p>
    <w:bookmarkEnd w:id="160"/>
    <w:bookmarkStart w:id="161" w:name="laufende-studien-und-ausblick-1"/>
    <w:p>
      <w:pPr>
        <w:pStyle w:val="Heading3"/>
      </w:pPr>
      <w:r>
        <w:t xml:space="preserve">Laufende Studien und Ausblick</w:t>
      </w:r>
    </w:p>
    <w:p>
      <w:pPr>
        <w:pStyle w:val="FirstParagraph"/>
      </w:pPr>
      <w:r>
        <w:rPr>
          <w:bCs/>
          <w:b/>
        </w:rPr>
        <w:t xml:space="preserve">Gesichert (registrierte Studien):</w:t>
      </w:r>
      <w:r>
        <w:t xml:space="preserve"> </w:t>
      </w:r>
      <w:r>
        <w:t xml:space="preserve">Neue Zulassungsstudien von Novo Nordisk gibt es kaum noch; die Forschung wird überwiegend von Kliniken und Universitäten getragen. Beispiele:</w:t>
      </w:r>
    </w:p>
    <w:p>
      <w:pPr>
        <w:numPr>
          <w:ilvl w:val="0"/>
          <w:numId w:val="1048"/>
        </w:numPr>
        <w:pStyle w:val="Compact"/>
      </w:pPr>
      <w:r>
        <w:t xml:space="preserve">Eine Studie mit 890 Frauen mit Adipositas, unerfülltem Kinderwunsch und polyzystischem Ovarialsyndrom (PCOS) prüft Liraglutid vor einer Kinderwunschbehandlung (NCT06742710).</w:t>
      </w:r>
    </w:p>
    <w:p>
      <w:pPr>
        <w:numPr>
          <w:ilvl w:val="0"/>
          <w:numId w:val="1048"/>
        </w:numPr>
        <w:pStyle w:val="Compact"/>
      </w:pPr>
      <w:r>
        <w:t xml:space="preserve">Eine Phase-3-Studie mit 260 älteren Menschen mit Diabetes untersucht, ob Liraglutid ein Delir nach Herzoperationen verhindern kann (NCT06361238).</w:t>
      </w:r>
    </w:p>
    <w:p>
      <w:pPr>
        <w:numPr>
          <w:ilvl w:val="0"/>
          <w:numId w:val="1048"/>
        </w:numPr>
        <w:pStyle w:val="Compact"/>
      </w:pPr>
      <w:r>
        <w:t xml:space="preserve">Bei einer erblichen Diabetesform (MODY) wird Liraglutid in einer Phase-2-Studie untersucht (NCT07029009).</w:t>
      </w:r>
    </w:p>
    <w:p>
      <w:pPr>
        <w:numPr>
          <w:ilvl w:val="0"/>
          <w:numId w:val="1048"/>
        </w:numPr>
        <w:pStyle w:val="Compact"/>
      </w:pPr>
      <w:r>
        <w:t xml:space="preserve">Eine große pragmatische Studie mit 6.000 Teilnehmenden vergleicht Behandlungsstrategien zur Vorbeugung von Herz- und Nierenerkrankungen bei Typ-2-Diabetes (NCT05390892).</w:t>
      </w:r>
    </w:p>
    <w:p>
      <w:pPr>
        <w:numPr>
          <w:ilvl w:val="0"/>
          <w:numId w:val="1048"/>
        </w:numPr>
        <w:pStyle w:val="Compact"/>
      </w:pPr>
      <w:r>
        <w:t xml:space="preserve">Die Langzeitbeobachtung der SCALE-Kids-Teilnehmenden läuft weiter (NCT04775082).</w:t>
      </w:r>
    </w:p>
    <w:p>
      <w:pPr>
        <w:pStyle w:val="FirstParagraph"/>
      </w:pPr>
      <w:r>
        <w:rPr>
          <w:bCs/>
          <w:b/>
        </w:rPr>
        <w:t xml:space="preserve">Einschätzung:</w:t>
      </w:r>
      <w:r>
        <w:t xml:space="preserve"> </w:t>
      </w:r>
      <w:r>
        <w:t xml:space="preserve">Liraglutid wird in reichen Ländern zunehmend von wöchentlichen Wirkstoffen wie Semaglutid und Tirzepatid verdrängt. Durch die Generika dürfte es aber eine zweite Karriere als preisgünstige Alternative erleben – vor allem dort, wo die neueren Mittel nicht bezahlbar oder nicht lieferbar sind. Wissenschaftlich bleibt es ein wichtiger Vergleichsstandard.</w:t>
      </w:r>
    </w:p>
    <w:bookmarkEnd w:id="161"/>
    <w:bookmarkStart w:id="162" w:name="fazit-1"/>
    <w:p>
      <w:pPr>
        <w:pStyle w:val="Heading3"/>
      </w:pPr>
      <w:r>
        <w:t xml:space="preserve">Fazit</w:t>
      </w:r>
    </w:p>
    <w:p>
      <w:pPr>
        <w:pStyle w:val="FirstParagraph"/>
      </w:pPr>
      <w:r>
        <w:t xml:space="preserve">Liraglutid war der erste fast menschengleiche GLP-1-Wirkstoff und der erste, für den eine große Studie einen Schutz vor Herz-Kreislauf-Ereignissen zeigte (LEADER, 9.340 Teilnehmende, relative Risikosenkung 13 %). Als Saxenda war es das erste GLP-1-Medikament zur Gewichtsreduktion; im Mittel verloren Teilnehmende ohne Diabetes etwa 8 kg in einem Jahr. Im direkten Vergleich ist es Exenatid überlegen, Dulaglutid ebenbürtig und Semaglutid deutlich unterlegen. Häufigste Nebenwirkungen sind Magen-Darm-Beschwerden, dazu ein erhöhtes Gallenblasenrisiko; die Frage nach Schilddrüsenkrebs ist nicht abschließend geklärt. Mit dem Ablauf des Patentschutzes wird es zur ersten preisgünstigen Option der Klasse – die Behandlung gehört dennoch in ärztliche Hände.</w:t>
      </w:r>
    </w:p>
    <w:bookmarkEnd w:id="162"/>
    <w:bookmarkEnd w:id="163"/>
    <w:bookmarkStart w:id="180" w:name="dulaglutid"/>
    <w:p>
      <w:pPr>
        <w:pStyle w:val="Heading2"/>
      </w:pPr>
      <w:r>
        <w:t xml:space="preserve">Dulaglutid</w:t>
      </w:r>
    </w:p>
    <w:bookmarkStart w:id="164" w:name="steckbrief-2"/>
    <w:p>
      <w:pPr>
        <w:pStyle w:val="Heading3"/>
      </w:pPr>
      <w:r>
        <w:t xml:space="preserve">Steckbrief</w:t>
      </w:r>
    </w:p>
    <w:p>
      <w:pPr>
        <w:numPr>
          <w:ilvl w:val="0"/>
          <w:numId w:val="1049"/>
        </w:numPr>
        <w:pStyle w:val="Compact"/>
      </w:pPr>
      <w:r>
        <w:rPr>
          <w:bCs/>
          <w:b/>
        </w:rPr>
        <w:t xml:space="preserve">Art/Struktur:</w:t>
      </w:r>
      <w:r>
        <w:t xml:space="preserve"> </w:t>
      </w:r>
      <w:r>
        <w:t xml:space="preserve">Fusionsprotein. Zwei leicht abgewandelte GLP-1-Ketten sind über ein kurzes Verbindungsstück an das konstante Stück (Fc-Teil) eines menschlichen Antikörpers vom Typ IgG4 gekoppelt. Dulaglutid ist damit um ein Vielfaches größer als Liraglutid – streng genommen eher ein Protein als ein kleines Peptid.</w:t>
      </w:r>
    </w:p>
    <w:p>
      <w:pPr>
        <w:numPr>
          <w:ilvl w:val="0"/>
          <w:numId w:val="1049"/>
        </w:numPr>
        <w:pStyle w:val="Compact"/>
      </w:pPr>
      <w:r>
        <w:rPr>
          <w:bCs/>
          <w:b/>
        </w:rPr>
        <w:t xml:space="preserve">Herkunft:</w:t>
      </w:r>
      <w:r>
        <w:t xml:space="preserve"> </w:t>
      </w:r>
      <w:r>
        <w:t xml:space="preserve">entwickelt von Eli Lilly, gentechnisch in Säugetierzellen hergestellt (Glaesner 2010, PMID 20503261).</w:t>
      </w:r>
    </w:p>
    <w:p>
      <w:pPr>
        <w:numPr>
          <w:ilvl w:val="0"/>
          <w:numId w:val="1049"/>
        </w:numPr>
        <w:pStyle w:val="Compact"/>
      </w:pPr>
      <w:r>
        <w:rPr>
          <w:bCs/>
          <w:b/>
        </w:rPr>
        <w:t xml:space="preserve">Wirkprinzip:</w:t>
      </w:r>
      <w:r>
        <w:t xml:space="preserve"> </w:t>
      </w:r>
      <w:r>
        <w:t xml:space="preserve">GLP-1-Rezeptor-Agonist. Der Antikörperteil schützt vor Abbau und Ausscheidung über die Nieren; eine Spritze pro Woche reicht.</w:t>
      </w:r>
    </w:p>
    <w:p>
      <w:pPr>
        <w:numPr>
          <w:ilvl w:val="0"/>
          <w:numId w:val="1049"/>
        </w:numPr>
        <w:pStyle w:val="Compact"/>
      </w:pPr>
      <w:r>
        <w:rPr>
          <w:bCs/>
          <w:b/>
        </w:rPr>
        <w:t xml:space="preserve">Präparat:</w:t>
      </w:r>
      <w:r>
        <w:t xml:space="preserve"> </w:t>
      </w:r>
      <w:r>
        <w:t xml:space="preserve">Trulicity (Fertigpen, wöchentlich; zugelassene Stärken bis 4,5 mg).</w:t>
      </w:r>
    </w:p>
    <w:p>
      <w:pPr>
        <w:numPr>
          <w:ilvl w:val="0"/>
          <w:numId w:val="1049"/>
        </w:numPr>
        <w:pStyle w:val="Compact"/>
      </w:pPr>
      <w:r>
        <w:rPr>
          <w:bCs/>
          <w:b/>
        </w:rPr>
        <w:t xml:space="preserve">Zulassung EU:</w:t>
      </w:r>
      <w:r>
        <w:t xml:space="preserve"> </w:t>
      </w:r>
      <w:r>
        <w:t xml:space="preserve">ja, Typ-2-Diabetes bei Erwachsenen und Jugendlichen ab 10 Jahren. Keine Zulassung zur Gewichtsreduktion.</w:t>
      </w:r>
    </w:p>
    <w:p>
      <w:pPr>
        <w:numPr>
          <w:ilvl w:val="0"/>
          <w:numId w:val="1049"/>
        </w:numPr>
        <w:pStyle w:val="Compact"/>
      </w:pPr>
      <w:r>
        <w:rPr>
          <w:bCs/>
          <w:b/>
        </w:rPr>
        <w:t xml:space="preserve">Zulassung USA:</w:t>
      </w:r>
      <w:r>
        <w:t xml:space="preserve"> </w:t>
      </w:r>
      <w:r>
        <w:t xml:space="preserve">ja, Typ-2-Diabetes ab 10 Jahren und zur Senkung des Herz-Kreislauf-Risikos bei Erwachsenen mit Typ-2-Diabetes.</w:t>
      </w:r>
    </w:p>
    <w:p>
      <w:pPr>
        <w:numPr>
          <w:ilvl w:val="0"/>
          <w:numId w:val="1049"/>
        </w:numPr>
        <w:pStyle w:val="Compact"/>
      </w:pPr>
      <w:r>
        <w:rPr>
          <w:bCs/>
          <w:b/>
        </w:rPr>
        <w:t xml:space="preserve">WADA:</w:t>
      </w:r>
      <w:r>
        <w:t xml:space="preserve"> </w:t>
      </w:r>
      <w:r>
        <w:t xml:space="preserve">nicht gelistet (Stand 2026, bitte aktuell prüfen).</w:t>
      </w:r>
    </w:p>
    <w:p>
      <w:pPr>
        <w:numPr>
          <w:ilvl w:val="0"/>
          <w:numId w:val="1049"/>
        </w:numPr>
        <w:pStyle w:val="Compact"/>
      </w:pPr>
      <w:r>
        <w:rPr>
          <w:bCs/>
          <w:b/>
        </w:rPr>
        <w:t xml:space="preserve">Evidenzstufe:</w:t>
      </w:r>
      <w:r>
        <w:t xml:space="preserve"> </w:t>
      </w:r>
      <w:r>
        <w:rPr>
          <w:bCs/>
          <w:b/>
        </w:rPr>
        <w:t xml:space="preserve">A</w:t>
      </w:r>
      <w:r>
        <w:t xml:space="preserve"> </w:t>
      </w:r>
      <w:r>
        <w:t xml:space="preserve">– Studienprogramm AWARD mit über zehn randomisierten Phase-3-Studien, Endpunktstudie REWIND, Studie bei Jugendlichen.</w:t>
      </w:r>
    </w:p>
    <w:bookmarkEnd w:id="164"/>
    <w:bookmarkStart w:id="165" w:name="wie-es-wirken-soll-2"/>
    <w:p>
      <w:pPr>
        <w:pStyle w:val="Heading3"/>
      </w:pPr>
      <w:r>
        <w:t xml:space="preserve">Wie es wirken soll</w:t>
      </w:r>
    </w:p>
    <w:p>
      <w:pPr>
        <w:pStyle w:val="FirstParagraph"/>
      </w:pPr>
      <w:r>
        <w:t xml:space="preserve">Dulaglutid wirkt am GLP-1-Rezeptor wie Exenatid, Liraglutid und Semaglutid: Es verstärkt die zuckerabhängige Insulinausschüttung, bremst das Hormon Glukagon, verlangsamt die Magenentleerung und dämpft den Appetit. Der Grundmechanismus ist im Kapitel Exenatid erklärt.</w:t>
      </w:r>
    </w:p>
    <w:p>
      <w:pPr>
        <w:pStyle w:val="BodyText"/>
      </w:pPr>
      <w:r>
        <w:t xml:space="preserve">Der Unterschied liegt in der Verpackung. Liraglutid und Semaglutid werden über eine angehängte Fettsäure an Bluteiweiß gebunden. Lilly ging einen anderen Weg und koppelte das Hormon an den Fc-Teil eines Antikörpers. Dieser Baustein ist aus der Biotechnologie bekannt: Er macht Moleküle so groß, dass die Nieren sie nicht mehr herausfiltern, und nutzt einen körpereigenen Recyclingweg, über den Antikörper vor dem Abbau geschützt werden. Bei Ratten und Javaneraffen lag die Halbwertszeit des Wirkstoffs bei 1,5 bis 2 Tagen, beim Menschen ist sie länger und erlaubt die wöchentliche Gabe (Glaesner 2010, PMID 20503261).</w:t>
      </w:r>
    </w:p>
    <w:p>
      <w:pPr>
        <w:pStyle w:val="BodyText"/>
      </w:pPr>
      <w:r>
        <w:t xml:space="preserve">In den GLP-1-Ketten selbst wurden einzelne Aminosäuren ausgetauscht – teils, um den Abbau durch das Enzym DPP-4 zu verhindern, teils, um die Bildung von Antikörpern gegen den Wirkstoff zu verringern. Tatsächlich bildeten in neun Studien nur 1,6 % der mit Dulaglutid Behandelten Antikörper gegen das Medikament (Milicevic 2016, PMID 26847401) – deutlich weniger als bei Exenatid.</w:t>
      </w:r>
    </w:p>
    <w:p>
      <w:pPr>
        <w:pStyle w:val="BodyText"/>
      </w:pPr>
      <w:r>
        <w:t xml:space="preserve">Ein Nachteil der Größe: Das Molekül gelangt vermutlich schlechter in jene Hirnregionen, die den Appetit steuern. Das könnte erklären, warum Dulaglutid bei vergleichbarer Blutzuckersenkung weniger Gewichtsverlust bewirkt als Semaglutid. Diese Erklärung ist plausibel, aber nicht bewiesen.</w:t>
      </w:r>
    </w:p>
    <w:bookmarkEnd w:id="165"/>
    <w:bookmarkStart w:id="174" w:name="studien-am-menschen-2"/>
    <w:p>
      <w:pPr>
        <w:pStyle w:val="Heading3"/>
      </w:pPr>
      <w:r>
        <w:t xml:space="preserve">Studien am Menschen</w:t>
      </w:r>
    </w:p>
    <w:p>
      <w:pPr>
        <w:pStyle w:val="FirstParagraph"/>
      </w:pPr>
      <w:r>
        <w:t xml:space="preserve">Die für dieses Buch ausgewertete PubMed-Abfrage (Suchbegriff „dulaglutide“ in Titel oder Abstract, Abfragedatum Oktober 2026) ergab 158 Humanstudien, ClinicalTrials.gov verzeichnet 143 Registereinträge. Die Zahl ist kleiner als bei Liraglutid oder Semaglutid, aber die Studien sind besonders systematisch angelegt: Das AWARD-Programm (Assessment of Weekly AdministRation of LY2189265 in Diabetes) prüfte Dulaglutid gegen fast jede gängige Diabetestherapie. Auffällig ist außerdem, wie oft Dulaglutid selbst als Vergleichsmedikament für neuere Wirkstoffe dient – von Semaglutid über Tirzepatid bis zu chinesischen Neuentwicklungen.</w:t>
      </w:r>
    </w:p>
    <w:bookmarkStart w:id="166" w:name="das-award-programm"/>
    <w:p>
      <w:pPr>
        <w:pStyle w:val="Heading4"/>
      </w:pPr>
      <w:r>
        <w:t xml:space="preserve">Das AWARD-Programm</w:t>
      </w:r>
    </w:p>
    <w:p>
      <w:pPr>
        <w:pStyle w:val="FirstParagraph"/>
      </w:pPr>
      <w:r>
        <w:t xml:space="preserve">In den meisten AWARD-Studien wurden die Dosen 0,75 und 1,5 mg pro Woche geprüft. Die Tabelle zeigt jeweils das Ergebnis der höheren Dosis.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 (Dulaglutid 1,5 mg vs. Vergleich)</w:t>
            </w:r>
          </w:p>
        </w:tc>
      </w:tr>
      <w:tr>
        <w:tc>
          <w:tcPr/>
          <w:p>
            <w:pPr>
              <w:pStyle w:val="Compact"/>
              <w:jc w:val="left"/>
            </w:pPr>
            <w:r>
              <w:t xml:space="preserve">AWARD-1 (Wysham 2014), PMID 24879836</w:t>
            </w:r>
          </w:p>
        </w:tc>
        <w:tc>
          <w:tcPr/>
          <w:p>
            <w:pPr>
              <w:pStyle w:val="Compact"/>
              <w:jc w:val="left"/>
            </w:pPr>
            <w:r>
              <w:t xml:space="preserve">Typ-2-Diabetes unter Metformin und Pioglitazon; vs. Exenatid zweimal täglich und Placebo</w:t>
            </w:r>
          </w:p>
        </w:tc>
        <w:tc>
          <w:tcPr/>
          <w:p>
            <w:pPr>
              <w:pStyle w:val="Compact"/>
              <w:jc w:val="left"/>
            </w:pPr>
            <w:r>
              <w:t xml:space="preserve">52 Wochen (Hauptendpunkt 26)</w:t>
            </w:r>
          </w:p>
        </w:tc>
        <w:tc>
          <w:tcPr/>
          <w:p>
            <w:pPr>
              <w:pStyle w:val="Compact"/>
              <w:jc w:val="left"/>
            </w:pPr>
            <w:r>
              <w:t xml:space="preserve">HbA1c −1,51 vs. −0,99 (Exenatid) vs. −0,46 (Placebo)</w:t>
            </w:r>
          </w:p>
        </w:tc>
      </w:tr>
      <w:tr>
        <w:tc>
          <w:tcPr/>
          <w:p>
            <w:pPr>
              <w:pStyle w:val="Compact"/>
              <w:jc w:val="left"/>
            </w:pPr>
            <w:r>
              <w:t xml:space="preserve">AWARD-2 (Giorgino 2015), PMID 26089386</w:t>
            </w:r>
          </w:p>
        </w:tc>
        <w:tc>
          <w:tcPr/>
          <w:p>
            <w:pPr>
              <w:pStyle w:val="Compact"/>
              <w:jc w:val="left"/>
            </w:pPr>
            <w:r>
              <w:t xml:space="preserve">810 Personen unter Metformin und Glimepirid; offen vs. Insulin glargin</w:t>
            </w:r>
          </w:p>
        </w:tc>
        <w:tc>
          <w:tcPr/>
          <w:p>
            <w:pPr>
              <w:pStyle w:val="Compact"/>
              <w:jc w:val="left"/>
            </w:pPr>
            <w:r>
              <w:t xml:space="preserve">78 Wochen</w:t>
            </w:r>
          </w:p>
        </w:tc>
        <w:tc>
          <w:tcPr/>
          <w:p>
            <w:pPr>
              <w:pStyle w:val="Compact"/>
              <w:jc w:val="left"/>
            </w:pPr>
            <w:r>
              <w:t xml:space="preserve">HbA1c −1,08 vs. −0,63; Gewicht sank vs. stieg</w:t>
            </w:r>
          </w:p>
        </w:tc>
      </w:tr>
      <w:tr>
        <w:tc>
          <w:tcPr/>
          <w:p>
            <w:pPr>
              <w:pStyle w:val="Compact"/>
              <w:jc w:val="left"/>
            </w:pPr>
            <w:r>
              <w:t xml:space="preserve">AWARD-3 (Umpierrez 2014), PMID 24842985</w:t>
            </w:r>
          </w:p>
        </w:tc>
        <w:tc>
          <w:tcPr/>
          <w:p>
            <w:pPr>
              <w:pStyle w:val="Compact"/>
              <w:jc w:val="left"/>
            </w:pPr>
            <w:r>
              <w:t xml:space="preserve">früher Typ-2-Diabetes, Monotherapie; doppelblind vs. Metformin</w:t>
            </w:r>
          </w:p>
        </w:tc>
        <w:tc>
          <w:tcPr/>
          <w:p>
            <w:pPr>
              <w:pStyle w:val="Compact"/>
              <w:jc w:val="left"/>
            </w:pPr>
            <w:r>
              <w:t xml:space="preserve">52 Wochen (Hauptendpunkt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Personen mit Mahlzeiteninsulin; offen vs. Insulin glargin</w:t>
            </w:r>
          </w:p>
        </w:tc>
        <w:tc>
          <w:tcPr/>
          <w:p>
            <w:pPr>
              <w:pStyle w:val="Compact"/>
              <w:jc w:val="left"/>
            </w:pPr>
            <w:r>
              <w:t xml:space="preserve">52 Wochen (Hauptendpunkt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1.098 Personen unter Metformin; vs. Sitagliptin</w:t>
            </w:r>
          </w:p>
        </w:tc>
        <w:tc>
          <w:tcPr/>
          <w:p>
            <w:pPr>
              <w:pStyle w:val="Compact"/>
              <w:jc w:val="left"/>
            </w:pPr>
            <w:r>
              <w:t xml:space="preserve">52 Wochen</w:t>
            </w:r>
          </w:p>
        </w:tc>
        <w:tc>
          <w:tcPr/>
          <w:p>
            <w:pPr>
              <w:pStyle w:val="Compact"/>
              <w:jc w:val="left"/>
            </w:pPr>
            <w:r>
              <w:t xml:space="preserve">HbA1c −1,10 vs. −0,39; Gewicht −3,03 vs. −1,53 kg</w:t>
            </w:r>
          </w:p>
        </w:tc>
      </w:tr>
      <w:tr>
        <w:tc>
          <w:tcPr/>
          <w:p>
            <w:pPr>
              <w:pStyle w:val="Compact"/>
              <w:jc w:val="left"/>
            </w:pPr>
            <w:r>
              <w:t xml:space="preserve">AWARD-6 (Dungan 2014), PMID 25018121</w:t>
            </w:r>
          </w:p>
        </w:tc>
        <w:tc>
          <w:tcPr/>
          <w:p>
            <w:pPr>
              <w:pStyle w:val="Compact"/>
              <w:jc w:val="left"/>
            </w:pPr>
            <w:r>
              <w:t xml:space="preserve">599 Personen unter Metformin; offen vs. Liraglutid</w:t>
            </w:r>
          </w:p>
        </w:tc>
        <w:tc>
          <w:tcPr/>
          <w:p>
            <w:pPr>
              <w:pStyle w:val="Compact"/>
              <w:jc w:val="left"/>
            </w:pPr>
            <w:r>
              <w:t xml:space="preserve">26 Wochen</w:t>
            </w:r>
          </w:p>
        </w:tc>
        <w:tc>
          <w:tcPr/>
          <w:p>
            <w:pPr>
              <w:pStyle w:val="Compact"/>
              <w:jc w:val="left"/>
            </w:pPr>
            <w:r>
              <w:t xml:space="preserve">HbA1c −1,42 vs. −1,36; gleichwertig</w:t>
            </w:r>
          </w:p>
        </w:tc>
      </w:tr>
      <w:tr>
        <w:tc>
          <w:tcPr/>
          <w:p>
            <w:pPr>
              <w:pStyle w:val="Compact"/>
              <w:jc w:val="left"/>
            </w:pPr>
            <w:r>
              <w:t xml:space="preserve">AWARD-7 (Tuttle 2018), PMID 29910024</w:t>
            </w:r>
          </w:p>
        </w:tc>
        <w:tc>
          <w:tcPr/>
          <w:p>
            <w:pPr>
              <w:pStyle w:val="Compact"/>
              <w:jc w:val="left"/>
            </w:pPr>
            <w:r>
              <w:t xml:space="preserve">577 Personen mit mittel- bis schwergradiger chronischer Nierenerkrankung; vs. Insulin glargin</w:t>
            </w:r>
          </w:p>
        </w:tc>
        <w:tc>
          <w:tcPr/>
          <w:p>
            <w:pPr>
              <w:pStyle w:val="Compact"/>
              <w:jc w:val="left"/>
            </w:pPr>
            <w:r>
              <w:t xml:space="preserve">52 Wochen</w:t>
            </w:r>
          </w:p>
        </w:tc>
        <w:tc>
          <w:tcPr/>
          <w:p>
            <w:pPr>
              <w:pStyle w:val="Compact"/>
              <w:jc w:val="left"/>
            </w:pPr>
            <w:r>
              <w:t xml:space="preserve">HbA1c −1,2 vs. −1,1; Nierenfunktion nach 52 Wochen besser erhalten</w:t>
            </w:r>
          </w:p>
        </w:tc>
      </w:tr>
      <w:tr>
        <w:tc>
          <w:tcPr/>
          <w:p>
            <w:pPr>
              <w:pStyle w:val="Compact"/>
              <w:jc w:val="left"/>
            </w:pPr>
            <w:r>
              <w:t xml:space="preserve">AWARD-8 (Dungan 2016), PMID 26799540</w:t>
            </w:r>
          </w:p>
        </w:tc>
        <w:tc>
          <w:tcPr/>
          <w:p>
            <w:pPr>
              <w:pStyle w:val="Compact"/>
              <w:jc w:val="left"/>
            </w:pPr>
            <w:r>
              <w:t xml:space="preserve">Typ-2-Diabetes unter Glimepirid; vs. Placebo</w:t>
            </w:r>
          </w:p>
        </w:tc>
        <w:tc>
          <w:tcPr/>
          <w:p>
            <w:pPr>
              <w:pStyle w:val="Compact"/>
              <w:jc w:val="left"/>
            </w:pPr>
            <w:r>
              <w:t xml:space="preserve">24 Wochen</w:t>
            </w:r>
          </w:p>
        </w:tc>
        <w:tc>
          <w:tcPr/>
          <w:p>
            <w:pPr>
              <w:pStyle w:val="Compact"/>
              <w:jc w:val="left"/>
            </w:pPr>
            <w:r>
              <w:t xml:space="preserve">HbA1c-Unterschied −1,3 Prozentpunkte; mehr Unterzuckerungen</w:t>
            </w:r>
          </w:p>
        </w:tc>
      </w:tr>
      <w:tr>
        <w:tc>
          <w:tcPr/>
          <w:p>
            <w:pPr>
              <w:pStyle w:val="Compact"/>
              <w:jc w:val="left"/>
            </w:pPr>
            <w:r>
              <w:t xml:space="preserve">AWARD-10 (Ludvik 2018), PMID 29483060</w:t>
            </w:r>
          </w:p>
        </w:tc>
        <w:tc>
          <w:tcPr/>
          <w:p>
            <w:pPr>
              <w:pStyle w:val="Compact"/>
              <w:jc w:val="left"/>
            </w:pPr>
            <w:r>
              <w:t xml:space="preserve">424 Personen unter SGLT2-Hemmer; vs. Placebo</w:t>
            </w:r>
          </w:p>
        </w:tc>
        <w:tc>
          <w:tcPr/>
          <w:p>
            <w:pPr>
              <w:pStyle w:val="Compact"/>
              <w:jc w:val="left"/>
            </w:pPr>
            <w:r>
              <w:t xml:space="preserve">24 Wochen</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1.842 Personen unter Metformin; 4,5 und 3,0 mg vs. 1,5 mg</w:t>
            </w:r>
          </w:p>
        </w:tc>
        <w:tc>
          <w:tcPr/>
          <w:p>
            <w:pPr>
              <w:pStyle w:val="Compact"/>
              <w:jc w:val="left"/>
            </w:pPr>
            <w:r>
              <w:t xml:space="preserve">36 Wochen</w:t>
            </w:r>
          </w:p>
        </w:tc>
        <w:tc>
          <w:tcPr/>
          <w:p>
            <w:pPr>
              <w:pStyle w:val="Compact"/>
              <w:jc w:val="left"/>
            </w:pPr>
            <w:r>
              <w:t xml:space="preserve">HbA1c −1,77 (4,5 mg) vs. −1,54; Gewicht −4,6 vs. −3,0 kg</w:t>
            </w:r>
          </w:p>
        </w:tc>
      </w:tr>
    </w:tbl>
    <w:p>
      <w:pPr>
        <w:pStyle w:val="BodyText"/>
      </w:pPr>
      <w:r>
        <w:t xml:space="preserve">Einige Ergebnisse verdienen Erläuterung:</w:t>
      </w:r>
    </w:p>
    <w:p>
      <w:pPr>
        <w:pStyle w:val="BodyText"/>
      </w:pPr>
      <w:r>
        <w:rPr>
          <w:bCs/>
          <w:b/>
        </w:rPr>
        <w:t xml:space="preserve">Gegen Insulin</w:t>
      </w:r>
      <w:r>
        <w:t xml:space="preserve"> </w:t>
      </w:r>
      <w:r>
        <w:t xml:space="preserve">(AWARD-2 und AWARD-4) senkte Dulaglutid den Langzeitzucker etwas stärker, mit weniger Unterzuckerungen und ohne Gewichtszunahme (Giorgino 2015, PMID 26089386; Blonde 2015, PMID 26009229). In AWARD-2 wurde die Insulindosis allerdings nicht konsequent gesteigert; die mittlere Enddosis betrug 29 Einheiten. Ein entschlossener aufdosiertes Insulin hätte möglicherweise besser abgeschnitten. Übelkeit trat unter Dulaglutid 1,5 mg bei 15,4 % auf, unter Insulin bei 1,5 %.</w:t>
      </w:r>
    </w:p>
    <w:p>
      <w:pPr>
        <w:pStyle w:val="BodyText"/>
      </w:pPr>
      <w:r>
        <w:rPr>
          <w:bCs/>
          <w:b/>
        </w:rPr>
        <w:t xml:space="preserve">Bei Nierenerkrankung</w:t>
      </w:r>
      <w:r>
        <w:t xml:space="preserve"> </w:t>
      </w:r>
      <w:r>
        <w:t xml:space="preserve">(AWARD-7) ist das Ergebnis besonders interessant: Der Blutzucker sank gleich stark wie unter Insulin, die geschätzte Nierenfunktion (eGFR) war nach 52 Wochen aber unter Dulaglutid höher – 34,0 gegenüber 31,3 ml/min pro 1,73 m² (Tuttle 2018, PMID 29910024). Die Eiweißausscheidung im Urin unterschied sich nicht signifikant. Das ist ein Hinweis, aber kein Beweis für einen Nierenschutz.</w:t>
      </w:r>
    </w:p>
    <w:p>
      <w:pPr>
        <w:pStyle w:val="BodyText"/>
      </w:pPr>
      <w:r>
        <w:rPr>
          <w:bCs/>
          <w:b/>
        </w:rPr>
        <w:t xml:space="preserve">Mit einem Sulfonylharnstoff</w:t>
      </w:r>
      <w:r>
        <w:t xml:space="preserve"> </w:t>
      </w:r>
      <w:r>
        <w:t xml:space="preserve">(AWARD-8) zeigt sich die Kehrseite: Dulaglutid senkte den HbA1c um 1,3 Prozentpunkte stärker als Placebo, und 55,3 % gegenüber 18,9 % erreichten einen Wert unter 7 %. Unterzuckerungen waren aber deutlich häufiger (2,37 gegenüber 0,07 Ereignissen pro Person und Jahr), weil der Sulfonylharnstoff unabhängig vom Blutzucker Insulin freisetzt (Dungan 2016, PMID 26799540). Schwere Unterzuckerungen traten nicht auf.</w:t>
      </w:r>
    </w:p>
    <w:p>
      <w:pPr>
        <w:pStyle w:val="BodyText"/>
      </w:pPr>
      <w:r>
        <w:rPr>
          <w:bCs/>
          <w:b/>
        </w:rPr>
        <w:t xml:space="preserve">Höhere Dosen</w:t>
      </w:r>
      <w:r>
        <w:t xml:space="preserve"> </w:t>
      </w:r>
      <w:r>
        <w:t xml:space="preserve">(AWARD-11): Um mit Semaglutid mitzuhalten, prüfte Lilly 3,0 und 4,5 mg. Die höchste Dosis senkte den HbA1c um weitere 0,24 Prozentpunkte und das Gewicht um weitere 1,6 kg gegenüber 1,5 mg (Frias 2021, PMID 33397768). Übelkeit nahm leicht zu (16,4 % vs. 13,4 %), Erbrechen ebenfalls (9,3 % vs. 5,6 %). Der Zugewinn ist messbar, aber begrenzt.</w:t>
      </w:r>
    </w:p>
    <w:bookmarkEnd w:id="166"/>
    <w:bookmarkStart w:id="167" w:name="X85d4aadf75a3e2d2aa9b2cb6e2bb670c9afb27e"/>
    <w:p>
      <w:pPr>
        <w:pStyle w:val="Heading4"/>
      </w:pPr>
      <w:r>
        <w:t xml:space="preserve">Direktvergleiche innerhalb der GLP-1-Klasse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Dauer</w:t>
            </w:r>
          </w:p>
        </w:tc>
        <w:tc>
          <w:tcPr/>
          <w:p>
            <w:pPr>
              <w:pStyle w:val="Compact"/>
              <w:jc w:val="left"/>
            </w:pPr>
            <w:r>
              <w:t xml:space="preserve">Ergebnis (Dulaglutid vs. Vergleich)</w:t>
            </w:r>
          </w:p>
        </w:tc>
      </w:tr>
      <w:tr>
        <w:tc>
          <w:tcPr/>
          <w:p>
            <w:pPr>
              <w:pStyle w:val="Compact"/>
              <w:jc w:val="left"/>
            </w:pPr>
            <w:r>
              <w:t xml:space="preserve">AWARD-1 (Wysham 2014), PMID 24879836</w:t>
            </w:r>
          </w:p>
        </w:tc>
        <w:tc>
          <w:tcPr/>
          <w:p>
            <w:pPr>
              <w:pStyle w:val="Compact"/>
              <w:jc w:val="left"/>
            </w:pPr>
            <w:r>
              <w:t xml:space="preserve">vs. Exenatid zweimal täglich</w:t>
            </w:r>
          </w:p>
        </w:tc>
        <w:tc>
          <w:tcPr/>
          <w:p>
            <w:pPr>
              <w:pStyle w:val="Compact"/>
              <w:jc w:val="left"/>
            </w:pPr>
            <w:r>
              <w:t xml:space="preserve">26 Wochen</w:t>
            </w:r>
          </w:p>
        </w:tc>
        <w:tc>
          <w:tcPr/>
          <w:p>
            <w:pPr>
              <w:pStyle w:val="Compact"/>
              <w:jc w:val="left"/>
            </w:pPr>
            <w:r>
              <w:t xml:space="preserve">HbA1c −1,51 vs. −0,99; weniger Unterzuckerungen</w:t>
            </w:r>
          </w:p>
        </w:tc>
      </w:tr>
      <w:tr>
        <w:tc>
          <w:tcPr/>
          <w:p>
            <w:pPr>
              <w:pStyle w:val="Compact"/>
              <w:jc w:val="left"/>
            </w:pPr>
            <w:r>
              <w:t xml:space="preserve">AWARD-6 (Dungan 2014), PMID 25018121</w:t>
            </w:r>
          </w:p>
        </w:tc>
        <w:tc>
          <w:tcPr/>
          <w:p>
            <w:pPr>
              <w:pStyle w:val="Compact"/>
              <w:jc w:val="left"/>
            </w:pPr>
            <w:r>
              <w:t xml:space="preserve">599 Personen, vs. Liraglutid 1,8 mg täglich</w:t>
            </w:r>
          </w:p>
        </w:tc>
        <w:tc>
          <w:tcPr/>
          <w:p>
            <w:pPr>
              <w:pStyle w:val="Compact"/>
              <w:jc w:val="left"/>
            </w:pPr>
            <w:r>
              <w:t xml:space="preserve">26 Wochen</w:t>
            </w:r>
          </w:p>
        </w:tc>
        <w:tc>
          <w:tcPr/>
          <w:p>
            <w:pPr>
              <w:pStyle w:val="Compact"/>
              <w:jc w:val="left"/>
            </w:pPr>
            <w:r>
              <w:t xml:space="preserve">HbA1c −1,42 vs. −1,36; Übelkeit 20 % vs. 18 %</w:t>
            </w:r>
          </w:p>
        </w:tc>
      </w:tr>
      <w:tr>
        <w:tc>
          <w:tcPr/>
          <w:p>
            <w:pPr>
              <w:pStyle w:val="Compact"/>
              <w:jc w:val="left"/>
            </w:pPr>
            <w:r>
              <w:t xml:space="preserve">SUSTAIN 7 (Pratley 2018), PMID 29397376</w:t>
            </w:r>
          </w:p>
        </w:tc>
        <w:tc>
          <w:tcPr/>
          <w:p>
            <w:pPr>
              <w:pStyle w:val="Compact"/>
              <w:jc w:val="left"/>
            </w:pPr>
            <w:r>
              <w:t xml:space="preserve">1.201 Personen, Dulaglutid 0,75/1,5 mg vs. Semaglutid 0,5/1,0 mg</w:t>
            </w:r>
          </w:p>
        </w:tc>
        <w:tc>
          <w:tcPr/>
          <w:p>
            <w:pPr>
              <w:pStyle w:val="Compact"/>
              <w:jc w:val="left"/>
            </w:pPr>
            <w:r>
              <w:t xml:space="preserve">40 Wochen</w:t>
            </w:r>
          </w:p>
        </w:tc>
        <w:tc>
          <w:tcPr/>
          <w:p>
            <w:pPr>
              <w:pStyle w:val="Compact"/>
              <w:jc w:val="left"/>
            </w:pPr>
            <w:r>
              <w:t xml:space="preserve">HbA1c −1,4 vs. −1,8 (hohe Dosen); Gewicht −3,0 vs. −6,5 kg</w:t>
            </w:r>
          </w:p>
        </w:tc>
      </w:tr>
    </w:tbl>
    <w:p>
      <w:pPr>
        <w:pStyle w:val="BodyText"/>
      </w:pPr>
      <w:r>
        <w:t xml:space="preserve">Die Rangfolge ist eindeutig. Dulaglutid war Exenatid zweimal täglich klar überlegen (Wysham 2014, PMID 24879836) und Liraglutid ebenbürtig (Dungan 2014, PMID 25018121). In AWARD-6 war es damit der erste wöchentliche GLP-1-Rezeptor-Agonist, der im direkten Vergleich mit dem damaligen Standard Liraglutid mithielt – bei deutlich weniger Spritzen.</w:t>
      </w:r>
    </w:p>
    <w:p>
      <w:pPr>
        <w:pStyle w:val="BodyText"/>
      </w:pPr>
      <w:r>
        <w:t xml:space="preserve">Gegen Semaglutid verlor Dulaglutid in SUSTAIN 7 (Pratley 2018, PMID 29397376) auf beiden Dosisstufen. Bei den hohen Dosen sank der HbA1c um 1,4 gegenüber 1,8 Prozentpunkten, das Gewicht um 3,0 gegenüber 6,5 kg. Magen-Darm-Beschwerden waren ähnlich häufig (48 % unter Dulaglutid 1,5 mg, 44 % unter Semaglutid 1,0 mg). Kritisch angemerkt wurde später, dass Dulaglutid in SUSTAIN 7 nur bis 1,5 mg dosiert wurde; die höheren Dosen aus AWARD-11 waren damals noch nicht verfügbar. Auch mit 4,5 mg dürfte der Gewichtsunterschied aber bestehen bleiben.</w:t>
      </w:r>
    </w:p>
    <w:bookmarkEnd w:id="167"/>
    <w:bookmarkStart w:id="168" w:name="rewind-die-herz-kreislauf-studie"/>
    <w:p>
      <w:pPr>
        <w:pStyle w:val="Heading4"/>
      </w:pPr>
      <w:r>
        <w:t xml:space="preserve">REWIND: die Herz-Kreislauf-Studie</w:t>
      </w:r>
    </w:p>
    <w:p>
      <w:pPr>
        <w:pStyle w:val="FirstParagraph"/>
      </w:pPr>
      <w:r>
        <w:t xml:space="preserve">REWIND unterschied sich von anderen GLP-1-Endpunktstudien: Sie lief länger, schloss ältere Menschen mit vergleichsweise gut eingestelltem Blutzucker ein (medianer HbA1c 7,2 %) und nahm auch viele Personen ohne bisherige Herz-Kreislauf-Erkrankung auf, die lediglich Risikofaktoren hatten. Damit ähnelt die Studienpopulation dem Alltag in Hausarztpraxen stärker als in anderen Endpunktstudien.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REWIND (Gerstein 2019), PMID 31189511</w:t>
            </w:r>
          </w:p>
        </w:tc>
        <w:tc>
          <w:tcPr/>
          <w:p>
            <w:pPr>
              <w:pStyle w:val="Compact"/>
              <w:jc w:val="left"/>
            </w:pPr>
            <w:r>
              <w:t xml:space="preserve">9.901 Personen mit Typ-2-Diabetes, mittleres Alter 66,2 Jahre, 46,3 % Frauen; RCT gegen Placebo</w:t>
            </w:r>
          </w:p>
        </w:tc>
        <w:tc>
          <w:tcPr/>
          <w:p>
            <w:pPr>
              <w:pStyle w:val="Compact"/>
              <w:jc w:val="left"/>
            </w:pPr>
            <w:r>
              <w:t xml:space="preserve">median 5,4 Jahre</w:t>
            </w:r>
          </w:p>
        </w:tc>
        <w:tc>
          <w:tcPr/>
          <w:p>
            <w:pPr>
              <w:pStyle w:val="Compact"/>
              <w:jc w:val="left"/>
            </w:pPr>
            <w:r>
              <w:t xml:space="preserve">Schwere Herz-Kreislauf-Ereignisse 12,0 % vs. 13,4 %; HR 0,88 (0,79–0,99)</w:t>
            </w:r>
          </w:p>
        </w:tc>
      </w:tr>
      <w:tr>
        <w:tc>
          <w:tcPr/>
          <w:p>
            <w:pPr>
              <w:pStyle w:val="Compact"/>
              <w:jc w:val="left"/>
            </w:pPr>
            <w:r>
              <w:t xml:space="preserve">REWIND, Nieren (Gerstein 2019), PMID 31189509</w:t>
            </w:r>
          </w:p>
        </w:tc>
        <w:tc>
          <w:tcPr/>
          <w:p>
            <w:pPr>
              <w:pStyle w:val="Compact"/>
              <w:jc w:val="left"/>
            </w:pPr>
            <w:r>
              <w:t xml:space="preserve">dieselbe Studie, explorative Auswertung</w:t>
            </w:r>
          </w:p>
        </w:tc>
        <w:tc>
          <w:tcPr/>
          <w:p>
            <w:pPr>
              <w:pStyle w:val="Compact"/>
              <w:jc w:val="left"/>
            </w:pPr>
            <w:r>
              <w:t xml:space="preserve">median 5,4 Jahre</w:t>
            </w:r>
          </w:p>
        </w:tc>
        <w:tc>
          <w:tcPr/>
          <w:p>
            <w:pPr>
              <w:pStyle w:val="Compact"/>
              <w:jc w:val="left"/>
            </w:pPr>
            <w:r>
              <w:t xml:space="preserve">Nierenendpunkt 17,1 % vs. 19,6 %; HR 0,85, vor allem weniger neue Makroalbuminurie</w:t>
            </w:r>
          </w:p>
        </w:tc>
      </w:tr>
      <w:tr>
        <w:tc>
          <w:tcPr/>
          <w:p>
            <w:pPr>
              <w:pStyle w:val="Compact"/>
              <w:jc w:val="left"/>
            </w:pPr>
            <w:r>
              <w:t xml:space="preserve">REWIND, Kognition (Cukierman-Yaffe 2020), PMID 32562683</w:t>
            </w:r>
          </w:p>
        </w:tc>
        <w:tc>
          <w:tcPr/>
          <w:p>
            <w:pPr>
              <w:pStyle w:val="Compact"/>
              <w:jc w:val="left"/>
            </w:pPr>
            <w:r>
              <w:t xml:space="preserve">8.828 Personen mit Gedächtnistests</w:t>
            </w:r>
          </w:p>
        </w:tc>
        <w:tc>
          <w:tcPr/>
          <w:p>
            <w:pPr>
              <w:pStyle w:val="Compact"/>
              <w:jc w:val="left"/>
            </w:pPr>
            <w:r>
              <w:t xml:space="preserve">median 5,4 Jahre</w:t>
            </w:r>
          </w:p>
        </w:tc>
        <w:tc>
          <w:tcPr/>
          <w:p>
            <w:pPr>
              <w:pStyle w:val="Compact"/>
              <w:jc w:val="left"/>
            </w:pPr>
            <w:r>
              <w:t xml:space="preserve">HR 0,93 (nicht signifikant); nach nachträglicher Anpassung HR 0,86</w:t>
            </w:r>
          </w:p>
        </w:tc>
      </w:tr>
    </w:tbl>
    <w:p>
      <w:pPr>
        <w:pStyle w:val="BodyText"/>
      </w:pPr>
      <w:r>
        <w:t xml:space="preserve">Der Hauptendpunkt – Tod durch Herz-Kreislauf-Ursache, nicht tödlicher Herzinfarkt oder Schlaganfall – trat unter Dulaglutid bei 594 von 4.949 Personen (12,0 %) auf, unter Placebo bei 663 von 4.952 (13,4 %) (Gerstein 2019, PMID 31189511). Das entspricht einer relativen Senkung um 12 %. Die Gesamtsterblichkeit unterschied sich nicht signifikant (10,8 % vs. 12,0 %; HR 0,90). Magen-Darm-Nebenwirkungen meldeten 47,4 % gegenüber 34,1 %.</w:t>
      </w:r>
    </w:p>
    <w:p>
      <w:pPr>
        <w:pStyle w:val="BodyText"/>
      </w:pPr>
      <w:r>
        <w:t xml:space="preserve">In der Nierenauswertung (Gerstein 2019, PMID 31189509) war der Effekt vor allem auf eine neu auftretende Makroalbuminurie zurückzuführen (HR 0,77). Für einen anhaltenden Rückgang der Nierenfunktion um mindestens 30 % lag der Schätzwert bei 0,89, für Dialyse oder Nierentransplantation bei 0,75 – beides statistisch nicht gesichert.</w:t>
      </w:r>
    </w:p>
    <w:p>
      <w:pPr>
        <w:pStyle w:val="BodyText"/>
      </w:pPr>
      <w:r>
        <w:t xml:space="preserve">Die Auswertung zur geistigen Leistungsfähigkeit (Cukierman-Yaffe 2020, PMID 32562683) wird gelegentlich als Beleg für einen Demenzschutz zitiert. Das geht zu weit: Der vorab festgelegte Vergleich war nicht signifikant. Erst nach einer nachträglichen statistischen Anpassung ergab sich ein Unterschied von 14 %. Die Autorinnen und Autoren sprechen selbst von einer explorativen Analyse, die weitere Studien rechtfertigt.</w:t>
      </w:r>
    </w:p>
    <w:p>
      <w:pPr>
        <w:pStyle w:val="BodyText"/>
      </w:pPr>
      <w:r>
        <w:t xml:space="preserve">In einer Meta-Analyse aller großen GLP-1-Endpunktstudien fügte sich REWIND gut in das Gesamtbild ein, wonach die Klasse schwere Herz-Kreislauf-Ereignisse um etwa 12 % senkt (Kristensen 2019, PMID 31422062).</w:t>
      </w:r>
    </w:p>
    <w:bookmarkEnd w:id="168"/>
    <w:bookmarkStart w:id="169" w:name="was-erklärt-den-nutzen-und-was-nicht"/>
    <w:p>
      <w:pPr>
        <w:pStyle w:val="Heading4"/>
      </w:pPr>
      <w:r>
        <w:t xml:space="preserve">Was erklärt den Nutzen – und was nicht?</w:t>
      </w:r>
    </w:p>
    <w:p>
      <w:pPr>
        <w:pStyle w:val="FirstParagraph"/>
      </w:pPr>
      <w:r>
        <w:t xml:space="preserve">Mehrere nachträgliche Auswertungen von REWIND haben versucht, den Herz-Kreislauf-Effekt genauer zu verstehen. In einer Teilauswertung mit 9.543 Personen ohne Vorhofflimmern zu Studienbeginn hatten 31 % bereits eine Herz-Kreislauf-Erkrankung, die übrigen „nur“ Risikofaktoren (Raubenheimer 2022, PMID 34984808). Das unterstreicht, dass REWIND weit stärker als andere Endpunktstudien Menschen in der Vorbeugung untersuchte.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Auswertung</w:t>
            </w:r>
          </w:p>
        </w:tc>
        <w:tc>
          <w:tcPr/>
          <w:p>
            <w:pPr>
              <w:pStyle w:val="Compact"/>
              <w:jc w:val="left"/>
            </w:pPr>
            <w:r>
              <w:t xml:space="preserve">Frage</w:t>
            </w:r>
          </w:p>
        </w:tc>
        <w:tc>
          <w:tcPr/>
          <w:p>
            <w:pPr>
              <w:pStyle w:val="Compact"/>
              <w:jc w:val="left"/>
            </w:pPr>
            <w:r>
              <w:t xml:space="preserve">Ergebnis</w:t>
            </w:r>
          </w:p>
        </w:tc>
      </w:tr>
      <w:tr>
        <w:tc>
          <w:tcPr/>
          <w:p>
            <w:pPr>
              <w:pStyle w:val="Compact"/>
              <w:jc w:val="left"/>
            </w:pPr>
            <w:r>
              <w:t xml:space="preserve">Konig 2021, PMID 34563178</w:t>
            </w:r>
          </w:p>
        </w:tc>
        <w:tc>
          <w:tcPr/>
          <w:p>
            <w:pPr>
              <w:pStyle w:val="Compact"/>
              <w:jc w:val="left"/>
            </w:pPr>
            <w:r>
              <w:t xml:space="preserve">Welche Veränderungen erklären den Nutzen?</w:t>
            </w:r>
          </w:p>
        </w:tc>
        <w:tc>
          <w:tcPr/>
          <w:p>
            <w:pPr>
              <w:pStyle w:val="Compact"/>
              <w:jc w:val="left"/>
            </w:pPr>
            <w:r>
              <w:t xml:space="preserve">Teilweise die Senkung von HbA1c und Eiweißausscheidung im Urin, nicht Gewicht, Blutdruck oder LDL-Cholesterin</w:t>
            </w:r>
          </w:p>
        </w:tc>
      </w:tr>
      <w:tr>
        <w:tc>
          <w:tcPr/>
          <w:p>
            <w:pPr>
              <w:pStyle w:val="Compact"/>
              <w:jc w:val="left"/>
            </w:pPr>
            <w:r>
              <w:t xml:space="preserve">Branch 2022, PMID 36073143</w:t>
            </w:r>
          </w:p>
        </w:tc>
        <w:tc>
          <w:tcPr/>
          <w:p>
            <w:pPr>
              <w:pStyle w:val="Compact"/>
              <w:jc w:val="left"/>
            </w:pPr>
            <w:r>
              <w:t xml:space="preserve">Herzschwäche-Ereignisse</w:t>
            </w:r>
          </w:p>
        </w:tc>
        <w:tc>
          <w:tcPr/>
          <w:p>
            <w:pPr>
              <w:pStyle w:val="Compact"/>
              <w:jc w:val="left"/>
            </w:pPr>
            <w:r>
              <w:t xml:space="preserve">4,3 % vs. 4,6 %; HR 0,93, kein signifikanter Unterschied</w:t>
            </w:r>
          </w:p>
        </w:tc>
      </w:tr>
      <w:tr>
        <w:tc>
          <w:tcPr/>
          <w:p>
            <w:pPr>
              <w:pStyle w:val="Compact"/>
              <w:jc w:val="left"/>
            </w:pPr>
            <w:r>
              <w:t xml:space="preserve">Raubenheimer 2022, PMID 34984808</w:t>
            </w:r>
          </w:p>
        </w:tc>
        <w:tc>
          <w:tcPr/>
          <w:p>
            <w:pPr>
              <w:pStyle w:val="Compact"/>
              <w:jc w:val="left"/>
            </w:pPr>
            <w:r>
              <w:t xml:space="preserve">Neues Vorhofflimmern oder -flattern</w:t>
            </w:r>
          </w:p>
        </w:tc>
        <w:tc>
          <w:tcPr/>
          <w:p>
            <w:pPr>
              <w:pStyle w:val="Compact"/>
              <w:jc w:val="left"/>
            </w:pPr>
            <w:r>
              <w:t xml:space="preserve">5,6 % vs. 5,3 %; kein Unterschied</w:t>
            </w:r>
          </w:p>
        </w:tc>
      </w:tr>
    </w:tbl>
    <w:p>
      <w:pPr>
        <w:pStyle w:val="BodyText"/>
      </w:pPr>
      <w:r>
        <w:t xml:space="preserve">Nach der Analyse von Konig 2021 (PMID 34563178) ließ sich ein Teil des Effekts statistisch durch die bessere Blutzuckereinstellung und die geringere Eiweißausscheidung im Urin erklären; ein weiterer Teil blieb unerklärt. Die Gewichtsabnahme spielte in dieser Auswertung keine messbare Rolle. Das passt zu der verbreiteten Annahme, dass GLP-1-Rezeptor-Agonisten auch direkte Wirkungen auf Gefäße und Entzündungsprozesse haben – belegt ist das beim Menschen aber nicht.</w:t>
      </w:r>
    </w:p>
    <w:p>
      <w:pPr>
        <w:pStyle w:val="BodyText"/>
      </w:pPr>
      <w:r>
        <w:t xml:space="preserve">Keinen Schutz zeigte Dulaglutid vor Herzschwäche-Ereignissen (Branch 2022, PMID 36073143) und vor neu auftretendem Vorhofflimmern (Raubenheimer 2022, PMID 34984808). Auch bei den 853 Teilnehmenden, die schon zu Studienbeginn eine Herzschwäche hatten, ergab sich kein abweichendes Bild. Für die Herzschwäche mit erhaltener Pumpfunktion bei Adipositas gibt es inzwischen Daten zu Semaglutid und Tirzepatid; für Dulaglutid fehlen sie.</w:t>
      </w:r>
    </w:p>
    <w:bookmarkEnd w:id="169"/>
    <w:bookmarkStart w:id="170" w:name="X68a64685aaabd9c12a968288f83ed6c5680201b"/>
    <w:p>
      <w:pPr>
        <w:pStyle w:val="Heading4"/>
      </w:pPr>
      <w:r>
        <w:t xml:space="preserve">Dulaglutid als Vergleichsstandard für neue Wirkstoffe</w:t>
      </w:r>
    </w:p>
    <w:p>
      <w:pPr>
        <w:pStyle w:val="FirstParagraph"/>
      </w:pPr>
      <w:r>
        <w:t xml:space="preserve">Weil Dulaglutid weltweit breit eingesetzt, gut verträglich und mit nachgewiesenem Herz-Kreislauf-Nutzen ausgestattet ist, wählen Hersteller es häufig als aktiven Vergleich. Die Ergebnisse dieser Studien gehören inhaltlich in die Kapitel der jeweiligen neuen Wirkstoffe; hier nur der 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SURPASS-CVOT (Nicholls 2025), PMID 41406444</w:t>
            </w:r>
          </w:p>
        </w:tc>
        <w:tc>
          <w:tcPr/>
          <w:p>
            <w:pPr>
              <w:pStyle w:val="Compact"/>
              <w:jc w:val="left"/>
            </w:pPr>
            <w:r>
              <w:t xml:space="preserve">13.165 Personen mit Typ-2-Diabetes und Gefäßerkrankung; Tirzepatid vs. Dulaglutid</w:t>
            </w:r>
          </w:p>
        </w:tc>
        <w:tc>
          <w:tcPr/>
          <w:p>
            <w:pPr>
              <w:pStyle w:val="Compact"/>
              <w:jc w:val="left"/>
            </w:pPr>
            <w:r>
              <w:t xml:space="preserve">mehrere Jahre</w:t>
            </w:r>
          </w:p>
        </w:tc>
        <w:tc>
          <w:tcPr/>
          <w:p>
            <w:pPr>
              <w:pStyle w:val="Compact"/>
              <w:jc w:val="left"/>
            </w:pPr>
            <w:r>
              <w:t xml:space="preserve">Schwere Herz-Kreislauf-Ereignisse 12,2 % vs. 13,1 %; HR 0,92, nicht unterlegen, Überlegenheit nicht gezeigt</w:t>
            </w:r>
          </w:p>
        </w:tc>
      </w:tr>
      <w:tr>
        <w:tc>
          <w:tcPr/>
          <w:p>
            <w:pPr>
              <w:pStyle w:val="Compact"/>
              <w:jc w:val="left"/>
            </w:pPr>
            <w:r>
              <w:t xml:space="preserve">SURPASS J-mono (Inagaki 2022), PMID 35914543</w:t>
            </w:r>
          </w:p>
        </w:tc>
        <w:tc>
          <w:tcPr/>
          <w:p>
            <w:pPr>
              <w:pStyle w:val="Compact"/>
              <w:jc w:val="left"/>
            </w:pPr>
            <w:r>
              <w:t xml:space="preserve">636 Personen in Japan; Tirzepatid vs. Dulaglutid 0,75 mg</w:t>
            </w:r>
          </w:p>
        </w:tc>
        <w:tc>
          <w:tcPr/>
          <w:p>
            <w:pPr>
              <w:pStyle w:val="Compact"/>
              <w:jc w:val="left"/>
            </w:pPr>
            <w:r>
              <w:t xml:space="preserve">52 Wochen</w:t>
            </w:r>
          </w:p>
        </w:tc>
        <w:tc>
          <w:tcPr/>
          <w:p>
            <w:pPr>
              <w:pStyle w:val="Compact"/>
              <w:jc w:val="left"/>
            </w:pPr>
            <w:r>
              <w:t xml:space="preserve">HbA1c −2,4 bis −2,8 vs. −1,3</w:t>
            </w:r>
          </w:p>
        </w:tc>
      </w:tr>
      <w:tr>
        <w:tc>
          <w:tcPr/>
          <w:p>
            <w:pPr>
              <w:pStyle w:val="Compact"/>
              <w:jc w:val="left"/>
            </w:pPr>
            <w:r>
              <w:t xml:space="preserve">Guo 2026, PMID 41407860</w:t>
            </w:r>
          </w:p>
        </w:tc>
        <w:tc>
          <w:tcPr/>
          <w:p>
            <w:pPr>
              <w:pStyle w:val="Compact"/>
              <w:jc w:val="left"/>
            </w:pPr>
            <w:r>
              <w:t xml:space="preserve">731 Personen in China; Mazdutid vs. Dulaglutid 1,5 mg</w:t>
            </w:r>
          </w:p>
        </w:tc>
        <w:tc>
          <w:tcPr/>
          <w:p>
            <w:pPr>
              <w:pStyle w:val="Compact"/>
              <w:jc w:val="left"/>
            </w:pPr>
            <w:r>
              <w:t xml:space="preserve">28 Wochen</w:t>
            </w:r>
          </w:p>
        </w:tc>
        <w:tc>
          <w:tcPr/>
          <w:p>
            <w:pPr>
              <w:pStyle w:val="Compact"/>
              <w:jc w:val="left"/>
            </w:pPr>
            <w:r>
              <w:t xml:space="preserve">HbA1c-Unterschied −0,24 bzw. −0,30 Prozentpunkte zugunsten Mazdutid</w:t>
            </w:r>
          </w:p>
        </w:tc>
      </w:tr>
      <w:tr>
        <w:tc>
          <w:tcPr/>
          <w:p>
            <w:pPr>
              <w:pStyle w:val="Compact"/>
              <w:jc w:val="left"/>
            </w:pPr>
            <w:r>
              <w:t xml:space="preserve">EECOH-2 (He 2025), PMID 40854315</w:t>
            </w:r>
          </w:p>
        </w:tc>
        <w:tc>
          <w:tcPr/>
          <w:p>
            <w:pPr>
              <w:pStyle w:val="Compact"/>
              <w:jc w:val="left"/>
            </w:pPr>
            <w:r>
              <w:t xml:space="preserve">621 Personen in China; Ecnoglutid vs. Dulaglutid 1,5 mg</w:t>
            </w:r>
          </w:p>
        </w:tc>
        <w:tc>
          <w:tcPr/>
          <w:p>
            <w:pPr>
              <w:pStyle w:val="Compact"/>
              <w:jc w:val="left"/>
            </w:pPr>
            <w:r>
              <w:t xml:space="preserve">52 Wochen</w:t>
            </w:r>
          </w:p>
        </w:tc>
        <w:tc>
          <w:tcPr/>
          <w:p>
            <w:pPr>
              <w:pStyle w:val="Compact"/>
              <w:jc w:val="left"/>
            </w:pPr>
            <w:r>
              <w:t xml:space="preserve">HbA1c −1,89 bis −1,91 vs. −1,65</w:t>
            </w:r>
          </w:p>
        </w:tc>
      </w:tr>
    </w:tbl>
    <w:p>
      <w:pPr>
        <w:pStyle w:val="BodyText"/>
      </w:pPr>
      <w:r>
        <w:t xml:space="preserve">Besonders aufschlussreich ist SURPASS-CVOT (Nicholls 2025, PMID 41406444), die erste große Endpunktstudie, in der zwei Inkretin-Medikamente direkt gegeneinander antraten. Tirzepatid war nicht schlechter, aber auch nicht nachweislich besser als Dulaglutid. Da Dulaglutid selbst in REWIND das Risiko gesenkt hatte, ist ein „Unentschieden“ gegen Dulaglutid ein starkes Ergebnis für beide Wirkstoffe. Eine nachträgliche Auswertung mit einem breiteren Herz-Nieren-Endpunkt fand einen Vorteil für Tirzepatid (23,7 % vs. 27,4 %; HR 0,84) (Nissen 2026, PMID 41903177). Nachträgliche Auswertungen sind jedoch weniger belastbar als der vorab festgelegte Hauptendpunkt.</w:t>
      </w:r>
    </w:p>
    <w:bookmarkEnd w:id="170"/>
    <w:bookmarkStart w:id="171" w:name="handhabung-der-fertigpen"/>
    <w:p>
      <w:pPr>
        <w:pStyle w:val="Heading4"/>
      </w:pPr>
      <w:r>
        <w:t xml:space="preserve">Handhabung: der Fertigpen</w:t>
      </w:r>
    </w:p>
    <w:p>
      <w:pPr>
        <w:pStyle w:val="FirstParagraph"/>
      </w:pPr>
      <w:r>
        <w:t xml:space="preserve">Ein praktischer Punkt, der in Studien selten gewürdigt wird, ist die Anwendung. Dulaglutid wird in einem Einmal-Fertigpen geliefert, bei dem keine Nadel aufgesetzt und keine Dosis eingestellt werden muss. In einer Studie mit 211 Menschen mit Typ-2-Diabetes, die sich noch nie selbst gespritzt hatten, gelang die Injektion am Ende in 99,1 % der Fälle; die Angst vor dem Spritzen nahm ab (Matfin 2015, PMID 25901022). In einer vom Hersteller finanzierten Vergleichsstudie mit 310 Teilnehmenden bevorzugten 84,2 % den Dulaglutid-Pen gegenüber dem damaligen Semaglutid-Pen (Matza 2020, PMID 31646727). Solche Präferenzstudien sagen nichts über die Wirksamkeit aus, können aber erklären, warum Dulaglutid gerade bei älteren Menschen verbreitet ist.</w:t>
      </w:r>
    </w:p>
    <w:bookmarkEnd w:id="171"/>
    <w:bookmarkStart w:id="172" w:name="kinder-und-jugendliche-1"/>
    <w:p>
      <w:pPr>
        <w:pStyle w:val="Heading4"/>
      </w:pPr>
      <w:r>
        <w:t xml:space="preserve">Kinder und Jugendliche</w:t>
      </w:r>
    </w:p>
    <w:p>
      <w:pPr>
        <w:pStyle w:val="FirstParagraph"/>
      </w:pPr>
      <w:r>
        <w:t xml:space="preserve">In AWARD-PEDS mit 154 Jugendlichen mit Typ-2-Diabetes stieg der HbA1c unter Placebo nach 26 Wochen um 0,6 Prozentpunkte und sank unter Dulaglutid um 0,6 (0,75 mg) bzw. 0,9 Prozentpunkte (1,5 mg) (Arslanian 2022, PMID 35658022). Einen HbA1c unter 7 % erreichten 51 % gegenüber 14 %. Auf den Body-Mass-Index hatte Dulaglutid in dieser Altersgruppe keinen Einfluss. Diese Studie war die Grundlage für die Zulassung ab 10 Jahren.</w:t>
      </w:r>
    </w:p>
    <w:bookmarkEnd w:id="172"/>
    <w:bookmarkStart w:id="173" w:name="weitere-einsatzgebiete-in-studien-2"/>
    <w:p>
      <w:pPr>
        <w:pStyle w:val="Heading4"/>
      </w:pPr>
      <w:r>
        <w:t xml:space="preserve">Weitere Einsatzgebiete in Studien</w:t>
      </w:r>
    </w:p>
    <w:p>
      <w:pPr>
        <w:numPr>
          <w:ilvl w:val="0"/>
          <w:numId w:val="1050"/>
        </w:numPr>
        <w:pStyle w:val="Compact"/>
      </w:pPr>
      <w:r>
        <w:rPr>
          <w:bCs/>
          <w:b/>
        </w:rPr>
        <w:t xml:space="preserve">Rauchstopp:</w:t>
      </w:r>
      <w:r>
        <w:t xml:space="preserve"> </w:t>
      </w:r>
      <w:r>
        <w:t xml:space="preserve">In einer Studie mit 255 Personen verbesserte Dulaglutid die Abstinenzrate nicht; nach 52 Wochen waren in beiden Gruppen 32 % rauchfrei (Lüthi 2024, PMID 38371479). Die übliche Gewichtszunahme nach dem Rauchstopp wurde in den ersten 12 Wochen verhindert, nach einem Jahr war der Unterschied verschwunden.</w:t>
      </w:r>
    </w:p>
    <w:p>
      <w:pPr>
        <w:numPr>
          <w:ilvl w:val="0"/>
          <w:numId w:val="1050"/>
        </w:numPr>
        <w:pStyle w:val="Compact"/>
      </w:pPr>
      <w:r>
        <w:rPr>
          <w:bCs/>
          <w:b/>
        </w:rPr>
        <w:t xml:space="preserve">Alkohol:</w:t>
      </w:r>
      <w:r>
        <w:t xml:space="preserve"> </w:t>
      </w:r>
      <w:r>
        <w:t xml:space="preserve">In einer vorab geplanten Zusatzauswertung derselben Studie tranken Teilnehmende unter Dulaglutid nach 12 Wochen 29 % weniger Alkohol als unter Placebo (Probst 2023, PMID 37991022). Die Studie war nicht für diese Frage ausgelegt.</w:t>
      </w:r>
    </w:p>
    <w:p>
      <w:pPr>
        <w:numPr>
          <w:ilvl w:val="0"/>
          <w:numId w:val="1050"/>
        </w:numPr>
        <w:pStyle w:val="Compact"/>
      </w:pPr>
      <w:r>
        <w:rPr>
          <w:bCs/>
          <w:b/>
        </w:rPr>
        <w:t xml:space="preserve">Primäre Polydipsie</w:t>
      </w:r>
      <w:r>
        <w:t xml:space="preserve"> </w:t>
      </w:r>
      <w:r>
        <w:t xml:space="preserve">(krankhaft gesteigertes Trinken): In einer Crossover-Studie mit 34 Personen verringerte Dulaglutid die Trinkmenge während eines achtstündigen Tests um 490 ml, entsprechend 17 % (Winzeler 2021, PMID 34473645). Ein Hinweis darauf, dass GLP-1 auch das Durstempfinden beeinflusst.</w:t>
      </w:r>
    </w:p>
    <w:bookmarkEnd w:id="173"/>
    <w:bookmarkEnd w:id="174"/>
    <w:bookmarkStart w:id="175" w:name="tier--und-laborstudien-2"/>
    <w:p>
      <w:pPr>
        <w:pStyle w:val="Heading3"/>
      </w:pPr>
      <w:r>
        <w:t xml:space="preserve">Tier- und Laborstudien</w:t>
      </w:r>
    </w:p>
    <w:p>
      <w:pPr>
        <w:pStyle w:val="FirstParagraph"/>
      </w:pPr>
      <w:r>
        <w:t xml:space="preserve">Die präklinische Charakterisierung von Dulaglutid (damals LY2189265) erfolgte an Zellen, Ratten, Mäusen und Javaneraffen (Glaesner 2010, PMID 20503261). In Laborversuchen behielt das Fusionsprotein die volle Wirkung am GLP-1-Rezeptor. Bei diabetischen Mäusen verbesserte eine einzige Gabe die Zuckertoleranz; zweimal wöchentliche Gaben über vier Wochen senkten das Gewicht und verzögerten den Anstieg des Blutzuckers. Bei Affen hielt die Wirkung auf die Insulinausschüttung nach einer Dosis bis zu einer Woche an.</w:t>
      </w:r>
    </w:p>
    <w:p>
      <w:pPr>
        <w:pStyle w:val="BodyText"/>
      </w:pPr>
      <w:r>
        <w:t xml:space="preserve">Wie bei allen GLP-1-Rezeptor-Agonisten traten in Langzeitstudien an Nagetieren Veränderungen der C-Zellen der Schilddrüse auf; der Mechanismus und seine eingeschränkte Übertragbarkeit auf den Menschen sind im Kapitel Liraglutid beschrieben (Bjerre Knudsen 2010, PMID 20203154).</w:t>
      </w:r>
    </w:p>
    <w:bookmarkEnd w:id="175"/>
    <w:bookmarkStart w:id="176" w:name="risiken-und-nebenwirkungen-2"/>
    <w:p>
      <w:pPr>
        <w:pStyle w:val="Heading3"/>
      </w:pPr>
      <w:r>
        <w:t xml:space="preserve">Risiken und Nebenwirkungen</w:t>
      </w:r>
    </w:p>
    <w:p>
      <w:pPr>
        <w:pStyle w:val="FirstParagraph"/>
      </w:pPr>
      <w:r>
        <w:rPr>
          <w:bCs/>
          <w:b/>
        </w:rPr>
        <w:t xml:space="preserve">Belegt aus randomisierten Studien:</w:t>
      </w:r>
    </w:p>
    <w:p>
      <w:pPr>
        <w:numPr>
          <w:ilvl w:val="0"/>
          <w:numId w:val="1051"/>
        </w:numPr>
        <w:pStyle w:val="Compact"/>
      </w:pPr>
      <w:r>
        <w:rPr>
          <w:bCs/>
          <w:b/>
        </w:rPr>
        <w:t xml:space="preserve">Magen-Darm-Beschwerden:</w:t>
      </w:r>
      <w:r>
        <w:t xml:space="preserve"> </w:t>
      </w:r>
      <w:r>
        <w:t xml:space="preserve">Übelkeit, Durchfall und Erbrechen sind die häufigsten Nebenwirkungen. In REWIND meldeten 47,4 % der Behandelten Magen-Darm-Beschwerden gegenüber 34,1 % unter Placebo (Gerstein 2019, PMID 31189511). Mit höheren Dosen nehmen sie zu (Frias 2021, PMID 33397768).</w:t>
      </w:r>
    </w:p>
    <w:p>
      <w:pPr>
        <w:numPr>
          <w:ilvl w:val="0"/>
          <w:numId w:val="1051"/>
        </w:numPr>
        <w:pStyle w:val="Compact"/>
      </w:pPr>
      <w:r>
        <w:rPr>
          <w:bCs/>
          <w:b/>
        </w:rPr>
        <w:t xml:space="preserve">Unterzuckerung:</w:t>
      </w:r>
      <w:r>
        <w:t xml:space="preserve"> </w:t>
      </w:r>
      <w:r>
        <w:t xml:space="preserve">allein selten; in Kombination mit Insulin oder Sulfonylharnstoffen häufiger, aber seltener als unter Insulin allein (Giorgino 2015, PMID 26089386).</w:t>
      </w:r>
    </w:p>
    <w:p>
      <w:pPr>
        <w:numPr>
          <w:ilvl w:val="0"/>
          <w:numId w:val="1051"/>
        </w:numPr>
        <w:pStyle w:val="Compact"/>
      </w:pPr>
      <w:r>
        <w:rPr>
          <w:bCs/>
          <w:b/>
        </w:rPr>
        <w:t xml:space="preserve">Bauchspeicheldrüsenenzyme:</w:t>
      </w:r>
      <w:r>
        <w:t xml:space="preserve"> </w:t>
      </w:r>
      <w:r>
        <w:t xml:space="preserve">In AWARD-2 stiegen die Enzyme der Bauchspeicheldrüse unter Dulaglutid an (Giorgino 2015, PMID 26089386). Die klinische Bedeutung solcher Anstiege ohne Beschwerden ist unklar.</w:t>
      </w:r>
    </w:p>
    <w:p>
      <w:pPr>
        <w:numPr>
          <w:ilvl w:val="0"/>
          <w:numId w:val="1051"/>
        </w:numPr>
        <w:pStyle w:val="Compact"/>
      </w:pPr>
      <w:r>
        <w:rPr>
          <w:bCs/>
          <w:b/>
        </w:rPr>
        <w:t xml:space="preserve">Antikörper:</w:t>
      </w:r>
      <w:r>
        <w:t xml:space="preserve"> </w:t>
      </w:r>
      <w:r>
        <w:t xml:space="preserve">selten (1,6 % der Behandelten), ohne Häufung von Überempfindlichkeitsreaktionen (Milicevic 2016, PMID 26847401).</w:t>
      </w:r>
    </w:p>
    <w:p>
      <w:pPr>
        <w:numPr>
          <w:ilvl w:val="0"/>
          <w:numId w:val="1051"/>
        </w:numPr>
        <w:pStyle w:val="Compact"/>
      </w:pPr>
      <w:r>
        <w:rPr>
          <w:bCs/>
          <w:b/>
        </w:rPr>
        <w:t xml:space="preserve">Gallenblase:</w:t>
      </w:r>
      <w:r>
        <w:t xml:space="preserve"> </w:t>
      </w:r>
      <w:r>
        <w:t xml:space="preserve">Für die gesamte Klasse ist ein erhöhtes Risiko für Gallensteine und Gallenblasenentzündung belegt (He 2022, PMID 35344001); Details im Kapitel Liraglutid.</w:t>
      </w:r>
    </w:p>
    <w:p>
      <w:pPr>
        <w:pStyle w:val="FirstParagraph"/>
      </w:pPr>
      <w:r>
        <w:rPr>
          <w:bCs/>
          <w:b/>
        </w:rPr>
        <w:t xml:space="preserve">Untersucht, aber unsicher:</w:t>
      </w:r>
    </w:p>
    <w:p>
      <w:pPr>
        <w:numPr>
          <w:ilvl w:val="0"/>
          <w:numId w:val="1052"/>
        </w:numPr>
        <w:pStyle w:val="Compact"/>
      </w:pPr>
      <w:r>
        <w:rPr>
          <w:bCs/>
          <w:b/>
        </w:rPr>
        <w:t xml:space="preserve">Bauchspeicheldrüsenentzündung und -krebs:</w:t>
      </w:r>
      <w:r>
        <w:t xml:space="preserve"> </w:t>
      </w:r>
      <w:r>
        <w:t xml:space="preserve">In der Meta-Analyse der Endpunktstudien kein erhöhtes Risiko für die Klasse (Kristensen 2019, PMID 31422062). Eine Pankreatitis steht dennoch als seltene Nebenwirkung in der Fachinformation.</w:t>
      </w:r>
    </w:p>
    <w:p>
      <w:pPr>
        <w:numPr>
          <w:ilvl w:val="0"/>
          <w:numId w:val="1052"/>
        </w:numPr>
        <w:pStyle w:val="Compact"/>
      </w:pPr>
      <w:r>
        <w:rPr>
          <w:bCs/>
          <w:b/>
        </w:rPr>
        <w:t xml:space="preserve">Schilddrüsenkrebs:</w:t>
      </w:r>
      <w:r>
        <w:t xml:space="preserve"> </w:t>
      </w:r>
      <w:r>
        <w:t xml:space="preserve">Signal in Beobachtungsstudien und Meta-Analysen für die gesamte Klasse (Silverii 2025, PMID 40437949), nicht spezifisch für Dulaglutid; siehe Kapitel Liraglutid und Teil IV.</w:t>
      </w:r>
    </w:p>
    <w:p>
      <w:pPr>
        <w:pStyle w:val="FirstParagraph"/>
      </w:pPr>
      <w:r>
        <w:rPr>
          <w:bCs/>
          <w:b/>
        </w:rPr>
        <w:t xml:space="preserve">Hinweise für die Praxis:</w:t>
      </w:r>
      <w:r>
        <w:t xml:space="preserve"> </w:t>
      </w:r>
      <w:r>
        <w:t xml:space="preserve">Dulaglutid verlangsamt die Magenentleerung, was bei Narkosen und Magenspiegelungen eine Rolle spielt; dazu läuft eine große Studie zur Frage, ob GLP-1-Rezeptor-Agonisten vor einer Magenspiegelung pausiert werden sollten (NCT07276763). Maßgeblich sind die Fachinformation und die ärztliche Begleitung.</w:t>
      </w:r>
    </w:p>
    <w:bookmarkEnd w:id="176"/>
    <w:bookmarkStart w:id="177" w:name="rechtslage-2"/>
    <w:p>
      <w:pPr>
        <w:pStyle w:val="Heading3"/>
      </w:pPr>
      <w:r>
        <w:t xml:space="preserve">Rechtslage</w:t>
      </w:r>
    </w:p>
    <w:p>
      <w:pPr>
        <w:numPr>
          <w:ilvl w:val="0"/>
          <w:numId w:val="1053"/>
        </w:numPr>
        <w:pStyle w:val="Compact"/>
      </w:pPr>
      <w:r>
        <w:rPr>
          <w:bCs/>
          <w:b/>
        </w:rPr>
        <w:t xml:space="preserve">EU:</w:t>
      </w:r>
      <w:r>
        <w:t xml:space="preserve"> </w:t>
      </w:r>
      <w:r>
        <w:t xml:space="preserve">Trulicity ist seit 2014 zentral zur Behandlung des Typ-2-Diabetes zugelassen, inzwischen auch für Jugendliche ab 10 Jahren. Verschreibungspflichtig. Keine Zulassung zur Gewichtsreduktion.</w:t>
      </w:r>
    </w:p>
    <w:p>
      <w:pPr>
        <w:numPr>
          <w:ilvl w:val="0"/>
          <w:numId w:val="1053"/>
        </w:numPr>
        <w:pStyle w:val="Compact"/>
      </w:pPr>
      <w:r>
        <w:rPr>
          <w:bCs/>
          <w:b/>
        </w:rPr>
        <w:t xml:space="preserve">Deutschland und Österreich:</w:t>
      </w:r>
      <w:r>
        <w:t xml:space="preserve"> </w:t>
      </w:r>
      <w:r>
        <w:t xml:space="preserve">verschreibungspflichtig; bei Typ-2-Diabetes erstattungsfähig. In den Jahren ab 2022 kam es wie bei anderen GLP-1-Präparaten zeitweise zu Lieferengpässen (bitte aktuell prüfen).</w:t>
      </w:r>
    </w:p>
    <w:p>
      <w:pPr>
        <w:numPr>
          <w:ilvl w:val="0"/>
          <w:numId w:val="1053"/>
        </w:numPr>
        <w:pStyle w:val="Compact"/>
      </w:pPr>
      <w:r>
        <w:rPr>
          <w:bCs/>
          <w:b/>
        </w:rPr>
        <w:t xml:space="preserve">USA:</w:t>
      </w:r>
      <w:r>
        <w:t xml:space="preserve"> </w:t>
      </w:r>
      <w:r>
        <w:t xml:space="preserve">zugelassen für Typ-2-Diabetes ab 10 Jahren und zur Senkung des Herz-Kreislauf-Risikos.</w:t>
      </w:r>
    </w:p>
    <w:p>
      <w:pPr>
        <w:numPr>
          <w:ilvl w:val="0"/>
          <w:numId w:val="1053"/>
        </w:numPr>
        <w:pStyle w:val="Compact"/>
      </w:pPr>
      <w:r>
        <w:rPr>
          <w:bCs/>
          <w:b/>
        </w:rPr>
        <w:t xml:space="preserve">Generika:</w:t>
      </w:r>
      <w:r>
        <w:t xml:space="preserve"> </w:t>
      </w:r>
      <w:r>
        <w:t xml:space="preserve">Da Dulaglutid ein gentechnisch hergestelltes Fusionsprotein ist, wären Nachahmerpräparate Biosimilars mit aufwendigerem Zulassungsverfahren als bei Liraglutid oder Semaglutid. Zum Zeitpunkt der Drucklegung ist in der EU nach bestem Wissen kein Biosimilar im Handel (bitte aktuell prüfen).</w:t>
      </w:r>
    </w:p>
    <w:p>
      <w:pPr>
        <w:numPr>
          <w:ilvl w:val="0"/>
          <w:numId w:val="1053"/>
        </w:numPr>
        <w:pStyle w:val="Compact"/>
      </w:pPr>
      <w:r>
        <w:rPr>
          <w:bCs/>
          <w:b/>
        </w:rPr>
        <w:t xml:space="preserve">Sport (WADA):</w:t>
      </w:r>
      <w:r>
        <w:t xml:space="preserve"> </w:t>
      </w:r>
      <w:r>
        <w:t xml:space="preserve">nicht gelistet (Stand 2026, bitte aktuell prüfen).</w:t>
      </w:r>
    </w:p>
    <w:p>
      <w:pPr>
        <w:numPr>
          <w:ilvl w:val="0"/>
          <w:numId w:val="1053"/>
        </w:numPr>
        <w:pStyle w:val="Compact"/>
      </w:pPr>
      <w:r>
        <w:rPr>
          <w:bCs/>
          <w:b/>
        </w:rPr>
        <w:t xml:space="preserve">Graumarkt:</w:t>
      </w:r>
      <w:r>
        <w:t xml:space="preserve"> </w:t>
      </w:r>
      <w:r>
        <w:t xml:space="preserve">Dulaglutid spielt im Graumarkt praktisch keine Rolle, weil ein großes Fusionsprotein nicht wie kleine Peptide synthetisch hergestellt werden kann.</w:t>
      </w:r>
    </w:p>
    <w:bookmarkEnd w:id="177"/>
    <w:bookmarkStart w:id="178" w:name="laufende-studien-und-ausblick-2"/>
    <w:p>
      <w:pPr>
        <w:pStyle w:val="Heading3"/>
      </w:pPr>
      <w:r>
        <w:t xml:space="preserve">Laufende Studien und Ausblick</w:t>
      </w:r>
    </w:p>
    <w:p>
      <w:pPr>
        <w:pStyle w:val="FirstParagraph"/>
      </w:pPr>
      <w:r>
        <w:rPr>
          <w:bCs/>
          <w:b/>
        </w:rPr>
        <w:t xml:space="preserve">Gesichert (registrierte Studien):</w:t>
      </w:r>
    </w:p>
    <w:p>
      <w:pPr>
        <w:numPr>
          <w:ilvl w:val="0"/>
          <w:numId w:val="1054"/>
        </w:numPr>
        <w:pStyle w:val="Compact"/>
      </w:pPr>
      <w:r>
        <w:rPr>
          <w:bCs/>
          <w:b/>
        </w:rPr>
        <w:t xml:space="preserve">Kinder und Jugendliche:</w:t>
      </w:r>
      <w:r>
        <w:t xml:space="preserve"> </w:t>
      </w:r>
      <w:r>
        <w:t xml:space="preserve">Lilly prüft die höheren Dosen 3,0 und 4,5 mg bei Jugendlichen mit Typ-2-Diabetes (NCT06739122) und vergleicht die Tablette Orforglipron mit Dulaglutid in dieser Altersgruppe (NCT07668336).</w:t>
      </w:r>
    </w:p>
    <w:p>
      <w:pPr>
        <w:numPr>
          <w:ilvl w:val="0"/>
          <w:numId w:val="1054"/>
        </w:numPr>
        <w:pStyle w:val="Compact"/>
      </w:pPr>
      <w:r>
        <w:rPr>
          <w:bCs/>
          <w:b/>
        </w:rPr>
        <w:t xml:space="preserve">Gefäße und Operationen:</w:t>
      </w:r>
      <w:r>
        <w:t xml:space="preserve"> </w:t>
      </w:r>
      <w:r>
        <w:t xml:space="preserve">Eine Studie untersucht Dulaglutid bei schwerer Verengung der Hirngefäße (NCT07282041), eine weitere, ob es Herzmuskelschäden nach nicht-herzchirurgischen Operationen verringert (NCT06324461).</w:t>
      </w:r>
    </w:p>
    <w:p>
      <w:pPr>
        <w:numPr>
          <w:ilvl w:val="0"/>
          <w:numId w:val="1054"/>
        </w:numPr>
        <w:pStyle w:val="Compact"/>
      </w:pPr>
      <w:r>
        <w:rPr>
          <w:bCs/>
          <w:b/>
        </w:rPr>
        <w:t xml:space="preserve">Mukoviszidose:</w:t>
      </w:r>
      <w:r>
        <w:t xml:space="preserve"> </w:t>
      </w:r>
      <w:r>
        <w:t xml:space="preserve">Eine kleine Phase-2-Studie untersucht Dulaglutid bei gestörter Zuckerverwertung infolge der Erkrankung (NCT04731272).</w:t>
      </w:r>
    </w:p>
    <w:p>
      <w:pPr>
        <w:numPr>
          <w:ilvl w:val="0"/>
          <w:numId w:val="1054"/>
        </w:numPr>
        <w:pStyle w:val="Compact"/>
      </w:pPr>
      <w:r>
        <w:rPr>
          <w:bCs/>
          <w:b/>
        </w:rPr>
        <w:t xml:space="preserve">Als Vergleich:</w:t>
      </w:r>
      <w:r>
        <w:t xml:space="preserve"> </w:t>
      </w:r>
      <w:r>
        <w:t xml:space="preserve">Zahlreiche neue Wirkstoffe werden in Phase-3-Studien gegen Dulaglutid geprüft, darunter das Exendin-4-Fusionsprotein JY09 (NCT06257966).</w:t>
      </w:r>
    </w:p>
    <w:p>
      <w:pPr>
        <w:pStyle w:val="FirstParagraph"/>
      </w:pPr>
      <w:r>
        <w:rPr>
          <w:bCs/>
          <w:b/>
        </w:rPr>
        <w:t xml:space="preserve">Einschätzung:</w:t>
      </w:r>
      <w:r>
        <w:t xml:space="preserve"> </w:t>
      </w:r>
      <w:r>
        <w:t xml:space="preserve">Dulaglutid ist ein solider, gut untersuchter Wirkstoff mit nachgewiesenem Herz-Kreislauf-Nutzen, der aber bei Blutzucker und Gewicht von Semaglutid und Tirzepatid übertroffen wird. Seine Rolle dürfte sich zunehmend auf die eines Vergleichsstandards in Studien verlagern. Da Lilly mit Tirzepatid und Orforglipron eigene Nachfolger anbietet, ist eine weitere Entwicklung von Dulaglutid für neue Anwendungsgebiete wenig wahrscheinlich.</w:t>
      </w:r>
    </w:p>
    <w:bookmarkEnd w:id="178"/>
    <w:bookmarkStart w:id="179" w:name="fazit-2"/>
    <w:p>
      <w:pPr>
        <w:pStyle w:val="Heading3"/>
      </w:pPr>
      <w:r>
        <w:t xml:space="preserve">Fazit</w:t>
      </w:r>
    </w:p>
    <w:p>
      <w:pPr>
        <w:pStyle w:val="FirstParagraph"/>
      </w:pPr>
      <w:r>
        <w:t xml:space="preserve">Dulaglutid ist ein wöchentlich gespritztes GLP-1-Fusionsprotein, das im AWARD-Programm gegen fast alle gängigen Diabetesmittel geprüft wurde. Es senkte den Langzeitzucker etwa so stark wie Liraglutid und stärker als Exenatid, Sitagliptin oder Metformin, unterlag aber in SUSTAIN 7 Semaglutid, besonders beim Gewicht. In REWIND mit 9.901 Teilnehmenden, darunter vielen ohne bekannte Herz-Kreislauf-Erkrankung, verringerte es schwere Herz-Kreislauf-Ereignisse um 12 %. Die Nebenwirkungen entsprechen der Klasse; Antikörper sind selten. Zur Gewichtsreduktion ist es nicht zugelassen, und die Behandlung gehört in ärztliche Hände.</w:t>
      </w:r>
    </w:p>
    <w:bookmarkEnd w:id="179"/>
    <w:bookmarkEnd w:id="180"/>
    <w:bookmarkStart w:id="200" w:name="semaglutid"/>
    <w:p>
      <w:pPr>
        <w:pStyle w:val="Heading2"/>
      </w:pPr>
      <w:r>
        <w:t xml:space="preserve">Semaglutid</w:t>
      </w:r>
    </w:p>
    <w:bookmarkStart w:id="181" w:name="steckbrief-3"/>
    <w:p>
      <w:pPr>
        <w:pStyle w:val="Heading3"/>
      </w:pPr>
      <w:r>
        <w:t xml:space="preserve">Steckbrief</w:t>
      </w:r>
    </w:p>
    <w:p>
      <w:pPr>
        <w:numPr>
          <w:ilvl w:val="0"/>
          <w:numId w:val="1055"/>
        </w:numPr>
        <w:pStyle w:val="Compact"/>
      </w:pPr>
      <w:r>
        <w:rPr>
          <w:bCs/>
          <w:b/>
        </w:rPr>
        <w:t xml:space="preserve">Art/Struktur:</w:t>
      </w:r>
      <w:r>
        <w:t xml:space="preserve"> </w:t>
      </w:r>
      <w:r>
        <w:t xml:space="preserve">Abgewandeltes menschliches GLP-1 aus 31 Aminosäuren. Gegenüber dem körpereigenen Hormon sind zwei Aminosäuren ausgetauscht; an einer dritten Stelle hängt über einen Verbindungsbaustein eine Fettsäurekette, die das Molekül stark an das Bluteiweiß Albumin bindet (Lau 2015, PMID 26308095).</w:t>
      </w:r>
    </w:p>
    <w:p>
      <w:pPr>
        <w:numPr>
          <w:ilvl w:val="0"/>
          <w:numId w:val="1055"/>
        </w:numPr>
        <w:pStyle w:val="Compact"/>
      </w:pPr>
      <w:r>
        <w:rPr>
          <w:bCs/>
          <w:b/>
        </w:rPr>
        <w:t xml:space="preserve">Herkunft:</w:t>
      </w:r>
      <w:r>
        <w:t xml:space="preserve"> </w:t>
      </w:r>
      <w:r>
        <w:t xml:space="preserve">entwickelt von Novo Nordisk als Weiterentwicklung von Liraglutid.</w:t>
      </w:r>
    </w:p>
    <w:p>
      <w:pPr>
        <w:numPr>
          <w:ilvl w:val="0"/>
          <w:numId w:val="1055"/>
        </w:numPr>
        <w:pStyle w:val="Compact"/>
      </w:pPr>
      <w:r>
        <w:rPr>
          <w:bCs/>
          <w:b/>
        </w:rPr>
        <w:t xml:space="preserve">Wirkprinzip:</w:t>
      </w:r>
      <w:r>
        <w:t xml:space="preserve"> </w:t>
      </w:r>
      <w:r>
        <w:t xml:space="preserve">GLP-1-Rezeptor-Agonist mit sehr langer Wirkdauer – eine Spritze pro Woche oder eine Tablette pro Tag.</w:t>
      </w:r>
    </w:p>
    <w:p>
      <w:pPr>
        <w:numPr>
          <w:ilvl w:val="0"/>
          <w:numId w:val="1055"/>
        </w:numPr>
        <w:pStyle w:val="Compact"/>
      </w:pPr>
      <w:r>
        <w:rPr>
          <w:bCs/>
          <w:b/>
        </w:rPr>
        <w:t xml:space="preserve">Präparate:</w:t>
      </w:r>
      <w:r>
        <w:t xml:space="preserve"> </w:t>
      </w:r>
      <w:r>
        <w:t xml:space="preserve">Ozempic (Spritze, Typ-2-Diabetes), Wegovy (Spritze, Gewichtsmanagement und Herz-Kreislauf-Risikosenkung), Rybelsus (Tablette, Typ-2-Diabetes). In den USA ist seit Ende 2025 auch eine Wegovy-Tablette zum Gewichtsmanagement zugelassen (bitte aktuell prüfen).</w:t>
      </w:r>
    </w:p>
    <w:p>
      <w:pPr>
        <w:numPr>
          <w:ilvl w:val="0"/>
          <w:numId w:val="1055"/>
        </w:numPr>
        <w:pStyle w:val="Compact"/>
      </w:pPr>
      <w:r>
        <w:rPr>
          <w:bCs/>
          <w:b/>
        </w:rPr>
        <w:t xml:space="preserve">Zulassung EU:</w:t>
      </w:r>
      <w:r>
        <w:t xml:space="preserve"> </w:t>
      </w:r>
      <w:r>
        <w:t xml:space="preserve">ja – Typ-2-Diabetes (Spritze seit 2018, Tablette seit 2020), Gewichtsmanagement (seit 2022, auch für Jugendliche ab 12 Jahren).</w:t>
      </w:r>
    </w:p>
    <w:p>
      <w:pPr>
        <w:numPr>
          <w:ilvl w:val="0"/>
          <w:numId w:val="1055"/>
        </w:numPr>
        <w:pStyle w:val="Compact"/>
      </w:pPr>
      <w:r>
        <w:rPr>
          <w:bCs/>
          <w:b/>
        </w:rPr>
        <w:t xml:space="preserve">Zulassung USA:</w:t>
      </w:r>
      <w:r>
        <w:t xml:space="preserve"> </w:t>
      </w:r>
      <w:r>
        <w:t xml:space="preserve">ja – Typ-2-Diabetes, Gewichtsmanagement, Senkung des Herz-Kreislauf-Risikos bei Übergewicht mit Herz-Kreislauf-Erkrankung, Nierenschutz bei Typ-2-Diabetes und chronischer Nierenerkrankung sowie Fettleberentzündung (MASH) mit Fibrose (Stand 2026, bitte aktuell prüfen).</w:t>
      </w:r>
    </w:p>
    <w:p>
      <w:pPr>
        <w:numPr>
          <w:ilvl w:val="0"/>
          <w:numId w:val="1055"/>
        </w:numPr>
        <w:pStyle w:val="Compact"/>
      </w:pPr>
      <w:r>
        <w:rPr>
          <w:bCs/>
          <w:b/>
        </w:rPr>
        <w:t xml:space="preserve">WADA:</w:t>
      </w:r>
      <w:r>
        <w:t xml:space="preserve"> </w:t>
      </w:r>
      <w:r>
        <w:t xml:space="preserve">nicht gelistet (Stand 2026, bitte aktuell prüfen).</w:t>
      </w:r>
    </w:p>
    <w:p>
      <w:pPr>
        <w:numPr>
          <w:ilvl w:val="0"/>
          <w:numId w:val="1055"/>
        </w:numPr>
        <w:pStyle w:val="Compact"/>
      </w:pPr>
      <w:r>
        <w:rPr>
          <w:bCs/>
          <w:b/>
        </w:rPr>
        <w:t xml:space="preserve">Evidenzstufe:</w:t>
      </w:r>
      <w:r>
        <w:t xml:space="preserve"> </w:t>
      </w:r>
      <w:r>
        <w:rPr>
          <w:bCs/>
          <w:b/>
        </w:rPr>
        <w:t xml:space="preserve">A</w:t>
      </w:r>
      <w:r>
        <w:t xml:space="preserve"> </w:t>
      </w:r>
      <w:r>
        <w:t xml:space="preserve">– vier große Zulassungsprogramme (SUSTAIN, PIONEER, STEP, OASIS), mehrere Endpunktstudien mit zusammen über 40.000 Teilnehmenden.</w:t>
      </w:r>
    </w:p>
    <w:bookmarkEnd w:id="181"/>
    <w:bookmarkStart w:id="182" w:name="wie-es-wirken-soll-3"/>
    <w:p>
      <w:pPr>
        <w:pStyle w:val="Heading3"/>
      </w:pPr>
      <w:r>
        <w:t xml:space="preserve">Wie es wirken soll</w:t>
      </w:r>
    </w:p>
    <w:p>
      <w:pPr>
        <w:pStyle w:val="FirstParagraph"/>
      </w:pPr>
      <w:r>
        <w:t xml:space="preserve">Semaglutid wirkt wie das Darmhormon GLP-1: Es verstärkt die zuckerabhängige Insulinausschüttung, hemmt das blutzuckersteigernde Glukagon, verlangsamt die Magenentleerung und dämpft im Gehirn Hunger und das Verlangen nach Essen. Der Grundmechanismus der Klasse ist im Kapitel Exenatid erklärt.</w:t>
      </w:r>
    </w:p>
    <w:p>
      <w:pPr>
        <w:pStyle w:val="BodyText"/>
      </w:pPr>
      <w:r>
        <w:t xml:space="preserve">Das Neue an Semaglutid ist die Haltbarkeit. Die Entwickler gingen von Liraglutid aus und veränderten zwei Dinge (Lau 2015, PMID 26308095): Ein Aminosäureaustausch an Position 8 macht das Molekül vollständig unempfindlich gegen das Abbauenzym DPP-4. Und eine längere Fettsäurekette mit einem anderen Verbindungsstück bindet deutlich fester an Albumin. Dadurch wird Semaglutid nur langsam freigesetzt und ausgeschieden. Bei Minischweinen lag die Halbwertszeit nach Gabe in die Vene bei 46,1 Stunden; beim Menschen ist sie noch länger und erlaubt eine Spritze pro Woche.</w:t>
      </w:r>
    </w:p>
    <w:p>
      <w:pPr>
        <w:pStyle w:val="BodyText"/>
      </w:pPr>
      <w:r>
        <w:t xml:space="preserve">Für die Gewichtsabnahme sind vor allem Wirkungen im Gehirn entscheidend. Semaglutid verringert die Nahrungsaufnahme, das Hungergefühl und die Lust auf besonders fett- und zuckerreiche Speisen. Ein nennenswert höherer Energieverbrauch ist nicht belegt.</w:t>
      </w:r>
    </w:p>
    <w:p>
      <w:pPr>
        <w:pStyle w:val="BodyText"/>
      </w:pPr>
      <w:r>
        <w:rPr>
          <w:bCs/>
          <w:b/>
        </w:rPr>
        <w:t xml:space="preserve">Die Tablette:</w:t>
      </w:r>
      <w:r>
        <w:t xml:space="preserve"> </w:t>
      </w:r>
      <w:r>
        <w:t xml:space="preserve">Peptide werden im Magen normalerweise verdaut und kaum aufgenommen. Für Rybelsus wird Semaglutid mit dem Hilfsstoff SNAC kombiniert. Dieser puffert die Magensäure direkt an der Tablettenoberfläche, schützt so vor Abbau und erleichtert für kurze Zeit die Aufnahme durch die Magenschleimhaut – in Untersuchungen an Menschen und Hunden ausschließlich im Magen, nicht im Darm (Buckley 2018, PMID 30429357). Trotzdem gelangt nur ein sehr kleiner Bruchteil des Wirkstoffs ins Blut. Die Tablette enthält deshalb ein Vielfaches der Spritzendosis und muss nüchtern mit wenig Wasser eingenommen werden; die Fachinformation regelt die Einzelheiten.</w:t>
      </w:r>
    </w:p>
    <w:bookmarkEnd w:id="182"/>
    <w:bookmarkStart w:id="193" w:name="studien-am-menschen-3"/>
    <w:p>
      <w:pPr>
        <w:pStyle w:val="Heading3"/>
      </w:pPr>
      <w:r>
        <w:t xml:space="preserve">Studien am Menschen</w:t>
      </w:r>
    </w:p>
    <w:p>
      <w:pPr>
        <w:pStyle w:val="FirstParagraph"/>
      </w:pPr>
      <w:r>
        <w:t xml:space="preserve">Semaglutid ist der derzeit meistuntersuchte Wirkstoff seiner Klasse. Die für dieses Buch ausgewertete PubMed-Abfrage (Suchbegriff „semaglutide“ in Titel oder Abstract, Abfragedatum Oktober 2026) ergab 342 Humanstudien. Diese Zahl unterschätzt die tatsächliche Forschungsmenge, weil viele Auswertungen großer Studien unter deren Namen veröffentlicht sind. Auf ClinicalTrials.gov sind 793 Registereinträge verzeichnet – mehr als für jedes andere Peptid in diesem Buch.</w:t>
      </w:r>
    </w:p>
    <w:p>
      <w:pPr>
        <w:pStyle w:val="BodyText"/>
      </w:pPr>
      <w:r>
        <w:t xml:space="preserve">Die Studien lassen sich in vier Programme gliedern: SUSTAIN (Spritze bei Typ-2-Diabetes), PIONEER (Tablette bei Typ-2-Diabetes), STEP (Spritze bei Adipositas) und OASIS (Tablette bei Adipositas). Dazu kommen große Endpunktstudien zu Herz (SUSTAIN 6, PIONEER 6, SOUL, SELECT), Nieren (FLOW), Leber (ESSENCE), Herzschwäche, Gelenken und Gehirn (evoke).</w:t>
      </w:r>
    </w:p>
    <w:bookmarkStart w:id="183" w:name="typ-2-diabetes-mit-der-spritze-sustain"/>
    <w:p>
      <w:pPr>
        <w:pStyle w:val="Heading4"/>
      </w:pPr>
      <w:r>
        <w:t xml:space="preserve">Typ-2-Diabetes mit der Spritze: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SUSTAIN 1 (Sorli 2017), PMID 28110911</w:t>
            </w:r>
          </w:p>
        </w:tc>
        <w:tc>
          <w:tcPr/>
          <w:p>
            <w:pPr>
              <w:pStyle w:val="Compact"/>
              <w:jc w:val="left"/>
            </w:pPr>
            <w:r>
              <w:t xml:space="preserve">388 Personen, Monotherapie vs. Placebo</w:t>
            </w:r>
          </w:p>
        </w:tc>
        <w:tc>
          <w:tcPr/>
          <w:p>
            <w:pPr>
              <w:pStyle w:val="Compact"/>
              <w:jc w:val="left"/>
            </w:pPr>
            <w:r>
              <w:t xml:space="preserve">30 Wochen</w:t>
            </w:r>
          </w:p>
        </w:tc>
        <w:tc>
          <w:tcPr/>
          <w:p>
            <w:pPr>
              <w:pStyle w:val="Compact"/>
              <w:jc w:val="left"/>
            </w:pPr>
            <w:r>
              <w:t xml:space="preserve">HbA1c −1,55 (1,0 mg) vs. −0,02 Prozentpunkte; Gewicht −4,53 vs. −0,98 kg</w:t>
            </w:r>
          </w:p>
        </w:tc>
      </w:tr>
      <w:tr>
        <w:tc>
          <w:tcPr/>
          <w:p>
            <w:pPr>
              <w:pStyle w:val="Compact"/>
              <w:jc w:val="left"/>
            </w:pPr>
            <w:r>
              <w:t xml:space="preserve">SUSTAIN FORTE (Frías 2021), PMID 34293304</w:t>
            </w:r>
          </w:p>
        </w:tc>
        <w:tc>
          <w:tcPr/>
          <w:p>
            <w:pPr>
              <w:pStyle w:val="Compact"/>
              <w:jc w:val="left"/>
            </w:pPr>
            <w:r>
              <w:t xml:space="preserve">961 Personen; 2,0 mg vs. 1,0 mg</w:t>
            </w:r>
          </w:p>
        </w:tc>
        <w:tc>
          <w:tcPr/>
          <w:p>
            <w:pPr>
              <w:pStyle w:val="Compact"/>
              <w:jc w:val="left"/>
            </w:pPr>
            <w:r>
              <w:t xml:space="preserve">40 Wochen</w:t>
            </w:r>
          </w:p>
        </w:tc>
        <w:tc>
          <w:tcPr/>
          <w:p>
            <w:pPr>
              <w:pStyle w:val="Compact"/>
              <w:jc w:val="left"/>
            </w:pPr>
            <w:r>
              <w:t xml:space="preserve">HbA1c −2,2 vs. −1,9; Gewicht −6,9 vs. −6,0 kg</w:t>
            </w:r>
          </w:p>
        </w:tc>
      </w:tr>
      <w:tr>
        <w:tc>
          <w:tcPr/>
          <w:p>
            <w:pPr>
              <w:pStyle w:val="Compact"/>
              <w:jc w:val="left"/>
            </w:pPr>
            <w:r>
              <w:t xml:space="preserve">SUSTAIN 6 (Marso 2016), PMID 27633186</w:t>
            </w:r>
          </w:p>
        </w:tc>
        <w:tc>
          <w:tcPr/>
          <w:p>
            <w:pPr>
              <w:pStyle w:val="Compact"/>
              <w:jc w:val="left"/>
            </w:pPr>
            <w:r>
              <w:t xml:space="preserve">3.297 Personen mit hohem Herz-Kreislauf-Risiko, vs. Placebo</w:t>
            </w:r>
          </w:p>
        </w:tc>
        <w:tc>
          <w:tcPr/>
          <w:p>
            <w:pPr>
              <w:pStyle w:val="Compact"/>
              <w:jc w:val="left"/>
            </w:pPr>
            <w:r>
              <w:t xml:space="preserve">104 Wochen</w:t>
            </w:r>
          </w:p>
        </w:tc>
        <w:tc>
          <w:tcPr/>
          <w:p>
            <w:pPr>
              <w:pStyle w:val="Compact"/>
              <w:jc w:val="left"/>
            </w:pPr>
            <w:r>
              <w:t xml:space="preserve">Schwere Herz-Kreislauf-Ereignisse 6,6 % vs. 8,9 %; HR 0,74</w:t>
            </w:r>
          </w:p>
        </w:tc>
      </w:tr>
    </w:tbl>
    <w:p>
      <w:pPr>
        <w:pStyle w:val="BodyText"/>
      </w:pPr>
      <w:r>
        <w:t xml:space="preserve">Schon die Monotherapie-Studie SUSTAIN 1 (Sorli 2017, PMID 28110911) zeigte, dass Semaglutid den Langzeitzucker HbA1c um rund 1,5 Prozentpunkte senkt. In späteren Studien mit Teilnehmenden, die höhere Ausgangswerte hatten, fiel die Senkung größer aus; mit der Dosis von 2,0 mg erreichte sie in SUSTAIN FORTE 2,2 Prozentpunkte (Frías 2021, PMID 34293304).</w:t>
      </w:r>
    </w:p>
    <w:p>
      <w:pPr>
        <w:pStyle w:val="BodyText"/>
      </w:pPr>
      <w:r>
        <w:rPr>
          <w:bCs/>
          <w:b/>
        </w:rPr>
        <w:t xml:space="preserve">SUSTAIN 6</w:t>
      </w:r>
      <w:r>
        <w:t xml:space="preserve"> </w:t>
      </w:r>
      <w:r>
        <w:t xml:space="preserve">(Marso 2016, PMID 27633186) war als Sicherheitsstudie angelegt, zeigte aber einen deutlichen Vorteil: Tod durch Herz-Kreislauf-Ursache, nicht tödlicher Herzinfarkt oder Schlaganfall traten bei 108 von 1.648 Personen unter Semaglutid (6,6 %) gegenüber 146 von 1.649 unter Placebo (8,9 %) auf. Schlaganfälle waren signifikant seltener (1,6 % vs. 2,7 %). Zugleich fiel ein Warnsignal auf: Komplikationen der diabetischen Netzhauterkrankung (Retinopathie) – etwa Glaskörperblutungen oder behandlungsbedürftige Befunde – waren unter Semaglutid häufiger (HR 1,76). Dieses Signal wird im Abschnitt Risiken besprochen.</w:t>
      </w:r>
    </w:p>
    <w:bookmarkEnd w:id="183"/>
    <w:bookmarkStart w:id="184" w:name="Xcd42628162e9f46293b12beb236572a406c47cb"/>
    <w:p>
      <w:pPr>
        <w:pStyle w:val="Heading4"/>
      </w:pPr>
      <w:r>
        <w:t xml:space="preserve">Direktvergleiche innerhalb der GLP-1-Klasse</w:t>
      </w:r>
    </w:p>
    <w:p>
      <w:pPr>
        <w:pStyle w:val="FirstParagraph"/>
      </w:pPr>
      <w:r>
        <w:t xml:space="preserve">Semaglutid ist in direkten Vergleichsstudien gegen alle älteren GLP-1-Rezeptor-Agonisten angetreten und hat jeden davon übertroffen.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Dauer</w:t>
            </w:r>
          </w:p>
        </w:tc>
        <w:tc>
          <w:tcPr/>
          <w:p>
            <w:pPr>
              <w:pStyle w:val="Compact"/>
              <w:jc w:val="left"/>
            </w:pPr>
            <w:r>
              <w:t xml:space="preserve">Ergebnis (Semaglutid vs. Vergleich)</w:t>
            </w:r>
          </w:p>
        </w:tc>
      </w:tr>
      <w:tr>
        <w:tc>
          <w:tcPr/>
          <w:p>
            <w:pPr>
              <w:pStyle w:val="Compact"/>
              <w:jc w:val="left"/>
            </w:pPr>
            <w:r>
              <w:t xml:space="preserve">SUSTAIN 3 (Ahmann 2018), PMID 29246950</w:t>
            </w:r>
          </w:p>
        </w:tc>
        <w:tc>
          <w:tcPr/>
          <w:p>
            <w:pPr>
              <w:pStyle w:val="Compact"/>
              <w:jc w:val="left"/>
            </w:pPr>
            <w:r>
              <w:t xml:space="preserve">vs. Exenatid wöchentlich, offen</w:t>
            </w:r>
          </w:p>
        </w:tc>
        <w:tc>
          <w:tcPr/>
          <w:p>
            <w:pPr>
              <w:pStyle w:val="Compact"/>
              <w:jc w:val="left"/>
            </w:pPr>
            <w:r>
              <w:t xml:space="preserve">56 Wochen</w:t>
            </w:r>
          </w:p>
        </w:tc>
        <w:tc>
          <w:tcPr/>
          <w:p>
            <w:pPr>
              <w:pStyle w:val="Compact"/>
              <w:jc w:val="left"/>
            </w:pPr>
            <w:r>
              <w:t xml:space="preserve">HbA1c −1,5 vs. −0,9; Gewicht −5,6 vs. −1,9 kg</w:t>
            </w:r>
          </w:p>
        </w:tc>
      </w:tr>
      <w:tr>
        <w:tc>
          <w:tcPr/>
          <w:p>
            <w:pPr>
              <w:pStyle w:val="Compact"/>
              <w:jc w:val="left"/>
            </w:pPr>
            <w:r>
              <w:t xml:space="preserve">SUSTAIN 7 (Pratley 2018), PMID 29397376</w:t>
            </w:r>
          </w:p>
        </w:tc>
        <w:tc>
          <w:tcPr/>
          <w:p>
            <w:pPr>
              <w:pStyle w:val="Compact"/>
              <w:jc w:val="left"/>
            </w:pPr>
            <w:r>
              <w:t xml:space="preserve">1.201 Personen; 0,5/1,0 mg vs. Dulaglutid 0,75/1,5 mg</w:t>
            </w:r>
          </w:p>
        </w:tc>
        <w:tc>
          <w:tcPr/>
          <w:p>
            <w:pPr>
              <w:pStyle w:val="Compact"/>
              <w:jc w:val="left"/>
            </w:pPr>
            <w:r>
              <w:t xml:space="preserve">40 Wochen</w:t>
            </w:r>
          </w:p>
        </w:tc>
        <w:tc>
          <w:tcPr/>
          <w:p>
            <w:pPr>
              <w:pStyle w:val="Compact"/>
              <w:jc w:val="left"/>
            </w:pPr>
            <w:r>
              <w:t xml:space="preserve">HbA1c −1,8 vs. −1,4; Gewicht −6,5 vs. −3,0 kg (hohe Dosen)</w:t>
            </w:r>
          </w:p>
        </w:tc>
      </w:tr>
      <w:tr>
        <w:tc>
          <w:tcPr/>
          <w:p>
            <w:pPr>
              <w:pStyle w:val="Compact"/>
              <w:jc w:val="left"/>
            </w:pPr>
            <w:r>
              <w:t xml:space="preserve">SUSTAIN 10 (Capehorn 2020), PMID 31539622</w:t>
            </w:r>
          </w:p>
        </w:tc>
        <w:tc>
          <w:tcPr/>
          <w:p>
            <w:pPr>
              <w:pStyle w:val="Compact"/>
              <w:jc w:val="left"/>
            </w:pPr>
            <w:r>
              <w:t xml:space="preserve">1,0 mg vs. Liraglutid 1,2 mg</w:t>
            </w:r>
          </w:p>
        </w:tc>
        <w:tc>
          <w:tcPr/>
          <w:p>
            <w:pPr>
              <w:pStyle w:val="Compact"/>
              <w:jc w:val="left"/>
            </w:pPr>
            <w:r>
              <w:t xml:space="preserve">30 Wochen</w:t>
            </w:r>
          </w:p>
        </w:tc>
        <w:tc>
          <w:tcPr/>
          <w:p>
            <w:pPr>
              <w:pStyle w:val="Compact"/>
              <w:jc w:val="left"/>
            </w:pPr>
            <w:r>
              <w:t xml:space="preserve">HbA1c −1,7 vs. −1,0; Gewicht −5,8 vs. −1,9 kg</w:t>
            </w:r>
          </w:p>
        </w:tc>
      </w:tr>
      <w:tr>
        <w:tc>
          <w:tcPr/>
          <w:p>
            <w:pPr>
              <w:pStyle w:val="Compact"/>
              <w:jc w:val="left"/>
            </w:pPr>
            <w:r>
              <w:t xml:space="preserve">PIONEER 4 (Pratley 2019), PMID 31186120</w:t>
            </w:r>
          </w:p>
        </w:tc>
        <w:tc>
          <w:tcPr/>
          <w:p>
            <w:pPr>
              <w:pStyle w:val="Compact"/>
              <w:jc w:val="left"/>
            </w:pPr>
            <w:r>
              <w:t xml:space="preserve">711 Personen; Tablette 14 mg vs. Liraglutid-Spritze 1,8 mg vs. Placebo</w:t>
            </w:r>
          </w:p>
        </w:tc>
        <w:tc>
          <w:tcPr/>
          <w:p>
            <w:pPr>
              <w:pStyle w:val="Compact"/>
              <w:jc w:val="left"/>
            </w:pPr>
            <w:r>
              <w:t xml:space="preserve">52 Wochen</w:t>
            </w:r>
          </w:p>
        </w:tc>
        <w:tc>
          <w:tcPr/>
          <w:p>
            <w:pPr>
              <w:pStyle w:val="Compact"/>
              <w:jc w:val="left"/>
            </w:pPr>
            <w:r>
              <w:t xml:space="preserve">HbA1c −1,2 vs. −1,1 (nicht unterlegen); Gewicht −4,4 vs. −3,1 kg</w:t>
            </w:r>
          </w:p>
        </w:tc>
      </w:tr>
      <w:tr>
        <w:tc>
          <w:tcPr/>
          <w:p>
            <w:pPr>
              <w:pStyle w:val="Compact"/>
              <w:jc w:val="left"/>
            </w:pPr>
            <w:r>
              <w:t xml:space="preserve">STEP 8 (Rubino 2022), PMID 35015037</w:t>
            </w:r>
          </w:p>
        </w:tc>
        <w:tc>
          <w:tcPr/>
          <w:p>
            <w:pPr>
              <w:pStyle w:val="Compact"/>
              <w:jc w:val="left"/>
            </w:pPr>
            <w:r>
              <w:t xml:space="preserve">338 Personen mit Adipositas ohne Diabetes; 2,4 mg vs. Liraglutid 3,0 mg</w:t>
            </w:r>
          </w:p>
        </w:tc>
        <w:tc>
          <w:tcPr/>
          <w:p>
            <w:pPr>
              <w:pStyle w:val="Compact"/>
              <w:jc w:val="left"/>
            </w:pPr>
            <w:r>
              <w:t xml:space="preserve">68 Wochen</w:t>
            </w:r>
          </w:p>
        </w:tc>
        <w:tc>
          <w:tcPr/>
          <w:p>
            <w:pPr>
              <w:pStyle w:val="Compact"/>
              <w:jc w:val="left"/>
            </w:pPr>
            <w:r>
              <w:t xml:space="preserve">Gewicht −15,8 % vs. −6,4 %</w:t>
            </w:r>
          </w:p>
        </w:tc>
      </w:tr>
    </w:tbl>
    <w:p>
      <w:pPr>
        <w:pStyle w:val="BodyText"/>
      </w:pPr>
      <w:r>
        <w:t xml:space="preserve">Die Unterschiede beim Langzeitzucker liegen zwischen 0,4 und 0,7 Prozentpunkten zugunsten von Semaglutid, beim Gewicht zwischen 1,2 und rund 4 kg bei Diabetes. Am deutlichsten war der Abstand bei Adipositas: In STEP 8 (Rubino 2022, PMID 35015037) verloren 38,5 % unter Semaglutid mindestens 20 % ihres Gewichts, unter Liraglutid 6,0 %. Der Preis ist bei einigen Vergleichen eine etwas höhere Rate an Magen-Darm-Beschwerden: In SUSTAIN 10 brachen 11,4 % gegenüber 6,6 % die Behandlung wegen Nebenwirkungen ab (Capehorn 2020, PMID 31539622). In SUSTAIN 3 dagegen traten Reaktionen an der Einstichstelle unter Exenatid weit häufiger auf (22,0 % vs. 1,2 %) (Ahmann 2018, PMID 29246950).</w:t>
      </w:r>
    </w:p>
    <w:p>
      <w:pPr>
        <w:pStyle w:val="BodyText"/>
      </w:pPr>
      <w:r>
        <w:t xml:space="preserve">PIONEER 4 (Pratley 2019, PMID 31186120) ist bemerkenswert, weil hier eine Tablette gegen eine Spritze antrat: Beim HbA1c war die Semaglutid-Tablette nicht schlechter als die Liraglutid-Spritze, beim Gewicht um 1,2 kg überlegen.</w:t>
      </w:r>
    </w:p>
    <w:p>
      <w:pPr>
        <w:pStyle w:val="BodyText"/>
      </w:pPr>
      <w:r>
        <w:t xml:space="preserve">Außerhalb der GLP-1-Klasse wurde Semaglutid seinerseits übertroffen: Im direkten Vergleich mit dem dualen GIP/GLP-1-Agonisten Tirzepatid bei 751 Personen mit Adipositas betrug der Gewichtsverlust nach 72 Wochen −13,7 % gegenüber −20,2 % (Aronne 2025, PMID 40353578). Einzelheiten stehen im Kapitel Tirzepatid.</w:t>
      </w:r>
    </w:p>
    <w:bookmarkEnd w:id="184"/>
    <w:bookmarkStart w:id="185" w:name="Xdd805761354f869cdc10c43fa606220a66aed7c"/>
    <w:p>
      <w:pPr>
        <w:pStyle w:val="Heading4"/>
      </w:pPr>
      <w:r>
        <w:t xml:space="preserve">Typ-2-Diabetes mit der Tablette: PIONEER und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PIONEER 1 (Aroda 2019), PMID 31186300</w:t>
            </w:r>
          </w:p>
        </w:tc>
        <w:tc>
          <w:tcPr/>
          <w:p>
            <w:pPr>
              <w:pStyle w:val="Compact"/>
              <w:jc w:val="left"/>
            </w:pPr>
            <w:r>
              <w:t xml:space="preserve">703 Personen, Monotherapie; 3/7/14 mg vs. Placebo</w:t>
            </w:r>
          </w:p>
        </w:tc>
        <w:tc>
          <w:tcPr/>
          <w:p>
            <w:pPr>
              <w:pStyle w:val="Compact"/>
              <w:jc w:val="left"/>
            </w:pPr>
            <w:r>
              <w:t xml:space="preserve">26 Wochen</w:t>
            </w:r>
          </w:p>
        </w:tc>
        <w:tc>
          <w:tcPr/>
          <w:p>
            <w:pPr>
              <w:pStyle w:val="Compact"/>
              <w:jc w:val="left"/>
            </w:pPr>
            <w:r>
              <w:t xml:space="preserve">HbA1c −1,1 Prozentpunkte (14 mg) gegenüber Placebo; Gewicht −2,3 kg</w:t>
            </w:r>
          </w:p>
        </w:tc>
      </w:tr>
      <w:tr>
        <w:tc>
          <w:tcPr/>
          <w:p>
            <w:pPr>
              <w:pStyle w:val="Compact"/>
              <w:jc w:val="left"/>
            </w:pPr>
            <w:r>
              <w:t xml:space="preserve">PIONEER 6 (Husain 2019), PMID 31185157</w:t>
            </w:r>
          </w:p>
        </w:tc>
        <w:tc>
          <w:tcPr/>
          <w:p>
            <w:pPr>
              <w:pStyle w:val="Compact"/>
              <w:jc w:val="left"/>
            </w:pPr>
            <w:r>
              <w:t xml:space="preserve">3.183 Personen mit hohem Risiko; vs. Placebo</w:t>
            </w:r>
          </w:p>
        </w:tc>
        <w:tc>
          <w:tcPr/>
          <w:p>
            <w:pPr>
              <w:pStyle w:val="Compact"/>
              <w:jc w:val="left"/>
            </w:pPr>
            <w:r>
              <w:t xml:space="preserve">median 15,9 Monate</w:t>
            </w:r>
          </w:p>
        </w:tc>
        <w:tc>
          <w:tcPr/>
          <w:p>
            <w:pPr>
              <w:pStyle w:val="Compact"/>
              <w:jc w:val="left"/>
            </w:pPr>
            <w:r>
              <w:t xml:space="preserve">Ereignisse 3,8 % vs. 4,8 %; HR 0,79, nicht unterlegen</w:t>
            </w:r>
          </w:p>
        </w:tc>
      </w:tr>
      <w:tr>
        <w:tc>
          <w:tcPr/>
          <w:p>
            <w:pPr>
              <w:pStyle w:val="Compact"/>
              <w:jc w:val="left"/>
            </w:pPr>
            <w:r>
              <w:t xml:space="preserve">PIONEER PLUS (Aroda 2023), PMID 37385279</w:t>
            </w:r>
          </w:p>
        </w:tc>
        <w:tc>
          <w:tcPr/>
          <w:p>
            <w:pPr>
              <w:pStyle w:val="Compact"/>
              <w:jc w:val="left"/>
            </w:pPr>
            <w:r>
              <w:t xml:space="preserve">1.606 Personen; 25 und 50 mg vs. 14 mg</w:t>
            </w:r>
          </w:p>
        </w:tc>
        <w:tc>
          <w:tcPr/>
          <w:p>
            <w:pPr>
              <w:pStyle w:val="Compact"/>
              <w:jc w:val="left"/>
            </w:pPr>
            <w:r>
              <w:t xml:space="preserve">52 Wochen</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9.650 Personen mit Gefäß- und/oder Nierenerkrankung; vs. Placebo</w:t>
            </w:r>
          </w:p>
        </w:tc>
        <w:tc>
          <w:tcPr/>
          <w:p>
            <w:pPr>
              <w:pStyle w:val="Compact"/>
              <w:jc w:val="left"/>
            </w:pPr>
            <w:r>
              <w:t xml:space="preserve">median 49,5 Monate</w:t>
            </w:r>
          </w:p>
        </w:tc>
        <w:tc>
          <w:tcPr/>
          <w:p>
            <w:pPr>
              <w:pStyle w:val="Compact"/>
              <w:jc w:val="left"/>
            </w:pPr>
            <w:r>
              <w:t xml:space="preserve">Ereignisse 12,0 % vs. 13,8 %; HR 0,86 (0,77–0,96)</w:t>
            </w:r>
          </w:p>
        </w:tc>
      </w:tr>
    </w:tbl>
    <w:p>
      <w:pPr>
        <w:pStyle w:val="BodyText"/>
      </w:pPr>
      <w:r>
        <w:t xml:space="preserve">Die Tablette wirkt in der Standarddosis von 14 mg etwas schwächer als die Spritze. PIONEER PLUS (Aroda 2023, PMID 37385279) zeigte, dass höhere Tablettendosen den Abstand verringern. PIONEER 6 (Husain 2019, PMID 31185157) war eine kurze Sicherheitsstudie; sie bewies, dass die Tablette das Herz-Kreislauf-Risiko nicht erhöht, war aber zu klein für einen Nutzennachweis.</w:t>
      </w:r>
    </w:p>
    <w:p>
      <w:pPr>
        <w:pStyle w:val="BodyText"/>
      </w:pPr>
      <w:r>
        <w:t xml:space="preserve">Diesen lieferte</w:t>
      </w:r>
      <w:r>
        <w:t xml:space="preserve"> </w:t>
      </w:r>
      <w:r>
        <w:rPr>
          <w:bCs/>
          <w:b/>
        </w:rPr>
        <w:t xml:space="preserve">SOUL</w:t>
      </w:r>
      <w:r>
        <w:t xml:space="preserve"> </w:t>
      </w:r>
      <w:r>
        <w:t xml:space="preserve">(McGuire 2025, PMID 40162642): Bei 9.650 Menschen mit Typ-2-Diabetes und Gefäß- oder Nierenerkrankung senkte die Semaglutid-Tablette über rund vier Jahre schwere Herz-Kreislauf-Ereignisse um 14 %. Die bestätigenden Nebenendpunkte, darunter Nierenergebnisse, unterschieden sich nicht signifikant. Schwerwiegende unerwünschte Ereignisse waren unter Semaglutid nicht häufiger (47,9 % vs. 50,3 %).</w:t>
      </w:r>
    </w:p>
    <w:bookmarkEnd w:id="185"/>
    <w:bookmarkStart w:id="186" w:name="adipositas-mit-der-spritze-step"/>
    <w:p>
      <w:pPr>
        <w:pStyle w:val="Heading4"/>
      </w:pPr>
      <w:r>
        <w:t xml:space="preserve">Adipositas mit der Spritze: STEP</w:t>
      </w:r>
    </w:p>
    <w:p>
      <w:pPr>
        <w:pStyle w:val="FirstParagraph"/>
      </w:pPr>
      <w:r>
        <w:t xml:space="preserve">Mit der Dosis 2,4 mg pro Woche wurde Semaglutid als Wegovy zum ersten Medikament, mit dem Menschen mit Adipositas in großen Studien im Mittel rund 15 % ihres Körpergewichts verloren.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STEP 1 (Wilding 2021), PMID 33567185</w:t>
            </w:r>
          </w:p>
        </w:tc>
        <w:tc>
          <w:tcPr/>
          <w:p>
            <w:pPr>
              <w:pStyle w:val="Compact"/>
              <w:jc w:val="left"/>
            </w:pPr>
            <w:r>
              <w:t xml:space="preserve">1.961 Erwachsene mit Adipositas ohne Diabetes, RCT gegen Placebo</w:t>
            </w:r>
          </w:p>
        </w:tc>
        <w:tc>
          <w:tcPr/>
          <w:p>
            <w:pPr>
              <w:pStyle w:val="Compact"/>
              <w:jc w:val="left"/>
            </w:pPr>
            <w:r>
              <w:t xml:space="preserve">68 Wochen</w:t>
            </w:r>
          </w:p>
        </w:tc>
        <w:tc>
          <w:tcPr/>
          <w:p>
            <w:pPr>
              <w:pStyle w:val="Compact"/>
              <w:jc w:val="left"/>
            </w:pPr>
            <w:r>
              <w:t xml:space="preserve">−14,9 % Körpergewicht vs. −2,4 %</w:t>
            </w:r>
          </w:p>
        </w:tc>
      </w:tr>
      <w:tr>
        <w:tc>
          <w:tcPr/>
          <w:p>
            <w:pPr>
              <w:pStyle w:val="Compact"/>
              <w:jc w:val="left"/>
            </w:pPr>
            <w:r>
              <w:t xml:space="preserve">STEP 2 (Davies 2021), PMID 33667417</w:t>
            </w:r>
          </w:p>
        </w:tc>
        <w:tc>
          <w:tcPr/>
          <w:p>
            <w:pPr>
              <w:pStyle w:val="Compact"/>
              <w:jc w:val="left"/>
            </w:pPr>
            <w:r>
              <w:t xml:space="preserve">1.210 Personen mit Übergewicht und Typ-2-Diabetes</w:t>
            </w:r>
          </w:p>
        </w:tc>
        <w:tc>
          <w:tcPr/>
          <w:p>
            <w:pPr>
              <w:pStyle w:val="Compact"/>
              <w:jc w:val="left"/>
            </w:pPr>
            <w:r>
              <w:t xml:space="preserve">68 Wochen</w:t>
            </w:r>
          </w:p>
        </w:tc>
        <w:tc>
          <w:tcPr/>
          <w:p>
            <w:pPr>
              <w:pStyle w:val="Compact"/>
              <w:jc w:val="left"/>
            </w:pPr>
            <w:r>
              <w:t xml:space="preserve">−9,6 % vs. −3,4 %</w:t>
            </w:r>
          </w:p>
        </w:tc>
      </w:tr>
      <w:tr>
        <w:tc>
          <w:tcPr/>
          <w:p>
            <w:pPr>
              <w:pStyle w:val="Compact"/>
              <w:jc w:val="left"/>
            </w:pPr>
            <w:r>
              <w:t xml:space="preserve">STEP 3 (Wadden 2021), PMID 33625476</w:t>
            </w:r>
          </w:p>
        </w:tc>
        <w:tc>
          <w:tcPr/>
          <w:p>
            <w:pPr>
              <w:pStyle w:val="Compact"/>
              <w:jc w:val="left"/>
            </w:pPr>
            <w:r>
              <w:t xml:space="preserve">611 Personen, zusätzlich intensive Verhaltenstherapie</w:t>
            </w:r>
          </w:p>
        </w:tc>
        <w:tc>
          <w:tcPr/>
          <w:p>
            <w:pPr>
              <w:pStyle w:val="Compact"/>
              <w:jc w:val="left"/>
            </w:pPr>
            <w:r>
              <w:t xml:space="preserve">68 Wochen</w:t>
            </w:r>
          </w:p>
        </w:tc>
        <w:tc>
          <w:tcPr/>
          <w:p>
            <w:pPr>
              <w:pStyle w:val="Compact"/>
              <w:jc w:val="left"/>
            </w:pPr>
            <w:r>
              <w:t xml:space="preserve">−16,0 % vs. −5,7 %</w:t>
            </w:r>
          </w:p>
        </w:tc>
      </w:tr>
      <w:tr>
        <w:tc>
          <w:tcPr/>
          <w:p>
            <w:pPr>
              <w:pStyle w:val="Compact"/>
              <w:jc w:val="left"/>
            </w:pPr>
            <w:r>
              <w:t xml:space="preserve">STEP 4 (Rubino 2021), PMID 33755728</w:t>
            </w:r>
          </w:p>
        </w:tc>
        <w:tc>
          <w:tcPr/>
          <w:p>
            <w:pPr>
              <w:pStyle w:val="Compact"/>
              <w:jc w:val="left"/>
            </w:pPr>
            <w:r>
              <w:t xml:space="preserve">803 Personen nach 20 Wochen Semaglutid: weiter oder Wechsel auf Placebo</w:t>
            </w:r>
          </w:p>
        </w:tc>
        <w:tc>
          <w:tcPr/>
          <w:p>
            <w:pPr>
              <w:pStyle w:val="Compact"/>
              <w:jc w:val="left"/>
            </w:pPr>
            <w:r>
              <w:t xml:space="preserve">48 Wochen</w:t>
            </w:r>
          </w:p>
        </w:tc>
        <w:tc>
          <w:tcPr/>
          <w:p>
            <w:pPr>
              <w:pStyle w:val="Compact"/>
              <w:jc w:val="left"/>
            </w:pPr>
            <w:r>
              <w:t xml:space="preserve">−7,9 % (weiter) vs. +6,9 % (abgesetzt)</w:t>
            </w:r>
          </w:p>
        </w:tc>
      </w:tr>
      <w:tr>
        <w:tc>
          <w:tcPr/>
          <w:p>
            <w:pPr>
              <w:pStyle w:val="Compact"/>
              <w:jc w:val="left"/>
            </w:pPr>
            <w:r>
              <w:t xml:space="preserve">STEP 5 (Garvey 2022), PMID 36216945</w:t>
            </w:r>
          </w:p>
        </w:tc>
        <w:tc>
          <w:tcPr/>
          <w:p>
            <w:pPr>
              <w:pStyle w:val="Compact"/>
              <w:jc w:val="left"/>
            </w:pPr>
            <w:r>
              <w:t xml:space="preserve">304 Personen</w:t>
            </w:r>
          </w:p>
        </w:tc>
        <w:tc>
          <w:tcPr/>
          <w:p>
            <w:pPr>
              <w:pStyle w:val="Compact"/>
              <w:jc w:val="left"/>
            </w:pPr>
            <w:r>
              <w:t xml:space="preserve">104 Wochen</w:t>
            </w:r>
          </w:p>
        </w:tc>
        <w:tc>
          <w:tcPr/>
          <w:p>
            <w:pPr>
              <w:pStyle w:val="Compact"/>
              <w:jc w:val="left"/>
            </w:pPr>
            <w:r>
              <w:t xml:space="preserve">−15,2 % vs. −2,6 %</w:t>
            </w:r>
          </w:p>
        </w:tc>
      </w:tr>
      <w:tr>
        <w:tc>
          <w:tcPr/>
          <w:p>
            <w:pPr>
              <w:pStyle w:val="Compact"/>
              <w:jc w:val="left"/>
            </w:pPr>
            <w:r>
              <w:t xml:space="preserve">STEP 6 (Kadowaki 2022), PMID 35131037</w:t>
            </w:r>
          </w:p>
        </w:tc>
        <w:tc>
          <w:tcPr/>
          <w:p>
            <w:pPr>
              <w:pStyle w:val="Compact"/>
              <w:jc w:val="left"/>
            </w:pPr>
            <w:r>
              <w:t xml:space="preserve">401 Personen in Ostasien</w:t>
            </w:r>
          </w:p>
        </w:tc>
        <w:tc>
          <w:tcPr/>
          <w:p>
            <w:pPr>
              <w:pStyle w:val="Compact"/>
              <w:jc w:val="left"/>
            </w:pPr>
            <w:r>
              <w:t xml:space="preserve">68 Wochen</w:t>
            </w:r>
          </w:p>
        </w:tc>
        <w:tc>
          <w:tcPr/>
          <w:p>
            <w:pPr>
              <w:pStyle w:val="Compact"/>
              <w:jc w:val="left"/>
            </w:pPr>
            <w:r>
              <w:t xml:space="preserve">−13,2 % vs. −2,1 %</w:t>
            </w:r>
          </w:p>
        </w:tc>
      </w:tr>
      <w:tr>
        <w:tc>
          <w:tcPr/>
          <w:p>
            <w:pPr>
              <w:pStyle w:val="Compact"/>
              <w:jc w:val="left"/>
            </w:pPr>
            <w:r>
              <w:t xml:space="preserve">STEP UP (Wharton 2025), PMID 40961952</w:t>
            </w:r>
          </w:p>
        </w:tc>
        <w:tc>
          <w:tcPr/>
          <w:p>
            <w:pPr>
              <w:pStyle w:val="Compact"/>
              <w:jc w:val="left"/>
            </w:pPr>
            <w:r>
              <w:t xml:space="preserve">1.407 Personen; 7,2 mg vs. 2,4 mg vs. Placebo</w:t>
            </w:r>
          </w:p>
        </w:tc>
        <w:tc>
          <w:tcPr/>
          <w:p>
            <w:pPr>
              <w:pStyle w:val="Compact"/>
              <w:jc w:val="left"/>
            </w:pPr>
            <w:r>
              <w:t xml:space="preserve">72 Wochen</w:t>
            </w:r>
          </w:p>
        </w:tc>
        <w:tc>
          <w:tcPr/>
          <w:p>
            <w:pPr>
              <w:pStyle w:val="Compact"/>
              <w:jc w:val="left"/>
            </w:pPr>
            <w:r>
              <w:t xml:space="preserve">−18,7 % vs. −15,6 % vs. −3,9 %</w:t>
            </w:r>
          </w:p>
        </w:tc>
      </w:tr>
    </w:tbl>
    <w:p>
      <w:pPr>
        <w:pStyle w:val="BodyText"/>
      </w:pPr>
      <w:r>
        <w:t xml:space="preserve">In</w:t>
      </w:r>
      <w:r>
        <w:t xml:space="preserve"> </w:t>
      </w:r>
      <w:r>
        <w:rPr>
          <w:bCs/>
          <w:b/>
        </w:rPr>
        <w:t xml:space="preserve">STEP 1</w:t>
      </w:r>
      <w:r>
        <w:t xml:space="preserve"> </w:t>
      </w:r>
      <w:r>
        <w:t xml:space="preserve">(Wilding 2021, PMID 33567185) nahmen die Teilnehmenden im Mittel 15,3 kg ab, gegenüber 2,6 kg unter Placebo. Die Hälfte (50,5 %) verlor mindestens 15 % ihres Gewichts. Wegen Magen-Darm-Beschwerden brachen 4,5 % die Behandlung ab, gegenüber 0,8 % unter Placebo.</w:t>
      </w:r>
    </w:p>
    <w:p>
      <w:pPr>
        <w:pStyle w:val="BodyText"/>
      </w:pPr>
      <w:r>
        <w:t xml:space="preserve">Bei Menschen mit Typ-2-Diabetes fiel die Abnahme geringer aus (STEP 2, Davies 2021, PMID 33667417) – ein Muster, das bei allen Wirkstoffen dieser Klasse auftritt. In</w:t>
      </w:r>
      <w:r>
        <w:t xml:space="preserve"> </w:t>
      </w:r>
      <w:r>
        <w:rPr>
          <w:bCs/>
          <w:b/>
        </w:rPr>
        <w:t xml:space="preserve">STEP 5</w:t>
      </w:r>
      <w:r>
        <w:t xml:space="preserve"> </w:t>
      </w:r>
      <w:r>
        <w:t xml:space="preserve">(Garvey 2022, PMID 36216945) blieb der Effekt über zwei Jahre stabil.</w:t>
      </w:r>
    </w:p>
    <w:p>
      <w:pPr>
        <w:pStyle w:val="BodyText"/>
      </w:pPr>
      <w:r>
        <w:rPr>
          <w:bCs/>
          <w:b/>
        </w:rPr>
        <w:t xml:space="preserve">Was passiert nach dem Absetzen?</w:t>
      </w:r>
      <w:r>
        <w:t xml:space="preserve"> </w:t>
      </w:r>
      <w:r>
        <w:t xml:space="preserve">Diese Frage ist für die Praxis zentral. In STEP 4 (Rubino 2021, PMID 33755728) erhielten alle Teilnehmenden zunächst 20 Wochen Semaglutid und hatten dabei im Mittel 10,6 % abgenommen. Wer danach auf Placebo wechselte, nahm in den folgenden 48 Wochen wieder 6,9 % zu; wer weiter behandelt wurde, nahm weitere 7,9 % ab. In der Verlängerung von STEP 1 (Wilding 2022, PMID 35441470) hatten die Teilnehmenden ein Jahr nach dem Absetzen etwa zwei Drittel des verlorenen Gewichts wieder zugenommen; auch Blutdruck, Blutfette und Blutzucker näherten sich wieder den Ausgangswerten. Die Autorinnen und Autoren folgern, dass Adipositas eine chronische Erkrankung ist und die Behandlung dauerhaft nötig sein dürfte.</w:t>
      </w:r>
    </w:p>
    <w:p>
      <w:pPr>
        <w:pStyle w:val="BodyText"/>
      </w:pPr>
      <w:r>
        <w:rPr>
          <w:bCs/>
          <w:b/>
        </w:rPr>
        <w:t xml:space="preserve">Höhere Dosis:</w:t>
      </w:r>
      <w:r>
        <w:t xml:space="preserve"> </w:t>
      </w:r>
      <w:r>
        <w:t xml:space="preserve">In STEP UP (Wharton 2025, PMID 40961952) führte die dreifache Dosis von 7,2 mg zu 18,7 % Gewichtsverlust. Magen-Darm-Beschwerden waren häufiger (70,8 % vs. 61,2 % unter 2,4 mg), und 22,9 % berichteten über Missempfindungen der Haut (Dysästhesie), gegenüber 6,0 % unter 2,4 mg.</w:t>
      </w:r>
    </w:p>
    <w:bookmarkEnd w:id="186"/>
    <w:bookmarkStart w:id="187" w:name="adipositas-mit-der-tablette-oasis"/>
    <w:p>
      <w:pPr>
        <w:pStyle w:val="Heading4"/>
      </w:pPr>
      <w:r>
        <w:t xml:space="preserve">Adipositas mit der Tablette: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OASIS 1 (Knop 2023), PMID 37385278</w:t>
            </w:r>
          </w:p>
        </w:tc>
        <w:tc>
          <w:tcPr/>
          <w:p>
            <w:pPr>
              <w:pStyle w:val="Compact"/>
              <w:jc w:val="left"/>
            </w:pPr>
            <w:r>
              <w:t xml:space="preserve">667 Personen mit Adipositas ohne Diabetes; 50 mg täglich vs. Placebo</w:t>
            </w:r>
          </w:p>
        </w:tc>
        <w:tc>
          <w:tcPr/>
          <w:p>
            <w:pPr>
              <w:pStyle w:val="Compact"/>
              <w:jc w:val="left"/>
            </w:pPr>
            <w:r>
              <w:t xml:space="preserve">68 Wochen</w:t>
            </w:r>
          </w:p>
        </w:tc>
        <w:tc>
          <w:tcPr/>
          <w:p>
            <w:pPr>
              <w:pStyle w:val="Compact"/>
              <w:jc w:val="left"/>
            </w:pPr>
            <w:r>
              <w:t xml:space="preserve">−15,1 % vs. −2,4 %</w:t>
            </w:r>
          </w:p>
        </w:tc>
      </w:tr>
      <w:tr>
        <w:tc>
          <w:tcPr/>
          <w:p>
            <w:pPr>
              <w:pStyle w:val="Compact"/>
              <w:jc w:val="left"/>
            </w:pPr>
            <w:r>
              <w:t xml:space="preserve">OASIS 4 (Wharton 2025), PMID 40934115</w:t>
            </w:r>
          </w:p>
        </w:tc>
        <w:tc>
          <w:tcPr/>
          <w:p>
            <w:pPr>
              <w:pStyle w:val="Compact"/>
              <w:jc w:val="left"/>
            </w:pPr>
            <w:r>
              <w:t xml:space="preserve">307 Personen; 25 mg täglich vs. Placebo</w:t>
            </w:r>
          </w:p>
        </w:tc>
        <w:tc>
          <w:tcPr/>
          <w:p>
            <w:pPr>
              <w:pStyle w:val="Compact"/>
              <w:jc w:val="left"/>
            </w:pPr>
            <w:r>
              <w:t xml:space="preserve">64 Wochen</w:t>
            </w:r>
          </w:p>
        </w:tc>
        <w:tc>
          <w:tcPr/>
          <w:p>
            <w:pPr>
              <w:pStyle w:val="Compact"/>
              <w:jc w:val="left"/>
            </w:pPr>
            <w:r>
              <w:t xml:space="preserve">−13,6 % vs. −2,2 %</w:t>
            </w:r>
          </w:p>
        </w:tc>
      </w:tr>
    </w:tbl>
    <w:p>
      <w:pPr>
        <w:pStyle w:val="BodyText"/>
      </w:pPr>
      <w:r>
        <w:t xml:space="preserve">Die Tabletten erreichten in diesen Studien ähnliche Werte wie die Spritze in STEP 1 (Knop 2023, PMID 37385278; Wharton 2025, PMID 40934115). Magen-Darm-Beschwerden traten bei 74 % bis 80 % auf. Die 25-mg-Tablette aus OASIS 4 ist die Grundlage der in den USA zugelassenen Wegovy-Tablette. Ein direkter Vergleich mit der Spritze in einer großen Studie fehlt bisher.</w:t>
      </w:r>
    </w:p>
    <w:bookmarkEnd w:id="187"/>
    <w:bookmarkStart w:id="188" w:name="kinder-und-jugendliche-2"/>
    <w:p>
      <w:pPr>
        <w:pStyle w:val="Heading4"/>
      </w:pPr>
      <w:r>
        <w:t xml:space="preserve">Kinder und Jugendliche</w:t>
      </w:r>
    </w:p>
    <w:p>
      <w:pPr>
        <w:pStyle w:val="FirstParagraph"/>
      </w:pPr>
      <w:r>
        <w:t xml:space="preserve">In</w:t>
      </w:r>
      <w:r>
        <w:t xml:space="preserve"> </w:t>
      </w:r>
      <w:r>
        <w:rPr>
          <w:bCs/>
          <w:b/>
        </w:rPr>
        <w:t xml:space="preserve">STEP TEENS</w:t>
      </w:r>
      <w:r>
        <w:t xml:space="preserve"> </w:t>
      </w:r>
      <w:r>
        <w:t xml:space="preserve">mit 201 Jugendlichen mit Adipositas sank der Body-Mass-Index (BMI) nach 68 Wochen um 16,1 %, unter Placebo stieg er um 0,6 % (Weghuber 2022, PMID 36322838). 73 % verloren mindestens 5 % ihres Gewichts, gegenüber 18 % unter Placebo. Fünf Jugendliche (4 %) unter Semaglutid entwickelten Gallensteine, keiner unter Placebo. Eine Studie mit Kindern ab 6 Jahren läuft (NCT05726227).</w:t>
      </w:r>
    </w:p>
    <w:bookmarkEnd w:id="188"/>
    <w:bookmarkStart w:id="189" w:name="select-herzschutz-auch-ohne-diabetes"/>
    <w:p>
      <w:pPr>
        <w:pStyle w:val="Heading4"/>
      </w:pPr>
      <w:r>
        <w:t xml:space="preserve">SELECT: Herzschutz auch ohne Diabetes</w:t>
      </w:r>
    </w:p>
    <w:p>
      <w:pPr>
        <w:pStyle w:val="FirstParagraph"/>
      </w:pPr>
      <w:r>
        <w:t xml:space="preserve">SELECT war ein Meilenstein, weil sie erstmals zeigte, dass ein Medikament zur Gewichtsreduktion Herzinfarkte, Schlaganfälle und Herz-Kreislauf-Todesfälle bei Menschen ohne Diabetes verringert.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SELECT (Lincoff 2023), PMID 37952131</w:t>
            </w:r>
          </w:p>
        </w:tc>
        <w:tc>
          <w:tcPr/>
          <w:p>
            <w:pPr>
              <w:pStyle w:val="Compact"/>
              <w:jc w:val="left"/>
            </w:pPr>
            <w:r>
              <w:t xml:space="preserve">17.604 Personen mit Übergewicht oder Adipositas und Herz-Kreislauf-Erkrankung, ohne Diabetes; 2,4 mg vs. Placebo</w:t>
            </w:r>
          </w:p>
        </w:tc>
        <w:tc>
          <w:tcPr/>
          <w:p>
            <w:pPr>
              <w:pStyle w:val="Compact"/>
              <w:jc w:val="left"/>
            </w:pPr>
            <w:r>
              <w:t xml:space="preserve">mittlere Beobachtung 39,8 Monate</w:t>
            </w:r>
          </w:p>
        </w:tc>
        <w:tc>
          <w:tcPr/>
          <w:p>
            <w:pPr>
              <w:pStyle w:val="Compact"/>
              <w:jc w:val="left"/>
            </w:pPr>
            <w:r>
              <w:t xml:space="preserve">Schwere Herz-Kreislauf-Ereignisse 6,5 % vs. 8,0 %; HR 0,80 (0,72–0,90)</w:t>
            </w:r>
          </w:p>
        </w:tc>
      </w:tr>
    </w:tbl>
    <w:p>
      <w:pPr>
        <w:pStyle w:val="BodyText"/>
      </w:pPr>
      <w:r>
        <w:t xml:space="preserve">Die relative Risikosenkung betrug 20 % (Lincoff 2023, PMID 37952131). In absoluten Zahlen hatten über gut drei Jahre etwa 1,5 von hundert Behandelten weniger ein solches Ereignis. Auffällig war die hohe Abbruchrate: 16,6 % beendeten die Behandlung wegen Nebenwirkungen dauerhaft, gegenüber 8,2 % unter Placebo. Ob der Nutzen allein auf der Gewichtsabnahme beruht oder auch auf direkten Wirkungen auf Gefäße und Entzündung, ist nicht abschließend geklärt.</w:t>
      </w:r>
    </w:p>
    <w:bookmarkEnd w:id="189"/>
    <w:bookmarkStart w:id="190" w:name="flow-schutz-der-nieren"/>
    <w:p>
      <w:pPr>
        <w:pStyle w:val="Heading4"/>
      </w:pPr>
      <w:r>
        <w:t xml:space="preserve">FLOW: Schutz der Nieren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FLOW (Perkovic 2024), PMID 38785209</w:t>
            </w:r>
          </w:p>
        </w:tc>
        <w:tc>
          <w:tcPr/>
          <w:p>
            <w:pPr>
              <w:pStyle w:val="Compact"/>
              <w:jc w:val="left"/>
            </w:pPr>
            <w:r>
              <w:t xml:space="preserve">3.533 Personen mit Typ-2-Diabetes und chronischer Nierenerkrankung; 1,0 mg vs. Placebo</w:t>
            </w:r>
          </w:p>
        </w:tc>
        <w:tc>
          <w:tcPr/>
          <w:p>
            <w:pPr>
              <w:pStyle w:val="Compact"/>
              <w:jc w:val="left"/>
            </w:pPr>
            <w:r>
              <w:t xml:space="preserve">median 3,4 Jahre (vorzeitig beendet wegen Wirksamkeit)</w:t>
            </w:r>
          </w:p>
        </w:tc>
        <w:tc>
          <w:tcPr/>
          <w:p>
            <w:pPr>
              <w:pStyle w:val="Compact"/>
              <w:jc w:val="left"/>
            </w:pPr>
            <w:r>
              <w:t xml:space="preserve">Nierenendpunkt 331 vs. 410 Ereignisse; HR 0,76; Gesamtsterblichkeit HR 0,80</w:t>
            </w:r>
          </w:p>
        </w:tc>
      </w:tr>
    </w:tbl>
    <w:p>
      <w:pPr>
        <w:pStyle w:val="BodyText"/>
      </w:pPr>
      <w:r>
        <w:t xml:space="preserve">FLOW (Perkovic 2024, PMID 38785209) war die erste große Studie mit einem GLP-1-Rezeptor-Agonisten, bei der ein harter Nierenendpunkt – Nierenversagen, starker Funktionsverlust oder Tod durch Nieren- oder Herz-Kreislauf-Ursache – das Hauptziel war. Sie wurde nach einer Zwischenanalyse wegen klarer Wirksamkeit vorzeitig beendet. Der jährliche Verlust an Nierenfunktion (eGFR) war unter Semaglutid um 1,16 ml/min pro 1,73 m² geringer. Auch Herz-Kreislauf-Ereignisse (HR 0,82) und die Gesamtsterblichkeit (HR 0,80) waren reduziert.</w:t>
      </w:r>
    </w:p>
    <w:bookmarkEnd w:id="190"/>
    <w:bookmarkStart w:id="191" w:name="X9514d8f89fc20c3626676c5eafd9289bdafee99"/>
    <w:p>
      <w:pPr>
        <w:pStyle w:val="Heading4"/>
      </w:pPr>
      <w:r>
        <w:t xml:space="preserve">Weitere Organe: Leber, Herzschwäche, Gefäße, Gelenke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ESSENCE (Sanyal 2025), PMID 40305708</w:t>
            </w:r>
          </w:p>
        </w:tc>
        <w:tc>
          <w:tcPr/>
          <w:p>
            <w:pPr>
              <w:pStyle w:val="Compact"/>
              <w:jc w:val="left"/>
            </w:pPr>
            <w:r>
              <w:t xml:space="preserve">1.197 Personen mit Fettleberentzündung (MASH) und Fibrose Stadium 2–3; Zwischenauswertung der ersten 800</w:t>
            </w:r>
          </w:p>
        </w:tc>
        <w:tc>
          <w:tcPr/>
          <w:p>
            <w:pPr>
              <w:pStyle w:val="Compact"/>
              <w:jc w:val="left"/>
            </w:pPr>
            <w:r>
              <w:t xml:space="preserve">72 Wochen (erster Teil)</w:t>
            </w:r>
          </w:p>
        </w:tc>
        <w:tc>
          <w:tcPr/>
          <w:p>
            <w:pPr>
              <w:pStyle w:val="Compact"/>
              <w:jc w:val="left"/>
            </w:pPr>
            <w:r>
              <w:t xml:space="preserve">Rückbildung der Entzündung 62,9 % vs. 34,3 %; weniger Fibrose 36,8 % vs. 22,4 %</w:t>
            </w:r>
          </w:p>
        </w:tc>
      </w:tr>
      <w:tr>
        <w:tc>
          <w:tcPr/>
          <w:p>
            <w:pPr>
              <w:pStyle w:val="Compact"/>
              <w:jc w:val="left"/>
            </w:pPr>
            <w:r>
              <w:t xml:space="preserve">STEP-HFpEF (Kosiborod 2023), PMID 37622681</w:t>
            </w:r>
          </w:p>
        </w:tc>
        <w:tc>
          <w:tcPr/>
          <w:p>
            <w:pPr>
              <w:pStyle w:val="Compact"/>
              <w:jc w:val="left"/>
            </w:pPr>
            <w:r>
              <w:t xml:space="preserve">529 Personen mit Herzschwäche mit erhaltener Pumpfunktion und Adipositas; 2,4 mg vs. Placebo</w:t>
            </w:r>
          </w:p>
        </w:tc>
        <w:tc>
          <w:tcPr/>
          <w:p>
            <w:pPr>
              <w:pStyle w:val="Compact"/>
              <w:jc w:val="left"/>
            </w:pPr>
            <w:r>
              <w:t xml:space="preserve">52 Wochen</w:t>
            </w:r>
          </w:p>
        </w:tc>
        <w:tc>
          <w:tcPr/>
          <w:p>
            <w:pPr>
              <w:pStyle w:val="Compact"/>
              <w:jc w:val="left"/>
            </w:pPr>
            <w:r>
              <w:t xml:space="preserve">Symptomscore +16,6 vs. +8,7 Punkte; Gehstrecke +21,5 vs. +1,2 m</w:t>
            </w:r>
          </w:p>
        </w:tc>
      </w:tr>
      <w:tr>
        <w:tc>
          <w:tcPr/>
          <w:p>
            <w:pPr>
              <w:pStyle w:val="Compact"/>
              <w:jc w:val="left"/>
            </w:pPr>
            <w:r>
              <w:t xml:space="preserve">STRIDE (Bonaca 2025), PMID 40169145</w:t>
            </w:r>
          </w:p>
        </w:tc>
        <w:tc>
          <w:tcPr/>
          <w:p>
            <w:pPr>
              <w:pStyle w:val="Compact"/>
              <w:jc w:val="left"/>
            </w:pPr>
            <w:r>
              <w:t xml:space="preserve">792 Personen mit Schaufensterkrankheit und Typ-2-Diabetes; 1,0 mg vs. Placebo</w:t>
            </w:r>
          </w:p>
        </w:tc>
        <w:tc>
          <w:tcPr/>
          <w:p>
            <w:pPr>
              <w:pStyle w:val="Compact"/>
              <w:jc w:val="left"/>
            </w:pPr>
            <w:r>
              <w:t xml:space="preserve">52 Wochen</w:t>
            </w:r>
          </w:p>
        </w:tc>
        <w:tc>
          <w:tcPr/>
          <w:p>
            <w:pPr>
              <w:pStyle w:val="Compact"/>
              <w:jc w:val="left"/>
            </w:pPr>
            <w:r>
              <w:t xml:space="preserve">maximale Gehstrecke um 13 % stärker verbessert</w:t>
            </w:r>
          </w:p>
        </w:tc>
      </w:tr>
      <w:tr>
        <w:tc>
          <w:tcPr/>
          <w:p>
            <w:pPr>
              <w:pStyle w:val="Compact"/>
              <w:jc w:val="left"/>
            </w:pPr>
            <w:r>
              <w:t xml:space="preserve">STEP 9 (Bliddal 2024), PMID 39476339</w:t>
            </w:r>
          </w:p>
        </w:tc>
        <w:tc>
          <w:tcPr/>
          <w:p>
            <w:pPr>
              <w:pStyle w:val="Compact"/>
              <w:jc w:val="left"/>
            </w:pPr>
            <w:r>
              <w:t xml:space="preserve">407 Personen mit Adipositas und Kniearthrose</w:t>
            </w:r>
          </w:p>
        </w:tc>
        <w:tc>
          <w:tcPr/>
          <w:p>
            <w:pPr>
              <w:pStyle w:val="Compact"/>
              <w:jc w:val="left"/>
            </w:pPr>
            <w:r>
              <w:t xml:space="preserve">68 Wochen</w:t>
            </w:r>
          </w:p>
        </w:tc>
        <w:tc>
          <w:tcPr/>
          <w:p>
            <w:pPr>
              <w:pStyle w:val="Compact"/>
              <w:jc w:val="left"/>
            </w:pPr>
            <w:r>
              <w:t xml:space="preserve">Schmerzscore −41,7 vs. −27,5 Punkte; Gewicht −13,7 % vs. −3,2 %</w:t>
            </w:r>
          </w:p>
        </w:tc>
      </w:tr>
    </w:tbl>
    <w:p>
      <w:pPr>
        <w:pStyle w:val="BodyText"/>
      </w:pPr>
      <w:r>
        <w:rPr>
          <w:bCs/>
          <w:b/>
        </w:rPr>
        <w:t xml:space="preserve">Leber:</w:t>
      </w:r>
      <w:r>
        <w:t xml:space="preserve"> </w:t>
      </w:r>
      <w:r>
        <w:t xml:space="preserve">In ESSENCE (Sanyal 2025, PMID 40305708) bildete sich die Fettleberentzündung in der Gewebeprobe bei knapp zwei Dritteln der Behandelten zurück, ohne dass die Vernarbung zunahm. Eine Verringerung der Fibrose – das klinisch wichtigere Ziel – erreichten 36,8 % gegenüber 22,4 %. Der zweite Teil der Studie mit harten Leberendpunkten wie Zirrhose läuft bis 2029 (NCT04822181).</w:t>
      </w:r>
    </w:p>
    <w:p>
      <w:pPr>
        <w:pStyle w:val="BodyText"/>
      </w:pPr>
      <w:r>
        <w:rPr>
          <w:bCs/>
          <w:b/>
        </w:rPr>
        <w:t xml:space="preserve">Herzschwäche:</w:t>
      </w:r>
      <w:r>
        <w:t xml:space="preserve"> </w:t>
      </w:r>
      <w:r>
        <w:t xml:space="preserve">Bei Herzschwäche mit erhaltener Pumpfunktion und Adipositas verbesserten sich Beschwerden und Belastbarkeit deutlich (Kosiborod 2023, PMID 37622681). Schwerwiegende unerwünschte Ereignisse waren unter Semaglutid seltener (13,3 % vs. 26,7 %). Ob Semaglutid auch Krankenhausaufenthalte oder Todesfälle durch Herzschwäche verringert, war nicht das Hauptziel dieser Studie.</w:t>
      </w:r>
    </w:p>
    <w:p>
      <w:pPr>
        <w:pStyle w:val="BodyText"/>
      </w:pPr>
      <w:r>
        <w:rPr>
          <w:bCs/>
          <w:b/>
        </w:rPr>
        <w:t xml:space="preserve">Schaufensterkrankheit:</w:t>
      </w:r>
      <w:r>
        <w:t xml:space="preserve"> </w:t>
      </w:r>
      <w:r>
        <w:t xml:space="preserve">Bei der peripheren arteriellen Verschlusskrankheit verlängerte Semaglutid die schmerzfreie maximale Gehstrecke (Bonaca 2025, PMID 40169145).</w:t>
      </w:r>
    </w:p>
    <w:p>
      <w:pPr>
        <w:pStyle w:val="BodyText"/>
      </w:pPr>
      <w:r>
        <w:rPr>
          <w:bCs/>
          <w:b/>
        </w:rPr>
        <w:t xml:space="preserve">Kniearthrose:</w:t>
      </w:r>
      <w:r>
        <w:t xml:space="preserve"> </w:t>
      </w:r>
      <w:r>
        <w:t xml:space="preserve">In STEP 9 (Bliddal 2024, PMID 39476339) nahmen Knieschmerzen stärker ab als unter Placebo. Ob das allein an der Gewichtsabnahme liegt, lässt die Studie offen.</w:t>
      </w:r>
    </w:p>
    <w:bookmarkEnd w:id="191"/>
    <w:bookmarkStart w:id="192" w:name="gehirn-und-sucht"/>
    <w:p>
      <w:pPr>
        <w:pStyle w:val="Heading4"/>
      </w:pPr>
      <w:r>
        <w:t xml:space="preserve">Gehirn und Sucht</w:t>
      </w:r>
    </w:p>
    <w:p>
      <w:pPr>
        <w:pStyle w:val="FirstParagraph"/>
      </w:pPr>
      <w:r>
        <w:rPr>
          <w:bCs/>
          <w:b/>
        </w:rPr>
        <w:t xml:space="preserve">Alzheimer-Krankheit:</w:t>
      </w:r>
      <w:r>
        <w:t xml:space="preserve"> </w:t>
      </w:r>
      <w:r>
        <w:t xml:space="preserve">Die Hoffnung, GLP-1-Rezeptor-Agonisten könnten den geistigen Abbau bremsen, stützte sich auf Tierversuche und Beobachtungsdaten. Novo Nordisk prüfte das in zwei großen Phase-3-Studien, evoke und evoke+, mit zusammen 3.808 Personen mit früher Alzheimer-Krankheit, die über 104 Wochen täglich Semaglutid-Tabletten oder Placebo erhielten (Cummings 2026, PMID 41865758). Das Ergebnis war eindeutig negativ: Die Krankheit schritt in beiden Gruppen gleich schnell voran (Unterschied auf der Demenzskala CDR-SB −0,08 bzw. +0,10 Punkte, nicht signifikant). Damit ist Semaglutid als Alzheimer-Medikament nach heutigem Stand gescheitert; ein Kommentar in derselben Zeitschrift diskutiert die Folgerungen für das Forschungsfeld (Schneider 2026, PMID 41865757).</w:t>
      </w:r>
    </w:p>
    <w:p>
      <w:pPr>
        <w:pStyle w:val="BodyText"/>
      </w:pPr>
      <w:r>
        <w:rPr>
          <w:bCs/>
          <w:b/>
        </w:rPr>
        <w:t xml:space="preserve">Alkohol:</w:t>
      </w:r>
      <w:r>
        <w:t xml:space="preserve"> </w:t>
      </w:r>
      <w:r>
        <w:t xml:space="preserve">In einer kleinen randomisierten Studie mit 48 Personen mit Alkoholkonsumstörung verringerte niedrig dosiertes Semaglutid die getrunkene Alkoholmenge in einem Labortest, das Verlangen nach Alkohol und die Zahl der Getränke an Trinktagen; die Zahl der Trinktage änderte sich nicht (Hendershot 2025, PMID 39937469). In einer schwedischen Registerstudie war Semaglutid mit einem um 36 % geringeren Risiko für alkoholbedingte Krankenhausaufnahmen verbunden (Lähteenvuo 2025, PMID 39535805). Größere randomisierte Studien laufen.</w:t>
      </w:r>
    </w:p>
    <w:bookmarkEnd w:id="192"/>
    <w:bookmarkEnd w:id="193"/>
    <w:bookmarkStart w:id="194" w:name="tier--und-laborstudien-3"/>
    <w:p>
      <w:pPr>
        <w:pStyle w:val="Heading3"/>
      </w:pPr>
      <w:r>
        <w:t xml:space="preserve">Tier- und Laborstudien</w:t>
      </w:r>
    </w:p>
    <w:p>
      <w:pPr>
        <w:pStyle w:val="FirstParagraph"/>
      </w:pPr>
      <w:r>
        <w:t xml:space="preserve">Semaglutid wurde gezielt am Reißbrett entworfen: Aus zahlreichen Varianten wählten die Entwickler jene mit der besten Kombination aus Albuminbindung, Rezeptorwirkung und Stabilität (Lau 2015, PMID 26308095). Die Halbwertszeit wurde zunächst an Minischweinen bestimmt. Die Aufnahme der Tablette über die Magenschleimhaut wurde an Hunden und am Menschen untersucht (Buckley 2018, PMID 30429357).</w:t>
      </w:r>
    </w:p>
    <w:p>
      <w:pPr>
        <w:pStyle w:val="BodyText"/>
      </w:pPr>
      <w:r>
        <w:t xml:space="preserve">Wie bei Liraglutid führten Langzeitversuche an Nagetieren zu C-Zell-Tumoren der Schilddrüse; die Übertragbarkeit auf den Menschen gilt wegen der geringen Rezeptordichte in menschlichen C-Zellen als fraglich (Bjerre Knudsen 2010, PMID 20203154). Tierversuche zu Nervenschutz, Sucht und Entzündung bildeten die Grundlage für die oben beschriebenen Studien an Menschen – mit gemischtem Ergebnis, wie das Scheitern von evoke zeigt.</w:t>
      </w:r>
    </w:p>
    <w:bookmarkEnd w:id="194"/>
    <w:bookmarkStart w:id="195" w:name="risiken-und-nebenwirkungen-3"/>
    <w:p>
      <w:pPr>
        <w:pStyle w:val="Heading3"/>
      </w:pPr>
      <w:r>
        <w:t xml:space="preserve">Risiken und Nebenwirkungen</w:t>
      </w:r>
    </w:p>
    <w:p>
      <w:pPr>
        <w:pStyle w:val="FirstParagraph"/>
      </w:pPr>
      <w:r>
        <w:rPr>
          <w:bCs/>
          <w:b/>
        </w:rPr>
        <w:t xml:space="preserve">Belegt aus randomisierten Studien:</w:t>
      </w:r>
    </w:p>
    <w:p>
      <w:pPr>
        <w:numPr>
          <w:ilvl w:val="0"/>
          <w:numId w:val="1056"/>
        </w:numPr>
        <w:pStyle w:val="Compact"/>
      </w:pPr>
      <w:r>
        <w:rPr>
          <w:bCs/>
          <w:b/>
        </w:rPr>
        <w:t xml:space="preserve">Magen-Darm-Beschwerden:</w:t>
      </w:r>
      <w:r>
        <w:t xml:space="preserve"> </w:t>
      </w:r>
      <w:r>
        <w:t xml:space="preserve">Übelkeit, Durchfall, Erbrechen und Verstopfung betreffen in den Adipositas-Studien die Mehrheit der Behandelten, meist leicht bis mittelschwer und vorübergehend, vor allem während der Dosissteigerung (Wilding 2021, PMID 33567185). Sie sind der häufigste Grund für Therapieabbrüche.</w:t>
      </w:r>
    </w:p>
    <w:p>
      <w:pPr>
        <w:numPr>
          <w:ilvl w:val="0"/>
          <w:numId w:val="1056"/>
        </w:numPr>
        <w:pStyle w:val="Compact"/>
      </w:pPr>
      <w:r>
        <w:rPr>
          <w:bCs/>
          <w:b/>
        </w:rPr>
        <w:t xml:space="preserve">Gallensteine und Gallenblasenentzündung:</w:t>
      </w:r>
      <w:r>
        <w:t xml:space="preserve"> </w:t>
      </w:r>
      <w:r>
        <w:t xml:space="preserve">In der Klasse insgesamt erhöht, besonders bei hohen Dosen und zur Gewichtsreduktion (He 2022, PMID 35344001); in STEP TEENS bei 4 % der Jugendlichen (Weghuber 2022, PMID 36322838).</w:t>
      </w:r>
    </w:p>
    <w:p>
      <w:pPr>
        <w:numPr>
          <w:ilvl w:val="0"/>
          <w:numId w:val="1056"/>
        </w:numPr>
        <w:pStyle w:val="Compact"/>
      </w:pPr>
      <w:r>
        <w:rPr>
          <w:bCs/>
          <w:b/>
        </w:rPr>
        <w:t xml:space="preserve">Verschlechterung einer diabetischen Netzhauterkrankung:</w:t>
      </w:r>
      <w:r>
        <w:t xml:space="preserve"> </w:t>
      </w:r>
      <w:r>
        <w:t xml:space="preserve">In SUSTAIN 6 häufiger (HR 1,76) (Marso 2016, PMID 27633186). Vermutet wird, dass eine sehr rasche Blutzuckersenkung bei schon vorhandener Retinopathie vorübergehend schadet – ein Effekt, der auch von Insulin bekannt ist. Eine eigene Studie mit 1.500 Teilnehmenden zu dieser Frage läuft (NCT03811561). Menschen mit Retinopathie sollten augenärztlich begleitet werden.</w:t>
      </w:r>
    </w:p>
    <w:p>
      <w:pPr>
        <w:numPr>
          <w:ilvl w:val="0"/>
          <w:numId w:val="1056"/>
        </w:numPr>
        <w:pStyle w:val="Compact"/>
      </w:pPr>
      <w:r>
        <w:rPr>
          <w:bCs/>
          <w:b/>
        </w:rPr>
        <w:t xml:space="preserve">Verlust an Muskelmasse:</w:t>
      </w:r>
      <w:r>
        <w:t xml:space="preserve"> </w:t>
      </w:r>
      <w:r>
        <w:t xml:space="preserve">Bei jeder starken Gewichtsabnahme geht auch fettfreie Masse verloren. Wie bedeutsam das unter Semaglutid ist, besonders bei älteren Menschen, wird noch untersucht; Teil IV geht darauf ein.</w:t>
      </w:r>
    </w:p>
    <w:p>
      <w:pPr>
        <w:pStyle w:val="FirstParagraph"/>
      </w:pPr>
      <w:r>
        <w:rPr>
          <w:bCs/>
          <w:b/>
        </w:rPr>
        <w:t xml:space="preserve">Beobachtungsdaten und Signale:</w:t>
      </w:r>
    </w:p>
    <w:p>
      <w:pPr>
        <w:numPr>
          <w:ilvl w:val="0"/>
          <w:numId w:val="1057"/>
        </w:numPr>
        <w:pStyle w:val="Compact"/>
      </w:pPr>
      <w:r>
        <w:rPr>
          <w:bCs/>
          <w:b/>
        </w:rPr>
        <w:t xml:space="preserve">NAION (Durchblutungsstörung des Sehnervs):</w:t>
      </w:r>
      <w:r>
        <w:t xml:space="preserve"> </w:t>
      </w:r>
      <w:r>
        <w:t xml:space="preserve">2024 berichtete eine US-Studie aus einer augenärztlichen Klinik von einem deutlich erhöhten Risiko für eine nicht-arteriitische anteriore ischämische Optikusneuropathie, einen plötzlichen, meist schmerzlosen Sehverlust auf einem Auge (Hathaway 2024, PMID 38958939). In dieser Studie lag das Hazard Ratio bei 4,28 (Diabetes) bzw. 7,64 (Adipositas), allerdings bei sehr kleinen Fallzahlen. Eine dänisch-norwegische Registerstudie mit über 60.000 Menschen mit Typ-2-Diabetes bestätigte ein erhöhtes relatives Risiko (HR 2,81), bei niedrigem absolutem Risiko: rund 1,4 zusätzliche Fälle pro 10.000 Personenjahre (Simonsen 2025, PMID 40098249). Eine Meta-Analyse von 2026 fand das Signal nur in Beobachtungsstudien bei Diabetes (HR 1,85), nicht in randomisierten Studien und nicht bei Adipositas (Liu 2026, PMID 41475544). Die Europäische Arzneimittel-Agentur hat NAION 2025 als sehr seltene Nebenwirkung in die Fachinformation aufgenommen (Stand 2026, bitte aktuell prüfen). Wer unter Semaglutid plötzlich schlechter sieht, sollte umgehend ärztliche Hilfe suchen.</w:t>
      </w:r>
    </w:p>
    <w:p>
      <w:pPr>
        <w:numPr>
          <w:ilvl w:val="0"/>
          <w:numId w:val="1057"/>
        </w:numPr>
        <w:pStyle w:val="Compact"/>
      </w:pPr>
      <w:r>
        <w:rPr>
          <w:bCs/>
          <w:b/>
        </w:rPr>
        <w:t xml:space="preserve">Bauchspeicheldrüsenentzündung und Darmverschluss:</w:t>
      </w:r>
      <w:r>
        <w:t xml:space="preserve"> </w:t>
      </w:r>
      <w:r>
        <w:t xml:space="preserve">Eine Auswertung von Versicherungsdaten fand bei GLP-1-Rezeptor-Agonisten zur Gewichtsabnahme ein erhöhtes Risiko für Bauchspeicheldrüsenentzündung, Darmverschluss und Magenlähmung (Sodhi 2023, PMID 37796527). In den großen randomisierten Studien war Pankreatitis selten. Die Fachinformation nennt sie als mögliche Nebenwirkung.</w:t>
      </w:r>
    </w:p>
    <w:p>
      <w:pPr>
        <w:numPr>
          <w:ilvl w:val="0"/>
          <w:numId w:val="1057"/>
        </w:numPr>
        <w:pStyle w:val="Compact"/>
      </w:pPr>
      <w:r>
        <w:rPr>
          <w:bCs/>
          <w:b/>
        </w:rPr>
        <w:t xml:space="preserve">Schilddrüsenkrebs:</w:t>
      </w:r>
      <w:r>
        <w:t xml:space="preserve"> </w:t>
      </w:r>
      <w:r>
        <w:t xml:space="preserve">Signal in Beobachtungsstudien und Meta-Analysen für die Klasse (Bezin 2023, PMID 36356111; Silverii 2025, PMID 40437949); siehe Kapitel Liraglutid.</w:t>
      </w:r>
    </w:p>
    <w:p>
      <w:pPr>
        <w:numPr>
          <w:ilvl w:val="0"/>
          <w:numId w:val="1057"/>
        </w:numPr>
        <w:pStyle w:val="Compact"/>
      </w:pPr>
      <w:r>
        <w:rPr>
          <w:bCs/>
          <w:b/>
        </w:rPr>
        <w:t xml:space="preserve">Psychische Nebenwirkungen:</w:t>
      </w:r>
      <w:r>
        <w:t xml:space="preserve"> </w:t>
      </w:r>
      <w:r>
        <w:t xml:space="preserve">Nach Meldungen über Suizidgedanken prüften die Behörden 2023/2024 und fanden keinen Beleg für einen ursächlichen Zusammenhang. In einer großen US-Kohorte mit 240.618 Menschen mit Übergewicht war Semaglutid sogar mit weniger neu auftretenden Suizidgedanken verbunden als andere Mittel zur Gewichtsreduktion (Wang 2024, PMID 38182782). Beobachtungsdaten können Verzerrungen nicht sicher ausschließen.</w:t>
      </w:r>
    </w:p>
    <w:p>
      <w:pPr>
        <w:pStyle w:val="FirstParagraph"/>
      </w:pPr>
      <w:r>
        <w:rPr>
          <w:bCs/>
          <w:b/>
        </w:rPr>
        <w:t xml:space="preserve">Hinweise für die Praxis:</w:t>
      </w:r>
      <w:r>
        <w:t xml:space="preserve"> </w:t>
      </w:r>
      <w:r>
        <w:t xml:space="preserve">Semaglutid ist in der Schwangerschaft nicht angezeigt; die Fachinformation empfiehlt ein rechtzeitiges Absetzen vor einer geplanten Schwangerschaft. Wegen der verzögerten Magenentleerung kann bei Narkosen ein erhöhtes Risiko bestehen, dass Mageninhalt in die Lunge gelangt; Behandelte sollten das vor Operationen und Magenspiegelungen angeben. Zu Anwendung, Dosissteigerung und Gegenanzeigen sind Fachinformation und ärztliche Begleitung maßgeblich.</w:t>
      </w:r>
    </w:p>
    <w:bookmarkEnd w:id="195"/>
    <w:bookmarkStart w:id="196" w:name="graumarkt-compounding-und-fälschungen"/>
    <w:p>
      <w:pPr>
        <w:pStyle w:val="Heading3"/>
      </w:pPr>
      <w:r>
        <w:t xml:space="preserve">Graumarkt, Compounding und Fälschungen</w:t>
      </w:r>
    </w:p>
    <w:p>
      <w:pPr>
        <w:pStyle w:val="FirstParagraph"/>
      </w:pPr>
      <w:r>
        <w:t xml:space="preserve">Kein anderes Peptid in diesem Buch wird so häufig außerhalb regulärer Wege beschafft wie Semaglutid. Die Nachfrage überstieg ab 2022 über Jahre das Angebot. Drei Probleme sind zu unterscheiden.</w:t>
      </w:r>
    </w:p>
    <w:p>
      <w:pPr>
        <w:pStyle w:val="BodyText"/>
      </w:pPr>
      <w:r>
        <w:rPr>
          <w:bCs/>
          <w:b/>
        </w:rPr>
        <w:t xml:space="preserve">Compounding (USA):</w:t>
      </w:r>
      <w:r>
        <w:t xml:space="preserve"> </w:t>
      </w:r>
      <w:r>
        <w:t xml:space="preserve">Während der offiziellen Lieferengpässe durften US-Apotheken Semaglutid selbst herstellen („compounding“), oft als Pulver oder Lösung in Fläschchen, teils mit anderen Salzformen des Wirkstoffs. Nach dem Ende des Engpasses hat die FDA diese Praxis stark eingeschränkt (Stand 2026, bitte aktuell prüfen). Eine Fallserie eines Giftinformationszentrums beschrieb zehnfache Überdosierungen, weil Patientinnen und Patienten mit Spritzen und Fläschchen statt mit Fertigpens hantierten und Milliliter, Einheiten und Milligramm verwechselten (Lambson 2023, PMID 37392810). In einer Auswertung der US-Nebenwirkungsdatenbank waren bei zubereiteten Produkten Meldungen zu Herstellungsfehlern, Verunreinigung und Krankenhausaufnahmen überproportional häufig (McCall 2026, PMID 40285721).</w:t>
      </w:r>
    </w:p>
    <w:p>
      <w:pPr>
        <w:pStyle w:val="BodyText"/>
      </w:pPr>
      <w:r>
        <w:rPr>
          <w:bCs/>
          <w:b/>
        </w:rPr>
        <w:t xml:space="preserve">Illegale Online-Shops:</w:t>
      </w:r>
      <w:r>
        <w:t xml:space="preserve"> </w:t>
      </w:r>
      <w:r>
        <w:t xml:space="preserve">In einer Marktuntersuchung führten 42,3 % der gefundenen Online-Apotheken-Links zu illegalen Anbietern, die Semaglutid ohne Rezept verkauften (Ashraf 2024, PMID 39509151). Bei Testkäufen kamen bestellte Ozempic-Pens gar nicht an. Die gelieferten Fläschchen enthielten zwar Semaglutid, aber die Reinheit lag nur bei 7,7 % bis 14,37 % statt der angegebenen 99 %, und in allen Proben wurden Endotoxine (Bestandteile von Bakterien, die Fieber und Entzündungen auslösen können) nachgewiesen.</w:t>
      </w:r>
    </w:p>
    <w:p>
      <w:pPr>
        <w:pStyle w:val="BodyText"/>
      </w:pPr>
      <w:r>
        <w:rPr>
          <w:bCs/>
          <w:b/>
        </w:rPr>
        <w:t xml:space="preserve">Fälschungen:</w:t>
      </w:r>
      <w:r>
        <w:t xml:space="preserve"> </w:t>
      </w:r>
      <w:r>
        <w:t xml:space="preserve">Gefälschte Ozempic-Pens sind in Europa und den USA aufgetaucht, teils mit Insulin oder ohne Wirkstoff gefüllt; die Arzneimittelbehörden und die Weltgesundheitsorganisation haben mehrfach gewarnt. Allgemeine Informationen zu Graumarkt-Produkten finden Sie in Teil I und Teil IV. Sicher ist nur der reguläre Weg: ärztliche Verordnung und Abgabe in der Apotheke.</w:t>
      </w:r>
    </w:p>
    <w:bookmarkEnd w:id="196"/>
    <w:bookmarkStart w:id="197" w:name="rechtslage-3"/>
    <w:p>
      <w:pPr>
        <w:pStyle w:val="Heading3"/>
      </w:pPr>
      <w:r>
        <w:t xml:space="preserve">Rechtslage</w:t>
      </w:r>
    </w:p>
    <w:p>
      <w:pPr>
        <w:numPr>
          <w:ilvl w:val="0"/>
          <w:numId w:val="1058"/>
        </w:numPr>
        <w:pStyle w:val="Compact"/>
      </w:pPr>
      <w:r>
        <w:rPr>
          <w:bCs/>
          <w:b/>
        </w:rPr>
        <w:t xml:space="preserve">EU:</w:t>
      </w:r>
      <w:r>
        <w:t xml:space="preserve"> </w:t>
      </w:r>
      <w:r>
        <w:t xml:space="preserve">Ozempic (2018), Rybelsus (2020) und Wegovy (2022) sind zentral zugelassen und verschreibungspflichtig. Wegovy ist für Erwachsene und Jugendliche ab 12 Jahren zum Gewichtsmanagement zugelassen; die Fachinformation enthält inzwischen auch Angaben zur Herz-Kreislauf-Risikosenkung aus SELECT.</w:t>
      </w:r>
    </w:p>
    <w:p>
      <w:pPr>
        <w:numPr>
          <w:ilvl w:val="0"/>
          <w:numId w:val="1058"/>
        </w:numPr>
        <w:pStyle w:val="Compact"/>
      </w:pPr>
      <w:r>
        <w:rPr>
          <w:bCs/>
          <w:b/>
        </w:rPr>
        <w:t xml:space="preserve">Deutschland:</w:t>
      </w:r>
      <w:r>
        <w:t xml:space="preserve"> </w:t>
      </w:r>
      <w:r>
        <w:t xml:space="preserve">Ozempic und Rybelsus werden bei Typ-2-Diabetes erstattet. Wegovy gilt als Mittel zur Gewichtsreduktion und ist nach § 34 SGB V grundsätzlich von der Erstattung durch die gesetzliche Krankenversicherung ausgeschlossen; eine Änderung wird politisch diskutiert (Stand 2026, bitte aktuell prüfen). Die Verordnung von Ozempic zur reinen Gewichtsabnahme ist Off-Label und wurde während der Lieferengpässe von den Behörden ausdrücklich kritisiert.</w:t>
      </w:r>
    </w:p>
    <w:p>
      <w:pPr>
        <w:numPr>
          <w:ilvl w:val="0"/>
          <w:numId w:val="1058"/>
        </w:numPr>
        <w:pStyle w:val="Compact"/>
      </w:pPr>
      <w:r>
        <w:rPr>
          <w:bCs/>
          <w:b/>
        </w:rPr>
        <w:t xml:space="preserve">Österreich:</w:t>
      </w:r>
      <w:r>
        <w:t xml:space="preserve"> </w:t>
      </w:r>
      <w:r>
        <w:t xml:space="preserve">verschreibungspflichtig; Kostenübernahme für das Gewichtsmanagement nur eingeschränkt (bitte aktuell prüfen).</w:t>
      </w:r>
    </w:p>
    <w:p>
      <w:pPr>
        <w:numPr>
          <w:ilvl w:val="0"/>
          <w:numId w:val="1058"/>
        </w:numPr>
        <w:pStyle w:val="Compact"/>
      </w:pPr>
      <w:r>
        <w:rPr>
          <w:bCs/>
          <w:b/>
        </w:rPr>
        <w:t xml:space="preserve">USA:</w:t>
      </w:r>
      <w:r>
        <w:t xml:space="preserve"> </w:t>
      </w:r>
      <w:r>
        <w:t xml:space="preserve">Ozempic, Rybelsus und Wegovy (Spritze und Tablette) zugelassen, mit erweiterten Anwendungsgebieten für Herz, Nieren und MASH.</w:t>
      </w:r>
    </w:p>
    <w:p>
      <w:pPr>
        <w:numPr>
          <w:ilvl w:val="0"/>
          <w:numId w:val="1058"/>
        </w:numPr>
        <w:pStyle w:val="Compact"/>
      </w:pPr>
      <w:r>
        <w:rPr>
          <w:bCs/>
          <w:b/>
        </w:rPr>
        <w:t xml:space="preserve">Patente und Generika:</w:t>
      </w:r>
      <w:r>
        <w:t xml:space="preserve"> </w:t>
      </w:r>
      <w:r>
        <w:t xml:space="preserve">In mehreren großen Märkten außerhalb von EU und USA – darunter Kanada, China, Indien und Brasilien – läuft der Patentschutz für Semaglutid 2026 aus; erste Nachahmerpräparate sind dort angekündigt oder auf dem Markt. In der EU und den USA wird mit Generika erst um 2031/2032 gerechnet (Stand 2026, bitte aktuell prüfen). Mehr dazu in Teil V.</w:t>
      </w:r>
    </w:p>
    <w:p>
      <w:pPr>
        <w:numPr>
          <w:ilvl w:val="0"/>
          <w:numId w:val="1058"/>
        </w:numPr>
        <w:pStyle w:val="Compact"/>
      </w:pPr>
      <w:r>
        <w:rPr>
          <w:bCs/>
          <w:b/>
        </w:rPr>
        <w:t xml:space="preserve">Sport (WADA):</w:t>
      </w:r>
      <w:r>
        <w:t xml:space="preserve"> </w:t>
      </w:r>
      <w:r>
        <w:t xml:space="preserve">nicht gelistet (Stand 2026, bitte aktuell prüfen).</w:t>
      </w:r>
    </w:p>
    <w:bookmarkEnd w:id="197"/>
    <w:bookmarkStart w:id="198" w:name="laufende-studien-und-ausblick-3"/>
    <w:p>
      <w:pPr>
        <w:pStyle w:val="Heading3"/>
      </w:pPr>
      <w:r>
        <w:t xml:space="preserve">Laufende Studien und Ausblick</w:t>
      </w:r>
    </w:p>
    <w:p>
      <w:pPr>
        <w:pStyle w:val="FirstParagraph"/>
      </w:pPr>
      <w:r>
        <w:rPr>
          <w:bCs/>
          <w:b/>
        </w:rPr>
        <w:t xml:space="preserve">Gesichert (registrierte Studien):</w:t>
      </w:r>
      <w:r>
        <w:t xml:space="preserve"> </w:t>
      </w:r>
      <w:r>
        <w:t xml:space="preserve">Von den 793 Registereinträgen betrifft ein großer Teil Kombinationen und Nachfolger. Beispiele:</w:t>
      </w:r>
    </w:p>
    <w:p>
      <w:pPr>
        <w:numPr>
          <w:ilvl w:val="0"/>
          <w:numId w:val="1059"/>
        </w:numPr>
        <w:pStyle w:val="Compact"/>
      </w:pPr>
      <w:r>
        <w:rPr>
          <w:bCs/>
          <w:b/>
        </w:rPr>
        <w:t xml:space="preserve">Augen:</w:t>
      </w:r>
      <w:r>
        <w:t xml:space="preserve"> </w:t>
      </w:r>
      <w:r>
        <w:t xml:space="preserve">Eine Studie mit 1.500 Teilnehmenden untersucht gezielt die Wirkung auf die diabetische Retinopathie (NCT03811561).</w:t>
      </w:r>
    </w:p>
    <w:p>
      <w:pPr>
        <w:numPr>
          <w:ilvl w:val="0"/>
          <w:numId w:val="1059"/>
        </w:numPr>
        <w:pStyle w:val="Compact"/>
      </w:pPr>
      <w:r>
        <w:rPr>
          <w:bCs/>
          <w:b/>
        </w:rPr>
        <w:t xml:space="preserve">Leber:</w:t>
      </w:r>
      <w:r>
        <w:t xml:space="preserve"> </w:t>
      </w:r>
      <w:r>
        <w:t xml:space="preserve">Der zweite Teil von ESSENCE mit 1.205 Teilnehmenden soll klären, ob Semaglutid Leberzirrhose und Leberkomplikationen verhindert (NCT04822181).</w:t>
      </w:r>
    </w:p>
    <w:p>
      <w:pPr>
        <w:numPr>
          <w:ilvl w:val="0"/>
          <w:numId w:val="1059"/>
        </w:numPr>
        <w:pStyle w:val="Compact"/>
      </w:pPr>
      <w:r>
        <w:rPr>
          <w:bCs/>
          <w:b/>
        </w:rPr>
        <w:t xml:space="preserve">Kinder:</w:t>
      </w:r>
      <w:r>
        <w:t xml:space="preserve"> </w:t>
      </w:r>
      <w:r>
        <w:t xml:space="preserve">Eine Studie mit 212 Kindern und Jugendlichen läuft (NCT05726227).</w:t>
      </w:r>
    </w:p>
    <w:p>
      <w:pPr>
        <w:numPr>
          <w:ilvl w:val="0"/>
          <w:numId w:val="1059"/>
        </w:numPr>
        <w:pStyle w:val="Compact"/>
      </w:pPr>
      <w:r>
        <w:rPr>
          <w:bCs/>
          <w:b/>
        </w:rPr>
        <w:t xml:space="preserve">Tablette:</w:t>
      </w:r>
      <w:r>
        <w:t xml:space="preserve"> </w:t>
      </w:r>
      <w:r>
        <w:t xml:space="preserve">Weitere Phase-3-Studien zur Tablette bei Adipositas sind gestartet (NCT07770841).</w:t>
      </w:r>
    </w:p>
    <w:p>
      <w:pPr>
        <w:numPr>
          <w:ilvl w:val="0"/>
          <w:numId w:val="1059"/>
        </w:numPr>
        <w:pStyle w:val="Compact"/>
      </w:pPr>
      <w:r>
        <w:rPr>
          <w:bCs/>
          <w:b/>
        </w:rPr>
        <w:t xml:space="preserve">Kombination CagriSema:</w:t>
      </w:r>
      <w:r>
        <w:t xml:space="preserve"> </w:t>
      </w:r>
      <w:r>
        <w:t xml:space="preserve">Semaglutid in fester Kombination mit dem Amylin-Analogon Cagrilintid wird in einer Herz-Kreislauf-Studie mit 7.101 Teilnehmenden geprüft (NCT05669755); Details im Kapitel Cagrilintid/CagriSema.</w:t>
      </w:r>
    </w:p>
    <w:p>
      <w:pPr>
        <w:pStyle w:val="FirstParagraph"/>
      </w:pPr>
      <w:r>
        <w:rPr>
          <w:bCs/>
          <w:b/>
        </w:rPr>
        <w:t xml:space="preserve">Einschätzung:</w:t>
      </w:r>
      <w:r>
        <w:t xml:space="preserve"> </w:t>
      </w:r>
      <w:r>
        <w:t xml:space="preserve">Semaglutid wird in den kommenden Jahren von zwei Seiten unter Druck geraten – durch wirksamere Nachfolger wie Tirzepatid, CagriSema oder Retatrutid und durch Generika in großen Märkten. Gleichzeitig ist es der Wirkstoff mit der breitesten Belegbasis für harte Endpunkte (Herz, Nieren, Leber). Die Tablettenform könnte den Zugang deutlich erweitern. Die gescheiterten Alzheimer-Studien zeigen, dass nicht jede Hoffnung aus Tierversuchen und Beobachtungsdaten trägt.</w:t>
      </w:r>
    </w:p>
    <w:bookmarkEnd w:id="198"/>
    <w:bookmarkStart w:id="199" w:name="fazit-3"/>
    <w:p>
      <w:pPr>
        <w:pStyle w:val="Heading3"/>
      </w:pPr>
      <w:r>
        <w:t xml:space="preserve">Fazit</w:t>
      </w:r>
    </w:p>
    <w:p>
      <w:pPr>
        <w:pStyle w:val="FirstParagraph"/>
      </w:pPr>
      <w:r>
        <w:t xml:space="preserve">Semaglutid ist der am umfassendsten untersuchte GLP-1-Rezeptor-Agonist und hat in direkten Vergleichen Exenatid, Liraglutid und Dulaglutid übertroffen. In der Dosis 2,4 mg pro Woche verloren Menschen mit Adipositas in STEP 1 im Mittel 14,9 % ihres Gewichts; nach dem Absetzen kehrt der Großteil des Gewichts zurück. Große Endpunktstudien zeigten eine Senkung schwerer Herz-Kreislauf-Ereignisse – auch ohne Diabetes (SELECT, 20 %) – sowie einen Schutz der Nieren (FLOW) und Verbesserungen bei Fettleberentzündung. Häufige Nebenwirkungen betreffen den Magen-Darm-Trakt und die Gallenblase; seltene Signale wie NAION werden weiter beobachtet, während die Alzheimer-Studien keinen Nutzen zeigten. Graumarktprodukte bergen erhebliche Risiken – die Behandlung gehört in ärztliche Hände und in die Apotheke.</w:t>
      </w:r>
    </w:p>
    <w:bookmarkEnd w:id="199"/>
    <w:bookmarkEnd w:id="200"/>
    <w:bookmarkStart w:id="218" w:name="tirzepatid"/>
    <w:p>
      <w:pPr>
        <w:pStyle w:val="Heading2"/>
      </w:pPr>
      <w:r>
        <w:t xml:space="preserve">Tirzepatid</w:t>
      </w:r>
    </w:p>
    <w:bookmarkStart w:id="201" w:name="steckbrief-4"/>
    <w:p>
      <w:pPr>
        <w:pStyle w:val="Heading3"/>
      </w:pPr>
      <w:r>
        <w:t xml:space="preserve">Steckbrief</w:t>
      </w:r>
    </w:p>
    <w:p>
      <w:pPr>
        <w:numPr>
          <w:ilvl w:val="0"/>
          <w:numId w:val="1060"/>
        </w:numPr>
        <w:pStyle w:val="Compact"/>
      </w:pPr>
      <w:r>
        <w:rPr>
          <w:bCs/>
          <w:b/>
        </w:rPr>
        <w:t xml:space="preserve">Art/Struktur:</w:t>
      </w:r>
      <w:r>
        <w:t xml:space="preserve"> </w:t>
      </w:r>
      <w:r>
        <w:t xml:space="preserve">synthetisches Peptid, dessen Grundgerüst dem körpereigenen Darmhormon GIP nachempfunden ist; eine angehängte Fettsäurekette bindet es im Blut an Albumin und verlängert die Wirkdauer so weit, dass eine Spritze pro Woche genügt.</w:t>
      </w:r>
    </w:p>
    <w:p>
      <w:pPr>
        <w:numPr>
          <w:ilvl w:val="0"/>
          <w:numId w:val="1060"/>
        </w:numPr>
        <w:pStyle w:val="Compact"/>
      </w:pPr>
      <w:r>
        <w:rPr>
          <w:bCs/>
          <w:b/>
        </w:rPr>
        <w:t xml:space="preserve">Herkunft:</w:t>
      </w:r>
      <w:r>
        <w:t xml:space="preserve"> </w:t>
      </w:r>
      <w:r>
        <w:t xml:space="preserve">entwickelt von Eli Lilly, in frühen Studien unter dem Code LY3298176 geführt.</w:t>
      </w:r>
    </w:p>
    <w:p>
      <w:pPr>
        <w:numPr>
          <w:ilvl w:val="0"/>
          <w:numId w:val="1060"/>
        </w:numPr>
        <w:pStyle w:val="Compact"/>
      </w:pPr>
      <w:r>
        <w:rPr>
          <w:bCs/>
          <w:b/>
        </w:rPr>
        <w:t xml:space="preserve">Wirkprinzip:</w:t>
      </w:r>
      <w:r>
        <w:t xml:space="preserve"> </w:t>
      </w:r>
      <w:r>
        <w:t xml:space="preserve">doppelter Agonist (Aktivator) an zwei Rezeptoren: dem GIP-Rezeptor und dem GLP-1-Rezeptor. Deshalb auch „Twincretin“ oder „dualer Inkretin-Agonist“ genannt.</w:t>
      </w:r>
    </w:p>
    <w:p>
      <w:pPr>
        <w:numPr>
          <w:ilvl w:val="0"/>
          <w:numId w:val="1060"/>
        </w:numPr>
        <w:pStyle w:val="Compact"/>
      </w:pPr>
      <w:r>
        <w:rPr>
          <w:bCs/>
          <w:b/>
        </w:rPr>
        <w:t xml:space="preserve">Zulassung EU:</w:t>
      </w:r>
      <w:r>
        <w:t xml:space="preserve"> </w:t>
      </w:r>
      <w:r>
        <w:t xml:space="preserve">ja (Mounjaro) für Typ-2-Diabetes und für das Gewichtsmanagement bei Adipositas und Übergewicht mit Begleiterkrankungen.</w:t>
      </w:r>
    </w:p>
    <w:p>
      <w:pPr>
        <w:numPr>
          <w:ilvl w:val="0"/>
          <w:numId w:val="1060"/>
        </w:numPr>
        <w:pStyle w:val="Compact"/>
      </w:pPr>
      <w:r>
        <w:rPr>
          <w:bCs/>
          <w:b/>
        </w:rPr>
        <w:t xml:space="preserve">Zulassung USA:</w:t>
      </w:r>
      <w:r>
        <w:t xml:space="preserve"> </w:t>
      </w:r>
      <w:r>
        <w:t xml:space="preserve">ja (Mounjaro für Typ-2-Diabetes; Zepbound für Adipositas und für mittelschwere bis schwere obstruktive Schlafapnoe bei Adipositas).</w:t>
      </w:r>
    </w:p>
    <w:p>
      <w:pPr>
        <w:numPr>
          <w:ilvl w:val="0"/>
          <w:numId w:val="1060"/>
        </w:numPr>
        <w:pStyle w:val="Compact"/>
      </w:pPr>
      <w:r>
        <w:rPr>
          <w:bCs/>
          <w:b/>
        </w:rPr>
        <w:t xml:space="preserve">WADA:</w:t>
      </w:r>
      <w:r>
        <w:t xml:space="preserve"> </w:t>
      </w:r>
      <w:r>
        <w:t xml:space="preserve">nicht auf der Verbotsliste (Stand 2026, bitte aktuell prüfen).</w:t>
      </w:r>
    </w:p>
    <w:p>
      <w:pPr>
        <w:numPr>
          <w:ilvl w:val="0"/>
          <w:numId w:val="1060"/>
        </w:numPr>
        <w:pStyle w:val="Compact"/>
      </w:pPr>
      <w:r>
        <w:rPr>
          <w:bCs/>
          <w:b/>
        </w:rPr>
        <w:t xml:space="preserve">Evidenzstufe:</w:t>
      </w:r>
      <w:r>
        <w:t xml:space="preserve"> </w:t>
      </w:r>
      <w:r>
        <w:rPr>
          <w:bCs/>
          <w:b/>
        </w:rPr>
        <w:t xml:space="preserve">A</w:t>
      </w:r>
      <w:r>
        <w:t xml:space="preserve"> </w:t>
      </w:r>
      <w:r>
        <w:t xml:space="preserve">– zahlreiche große randomisierte Studien, Endpunktstudien zu Herz und Herzinsuffizienz, Zulassung in vielen Ländern.</w:t>
      </w:r>
    </w:p>
    <w:bookmarkEnd w:id="201"/>
    <w:bookmarkStart w:id="202" w:name="wie-es-wirken-soll-4"/>
    <w:p>
      <w:pPr>
        <w:pStyle w:val="Heading3"/>
      </w:pPr>
      <w:r>
        <w:t xml:space="preserve">Wie es wirken soll</w:t>
      </w:r>
    </w:p>
    <w:p>
      <w:pPr>
        <w:pStyle w:val="FirstParagraph"/>
      </w:pPr>
      <w:r>
        <w:t xml:space="preserve">Nach einer Mahlzeit schüttet der Darm zwei Hormone aus, die man Inkretine nennt: GLP-1 (Glucagon-like Peptide-1) und GIP (Glukose-abhängiges insulinotropes Polypeptid). Beide melden der Bauchspeicheldrüse „Nahrung kommt“ und verstärken die Insulinausschüttung – aber nur, solange der Blutzucker erhöht ist. Das ist der Grund, warum Inkretin-Medikamente allein selten Unterzuckerungen auslösen. GLP-1 bremst zusätzlich die Magenentleerung und wirkt im Gehirn auf Sättigungszentren. Welche Rolle GIP beim Appetit spielt, ist weniger klar und war lange umstritten; in einigen älteren Arbeiten galt GIP sogar eher als „Dickmacher-Hormon“.</w:t>
      </w:r>
    </w:p>
    <w:p>
      <w:pPr>
        <w:pStyle w:val="BodyText"/>
      </w:pPr>
      <w:r>
        <w:t xml:space="preserve">Tirzepatid kombiniert beide Signale in einem einzigen Molekül. Laboruntersuchungen an Zelllinien zeigten zwei Besonderheiten (Willard 2020, PMID 32730231): Erstens ist Tirzepatid „unausgewogen“ – bei den Konzentrationen, die in Behandlungsdosen erreicht werden, besetzt es den GIP-Rezeptor stärker als den GLP-1-Rezeptor. Zweitens aktiviert es am GLP-1-Rezeptor bevorzugt einen bestimmten Signalweg (cAMP) und löst weniger die Rezeptor-Internalisierung aus, bei der der Rezeptor ins Zellinnere gezogen und damit vorübergehend abgeschaltet wird. Ob diese „verzerrte“ Signalgebung beim Menschen eine Rolle spielt, ist eine Hypothese aus Labordaten.</w:t>
      </w:r>
    </w:p>
    <w:p>
      <w:pPr>
        <w:pStyle w:val="BodyText"/>
      </w:pPr>
      <w:r>
        <w:t xml:space="preserve">Bei übergewichtigen Mäusen verbesserte Tirzepatid die Insulinempfindlichkeit stärker als ein reiner GLP-1-Agonist, und zwar teilweise unabhängig vom Gewichtsverlust – vermittelt über den GIP-Rezeptor und eine bessere Glukoseaufnahme im Fettgewebe (Samms 2021, PMID 34003802). Beim Menschen sinkt unter Tirzepatid vor allem die Nahrungsaufnahme; in einer Studie mit 117 Menschen mit Typ-2-Diabetes verringerten sich unter Tirzepatid Appetit, Energieaufnahme und Fettmasse gegenüber Placebo. Beim Appetit unterschied es sich allerdings nicht messbar von Semaglutid, obwohl der Gewichtsverlust größer war – die Autorinnen und Autoren halten daher weitere Mechanismen für möglich (Heise 2023, PMID 36857477).</w:t>
      </w:r>
    </w:p>
    <w:p>
      <w:pPr>
        <w:pStyle w:val="BodyText"/>
      </w:pPr>
      <w:r>
        <w:t xml:space="preserve">Vereinfacht gesagt: Tirzepatid wirkt wie ein GLP-1-Medikament mit einem zusätzlichen GIP-„Verstärker“. Die Studien zeigen, dass dieses Paket beim Gewicht und beim Blutzucker mehr bewirkt als die bisher verfügbaren reinen GLP-1-Agonisten – warum genau, ist noch nicht vollständig verstanden.</w:t>
      </w:r>
    </w:p>
    <w:bookmarkEnd w:id="202"/>
    <w:bookmarkStart w:id="212" w:name="studien-am-menschen-4"/>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144 als Humanstudien klassifizierte Veröffentlichungen mit „tirzepatide“ im Titel oder Abstract, dazu sehr viele Übersichtsarbeiten und Meta-Analysen. Auf ClinicalTrials.gov waren 307 Studien registriert, davon über 100 noch in der Rekrutierung (ein offenkundig fiktiver Beispiel-Eintrag eines unbekannten Sponsors ist nicht mitgezählt). Tirzepatid gehört damit zu den am besten untersuchten Wirkstoffen dieses Buches. Die Hauptlast tragen zwei Zulassungsprogramme:</w:t>
      </w:r>
      <w:r>
        <w:t xml:space="preserve"> </w:t>
      </w:r>
      <w:r>
        <w:rPr>
          <w:bCs/>
          <w:b/>
        </w:rPr>
        <w:t xml:space="preserve">SURPASS</w:t>
      </w:r>
      <w:r>
        <w:t xml:space="preserve"> </w:t>
      </w:r>
      <w:r>
        <w:t xml:space="preserve">(Typ-2-Diabetes) und</w:t>
      </w:r>
      <w:r>
        <w:t xml:space="preserve"> </w:t>
      </w:r>
      <w:r>
        <w:rPr>
          <w:bCs/>
          <w:b/>
        </w:rPr>
        <w:t xml:space="preserve">SURMOUNT</w:t>
      </w:r>
      <w:r>
        <w:t xml:space="preserve"> </w:t>
      </w:r>
      <w:r>
        <w:t xml:space="preserve">(Adipositas), ergänzt durch Studien zu Herzinsuffizienz, Schlafapnoe und Fettleber.</w:t>
      </w:r>
    </w:p>
    <w:bookmarkStart w:id="203" w:name="vom-labor-in-die-klinik-phase-1-und-2"/>
    <w:p>
      <w:pPr>
        <w:pStyle w:val="Heading4"/>
      </w:pPr>
      <w:r>
        <w:t xml:space="preserve">Vom Labor in die Klinik: Phase 1 und 2</w:t>
      </w:r>
    </w:p>
    <w:p>
      <w:pPr>
        <w:pStyle w:val="FirstParagraph"/>
      </w:pPr>
      <w:r>
        <w:t xml:space="preserve">Die ersten Daten am Menschen stammen aus einer kombinierten Phase-1-Studie mit 142 Personen, die Tirzepatid, Dulaglutid oder Placebo erhielten. Bei Menschen mit Typ-2-Diabetes senkten höhere Dosen nach vier Wochen den Nüchternblutzucker deutlich; die häufigsten Nebenwirkungen betrafen den Magen-Darm-Trakt (Coskun 2018, PMID 30473097).</w:t>
      </w:r>
    </w:p>
    <w:p>
      <w:pPr>
        <w:pStyle w:val="BodyText"/>
      </w:pPr>
      <w:r>
        <w:t xml:space="preserve">In der Phase-2-Studie erhielten 318 Menschen mit Typ-2-Diabetes 26 Wochen lang eine von vier Tirzepatid-Dosen, Dulaglutid oder Placebo. Der Langzeitzuckerwert HbA1c sank dosisabhängig um bis zu 1,94 Prozentpunkte (Dulaglutid: −1,21; Placebo: −0,06). Das Körpergewicht veränderte sich unter Tirzepatid um −0,9 bis −11,3 kg, unter Dulaglutid um −2,7 kg (Frias 2018, PMID 30293770). Diese Größenordnung des Gewichtsverlusts – bei einer Diabetesstudie – war der Anlass für das große Adipositasprogramm.</w:t>
      </w:r>
    </w:p>
    <w:bookmarkEnd w:id="203"/>
    <w:bookmarkStart w:id="204" w:name="surpass-typ-2-diabetes"/>
    <w:p>
      <w:pPr>
        <w:pStyle w:val="Heading4"/>
      </w:pPr>
      <w:r>
        <w:t xml:space="preserve">SURPASS: Typ-2-Diabetes</w:t>
      </w:r>
    </w:p>
    <w:p>
      <w:pPr>
        <w:pStyle w:val="FirstParagraph"/>
      </w:pPr>
      <w:r>
        <w:t xml:space="preserve">Das SURPASS-Programm prüfte Tirzepatid in drei Dosen (5, 10 und 15 mg pro Woche) gegen Placebo, gegen Semaglutid und gegen Insuline. Der HbA1c-Wert spiegelt den durchschnittlichen Blutzucker der letzten zwei bis drei Monate wider; ein Wert unter 7 % gilt für viele Menschen mit Diabetes als Therapieziel.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SURPASS-1 (Rosenstock 2021), PMID 34186022</w:t>
            </w:r>
          </w:p>
        </w:tc>
        <w:tc>
          <w:tcPr/>
          <w:p>
            <w:pPr>
              <w:pStyle w:val="Compact"/>
              <w:jc w:val="left"/>
            </w:pPr>
            <w:r>
              <w:t xml:space="preserve">478 Erwachsene, nur Diät/Bewegung, gegen Placebo</w:t>
            </w:r>
          </w:p>
        </w:tc>
        <w:tc>
          <w:tcPr/>
          <w:p>
            <w:pPr>
              <w:pStyle w:val="Compact"/>
              <w:jc w:val="left"/>
            </w:pPr>
            <w:r>
              <w:t xml:space="preserve">40 Wochen</w:t>
            </w:r>
          </w:p>
        </w:tc>
        <w:tc>
          <w:tcPr/>
          <w:p>
            <w:pPr>
              <w:pStyle w:val="Compact"/>
              <w:jc w:val="left"/>
            </w:pPr>
            <w:r>
              <w:t xml:space="preserve">HbA1c −1,87 bis −2,07 Punkte vs. +0,04; Gewicht −7,0 bis −9,5 kg</w:t>
            </w:r>
          </w:p>
        </w:tc>
      </w:tr>
      <w:tr>
        <w:tc>
          <w:tcPr/>
          <w:p>
            <w:pPr>
              <w:pStyle w:val="Compact"/>
              <w:jc w:val="left"/>
            </w:pPr>
            <w:r>
              <w:t xml:space="preserve">SURPASS-2 (Frías 2021), PMID 34170647</w:t>
            </w:r>
          </w:p>
        </w:tc>
        <w:tc>
          <w:tcPr/>
          <w:p>
            <w:pPr>
              <w:pStyle w:val="Compact"/>
              <w:jc w:val="left"/>
            </w:pPr>
            <w:r>
              <w:t xml:space="preserve">1.879 Erwachsene mit Metformin, offen gegen Semaglutid 1 mg</w:t>
            </w:r>
          </w:p>
        </w:tc>
        <w:tc>
          <w:tcPr/>
          <w:p>
            <w:pPr>
              <w:pStyle w:val="Compact"/>
              <w:jc w:val="left"/>
            </w:pPr>
            <w:r>
              <w:t xml:space="preserve">40 Wochen</w:t>
            </w:r>
          </w:p>
        </w:tc>
        <w:tc>
          <w:tcPr/>
          <w:p>
            <w:pPr>
              <w:pStyle w:val="Compact"/>
              <w:jc w:val="left"/>
            </w:pPr>
            <w:r>
              <w:t xml:space="preserve">HbA1c −2,01 bis −2,30 vs. −1,86; Gewicht zusätzlich −1,9 bis −5,5 kg</w:t>
            </w:r>
          </w:p>
        </w:tc>
      </w:tr>
      <w:tr>
        <w:tc>
          <w:tcPr/>
          <w:p>
            <w:pPr>
              <w:pStyle w:val="Compact"/>
              <w:jc w:val="left"/>
            </w:pPr>
            <w:r>
              <w:t xml:space="preserve">SURPASS-3 (Ludvik 2021), PMID 34370970</w:t>
            </w:r>
          </w:p>
        </w:tc>
        <w:tc>
          <w:tcPr/>
          <w:p>
            <w:pPr>
              <w:pStyle w:val="Compact"/>
              <w:jc w:val="left"/>
            </w:pPr>
            <w:r>
              <w:t xml:space="preserve">1.444 Erwachsene, offen gegen Insulin degludec</w:t>
            </w:r>
          </w:p>
        </w:tc>
        <w:tc>
          <w:tcPr/>
          <w:p>
            <w:pPr>
              <w:pStyle w:val="Compact"/>
              <w:jc w:val="left"/>
            </w:pPr>
            <w:r>
              <w:t xml:space="preserve">52 Wochen</w:t>
            </w:r>
          </w:p>
        </w:tc>
        <w:tc>
          <w:tcPr/>
          <w:p>
            <w:pPr>
              <w:pStyle w:val="Compact"/>
              <w:jc w:val="left"/>
            </w:pPr>
            <w:r>
              <w:t xml:space="preserve">HbA1c −1,93 bis −2,37 vs. −1,34; Gewicht −7,5 bis −12,9 kg vs. +2,3 kg</w:t>
            </w:r>
          </w:p>
        </w:tc>
      </w:tr>
      <w:tr>
        <w:tc>
          <w:tcPr/>
          <w:p>
            <w:pPr>
              <w:pStyle w:val="Compact"/>
              <w:jc w:val="left"/>
            </w:pPr>
            <w:r>
              <w:t xml:space="preserve">SURPASS-4 (Del Prato 2021), PMID 34672967</w:t>
            </w:r>
          </w:p>
        </w:tc>
        <w:tc>
          <w:tcPr/>
          <w:p>
            <w:pPr>
              <w:pStyle w:val="Compact"/>
              <w:jc w:val="left"/>
            </w:pPr>
            <w:r>
              <w:t xml:space="preserve">2.002 Erwachsene mit hohem Herz-Kreislauf-Risiko, offen gegen Insulin glargin</w:t>
            </w:r>
          </w:p>
        </w:tc>
        <w:tc>
          <w:tcPr/>
          <w:p>
            <w:pPr>
              <w:pStyle w:val="Compact"/>
              <w:jc w:val="left"/>
            </w:pPr>
            <w:r>
              <w:t xml:space="preserve">52 bis 104 Wochen</w:t>
            </w:r>
          </w:p>
        </w:tc>
        <w:tc>
          <w:tcPr/>
          <w:p>
            <w:pPr>
              <w:pStyle w:val="Compact"/>
              <w:jc w:val="left"/>
            </w:pPr>
            <w:r>
              <w:t xml:space="preserve">HbA1c −2,43/−2,58 vs. −1,44; MACE-4 nicht erhöht (HR 0,74)</w:t>
            </w:r>
          </w:p>
        </w:tc>
      </w:tr>
      <w:tr>
        <w:tc>
          <w:tcPr/>
          <w:p>
            <w:pPr>
              <w:pStyle w:val="Compact"/>
              <w:jc w:val="left"/>
            </w:pPr>
            <w:r>
              <w:t xml:space="preserve">SURPASS-5 (Dahl 2022), PMID 35133415</w:t>
            </w:r>
          </w:p>
        </w:tc>
        <w:tc>
          <w:tcPr/>
          <w:p>
            <w:pPr>
              <w:pStyle w:val="Compact"/>
              <w:jc w:val="left"/>
            </w:pPr>
            <w:r>
              <w:t xml:space="preserve">475 Erwachsene mit Insulin glargin, gegen Placebo</w:t>
            </w:r>
          </w:p>
        </w:tc>
        <w:tc>
          <w:tcPr/>
          <w:p>
            <w:pPr>
              <w:pStyle w:val="Compact"/>
              <w:jc w:val="left"/>
            </w:pPr>
            <w:r>
              <w:t xml:space="preserve">40 Wochen</w:t>
            </w:r>
          </w:p>
        </w:tc>
        <w:tc>
          <w:tcPr/>
          <w:p>
            <w:pPr>
              <w:pStyle w:val="Compact"/>
              <w:jc w:val="left"/>
            </w:pPr>
            <w:r>
              <w:t xml:space="preserve">HbA1c −2,11 bis −2,40 vs. −0,86; Gewicht −5,4 bis −8,8 kg vs. +1,6 kg</w:t>
            </w:r>
          </w:p>
        </w:tc>
      </w:tr>
      <w:tr>
        <w:tc>
          <w:tcPr/>
          <w:p>
            <w:pPr>
              <w:pStyle w:val="Compact"/>
              <w:jc w:val="left"/>
            </w:pPr>
            <w:r>
              <w:t xml:space="preserve">SURPASS-PEDS (Hannon 2025), PMID 40975112</w:t>
            </w:r>
          </w:p>
        </w:tc>
        <w:tc>
          <w:tcPr/>
          <w:p>
            <w:pPr>
              <w:pStyle w:val="Compact"/>
              <w:jc w:val="left"/>
            </w:pPr>
            <w:r>
              <w:t xml:space="preserve">99 Jugendliche (10–17 Jahre) mit Typ-2-Diabetes, gegen Placebo</w:t>
            </w:r>
          </w:p>
        </w:tc>
        <w:tc>
          <w:tcPr/>
          <w:p>
            <w:pPr>
              <w:pStyle w:val="Compact"/>
              <w:jc w:val="left"/>
            </w:pPr>
            <w:r>
              <w:t xml:space="preserve">30 Wochen (+22 offen)</w:t>
            </w:r>
          </w:p>
        </w:tc>
        <w:tc>
          <w:tcPr/>
          <w:p>
            <w:pPr>
              <w:pStyle w:val="Compact"/>
              <w:jc w:val="left"/>
            </w:pPr>
            <w:r>
              <w:t xml:space="preserve">HbA1c −2,23 vs. +0,05; BMI −7,4 bis −11,2 %</w:t>
            </w:r>
          </w:p>
        </w:tc>
      </w:tr>
    </w:tbl>
    <w:p>
      <w:pPr>
        <w:pStyle w:val="BodyText"/>
      </w:pPr>
      <w:r>
        <w:t xml:space="preserve">Einige Punkte verdienen Hervorhebung:</w:t>
      </w:r>
    </w:p>
    <w:p>
      <w:pPr>
        <w:numPr>
          <w:ilvl w:val="0"/>
          <w:numId w:val="1061"/>
        </w:numPr>
        <w:pStyle w:val="Compact"/>
      </w:pPr>
      <w:r>
        <w:rPr>
          <w:bCs/>
          <w:b/>
        </w:rPr>
        <w:t xml:space="preserve">Im direkten Vergleich mit Semaglutid</w:t>
      </w:r>
      <w:r>
        <w:t xml:space="preserve"> </w:t>
      </w:r>
      <w:r>
        <w:t xml:space="preserve">(SURPASS-2) war Tirzepatid in allen drei Dosen beim HbA1c nicht unterlegen und überlegen. Allerdings verwendete die Studie Semaglutid in der Dosis von 1 mg; die später zugelassene höhere Diabetesdosis war nicht der Vergleich. Häufigkeit von Übelkeit (17–22 % vs. 18 %) und Erbrechen (6–10 % vs. 8 %) war ähnlich; schwere unerwünschte Ereignisse traten unter Tirzepatid bei 5–7 % gegenüber 3 % unter Semaglutid auf (Frías 2021, PMID 34170647).</w:t>
      </w:r>
    </w:p>
    <w:p>
      <w:pPr>
        <w:numPr>
          <w:ilvl w:val="0"/>
          <w:numId w:val="1061"/>
        </w:numPr>
        <w:pStyle w:val="Compact"/>
      </w:pPr>
      <w:r>
        <w:rPr>
          <w:bCs/>
          <w:b/>
        </w:rPr>
        <w:t xml:space="preserve">Gegenüber Insulin</w:t>
      </w:r>
      <w:r>
        <w:t xml:space="preserve"> </w:t>
      </w:r>
      <w:r>
        <w:t xml:space="preserve">führte Tirzepatid zu mehr Blutzuckersenkung und gleichzeitig zu Gewichtsverlust statt Gewichtszunahme. Unterzuckerungen (unter 54 mg/dl oder schwer) waren in SURPASS-3 deutlich seltener: 1–2 % gegenüber 7 % unter Insulin degludec (Ludvik 2021, PMID 34370970).</w:t>
      </w:r>
    </w:p>
    <w:p>
      <w:pPr>
        <w:numPr>
          <w:ilvl w:val="0"/>
          <w:numId w:val="1061"/>
        </w:numPr>
        <w:pStyle w:val="Compact"/>
      </w:pPr>
      <w:r>
        <w:rPr>
          <w:bCs/>
          <w:b/>
        </w:rPr>
        <w:t xml:space="preserve">Kinder und Jugendliche:</w:t>
      </w:r>
      <w:r>
        <w:t xml:space="preserve"> </w:t>
      </w:r>
      <w:r>
        <w:t xml:space="preserve">SURPASS-PEDS ist eine der wenigen Inkretin-Studien bei jugendlichem Typ-2-Diabetes. Die Wirkung blieb in der offenen Verlängerung bis Woche 52 erhalten; das Nebenwirkungsprofil entsprach dem bei Erwachsenen (Hannon 2025, PMID 40975112).</w:t>
      </w:r>
    </w:p>
    <w:p>
      <w:pPr>
        <w:numPr>
          <w:ilvl w:val="0"/>
          <w:numId w:val="1061"/>
        </w:numPr>
        <w:pStyle w:val="Compact"/>
      </w:pPr>
      <w:r>
        <w:rPr>
          <w:bCs/>
          <w:b/>
        </w:rPr>
        <w:t xml:space="preserve">Typ-1-Diabetes:</w:t>
      </w:r>
      <w:r>
        <w:t xml:space="preserve"> </w:t>
      </w:r>
      <w:r>
        <w:t xml:space="preserve">Eine kleine Phase-2-Studie mit 24 Erwachsenen mit Typ-1-Diabetes und Adipositas zeigte nach zwölf Wochen einen Gewichtsverlust von 10,3 kg gegenüber 0,7 kg unter Placebo und einen um 35 % niedrigeren Insulinbedarf (Snaith 2026, PMID 41264593). Tirzepatid ist für Typ-1-Diabetes nicht zugelassen; größere Studien laufen (siehe Ausblick).</w:t>
      </w:r>
    </w:p>
    <w:p>
      <w:pPr>
        <w:pStyle w:val="FirstParagraph"/>
      </w:pPr>
      <w:r>
        <w:t xml:space="preserve">Eine vorab geplante Meta-Analyse aller sieben SURPASS-Studien mit mindestens 26 Wochen Dauer (4.887 Personen unter Tirzepatid, 2.328 in Kontrollgruppen) fand kein erhöhtes Risiko für schwere Herz-Kreislauf-Ereignisse (MACE-4, Hazard Ratio 0,80; 95-%-Konfidenzintervall 0,57–1,11) (Sattar 2022, PMID 35210595). Das ist eine Sicherheits-, keine Nutzenaussage – dafür war die Endpunktstudie SURPASS-CVOT nötig.</w:t>
      </w:r>
    </w:p>
    <w:bookmarkEnd w:id="204"/>
    <w:bookmarkStart w:id="205" w:name="surpass-cvot-herz-kreislauf-endpunkte"/>
    <w:p>
      <w:pPr>
        <w:pStyle w:val="Heading4"/>
      </w:pPr>
      <w:r>
        <w:t xml:space="preserve">SURPASS-CVOT: Herz-Kreislauf-Endpunkte</w:t>
      </w:r>
    </w:p>
    <w:p>
      <w:pPr>
        <w:pStyle w:val="FirstParagraph"/>
      </w:pPr>
      <w:r>
        <w:t xml:space="preserve">Bei Diabetesmedikamenten verlangen Behörden den Nachweis, dass sie das Herz nicht gefährden. SURPASS-CVOT ging einen Schritt weiter: Statt gegen Placebo trat Tirzepatid gegen Dulaglutid an, ein GLP-1-Medikament, das in der REWIND-Studie selbst Herz-Kreislauf-Ereignisse verringert hatte. 13.299 Menschen mit Typ-2-Diabetes und bestehender Arteriosklerose-Erkrankung wurden randomisiert; ausgewertet wurden 13.165 (Nicholls 2025, PMID 41406444).</w:t>
      </w:r>
    </w:p>
    <w:p>
      <w:pPr>
        <w:pStyle w:val="BodyText"/>
      </w:pPr>
      <w:r>
        <w:t xml:space="preserve">Der Hauptendpunkt – Herz-Kreislauf-Tod, Herzinfarkt oder Schlaganfall – trat bei 801 Personen (12,2 %) unter Tirzepatid und bei 862 (13,1 %) unter Dulaglutid auf (Hazard Ratio 0,92; 95,3-%-KI 0,83–1,01). Damit war Tirzepatid</w:t>
      </w:r>
      <w:r>
        <w:t xml:space="preserve"> </w:t>
      </w:r>
      <w:r>
        <w:rPr>
          <w:bCs/>
          <w:b/>
        </w:rPr>
        <w:t xml:space="preserve">nicht unterlegen</w:t>
      </w:r>
      <w:r>
        <w:t xml:space="preserve">; die formale Überlegenheit wurde knapp verfehlt (p = 0,09). Magen-Darm-Nebenwirkungen waren unter Tirzepatid häufiger.</w:t>
      </w:r>
    </w:p>
    <w:p>
      <w:pPr>
        <w:pStyle w:val="BodyText"/>
      </w:pPr>
      <w:r>
        <w:t xml:space="preserve">Eine nachträgliche (post hoc) Auswertung mit einem breiteren Endpunkt aus sechs Komponenten – Tod jeder Ursache, Herzinfarkt, Schlaganfall, Revaskularisation, Krankenhausaufnahme wegen Herzinsuffizienz und Nierenereignisse – fand nach einer medianen Behandlungsdauer von fast vier Jahren Ereignisse bei 23,7 % gegenüber 27,4 % (Hazard Ratio 0,84; 95-%-KI 0,79–0,90) (Nissen 2026, PMID 41903177). Post-hoc-Analysen sind hypothesenbildend; sie können eine vorab festgelegte Hauptanalyse nicht ersetzen.</w:t>
      </w:r>
    </w:p>
    <w:p>
      <w:pPr>
        <w:pStyle w:val="BodyText"/>
      </w:pPr>
      <w:r>
        <w:t xml:space="preserve">Wie groß der Nutzen gegenüber</w:t>
      </w:r>
      <w:r>
        <w:t xml:space="preserve"> </w:t>
      </w:r>
      <w:r>
        <w:rPr>
          <w:iCs/>
          <w:i/>
        </w:rPr>
        <w:t xml:space="preserve">keiner</w:t>
      </w:r>
      <w:r>
        <w:t xml:space="preserve"> </w:t>
      </w:r>
      <w:r>
        <w:t xml:space="preserve">Behandlung wäre, lässt sich aus einem Vergleich gegen ein wirksames Medikament nicht direkt ablesen. Eine vorab geplante, aber indirekte Auswertung berechnete einen „Placebo-Arm“ aus den Daten der REWIND-Studie und kam für Tirzepatid gegenüber diesem errechneten Placebo auf ein Hazard Ratio von 0,72 (95-%-KI 0,55–0,94) für Herz-Kreislauf-Tod, Herzinfarkt oder Schlaganfall (Sattar 2026, PMID 41940793). Solche Modellrechnungen beruhen auf Annahmen und ersetzen keinen echten Placebovergleich.</w:t>
      </w:r>
    </w:p>
    <w:bookmarkEnd w:id="205"/>
    <w:bookmarkStart w:id="206" w:name="surmount-adipositas"/>
    <w:p>
      <w:pPr>
        <w:pStyle w:val="Heading4"/>
      </w:pPr>
      <w:r>
        <w:t xml:space="preserve">SURMOUNT: Adipositas</w:t>
      </w:r>
    </w:p>
    <w:p>
      <w:pPr>
        <w:pStyle w:val="FirstParagraph"/>
      </w:pPr>
      <w:r>
        <w:t xml:space="preserve">Im Adipositasprogramm wurde Tirzepatid bei Menschen mit einem Body-Mass-Index (BMI) ab 30 oder ab 27 plus Begleiterkrankung untersucht, stets zusätzlich zu Ernährungs- und Bewegungsberatung.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SURMOUNT-1 (Jastreboff 2022), PMID 35658024</w:t>
            </w:r>
          </w:p>
        </w:tc>
        <w:tc>
          <w:tcPr/>
          <w:p>
            <w:pPr>
              <w:pStyle w:val="Compact"/>
              <w:jc w:val="left"/>
            </w:pPr>
            <w:r>
              <w:t xml:space="preserve">2.539 Erwachsene ohne Diabetes, gegen Placebo</w:t>
            </w:r>
          </w:p>
        </w:tc>
        <w:tc>
          <w:tcPr/>
          <w:p>
            <w:pPr>
              <w:pStyle w:val="Compact"/>
              <w:jc w:val="left"/>
            </w:pPr>
            <w:r>
              <w:t xml:space="preserve">72 Wochen</w:t>
            </w:r>
          </w:p>
        </w:tc>
        <w:tc>
          <w:tcPr/>
          <w:p>
            <w:pPr>
              <w:pStyle w:val="Compact"/>
              <w:jc w:val="left"/>
            </w:pPr>
            <w:r>
              <w:t xml:space="preserve">−15,0 / −19,5 / −20,9 % Gewicht (5/10/15 mg) vs. −3,1 %</w:t>
            </w:r>
          </w:p>
        </w:tc>
      </w:tr>
      <w:tr>
        <w:tc>
          <w:tcPr/>
          <w:p>
            <w:pPr>
              <w:pStyle w:val="Compact"/>
              <w:jc w:val="left"/>
            </w:pPr>
            <w:r>
              <w:t xml:space="preserve">SURMOUNT-2 (Garvey 2023), PMID 37385275</w:t>
            </w:r>
          </w:p>
        </w:tc>
        <w:tc>
          <w:tcPr/>
          <w:p>
            <w:pPr>
              <w:pStyle w:val="Compact"/>
              <w:jc w:val="left"/>
            </w:pPr>
            <w:r>
              <w:t xml:space="preserve">938 Erwachsene mit Typ-2-Diabetes, gegen Placebo</w:t>
            </w:r>
          </w:p>
        </w:tc>
        <w:tc>
          <w:tcPr/>
          <w:p>
            <w:pPr>
              <w:pStyle w:val="Compact"/>
              <w:jc w:val="left"/>
            </w:pPr>
            <w:r>
              <w:t xml:space="preserve">72 Wochen</w:t>
            </w:r>
          </w:p>
        </w:tc>
        <w:tc>
          <w:tcPr/>
          <w:p>
            <w:pPr>
              <w:pStyle w:val="Compact"/>
              <w:jc w:val="left"/>
            </w:pPr>
            <w:r>
              <w:t xml:space="preserve">−12,8 / −14,7 % vs. −3,2 %</w:t>
            </w:r>
          </w:p>
        </w:tc>
      </w:tr>
      <w:tr>
        <w:tc>
          <w:tcPr/>
          <w:p>
            <w:pPr>
              <w:pStyle w:val="Compact"/>
              <w:jc w:val="left"/>
            </w:pPr>
            <w:r>
              <w:t xml:space="preserve">SURMOUNT-3 (Wadden 2023), PMID 37840095</w:t>
            </w:r>
          </w:p>
        </w:tc>
        <w:tc>
          <w:tcPr/>
          <w:p>
            <w:pPr>
              <w:pStyle w:val="Compact"/>
              <w:jc w:val="left"/>
            </w:pPr>
            <w:r>
              <w:t xml:space="preserve">579 Erwachsene nach erfolgreicher 12-wöchiger Lebensstilintervention</w:t>
            </w:r>
          </w:p>
        </w:tc>
        <w:tc>
          <w:tcPr/>
          <w:p>
            <w:pPr>
              <w:pStyle w:val="Compact"/>
              <w:jc w:val="left"/>
            </w:pPr>
            <w:r>
              <w:t xml:space="preserve">72 Wochen</w:t>
            </w:r>
          </w:p>
        </w:tc>
        <w:tc>
          <w:tcPr/>
          <w:p>
            <w:pPr>
              <w:pStyle w:val="Compact"/>
              <w:jc w:val="left"/>
            </w:pPr>
            <w:r>
              <w:t xml:space="preserve">zusätzlich −18,4 % vs. +2,5 %</w:t>
            </w:r>
          </w:p>
        </w:tc>
      </w:tr>
      <w:tr>
        <w:tc>
          <w:tcPr/>
          <w:p>
            <w:pPr>
              <w:pStyle w:val="Compact"/>
              <w:jc w:val="left"/>
            </w:pPr>
            <w:r>
              <w:t xml:space="preserve">SURMOUNT-4 (Aronne 2024), PMID 38078870</w:t>
            </w:r>
          </w:p>
        </w:tc>
        <w:tc>
          <w:tcPr/>
          <w:p>
            <w:pPr>
              <w:pStyle w:val="Compact"/>
              <w:jc w:val="left"/>
            </w:pPr>
            <w:r>
              <w:t xml:space="preserve">670 Erwachsene nach 36 Wochen Tirzepatid, Weiterführen vs. Absetzen</w:t>
            </w:r>
          </w:p>
        </w:tc>
        <w:tc>
          <w:tcPr/>
          <w:p>
            <w:pPr>
              <w:pStyle w:val="Compact"/>
              <w:jc w:val="left"/>
            </w:pPr>
            <w:r>
              <w:t xml:space="preserve">52 Wochen (nach Einleitung)</w:t>
            </w:r>
          </w:p>
        </w:tc>
        <w:tc>
          <w:tcPr/>
          <w:p>
            <w:pPr>
              <w:pStyle w:val="Compact"/>
              <w:jc w:val="left"/>
            </w:pPr>
            <w:r>
              <w:t xml:space="preserve">−5,5 % weiter vs. +14,0 % Wiederzunahme</w:t>
            </w:r>
          </w:p>
        </w:tc>
      </w:tr>
      <w:tr>
        <w:tc>
          <w:tcPr/>
          <w:p>
            <w:pPr>
              <w:pStyle w:val="Compact"/>
              <w:jc w:val="left"/>
            </w:pPr>
            <w:r>
              <w:t xml:space="preserve">SURMOUNT-5 (Aronne 2025), PMID 40353578</w:t>
            </w:r>
          </w:p>
        </w:tc>
        <w:tc>
          <w:tcPr/>
          <w:p>
            <w:pPr>
              <w:pStyle w:val="Compact"/>
              <w:jc w:val="left"/>
            </w:pPr>
            <w:r>
              <w:t xml:space="preserve">751 Erwachsene ohne Diabetes, offen gegen Semaglutid 2,4 mg</w:t>
            </w:r>
          </w:p>
        </w:tc>
        <w:tc>
          <w:tcPr/>
          <w:p>
            <w:pPr>
              <w:pStyle w:val="Compact"/>
              <w:jc w:val="left"/>
            </w:pPr>
            <w:r>
              <w:t xml:space="preserve">72 Wochen</w:t>
            </w:r>
          </w:p>
        </w:tc>
        <w:tc>
          <w:tcPr/>
          <w:p>
            <w:pPr>
              <w:pStyle w:val="Compact"/>
              <w:jc w:val="left"/>
            </w:pPr>
            <w:r>
              <w:t xml:space="preserve">−20,2 % vs. −13,7 %</w:t>
            </w:r>
          </w:p>
        </w:tc>
      </w:tr>
      <w:tr>
        <w:tc>
          <w:tcPr/>
          <w:p>
            <w:pPr>
              <w:pStyle w:val="Compact"/>
              <w:jc w:val="left"/>
            </w:pPr>
            <w:r>
              <w:t xml:space="preserve">SURMOUNT-1, 3-Jahres-Daten (Jastreboff 2025), PMID 39536238</w:t>
            </w:r>
          </w:p>
        </w:tc>
        <w:tc>
          <w:tcPr/>
          <w:p>
            <w:pPr>
              <w:pStyle w:val="Compact"/>
              <w:jc w:val="left"/>
            </w:pPr>
            <w:r>
              <w:t xml:space="preserve">1.032 Erwachsene mit Adipositas und Prädiabetes</w:t>
            </w:r>
          </w:p>
        </w:tc>
        <w:tc>
          <w:tcPr/>
          <w:p>
            <w:pPr>
              <w:pStyle w:val="Compact"/>
              <w:jc w:val="left"/>
            </w:pPr>
            <w:r>
              <w:t xml:space="preserve">176 Wochen</w:t>
            </w:r>
          </w:p>
        </w:tc>
        <w:tc>
          <w:tcPr/>
          <w:p>
            <w:pPr>
              <w:pStyle w:val="Compact"/>
              <w:jc w:val="left"/>
            </w:pPr>
            <w:r>
              <w:t xml:space="preserve">−12,3 bis −19,7 % vs. −1,3 %; Typ-2-Diabetes 1,3 % vs. 13,3 %</w:t>
            </w:r>
          </w:p>
        </w:tc>
      </w:tr>
    </w:tbl>
    <w:p>
      <w:pPr>
        <w:pStyle w:val="BodyText"/>
      </w:pPr>
      <w:r>
        <w:rPr>
          <w:bCs/>
          <w:b/>
        </w:rPr>
        <w:t xml:space="preserve">SURMOUNT-1</w:t>
      </w:r>
      <w:r>
        <w:t xml:space="preserve"> </w:t>
      </w:r>
      <w:r>
        <w:t xml:space="preserve">war die Studie, die Tirzepatid als Adipositasmedikament bekannt machte. Bei einem Ausgangsgewicht von durchschnittlich 104,8 kg verloren die Teilnehmenden in der höchsten Dosis im Mittel 20,9 % ihres Körpergewichts. 57 % in der 15-mg-Gruppe erreichten mindestens 20 % Gewichtsverlust, unter Placebo 3 %. Wegen Nebenwirkungen brachen 4,3–7,1 % unter Tirzepatid und 2,6 % unter Placebo die Behandlung ab (Jastreboff 2022, PMID 35658024).</w:t>
      </w:r>
    </w:p>
    <w:p>
      <w:pPr>
        <w:pStyle w:val="BodyText"/>
      </w:pPr>
      <w:r>
        <w:rPr>
          <w:bCs/>
          <w:b/>
        </w:rPr>
        <w:t xml:space="preserve">Menschen mit Typ-2-Diabetes</w:t>
      </w:r>
      <w:r>
        <w:t xml:space="preserve"> </w:t>
      </w:r>
      <w:r>
        <w:t xml:space="preserve">verlieren mit allen Inkretin-Medikamenten weniger Gewicht als Menschen ohne Diabetes. Das zeigte auch SURMOUNT-2: Der Unterschied zu Placebo betrug 9,6 bzw. 11,6 Prozentpunkte (Garvey 2023, PMID 37385275).</w:t>
      </w:r>
    </w:p>
    <w:p>
      <w:pPr>
        <w:pStyle w:val="BodyText"/>
      </w:pPr>
      <w:r>
        <w:rPr>
          <w:bCs/>
          <w:b/>
        </w:rPr>
        <w:t xml:space="preserve">Was passiert nach dem Absetzen?</w:t>
      </w:r>
      <w:r>
        <w:t xml:space="preserve"> </w:t>
      </w:r>
      <w:r>
        <w:t xml:space="preserve">SURMOUNT-4 beantwortete diese Frage mit einem „Randomized-Withdrawal“-Design: Alle erhielten zunächst 36 Wochen Tirzepatid und verloren im Mittel 20,9 %. Dann wurde ausgelost, wer weiter Tirzepatid und wer unbemerkt Placebo erhielt. In den folgenden 52 Wochen nahm die Placebogruppe um 14,0 % wieder zu, die Tirzepatid-Gruppe verlor weitere 5,5 %. Über die gesamte Studiendauer betrug der Gewichtsverlust 25,3 % gegenüber 9,9 % (Aronne 2024, PMID 38078870). Die Botschaft der Autorinnen und Autoren: Adipositas verhält sich wie eine chronische Erkrankung, deren Behandlung meist dauerhaft sein muss.</w:t>
      </w:r>
    </w:p>
    <w:p>
      <w:pPr>
        <w:pStyle w:val="BodyText"/>
      </w:pPr>
      <w:r>
        <w:rPr>
          <w:bCs/>
          <w:b/>
        </w:rPr>
        <w:t xml:space="preserve">Niedrigere Erhaltungsdosis:</w:t>
      </w:r>
      <w:r>
        <w:t xml:space="preserve"> </w:t>
      </w:r>
      <w:r>
        <w:t xml:space="preserve">Ob man nach dem Abnehmen auf eine geringere Dosis wechseln kann, untersuchte SURMOUNT-MAINTAIN mit 378 randomisierten Personen in den USA. Nach 60 Wochen in der Höchstdosis wurden sie auf drei Gruppen verteilt. In Woche 112 lag der Gewichtsverlust seit Studienbeginn bei −21,9 % (Höchstdosis weiter), −16,6 % (Reduktion auf 5 mg) und −9,9 % (Placebo). Eine Rettungstherapie wegen Wiederzunahme von mindestens 50 % benötigten 8 %, 25 % bzw. 67 % (Horn 2026, PMID 42119587). Die Dosisreduktion ist also eine Zwischenlösung mit individuell sehr unterschiedlichem Erfolg.</w:t>
      </w:r>
    </w:p>
    <w:p>
      <w:pPr>
        <w:pStyle w:val="BodyText"/>
      </w:pPr>
      <w:r>
        <w:rPr>
          <w:bCs/>
          <w:b/>
        </w:rPr>
        <w:t xml:space="preserve">Diabetesvorbeugung:</w:t>
      </w:r>
      <w:r>
        <w:t xml:space="preserve"> </w:t>
      </w:r>
      <w:r>
        <w:t xml:space="preserve">In der Drei-Jahres-Auswertung von SURMOUNT-1 bei Personen mit Prädiabetes (Vorstufe des Diabetes) entwickelten 1,3 % unter Tirzepatid und 13,3 % unter Placebo einen Typ-2-Diabetes. Auch 17 Wochen nach dem Absetzen blieb der Unterschied deutlich (2,4 % vs. 13,7 %). Neue Sicherheitssignale traten in diesen drei Jahren nicht auf (Jastreboff 2025, PMID 39536238).</w:t>
      </w:r>
    </w:p>
    <w:bookmarkEnd w:id="206"/>
    <w:bookmarkStart w:id="207" w:name="surmount-5-tirzepatid-gegen-semaglutid"/>
    <w:p>
      <w:pPr>
        <w:pStyle w:val="Heading4"/>
      </w:pPr>
      <w:r>
        <w:t xml:space="preserve">SURMOUNT-5: Tirzepatid gegen Semaglutid</w:t>
      </w:r>
    </w:p>
    <w:p>
      <w:pPr>
        <w:pStyle w:val="FirstParagraph"/>
      </w:pPr>
      <w:r>
        <w:t xml:space="preserve">Die von vielen erwartete direkte Gegenüberstellung bei Adipositas ohne Diabetes lieferte SURMOUNT-5 (Aronne 2025, PMID 40353578). 751 Erwachsene erhielten offen (also ohne Verblindung) die jeweils höchste vertragene Dosis von Tirzepatid (10 oder 15 mg) oder Semaglutid (1,7 oder 2,4 mg). Nach 72 Wochen:</w:t>
      </w:r>
    </w:p>
    <w:p>
      <w:pPr>
        <w:numPr>
          <w:ilvl w:val="0"/>
          <w:numId w:val="1062"/>
        </w:numPr>
        <w:pStyle w:val="Compact"/>
      </w:pPr>
      <w:r>
        <w:t xml:space="preserve">Gewichtsveränderung: −20,2 % mit Tirzepatid gegenüber −13,7 % mit Semaglutid.</w:t>
      </w:r>
    </w:p>
    <w:p>
      <w:pPr>
        <w:numPr>
          <w:ilvl w:val="0"/>
          <w:numId w:val="1062"/>
        </w:numPr>
        <w:pStyle w:val="Compact"/>
      </w:pPr>
      <w:r>
        <w:t xml:space="preserve">Taillenumfang: −18,4 cm gegenüber −13,0 cm.</w:t>
      </w:r>
    </w:p>
    <w:p>
      <w:pPr>
        <w:numPr>
          <w:ilvl w:val="0"/>
          <w:numId w:val="1062"/>
        </w:numPr>
        <w:pStyle w:val="Compact"/>
      </w:pPr>
      <w:r>
        <w:t xml:space="preserve">Mehr Teilnehmende unter Tirzepatid erreichten jede der Schwellen 10, 15, 20 und 25 %.</w:t>
      </w:r>
    </w:p>
    <w:p>
      <w:pPr>
        <w:numPr>
          <w:ilvl w:val="0"/>
          <w:numId w:val="1062"/>
        </w:numPr>
        <w:pStyle w:val="Compact"/>
      </w:pPr>
      <w:r>
        <w:t xml:space="preserve">Die Nebenwirkungen waren in beiden Gruppen überwiegend Magen-Darm-Beschwerden, meist leicht bis mittelschwer und vor allem in der Aufdosierungsphase.</w:t>
      </w:r>
    </w:p>
    <w:p>
      <w:pPr>
        <w:pStyle w:val="FirstParagraph"/>
      </w:pPr>
      <w:r>
        <w:t xml:space="preserve">Eine Nachauswertung zeigte, dass 44 % unter Tirzepatid und 21 % unter Semaglutid bis Woche 24 bereits mindestens 15 % abgenommen hatten („schnelle Responder“). Diese hatten etwas mehr Magen-Darm- und Gallenwegsereignisse, brachen die Behandlung aber nicht häufiger ab (Aronne 2026, PMID 41865857).</w:t>
      </w:r>
    </w:p>
    <w:p>
      <w:pPr>
        <w:pStyle w:val="BodyText"/>
      </w:pPr>
      <w:r>
        <w:t xml:space="preserve">Zur Einordnung: SURMOUNT-5 war vom Hersteller des Tirzepatids finanziert und offen durchgeführt. Der Unterschied ist trotzdem groß genug, dass er kaum allein durch diese Einschränkungen erklärbar ist. Eine Gegenüberstellung aller GLP-1-Medikamente finden Sie in Teil III.</w:t>
      </w:r>
    </w:p>
    <w:bookmarkEnd w:id="207"/>
    <w:bookmarkStart w:id="208" w:name="herzinsuffizienz-summit"/>
    <w:p>
      <w:pPr>
        <w:pStyle w:val="Heading4"/>
      </w:pPr>
      <w:r>
        <w:t xml:space="preserve">Herzinsuffizienz: SUMMIT</w:t>
      </w:r>
    </w:p>
    <w:p>
      <w:pPr>
        <w:pStyle w:val="FirstParagraph"/>
      </w:pPr>
      <w:r>
        <w:t xml:space="preserve">Herzinsuffizienz mit erhaltener Pumpfunktion (HFpEF) ist eine häufige Form der Herzschwäche, bei der das Herz zwar normal auswirft, sich aber schlecht füllt. Adipositas ist ein wichtiger Treiber. In SUMMIT wurden 731 Menschen mit HFpEF und BMI ab 30 auf Tirzepatid oder Placebo randomisiert und median 104 Wochen beobachtet (Packer 2025, PMID 39555826).</w:t>
      </w:r>
    </w:p>
    <w:p>
      <w:pPr>
        <w:numPr>
          <w:ilvl w:val="0"/>
          <w:numId w:val="1063"/>
        </w:numPr>
        <w:pStyle w:val="Compact"/>
      </w:pPr>
      <w:r>
        <w:t xml:space="preserve">Herz-Kreislauf-Tod oder Verschlechterung der Herzinsuffizienz: 9,9 % unter Tirzepatid vs. 15,3 % unter Placebo (Hazard Ratio 0,62; 95-%-KI 0,41–0,95).</w:t>
      </w:r>
    </w:p>
    <w:p>
      <w:pPr>
        <w:numPr>
          <w:ilvl w:val="0"/>
          <w:numId w:val="1063"/>
        </w:numPr>
        <w:pStyle w:val="Compact"/>
      </w:pPr>
      <w:r>
        <w:t xml:space="preserve">Dieser Unterschied beruhte auf weniger Verschlechterungsereignissen (8,0 % vs. 14,2 %). Herz-Kreislauf-Todesfälle waren selten und zahlenmäßig unter Tirzepatid sogar etwas häufiger (2,2 % vs. 1,4 %), mit sehr breitem Unsicherheitsbereich.</w:t>
      </w:r>
    </w:p>
    <w:p>
      <w:pPr>
        <w:numPr>
          <w:ilvl w:val="0"/>
          <w:numId w:val="1063"/>
        </w:numPr>
        <w:pStyle w:val="Compact"/>
      </w:pPr>
      <w:r>
        <w:t xml:space="preserve">Die Lebensqualität (KCCQ-Fragebogen) verbesserte sich stärker: +19,5 gegenüber +12,7 Punkte.</w:t>
      </w:r>
    </w:p>
    <w:p>
      <w:pPr>
        <w:numPr>
          <w:ilvl w:val="0"/>
          <w:numId w:val="1063"/>
        </w:numPr>
        <w:pStyle w:val="Compact"/>
      </w:pPr>
      <w:r>
        <w:t xml:space="preserve">Abbrüche wegen Nebenwirkungen: 6,3 % vs. 1,4 %.</w:t>
      </w:r>
    </w:p>
    <w:p>
      <w:pPr>
        <w:pStyle w:val="FirstParagraph"/>
      </w:pPr>
      <w:r>
        <w:t xml:space="preserve">Eine Herz-MRT-Unterstudie zeigte eine Abnahme der linksventrikulären Muskelmasse und des Fettgewebes um das Herz (Kramer 2025, PMID 39566869). Mit 731 Personen und 92 Endpunktereignissen ist SUMMIT eine vergleichsweise kleine Endpunktstudie; die Ergebnisse sind ermutigend, aber nicht so belastbar wie Daten aus Studien mit Tausenden Teilnehmenden.</w:t>
      </w:r>
    </w:p>
    <w:bookmarkEnd w:id="208"/>
    <w:bookmarkStart w:id="209" w:name="obstruktive-schlafapnoe-surmount-osa"/>
    <w:p>
      <w:pPr>
        <w:pStyle w:val="Heading4"/>
      </w:pPr>
      <w:r>
        <w:t xml:space="preserve">Obstruktive Schlafapnoe: SURMOUNT-OSA</w:t>
      </w:r>
    </w:p>
    <w:p>
      <w:pPr>
        <w:pStyle w:val="FirstParagraph"/>
      </w:pPr>
      <w:r>
        <w:t xml:space="preserve">Bei der obstruktiven Schlafapnoe fallen die oberen Atemwege im Schlaf immer wieder zusammen; die Atmung setzt aus (Apnoe) oder wird flach (Hypopnoe). Der Apnoe-Hypopnoe-Index (AHI) zählt diese Ereignisse pro Stunde; ab 30 gilt die Schlafapnoe als schwer. Übergewicht ist ein Hauptrisikofaktor.</w:t>
      </w:r>
    </w:p>
    <w:p>
      <w:pPr>
        <w:pStyle w:val="BodyText"/>
      </w:pPr>
      <w:r>
        <w:t xml:space="preserve">SURMOUNT-OSA bestand aus zwei parallelen Studien mit Menschen mit Adipositas und mittelschwerer bis schwerer Schlafapnoe: ohne Atemmaskentherapie (Studie 1) und mit Atemmaske (CPAP, Studie 2). Ausgangs-AHI etwa 50 Ereignisse pro Stunde. Nach 52 Wochen (Malhotra 2024, PMID 38912654):</w:t>
      </w:r>
    </w:p>
    <w:p>
      <w:pPr>
        <w:numPr>
          <w:ilvl w:val="0"/>
          <w:numId w:val="1064"/>
        </w:numPr>
        <w:pStyle w:val="Compact"/>
      </w:pPr>
      <w:r>
        <w:t xml:space="preserve">Studie 1: AHI −25,3 Ereignisse/Stunde mit Tirzepatid vs. −5,3 mit Placebo.</w:t>
      </w:r>
    </w:p>
    <w:p>
      <w:pPr>
        <w:numPr>
          <w:ilvl w:val="0"/>
          <w:numId w:val="1064"/>
        </w:numPr>
        <w:pStyle w:val="Compact"/>
      </w:pPr>
      <w:r>
        <w:t xml:space="preserve">Studie 2: AHI −29,3 vs. −5,5.</w:t>
      </w:r>
    </w:p>
    <w:p>
      <w:pPr>
        <w:numPr>
          <w:ilvl w:val="0"/>
          <w:numId w:val="1064"/>
        </w:numPr>
        <w:pStyle w:val="Compact"/>
      </w:pPr>
      <w:r>
        <w:t xml:space="preserve">Zusätzlich verbesserten sich Sauerstoffmangelbelastung, Entzündungsmarker (hsCRP), Blutdruck und von den Teilnehmenden berichtete Schlafbeschwerden.</w:t>
      </w:r>
    </w:p>
    <w:p>
      <w:pPr>
        <w:pStyle w:val="FirstParagraph"/>
      </w:pPr>
      <w:r>
        <w:t xml:space="preserve">Auf dieser Grundlage wurde Tirzepatid in den USA als erstes Medikament für die Behandlung der Schlafapnoe bei Adipositas zugelassen. Eine Atemmaske ersetzt es nicht automatisch: Auch nach dem Rückgang lag der AHI bei vielen Teilnehmenden noch im behandlungsbedürftigen Bereich. Die Entscheidung über die Therapie gehört in schlafmedizinische Hände.</w:t>
      </w:r>
    </w:p>
    <w:bookmarkEnd w:id="209"/>
    <w:bookmarkStart w:id="210" w:name="fettleber-mash"/>
    <w:p>
      <w:pPr>
        <w:pStyle w:val="Heading4"/>
      </w:pPr>
      <w:r>
        <w:t xml:space="preserve">Fettleber (MASH)</w:t>
      </w:r>
    </w:p>
    <w:p>
      <w:pPr>
        <w:pStyle w:val="FirstParagraph"/>
      </w:pPr>
      <w:r>
        <w:t xml:space="preserve">Die Metabolisch bedingte Steatohepatitis (MASH, früher NASH) ist eine entzündliche Form der Fettleber, die zu Vernarbung (Fibrose) und Zirrhose fortschreiten kann. In der Phase-2-Studie SYNERGY-NASH erhielten 190 Personen mit bioptisch gesicherter MASH und mittlerer bis schwerer Fibrose Tirzepatid oder Placebo. Nach 52 Wochen verschwand die MASH ohne Verschlechterung der Fibrose bei 44–62 % unter Tirzepatid gegenüber 10 % unter Placebo; eine Verbesserung der Fibrose um mindestens eine Stufe zeigten 51–55 % gegenüber 30 % (Loomba 2024, PMID 38856224). Eine Phase-3-Studie läuft (siehe Ausblick).</w:t>
      </w:r>
    </w:p>
    <w:bookmarkEnd w:id="210"/>
    <w:bookmarkStart w:id="211" w:name="Xd6211a0d015a50d6991e8ae86e6d5eec80617d6"/>
    <w:p>
      <w:pPr>
        <w:pStyle w:val="Heading4"/>
      </w:pPr>
      <w:r>
        <w:t xml:space="preserve">Weitere Anwendungsgebiete und Meta-Analysen</w:t>
      </w:r>
    </w:p>
    <w:p>
      <w:pPr>
        <w:pStyle w:val="FirstParagraph"/>
      </w:pPr>
      <w:r>
        <w:t xml:space="preserve">Die Literatur zu Tirzepatid wächst sehr schnell. Neben den großen Programmen gibt es Studien zu Schuppenflechte und Psoriasis-Arthritis in Kombination mit Biologika: In einer offenen Phase-3b-Studie mit 274 Personen erreichten unter Ixekizumab plus Tirzepatid 27,1 % gleichzeitig eine vollständige Abheilung der Hautherde (PASI 100) und mindestens 10 % Gewichtsverlust, unter Ixekizumab allein 5,8 % (Lebwohl 2026, PMID 42139049). Weitere Arbeiten befassen sich mit dem polyzystischen Ovarialsyndrom, zur Nierenfunktion und zu Asien-spezifischen Populationen (SURMOUNT-J, SURMOUNT-CN, SURPASS-AP-Combo). Eine Gesamtdarstellung aller Einzelstudien würde den Rahmen sprengen; sie sind im Studienverzeichnis im Anhang aufgeführt.</w:t>
      </w:r>
    </w:p>
    <w:p>
      <w:pPr>
        <w:pStyle w:val="BodyText"/>
      </w:pPr>
      <w:r>
        <w:t xml:space="preserve">Zur Körperzusammensetzung: In einer DXA-Unterstudie von SURMOUNT-1 mit 160 Personen bestand etwa 75 % des verlorenen Gewichts aus Fett und etwa 25 % aus fettfreier Masse (zu der die Muskulatur gehört) – im gleichen Verhältnis wie in der Placebogruppe (Look 2025, PMID 39996356). Die Sorge um Muskelverlust ist also berechtigt, aber kein Tirzepatid-spezifischer Effekt, sondern typisch für jede deutliche Gewichtsabnahme.</w:t>
      </w:r>
    </w:p>
    <w:bookmarkEnd w:id="211"/>
    <w:bookmarkEnd w:id="212"/>
    <w:bookmarkStart w:id="213" w:name="tier--und-laborstudien-4"/>
    <w:p>
      <w:pPr>
        <w:pStyle w:val="Heading3"/>
      </w:pPr>
      <w:r>
        <w:t xml:space="preserve">Tier- und Laborstudien</w:t>
      </w:r>
    </w:p>
    <w:p>
      <w:pPr>
        <w:pStyle w:val="FirstParagraph"/>
      </w:pPr>
      <w:r>
        <w:t xml:space="preserve">Die präklinische Entwicklung ist ungewöhnlich gut veröffentlicht. In Zellkulturen aktiviert Tirzepatid beide Rezeptoren; bei Mäusen senkte es Gewicht und Nahrungsaufnahme stärker als ein reiner GLP-1-Agonist (Coskun 2018, PMID 30473097). Studien an Mäusen ohne funktionierenden GLP-1-Rezeptor zeigten, dass der GIP-Anteil die Insulinempfindlichkeit im Fettgewebe verbessert (Samms 2021, PMID 34003802). Zur Verteilung und zum Abbau im Körper liegen Untersuchungen bei Menschen, Ratten und Affen vor: Das Molekül wird über Spaltung des Peptidgerüsts und Abbau der Fettsäurekette verstoffwechselt; beim Menschen fanden sich etwa 66 % der markierten Substanz im Urin und etwa 33 % im Stuhl, unverändertes Tirzepatid dagegen in keinem von beiden (Martin 2024, PMID 39243911).</w:t>
      </w:r>
    </w:p>
    <w:p>
      <w:pPr>
        <w:pStyle w:val="BodyText"/>
      </w:pPr>
      <w:r>
        <w:t xml:space="preserve">Wie bei allen lang wirksamen GLP-1-Agonisten traten in Langzeitstudien an Nagetieren Tumoren der C-Zellen der Schilddrüse auf. Ob dieser Befund auf den Menschen übertragbar ist, ist unklar, weil Nagetiere deutlich mehr GLP-1-Rezeptoren auf diesen Zellen tragen. Dieses Tierergebnis ist die Grundlage für die Warnhinweise in der Fachinformation (siehe unten).</w:t>
      </w:r>
    </w:p>
    <w:bookmarkEnd w:id="213"/>
    <w:bookmarkStart w:id="214" w:name="risiken-und-nebenwirkungen-4"/>
    <w:p>
      <w:pPr>
        <w:pStyle w:val="Heading3"/>
      </w:pPr>
      <w:r>
        <w:t xml:space="preserve">Risiken und Nebenwirkungen</w:t>
      </w:r>
    </w:p>
    <w:p>
      <w:pPr>
        <w:pStyle w:val="FirstParagraph"/>
      </w:pPr>
      <w:r>
        <w:rPr>
          <w:bCs/>
          <w:b/>
        </w:rPr>
        <w:t xml:space="preserve">Belegt aus Studien:</w:t>
      </w:r>
    </w:p>
    <w:p>
      <w:pPr>
        <w:numPr>
          <w:ilvl w:val="0"/>
          <w:numId w:val="1065"/>
        </w:numPr>
        <w:pStyle w:val="Compact"/>
      </w:pPr>
      <w:r>
        <w:rPr>
          <w:bCs/>
          <w:b/>
        </w:rPr>
        <w:t xml:space="preserve">Magen-Darm-Beschwerden</w:t>
      </w:r>
      <w:r>
        <w:t xml:space="preserve"> </w:t>
      </w:r>
      <w:r>
        <w:t xml:space="preserve">sind mit Abstand am häufigsten: Übelkeit, Durchfall, Erbrechen, Verstopfung, verminderter Appetit. In SURPASS-3 berichteten 12–24 % über Übelkeit, 15–17 % über Durchfall und 6–10 % über Erbrechen (Ludvik 2021, PMID 34370970). Die Beschwerden treten vor allem in der Aufdosierungsphase auf und lassen meist nach. Sie sind der häufigste Grund für Therapieabbrüche.</w:t>
      </w:r>
    </w:p>
    <w:p>
      <w:pPr>
        <w:numPr>
          <w:ilvl w:val="0"/>
          <w:numId w:val="1065"/>
        </w:numPr>
        <w:pStyle w:val="Compact"/>
      </w:pPr>
      <w:r>
        <w:rPr>
          <w:bCs/>
          <w:b/>
        </w:rPr>
        <w:t xml:space="preserve">Gallenblase und Gallenwege:</w:t>
      </w:r>
      <w:r>
        <w:t xml:space="preserve"> </w:t>
      </w:r>
      <w:r>
        <w:t xml:space="preserve">Eine Meta-Analyse von neun Studien mit 9.871 Teilnehmenden fand ein erhöhtes Risiko für die Sammelkategorie Gallenblasen- oder Gallenwegserkrankungen gegenüber Placebo oder Insulin (relatives Risiko 1,97; 95-%-KI 1,14–3,42), für Bauchspeicheldrüsenentzündung (Pankreatitis) dagegen keinen statistisch gesicherten Anstieg (Zeng 2023, PMID 37908750). Schneller Gewichtsverlust selbst begünstigt Gallensteine.</w:t>
      </w:r>
    </w:p>
    <w:p>
      <w:pPr>
        <w:numPr>
          <w:ilvl w:val="0"/>
          <w:numId w:val="1065"/>
        </w:numPr>
        <w:pStyle w:val="Compact"/>
      </w:pPr>
      <w:r>
        <w:rPr>
          <w:bCs/>
          <w:b/>
        </w:rPr>
        <w:t xml:space="preserve">Unterzuckerung:</w:t>
      </w:r>
      <w:r>
        <w:t xml:space="preserve"> </w:t>
      </w:r>
      <w:r>
        <w:t xml:space="preserve">Allein selten. Das Risiko steigt, wenn gleichzeitig Insulin oder Sulfonylharnstoffe eingenommen werden – in SURPASS-4 traten Unterzuckerungen ohne Sulfonylharnstoff bei 1–3 % auf (Del Prato 2021, PMID 34672967).</w:t>
      </w:r>
    </w:p>
    <w:p>
      <w:pPr>
        <w:numPr>
          <w:ilvl w:val="0"/>
          <w:numId w:val="1065"/>
        </w:numPr>
        <w:pStyle w:val="Compact"/>
      </w:pPr>
      <w:r>
        <w:rPr>
          <w:bCs/>
          <w:b/>
        </w:rPr>
        <w:t xml:space="preserve">Psychische Gesundheit:</w:t>
      </w:r>
      <w:r>
        <w:t xml:space="preserve"> </w:t>
      </w:r>
      <w:r>
        <w:t xml:space="preserve">Eine Nachauswertung von SURMOUNT-1 bis -3 mit 4.056 Personen ohne bekannte schwere psychische Erkrankung fand keinen Hinweis auf vermehrte Depressionen; Suizidgedanken wurden in beiden Gruppen von 0,6 % angegeben (Wadden 2026, PMID 41537305). Für Menschen mit schweren psychischen Erkrankungen fehlen ausreichende Daten.</w:t>
      </w:r>
    </w:p>
    <w:p>
      <w:pPr>
        <w:numPr>
          <w:ilvl w:val="0"/>
          <w:numId w:val="1065"/>
        </w:numPr>
        <w:pStyle w:val="Compact"/>
      </w:pPr>
      <w:r>
        <w:rPr>
          <w:bCs/>
          <w:b/>
        </w:rPr>
        <w:t xml:space="preserve">Verlust fettfreier Masse:</w:t>
      </w:r>
      <w:r>
        <w:t xml:space="preserve"> </w:t>
      </w:r>
      <w:r>
        <w:t xml:space="preserve">etwa ein Viertel des abgenommenen Gewichts (Look 2025, PMID 39996356). Krafttraining und ausreichende Eiweißzufuhr werden in Fachkreisen empfohlen, um gegenzusteuern; harte Studiendaten zum funktionellen Nutzen sind begrenzt.</w:t>
      </w:r>
    </w:p>
    <w:p>
      <w:pPr>
        <w:pStyle w:val="FirstParagraph"/>
      </w:pPr>
      <w:r>
        <w:rPr>
          <w:bCs/>
          <w:b/>
        </w:rPr>
        <w:t xml:space="preserve">Aus Daten nach der Markteinführung:</w:t>
      </w:r>
      <w:r>
        <w:t xml:space="preserve"> </w:t>
      </w:r>
      <w:r>
        <w:t xml:space="preserve">Eine Auswertung der US-Nebenwirkungsdatenbank FAERS fand überproportional viele Meldungen von Übelkeit, Pankreatitis, diabetischer Netzhauterkrankung und medullärem Schilddrüsenkrebs – im Vergleich zu anderen GLP-1-Agonisten aber kein erhöhtes Risiko (Caruso 2024, PMID 39141075). Solche Meldedaten zeigen Signale, keine Ursachen: Bekannte Risiken werden häufiger gemeldet. In einer großen Kohortenstudie mit über 46.000 Paaren in Routinebehandlung unterschied sich das Risiko schwerer Magen-Darm-Ereignisse (Pankreatitis, Gallenwegserkrankungen, Darmverschluss, Magenlähmung, schwere Verstopfung) zwischen Tirzepatid und Semaglutid nicht wesentlich (Hazard Ratio 1,07; 95-%-KI 0,90–1,26) (Crisafulli 2026, PMID 41183330).</w:t>
      </w:r>
    </w:p>
    <w:p>
      <w:pPr>
        <w:pStyle w:val="BodyText"/>
      </w:pPr>
      <w:r>
        <w:rPr>
          <w:bCs/>
          <w:b/>
        </w:rPr>
        <w:t xml:space="preserve">Theoretisch oder aus Tierdaten abgeleitet:</w:t>
      </w:r>
      <w:r>
        <w:t xml:space="preserve"> </w:t>
      </w:r>
      <w:r>
        <w:t xml:space="preserve">medullärer Schilddrüsenkrebs (Tierbefund, siehe oben). Deshalb gilt in den Fachinformationen ein Warnhinweis bzw. eine Gegenanzeige bei medullärem Schilddrüsenkarzinom in der eigenen oder familiären Vorgeschichte und beim MEN-2-Syndrom.</w:t>
      </w:r>
    </w:p>
    <w:p>
      <w:pPr>
        <w:pStyle w:val="BodyText"/>
      </w:pPr>
      <w:r>
        <w:rPr>
          <w:bCs/>
          <w:b/>
        </w:rPr>
        <w:t xml:space="preserve">Wichtig für die Praxis (laut Fachinformation, nicht als Anleitung zu verstehen):</w:t>
      </w:r>
      <w:r>
        <w:t xml:space="preserve"> </w:t>
      </w:r>
      <w:r>
        <w:t xml:space="preserve">Die verzögerte Magenentleerung kann die Aufnahme von Tabletten beeinflussen, was etwa für die Pille zur Empfängnisverhütung relevant ist. In Schwangerschaft und Stillzeit wird Tirzepatid nicht angewendet. Vor Operationen mit Narkose ist die verzögerte Magenentleerung zu bedenken. Über alle Details informieren Fachinformation und behandelnde Ärztin oder behandelnder Arzt.</w:t>
      </w:r>
    </w:p>
    <w:p>
      <w:pPr>
        <w:pStyle w:val="BodyText"/>
      </w:pPr>
      <w:r>
        <w:rPr>
          <w:bCs/>
          <w:b/>
        </w:rPr>
        <w:t xml:space="preserve">Nachgemachte Produkte:</w:t>
      </w:r>
      <w:r>
        <w:t xml:space="preserve"> </w:t>
      </w:r>
      <w:r>
        <w:t xml:space="preserve">Während der Lieferengpässe der Jahre 2022 bis 2024 wurden in den USA Tirzepatid-Zubereitungen in Apotheken hergestellt („compounding“), parallel entstand ein großer Online-Graumarkt. Eine Untersuchung von 2025 fand 33 Zubereitungen mit Semaglutid oder Tirzepatid in Darreichungsformen, die nicht zugelassen sind – etwa Lutschtabletten oder Mischungen mit Vitaminen; Daten zu Wirksamkeit und Sicherheit fehlen für diese Produkte (Belcourt 2026, PMID 41689811). Für „Research“-Ware ohne Arzneimittelzulassung gilt das in noch höherem Maß (siehe Teil I und Teil IV).</w:t>
      </w:r>
    </w:p>
    <w:bookmarkEnd w:id="214"/>
    <w:bookmarkStart w:id="215" w:name="rechtslage-4"/>
    <w:p>
      <w:pPr>
        <w:pStyle w:val="Heading3"/>
      </w:pPr>
      <w:r>
        <w:t xml:space="preserve">Rechtslage</w:t>
      </w:r>
    </w:p>
    <w:p>
      <w:pPr>
        <w:numPr>
          <w:ilvl w:val="0"/>
          <w:numId w:val="1066"/>
        </w:numPr>
        <w:pStyle w:val="Compact"/>
      </w:pPr>
      <w:r>
        <w:rPr>
          <w:bCs/>
          <w:b/>
        </w:rPr>
        <w:t xml:space="preserve">EU / Österreich / Deutschland:</w:t>
      </w:r>
      <w:r>
        <w:t xml:space="preserve"> </w:t>
      </w:r>
      <w:r>
        <w:t xml:space="preserve">Tirzepatid ist als Mounjaro zentral in der EU zugelassen (2022 für Typ-2-Diabetes, seit Ende 2023 auch für das Gewichtsmanagement). Es ist verschreibungspflichtig. Ob die Krankenkasse die Kosten übernimmt, hängt vom Anwendungsgebiet ab: Für Typ-2-Diabetes ist eine Erstattung grundsätzlich möglich; Arzneimittel zur Gewichtsreduktion sind in Deutschland gesetzlich weitgehend von der Erstattung ausgenommen, in Österreich gelten eigene, restriktive Regeln. Details ändern sich – bitte aktuell prüfen.</w:t>
      </w:r>
    </w:p>
    <w:p>
      <w:pPr>
        <w:numPr>
          <w:ilvl w:val="0"/>
          <w:numId w:val="1066"/>
        </w:numPr>
        <w:pStyle w:val="Compact"/>
      </w:pPr>
      <w:r>
        <w:rPr>
          <w:bCs/>
          <w:b/>
        </w:rPr>
        <w:t xml:space="preserve">USA:</w:t>
      </w:r>
      <w:r>
        <w:t xml:space="preserve"> </w:t>
      </w:r>
      <w:r>
        <w:t xml:space="preserve">Zugelassen als Mounjaro (2022, Typ-2-Diabetes) und als Zepbound (2023, chronisches Gewichtsmanagement; 2024 zusätzlich obstruktive Schlafapnoe bei Adipositas). Nach dem Ende des offiziellen Lieferengpasses hat die FDA die Herstellung von Kopien in Apotheken stark eingeschränkt.</w:t>
      </w:r>
    </w:p>
    <w:p>
      <w:pPr>
        <w:numPr>
          <w:ilvl w:val="0"/>
          <w:numId w:val="1066"/>
        </w:numPr>
        <w:pStyle w:val="Compact"/>
      </w:pPr>
      <w:r>
        <w:rPr>
          <w:bCs/>
          <w:b/>
        </w:rPr>
        <w:t xml:space="preserve">Sport:</w:t>
      </w:r>
      <w:r>
        <w:t xml:space="preserve"> </w:t>
      </w:r>
      <w:r>
        <w:t xml:space="preserve">Tirzepatid steht nicht auf der WADA-Verbotsliste (Stand 2026, bitte aktuell prüfen).</w:t>
      </w:r>
    </w:p>
    <w:p>
      <w:pPr>
        <w:numPr>
          <w:ilvl w:val="0"/>
          <w:numId w:val="1066"/>
        </w:numPr>
        <w:pStyle w:val="Compact"/>
      </w:pPr>
      <w:r>
        <w:rPr>
          <w:bCs/>
          <w:b/>
        </w:rPr>
        <w:t xml:space="preserve">Graumarkt:</w:t>
      </w:r>
      <w:r>
        <w:t xml:space="preserve"> </w:t>
      </w:r>
      <w:r>
        <w:t xml:space="preserve">Der Handel mit nicht zugelassenen Tirzepatid-Produkten („for research use only“) ist in der EU kein legaler Weg zum Arzneimittel; die Produkte unterliegen keiner Qualitätskontrolle.</w:t>
      </w:r>
    </w:p>
    <w:bookmarkEnd w:id="215"/>
    <w:bookmarkStart w:id="216" w:name="laufende-studien-und-ausblick-4"/>
    <w:p>
      <w:pPr>
        <w:pStyle w:val="Heading3"/>
      </w:pPr>
      <w:r>
        <w:t xml:space="preserve">Laufende Studien und Ausblick</w:t>
      </w:r>
    </w:p>
    <w:p>
      <w:pPr>
        <w:pStyle w:val="FirstParagraph"/>
      </w:pPr>
      <w:r>
        <w:rPr>
          <w:bCs/>
          <w:b/>
        </w:rPr>
        <w:t xml:space="preserve">Gesichert (registrierte Studien, Stand Oktober 2026):</w:t>
      </w:r>
    </w:p>
    <w:p>
      <w:pPr>
        <w:numPr>
          <w:ilvl w:val="0"/>
          <w:numId w:val="1067"/>
        </w:numPr>
        <w:pStyle w:val="Compact"/>
      </w:pPr>
      <w:r>
        <w:rPr>
          <w:bCs/>
          <w:b/>
        </w:rPr>
        <w:t xml:space="preserve">SURMOUNT-MMO</w:t>
      </w:r>
      <w:r>
        <w:t xml:space="preserve"> </w:t>
      </w:r>
      <w:r>
        <w:t xml:space="preserve">(NCT05556512): Endpunktstudie mit über 15.000 Menschen mit Adipositas ohne Diabetes und hohem Herz-Kreislauf-Risiko, Tirzepatid gegen Placebo. Hauptendpunkt sind Herzinfarkt, Schlaganfall, Revaskularisation, Herzinsuffizienz-Ereignisse und Tod jeder Ursache; geplantes Ende 2027. Laut Design-Veröffentlichung ist es die erste Inkretin-Endpunktstudie, die sowohl Erst- als auch Folgeereignisse untersucht (Lam 2025, PMID 40545827).</w:t>
      </w:r>
    </w:p>
    <w:p>
      <w:pPr>
        <w:numPr>
          <w:ilvl w:val="0"/>
          <w:numId w:val="1067"/>
        </w:numPr>
        <w:pStyle w:val="Compact"/>
      </w:pPr>
      <w:r>
        <w:rPr>
          <w:bCs/>
          <w:b/>
        </w:rPr>
        <w:t xml:space="preserve">SYNERGY-Outcomes</w:t>
      </w:r>
      <w:r>
        <w:t xml:space="preserve"> </w:t>
      </w:r>
      <w:r>
        <w:t xml:space="preserve">(NCT07165028): Phase-3-Masterprotokoll zur Fettlebererkrankung mit geplant 4.500 Teilnehmenden.</w:t>
      </w:r>
    </w:p>
    <w:p>
      <w:pPr>
        <w:numPr>
          <w:ilvl w:val="0"/>
          <w:numId w:val="1067"/>
        </w:numPr>
        <w:pStyle w:val="Compact"/>
      </w:pPr>
      <w:r>
        <w:rPr>
          <w:bCs/>
          <w:b/>
        </w:rPr>
        <w:t xml:space="preserve">Typ-1-Diabetes mit Adipositas</w:t>
      </w:r>
      <w:r>
        <w:t xml:space="preserve"> </w:t>
      </w:r>
      <w:r>
        <w:t xml:space="preserve">(NCT06914895, NCT06962280): zwei Phase-3-Studien.</w:t>
      </w:r>
    </w:p>
    <w:p>
      <w:pPr>
        <w:numPr>
          <w:ilvl w:val="0"/>
          <w:numId w:val="1067"/>
        </w:numPr>
        <w:pStyle w:val="Compact"/>
      </w:pPr>
      <w:r>
        <w:rPr>
          <w:bCs/>
          <w:b/>
        </w:rPr>
        <w:t xml:space="preserve">Jugendliche mit Adipositas</w:t>
      </w:r>
      <w:r>
        <w:t xml:space="preserve"> </w:t>
      </w:r>
      <w:r>
        <w:t xml:space="preserve">(NCT06439277, SURMOUNT-ADOLESCENTS-2) und Kinder (NCT07817875).</w:t>
      </w:r>
    </w:p>
    <w:p>
      <w:pPr>
        <w:numPr>
          <w:ilvl w:val="0"/>
          <w:numId w:val="1067"/>
        </w:numPr>
        <w:pStyle w:val="Compact"/>
      </w:pPr>
      <w:r>
        <w:rPr>
          <w:bCs/>
          <w:b/>
        </w:rPr>
        <w:t xml:space="preserve">Direkter Vergleich mit dem Nachfolger Retatrutid</w:t>
      </w:r>
      <w:r>
        <w:t xml:space="preserve"> </w:t>
      </w:r>
      <w:r>
        <w:t xml:space="preserve">(NCT06662383, siehe Kapitel Retatrutid).</w:t>
      </w:r>
    </w:p>
    <w:p>
      <w:pPr>
        <w:numPr>
          <w:ilvl w:val="0"/>
          <w:numId w:val="1067"/>
        </w:numPr>
        <w:pStyle w:val="Compact"/>
      </w:pPr>
      <w:r>
        <w:t xml:space="preserve">Zahlreiche Studien zu Kniearthrose, Schuppenflechte, Nierenerkrankungen und Schlaganfall.</w:t>
      </w:r>
    </w:p>
    <w:p>
      <w:pPr>
        <w:pStyle w:val="FirstParagraph"/>
      </w:pPr>
      <w:r>
        <w:rPr>
          <w:bCs/>
          <w:b/>
        </w:rPr>
        <w:t xml:space="preserve">Einschätzung:</w:t>
      </w:r>
      <w:r>
        <w:t xml:space="preserve"> </w:t>
      </w:r>
      <w:r>
        <w:t xml:space="preserve">Tirzepatid ist 2026 der Maßstab, an dem sich neue Abnehmmedikamente messen lassen müssen. Die nächste große Frage ist, ob SURMOUNT-MMO bei Menschen ohne Diabetes einen ähnlichen Herz-Kreislauf-Nutzen zeigt wie die SELECT-Studie für Semaglutid. Konkurrenz kommt von Dreifach-Agonisten (Retatrutid), Amylin-Kombinationen (CagriSema, Amycretin) und Tabletten (Orforglipron). Wann die Patente auslaufen und günstigere Nachahmerpräparate möglich werden, behandelt Teil V.</w:t>
      </w:r>
    </w:p>
    <w:bookmarkEnd w:id="216"/>
    <w:bookmarkStart w:id="217" w:name="fazit-4"/>
    <w:p>
      <w:pPr>
        <w:pStyle w:val="Heading3"/>
      </w:pPr>
      <w:r>
        <w:t xml:space="preserve">Fazit</w:t>
      </w:r>
    </w:p>
    <w:p>
      <w:pPr>
        <w:pStyle w:val="FirstParagraph"/>
      </w:pPr>
      <w:r>
        <w:t xml:space="preserve">Tirzepatid ist ein doppelter GIP/GLP-1-Agonist, der in einem der größten Studienprogramme der Diabetes- und Adipositasmedizin untersucht wurde. In SURMOUNT-1 verringerte sich das Körpergewicht in der höchsten Dosis im Mittel um rund 21 %, im direkten Vergleich mit Semaglutid (SURMOUNT-5) um 20,2 % gegenüber 13,7 %. Gegen Dulaglutid war es bei Herz-Kreislauf-Ereignissen nicht unterlegen, bei Herzinsuffizienz mit erhaltener Pumpfunktion und Schlafapnoe zeigten sich günstige Effekte. Die Nebenwirkungen betreffen vor allem den Magen-Darm-Trakt und die Gallenblase; nach dem Absetzen kehrt ein Großteil des Gewichts zurück. Die Behandlung gehört in ärztliche Hände – mit Originalpräparat, nicht mit Graumarktware.</w:t>
      </w:r>
    </w:p>
    <w:bookmarkEnd w:id="217"/>
    <w:bookmarkEnd w:id="218"/>
    <w:bookmarkStart w:id="230" w:name="retatrutid"/>
    <w:p>
      <w:pPr>
        <w:pStyle w:val="Heading2"/>
      </w:pPr>
      <w:r>
        <w:t xml:space="preserve">Retatrutid</w:t>
      </w:r>
    </w:p>
    <w:bookmarkStart w:id="219" w:name="steckbrief-5"/>
    <w:p>
      <w:pPr>
        <w:pStyle w:val="Heading3"/>
      </w:pPr>
      <w:r>
        <w:t xml:space="preserve">Steckbrief</w:t>
      </w:r>
    </w:p>
    <w:p>
      <w:pPr>
        <w:numPr>
          <w:ilvl w:val="0"/>
          <w:numId w:val="1068"/>
        </w:numPr>
        <w:pStyle w:val="Compact"/>
      </w:pPr>
      <w:r>
        <w:rPr>
          <w:bCs/>
          <w:b/>
        </w:rPr>
        <w:t xml:space="preserve">Art/Struktur:</w:t>
      </w:r>
      <w:r>
        <w:t xml:space="preserve"> </w:t>
      </w:r>
      <w:r>
        <w:t xml:space="preserve">synthetisches Peptid mit angehängter Fettsäurekette für die einmal wöchentliche Gabe unter die Haut; Entwicklungscode LY3437943.</w:t>
      </w:r>
    </w:p>
    <w:p>
      <w:pPr>
        <w:numPr>
          <w:ilvl w:val="0"/>
          <w:numId w:val="1068"/>
        </w:numPr>
        <w:pStyle w:val="Compact"/>
      </w:pPr>
      <w:r>
        <w:rPr>
          <w:bCs/>
          <w:b/>
        </w:rPr>
        <w:t xml:space="preserve">Herkunft:</w:t>
      </w:r>
      <w:r>
        <w:t xml:space="preserve"> </w:t>
      </w:r>
      <w:r>
        <w:t xml:space="preserve">entwickelt von Eli Lilly als Nachfolger von Tirzepatid.</w:t>
      </w:r>
    </w:p>
    <w:p>
      <w:pPr>
        <w:numPr>
          <w:ilvl w:val="0"/>
          <w:numId w:val="1068"/>
        </w:numPr>
        <w:pStyle w:val="Compact"/>
      </w:pPr>
      <w:r>
        <w:rPr>
          <w:bCs/>
          <w:b/>
        </w:rPr>
        <w:t xml:space="preserve">Wirkprinzip:</w:t>
      </w:r>
      <w:r>
        <w:t xml:space="preserve"> </w:t>
      </w:r>
      <w:r>
        <w:t xml:space="preserve">„Dreifach-Agonist“ (Triple-Agonist) an drei Rezeptoren: GIP, GLP-1 und Glukagon. In den Medien oft „Triple G“ genannt.</w:t>
      </w:r>
    </w:p>
    <w:p>
      <w:pPr>
        <w:numPr>
          <w:ilvl w:val="0"/>
          <w:numId w:val="1068"/>
        </w:numPr>
        <w:pStyle w:val="Compact"/>
      </w:pPr>
      <w:r>
        <w:rPr>
          <w:bCs/>
          <w:b/>
        </w:rPr>
        <w:t xml:space="preserve">Zulassung EU:</w:t>
      </w:r>
      <w:r>
        <w:t xml:space="preserve"> </w:t>
      </w:r>
      <w:r>
        <w:t xml:space="preserve">nein (Stand Oktober 2026; Phase-3-Programm TRIUMPH teilweise abgeschlossen).</w:t>
      </w:r>
    </w:p>
    <w:p>
      <w:pPr>
        <w:numPr>
          <w:ilvl w:val="0"/>
          <w:numId w:val="1068"/>
        </w:numPr>
        <w:pStyle w:val="Compact"/>
      </w:pPr>
      <w:r>
        <w:rPr>
          <w:bCs/>
          <w:b/>
        </w:rPr>
        <w:t xml:space="preserve">Zulassung USA:</w:t>
      </w:r>
      <w:r>
        <w:t xml:space="preserve"> </w:t>
      </w:r>
      <w:r>
        <w:t xml:space="preserve">nein (Stand Oktober 2026, bitte aktuell prüfen).</w:t>
      </w:r>
    </w:p>
    <w:p>
      <w:pPr>
        <w:numPr>
          <w:ilvl w:val="0"/>
          <w:numId w:val="1068"/>
        </w:numPr>
        <w:pStyle w:val="Compact"/>
      </w:pPr>
      <w:r>
        <w:rPr>
          <w:bCs/>
          <w:b/>
        </w:rPr>
        <w:t xml:space="preserve">WADA:</w:t>
      </w:r>
      <w:r>
        <w:t xml:space="preserve"> </w:t>
      </w:r>
      <w:r>
        <w:t xml:space="preserve">nicht namentlich gelistet; als nirgends zugelassener Wirkstoff fällt Retatrutid aber unter die Klasse S0 „Nicht zugelassene Substanzen“ und ist damit im Sport jederzeit verboten (Stand 2026, bitte aktuell prüfen).</w:t>
      </w:r>
    </w:p>
    <w:p>
      <w:pPr>
        <w:numPr>
          <w:ilvl w:val="0"/>
          <w:numId w:val="1068"/>
        </w:numPr>
        <w:pStyle w:val="Compact"/>
      </w:pPr>
      <w:r>
        <w:rPr>
          <w:bCs/>
          <w:b/>
        </w:rPr>
        <w:t xml:space="preserve">Evidenzstufe:</w:t>
      </w:r>
      <w:r>
        <w:t xml:space="preserve"> </w:t>
      </w:r>
      <w:r>
        <w:rPr>
          <w:bCs/>
          <w:b/>
        </w:rPr>
        <w:t xml:space="preserve">B</w:t>
      </w:r>
      <w:r>
        <w:t xml:space="preserve"> </w:t>
      </w:r>
      <w:r>
        <w:t xml:space="preserve">– mehrere große Phase-3-Studien veröffentlicht, aber noch keine Zulassung und keine Endpunktdaten zu Herz und Niere. Mit einer Zulassung wäre die Stufe A erreicht.</w:t>
      </w:r>
    </w:p>
    <w:bookmarkEnd w:id="219"/>
    <w:bookmarkStart w:id="220" w:name="wie-es-wirken-soll-5"/>
    <w:p>
      <w:pPr>
        <w:pStyle w:val="Heading3"/>
      </w:pPr>
      <w:r>
        <w:t xml:space="preserve">Wie es wirken soll</w:t>
      </w:r>
    </w:p>
    <w:p>
      <w:pPr>
        <w:pStyle w:val="FirstParagraph"/>
      </w:pPr>
      <w:r>
        <w:t xml:space="preserve">Retatrutid baut auf dem Prinzip von Tirzepatid auf (siehe dort) und fügt einen dritten Angriffspunkt hinzu: den Glukagon-Rezeptor. Das klingt zunächst widersprüchlich, denn Glukagon ist das „Gegenhormon“ des Insulins – es lässt die Leber Zucker freisetzen und hebt den Blutzucker. Glukagon hat aber weitere Wirkungen: Es steigert den Energieverbrauch, fördert den Fettabbau in der Leber und trägt zur Sättigung bei. Die Idee hinter Retatrutid ist, diese günstigen Effekte zu nutzen, während der GLP-1- und GIP-Anteil den blutzuckersteigernden Effekt ausgleicht.</w:t>
      </w:r>
    </w:p>
    <w:p>
      <w:pPr>
        <w:pStyle w:val="BodyText"/>
      </w:pPr>
      <w:r>
        <w:t xml:space="preserve">In Zellversuchen wirkt Retatrutid an Glukagon- und GLP-1-Rezeptor etwa gleich stark, am GIP-Rezeptor stärker. Bei übergewichtigen Mäusen verstärkte der Glukagon-Anteil den Gewichtsverlust über einen erhöhten Energieverbrauch, während GIP und GLP-1 die Kalorienaufnahme verringerten (Coskun 2022, PMID 35985340). Ob der Energieverbrauch auch beim Menschen nennenswert steigt, ist noch nicht ausreichend untersucht; eine entsprechende Phase-1-Studie ist registriert (NCT06313528).</w:t>
      </w:r>
    </w:p>
    <w:p>
      <w:pPr>
        <w:pStyle w:val="BodyText"/>
      </w:pPr>
      <w:r>
        <w:t xml:space="preserve">Beim Menschen berichteten Teilnehmende einer Phase-2-Studie unter höheren Dosen weniger Hunger und weniger Neigung zu „Kontrollverlust“ beim Essen; diese Veränderungen hingen mit dem Gewichtsverlust zusammen (Kanu 2025, PMID 40916752).</w:t>
      </w:r>
    </w:p>
    <w:bookmarkEnd w:id="220"/>
    <w:bookmarkStart w:id="224" w:name="studien-am-menschen-5"/>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10 Humanstudien, ergänzt durch die gezielte Suche nach den Phase-1- und Phase-3-Veröffentlichungen. Auf ClinicalTrials.gov waren 32 Studien registriert (ein offenkundig fiktiver Beispiel-Eintrag ist nicht mitgezählt), darunter das Zulassungsprogramm TRIUMPH (Adipositas) und TRANSCEND (Typ-2-Diabetes). Für einen Wirkstoff ohne Zulassung ist das eine ungewöhnlich solide Datenlage – sie stammt allerdings fast vollständig aus herstellerfinanzierten Studien.</w:t>
      </w:r>
    </w:p>
    <w:bookmarkStart w:id="221" w:name="frühe-studien"/>
    <w:p>
      <w:pPr>
        <w:pStyle w:val="Heading4"/>
      </w:pPr>
      <w:r>
        <w:t xml:space="preserve">Frühe Studien</w:t>
      </w:r>
    </w:p>
    <w:p>
      <w:pPr>
        <w:pStyle w:val="FirstParagraph"/>
      </w:pPr>
      <w:r>
        <w:t xml:space="preserve">Nach einer Einzeldosisstudie an Gesunden, in der das Körpergewicht nach einer einzigen Spritze bis zu 43 Tage lang reduziert blieb (Coskun 2022, PMID 35985340), folgte eine zwölfwöchige Phase-1b-Studie mit 72 Menschen mit Typ-2-Diabetes. Die Halbwertszeit betrug etwa sechs Tage, was die wöchentliche Gabe erlaubt. In der höchsten Dosisgruppe lag die Gewichtsabnahme gegenüber Placebo bei bis zu knapp 9 kg (Urva 2022, PMID 36354040).</w:t>
      </w:r>
    </w:p>
    <w:bookmarkEnd w:id="221"/>
    <w:bookmarkStart w:id="222" w:name="phase-2-adipositas-und-typ-2-diabetes"/>
    <w:p>
      <w:pPr>
        <w:pStyle w:val="Heading4"/>
      </w:pPr>
      <w:r>
        <w:t xml:space="preserve">Phase 2: Adipositas und Typ-2-Diabetes</w:t>
      </w:r>
    </w:p>
    <w:p>
      <w:pPr>
        <w:pStyle w:val="FirstParagraph"/>
      </w:pPr>
      <w:r>
        <w:t xml:space="preserve">Die Phase-2-Studie bei Adipositas sorgte 2023 für Schlagzeilen (Jastreboff 2023, PMID 37366315). 338 Erwachsene erhielten 48 Wochen lang verschiedene Dosen oder Placebo. In der höchsten Dosisgruppe verringerte sich das Körpergewicht um durchschnittlich 24,2 % (Placebo: −2,1 %); 83 % dieser Gruppe verloren mindestens 15 %. Das waren die bis dahin höchsten Werte, die in einer Medikamentenstudie zur Adipositas gemessen worden waren. Die Magen-Darm-Nebenwirkungen nahmen mit der Dosis zu und fielen bei langsamerer Aufdosierung geringer aus. Die Herzfrequenz stieg dosisabhängig an, erreichte nach 24 Wochen ihren Höchstwert und ging danach zurück.</w:t>
      </w:r>
    </w:p>
    <w:p>
      <w:pPr>
        <w:pStyle w:val="BodyText"/>
      </w:pPr>
      <w:r>
        <w:t xml:space="preserve">Die parallele Phase-2-Studie bei 281 Menschen mit Typ-2-Diabetes zeigte nach 24 Wochen HbA1c-Senkungen von bis zu 2,02 Prozentpunkten (Dulaglutid: −1,41) und nach 36 Wochen einen Gewichtsverlust von bis zu 16,94 % (Rosenstock 2023, PMID 37385280). In einer Unterstudie mit Körperzusammensetzungsmessung (DXA) sank die Fettmasse unter den höheren Dosen um 23–26 % (Coskun 2025, PMID 40609566).</w:t>
      </w:r>
    </w:p>
    <w:p>
      <w:pPr>
        <w:pStyle w:val="BodyText"/>
      </w:pPr>
      <w:r>
        <w:t xml:space="preserve">Eine Unterstudie bei 98 Teilnehmenden mit Fettleber (mindestens 10 % Leberfett) fand nach 24 Wochen eine relative Abnahme des Leberfetts um bis zu 82,4 %; in der höchsten Dosis hatten 86 % danach normale Leberfettwerte, unter Placebo niemand (Sanyal 2024, PMID 38858523). Der Leberfettgehalt ist ein Surrogatparameter – ob sich dadurch Leberentzündung, Fibrose und Zirrhose verringern, ist noch nicht gezeigt.</w:t>
      </w:r>
    </w:p>
    <w:p>
      <w:pPr>
        <w:pStyle w:val="BodyText"/>
      </w:pPr>
      <w:r>
        <w:t xml:space="preserve">Nachauswertungen der Phase-2-Studien zeigten Verbesserungen bei Blutfetten und Entzündungsmarkern, etwa ein um bis zu 26,9 % niedrigeres Non-HDL-Cholesterin und einen um 54,8 % niedrigeren CRP-Wert in der Adipositasstudie (Ruotolo 2026, PMID 42608321). Auch das sind Laborwerte, keine harten Endpunkte.</w:t>
      </w:r>
    </w:p>
    <w:bookmarkEnd w:id="222"/>
    <w:bookmarkStart w:id="223" w:name="X664bece749c69b01cfbf036de223c5fe92044b6"/>
    <w:p>
      <w:pPr>
        <w:pStyle w:val="Heading4"/>
      </w:pPr>
      <w:r>
        <w:t xml:space="preserve">Phase 3: das TRIUMPH- und TRANSCEND-Programm</w:t>
      </w:r>
    </w:p>
    <w:p>
      <w:pPr>
        <w:pStyle w:val="FirstParagraph"/>
      </w:pPr>
      <w:r>
        <w:t xml:space="preserve">Das Zulassungsprogramm für Adipositas, TRIUMPH, umfasst vier Studien mit zusammen über 5.800 Teilnehmenden. Eine Besonderheit ist das „Basket“-Design: Innerhalb der großen Gewichtsstudien wurden Untergruppen mit Kniearthrose oder Schlafapnoe mit eigenen Hauptendpunkten ausgewertet (Giblin 2026, PMID 41090431).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2 Adipositas (Jastreboff 2023), PMID 37366315</w:t>
            </w:r>
          </w:p>
        </w:tc>
        <w:tc>
          <w:tcPr/>
          <w:p>
            <w:pPr>
              <w:pStyle w:val="Compact"/>
              <w:jc w:val="left"/>
            </w:pPr>
            <w:r>
              <w:t xml:space="preserve">338 Erwachsene ohne Diabetes, gegen Placebo</w:t>
            </w:r>
          </w:p>
        </w:tc>
        <w:tc>
          <w:tcPr/>
          <w:p>
            <w:pPr>
              <w:pStyle w:val="Compact"/>
              <w:jc w:val="left"/>
            </w:pPr>
            <w:r>
              <w:t xml:space="preserve">48 Wochen</w:t>
            </w:r>
          </w:p>
        </w:tc>
        <w:tc>
          <w:tcPr/>
          <w:p>
            <w:pPr>
              <w:pStyle w:val="Compact"/>
              <w:jc w:val="left"/>
            </w:pPr>
            <w:r>
              <w:t xml:space="preserve">bis −24,2 % Gewicht vs. −2,1 %</w:t>
            </w:r>
          </w:p>
        </w:tc>
      </w:tr>
      <w:tr>
        <w:tc>
          <w:tcPr/>
          <w:p>
            <w:pPr>
              <w:pStyle w:val="Compact"/>
              <w:jc w:val="left"/>
            </w:pPr>
            <w:r>
              <w:t xml:space="preserve">Phase 2 Typ-2-Diabetes (Rosenstock 2023), PMID 37385280</w:t>
            </w:r>
          </w:p>
        </w:tc>
        <w:tc>
          <w:tcPr/>
          <w:p>
            <w:pPr>
              <w:pStyle w:val="Compact"/>
              <w:jc w:val="left"/>
            </w:pPr>
            <w:r>
              <w:t xml:space="preserve">281 Erwachsene, gegen Placebo und Dulaglutid</w:t>
            </w:r>
          </w:p>
        </w:tc>
        <w:tc>
          <w:tcPr/>
          <w:p>
            <w:pPr>
              <w:pStyle w:val="Compact"/>
              <w:jc w:val="left"/>
            </w:pPr>
            <w:r>
              <w:t xml:space="preserve">36 Wochen</w:t>
            </w:r>
          </w:p>
        </w:tc>
        <w:tc>
          <w:tcPr/>
          <w:p>
            <w:pPr>
              <w:pStyle w:val="Compact"/>
              <w:jc w:val="left"/>
            </w:pPr>
            <w:r>
              <w:t xml:space="preserve">HbA1c bis −2,02 Punkte; Gewicht bis −16,94 %</w:t>
            </w:r>
          </w:p>
        </w:tc>
      </w:tr>
      <w:tr>
        <w:tc>
          <w:tcPr/>
          <w:p>
            <w:pPr>
              <w:pStyle w:val="Compact"/>
              <w:jc w:val="left"/>
            </w:pPr>
            <w:r>
              <w:t xml:space="preserve">TRIUMPH-1 (Jastreboff 2026), PMID 42814954</w:t>
            </w:r>
          </w:p>
        </w:tc>
        <w:tc>
          <w:tcPr/>
          <w:p>
            <w:pPr>
              <w:pStyle w:val="Compact"/>
              <w:jc w:val="left"/>
            </w:pPr>
            <w:r>
              <w:t xml:space="preserve">2.339 Erwachsene mit Adipositas ohne Diabetes, gegen Placebo</w:t>
            </w:r>
          </w:p>
        </w:tc>
        <w:tc>
          <w:tcPr/>
          <w:p>
            <w:pPr>
              <w:pStyle w:val="Compact"/>
              <w:jc w:val="left"/>
            </w:pPr>
            <w:r>
              <w:t xml:space="preserve">80 Wochen</w:t>
            </w:r>
          </w:p>
        </w:tc>
        <w:tc>
          <w:tcPr/>
          <w:p>
            <w:pPr>
              <w:pStyle w:val="Compact"/>
              <w:jc w:val="left"/>
            </w:pPr>
            <w:r>
              <w:t xml:space="preserve">−17,6 / −23,7 / −25,0 % (4/9/12 mg) vs. −3,9 %</w:t>
            </w:r>
          </w:p>
        </w:tc>
      </w:tr>
      <w:tr>
        <w:tc>
          <w:tcPr/>
          <w:p>
            <w:pPr>
              <w:pStyle w:val="Compact"/>
              <w:jc w:val="left"/>
            </w:pPr>
            <w:r>
              <w:t xml:space="preserve">TRIUMPH-2 (Bellido 2026), PMID 42810372</w:t>
            </w:r>
          </w:p>
        </w:tc>
        <w:tc>
          <w:tcPr/>
          <w:p>
            <w:pPr>
              <w:pStyle w:val="Compact"/>
              <w:jc w:val="left"/>
            </w:pPr>
            <w:r>
              <w:t xml:space="preserve">1.152 Erwachsene mit Adipositas und Typ-2-Diabetes, gegen Placebo</w:t>
            </w:r>
          </w:p>
        </w:tc>
        <w:tc>
          <w:tcPr/>
          <w:p>
            <w:pPr>
              <w:pStyle w:val="Compact"/>
              <w:jc w:val="left"/>
            </w:pPr>
            <w:r>
              <w:t xml:space="preserve">80 Wochen</w:t>
            </w:r>
          </w:p>
        </w:tc>
        <w:tc>
          <w:tcPr/>
          <w:p>
            <w:pPr>
              <w:pStyle w:val="Compact"/>
              <w:jc w:val="left"/>
            </w:pPr>
            <w:r>
              <w:t xml:space="preserve">−11,9 / −16,8 / −18,8 % vs. −5,1 %</w:t>
            </w:r>
          </w:p>
        </w:tc>
      </w:tr>
      <w:tr>
        <w:tc>
          <w:tcPr/>
          <w:p>
            <w:pPr>
              <w:pStyle w:val="Compact"/>
              <w:jc w:val="left"/>
            </w:pPr>
            <w:r>
              <w:t xml:space="preserve">TRANSCEND-T2D-1 (Bajaj 2026), PMID 42250575</w:t>
            </w:r>
          </w:p>
        </w:tc>
        <w:tc>
          <w:tcPr/>
          <w:p>
            <w:pPr>
              <w:pStyle w:val="Compact"/>
              <w:jc w:val="left"/>
            </w:pPr>
            <w:r>
              <w:t xml:space="preserve">537 Erwachsene mit Typ-2-Diabetes ohne Medikamente, gegen Placebo</w:t>
            </w:r>
          </w:p>
        </w:tc>
        <w:tc>
          <w:tcPr/>
          <w:p>
            <w:pPr>
              <w:pStyle w:val="Compact"/>
              <w:jc w:val="left"/>
            </w:pPr>
            <w:r>
              <w:t xml:space="preserve">40 Wochen</w:t>
            </w:r>
          </w:p>
        </w:tc>
        <w:tc>
          <w:tcPr/>
          <w:p>
            <w:pPr>
              <w:pStyle w:val="Compact"/>
              <w:jc w:val="left"/>
            </w:pPr>
            <w:r>
              <w:t xml:space="preserve">HbA1c −1,69 bis −1,94 vs. −0,81; Gewicht bis −15,3 %</w:t>
            </w:r>
          </w:p>
        </w:tc>
      </w:tr>
    </w:tbl>
    <w:p>
      <w:pPr>
        <w:pStyle w:val="BodyText"/>
      </w:pPr>
      <w:r>
        <w:rPr>
          <w:bCs/>
          <w:b/>
        </w:rPr>
        <w:t xml:space="preserve">TRIUMPH-1</w:t>
      </w:r>
      <w:r>
        <w:t xml:space="preserve"> </w:t>
      </w:r>
      <w:r>
        <w:t xml:space="preserve">(Jastreboff 2026, PMID 42814954) ist die Hauptstudie. Bei 2.339 Erwachsenen mit Adipositas ohne Diabetes verringerte sich das Körpergewicht nach 80 Wochen in der höchsten Dosis um durchschnittlich 25,0 %. Zum Vergleich: In SURMOUNT-1 erreichte Tirzepatid in der höchsten Dosis nach 72 Wochen 20,9 %. Ein solcher Quervergleich zwischen Studien mit unterschiedlicher Dauer und Population ist allerdings nur eine grobe Orientierung; den direkten Vergleich soll eine laufende Studie liefern (siehe Ausblick).</w:t>
      </w:r>
    </w:p>
    <w:p>
      <w:pPr>
        <w:pStyle w:val="BodyText"/>
      </w:pPr>
      <w:r>
        <w:t xml:space="preserve">In den eingebetteten Teilstudien:</w:t>
      </w:r>
    </w:p>
    <w:p>
      <w:pPr>
        <w:numPr>
          <w:ilvl w:val="0"/>
          <w:numId w:val="1069"/>
        </w:numPr>
        <w:pStyle w:val="Compact"/>
      </w:pPr>
      <w:r>
        <w:rPr>
          <w:bCs/>
          <w:b/>
        </w:rPr>
        <w:t xml:space="preserve">Kniearthrose</w:t>
      </w:r>
      <w:r>
        <w:t xml:space="preserve"> </w:t>
      </w:r>
      <w:r>
        <w:t xml:space="preserve">(574 Teilnehmende): Der Schmerzwert (WOMAC, Skala 1 bis 10) sank um 3,5 bzw. 3,6 Punkte unter 9 bzw. 12 mg gegenüber 1,9 Punkten unter Placebo.</w:t>
      </w:r>
    </w:p>
    <w:p>
      <w:pPr>
        <w:numPr>
          <w:ilvl w:val="0"/>
          <w:numId w:val="1069"/>
        </w:numPr>
        <w:pStyle w:val="Compact"/>
      </w:pPr>
      <w:r>
        <w:rPr>
          <w:bCs/>
          <w:b/>
        </w:rPr>
        <w:t xml:space="preserve">Schlafapnoe</w:t>
      </w:r>
      <w:r>
        <w:t xml:space="preserve"> </w:t>
      </w:r>
      <w:r>
        <w:t xml:space="preserve">(243 Teilnehmende): Der Apnoe-Hypopnoe-Index ging um rund 32 bis 34 Ereignisse pro Stunde zurück, unter Placebo um knapp 10.</w:t>
      </w:r>
    </w:p>
    <w:p>
      <w:pPr>
        <w:pStyle w:val="FirstParagraph"/>
      </w:pPr>
      <w:r>
        <w:rPr>
          <w:bCs/>
          <w:b/>
        </w:rPr>
        <w:t xml:space="preserve">TRIUMPH-2</w:t>
      </w:r>
      <w:r>
        <w:t xml:space="preserve"> </w:t>
      </w:r>
      <w:r>
        <w:t xml:space="preserve">(Bellido 2026, PMID 42810372) bestätigte das bekannte Muster, dass Menschen mit Typ-2-Diabetes weniger abnehmen: −18,8 % in der höchsten Dosis gegenüber −5,1 % unter Placebo. Diese Studie lieferte auch die bisher genauesten Sicherheitsdaten (siehe unten).</w:t>
      </w:r>
    </w:p>
    <w:p>
      <w:pPr>
        <w:pStyle w:val="BodyText"/>
      </w:pPr>
      <w:r>
        <w:rPr>
          <w:bCs/>
          <w:b/>
        </w:rPr>
        <w:t xml:space="preserve">TRANSCEND-T2D-1</w:t>
      </w:r>
      <w:r>
        <w:t xml:space="preserve"> </w:t>
      </w:r>
      <w:r>
        <w:t xml:space="preserve">(Bajaj 2026, PMID 42250575) prüfte Retatrutid als alleinige Diabetesbehandlung bei Menschen mit kurzer Diabetesdauer. Der HbA1c-Wert sank um bis zu 1,94 Prozentpunkte, das Gewicht um bis zu 15,3 %; schwere Unterzuckerungen traten nicht auf.</w:t>
      </w:r>
    </w:p>
    <w:p>
      <w:pPr>
        <w:pStyle w:val="BodyText"/>
      </w:pPr>
      <w:r>
        <w:t xml:space="preserve">Die Ergebnisse von TRIUMPH-3 (Adipositas mit Herz-Kreislauf-Erkrankung, NCT05882045) und TRIUMPH-4 (Kniearthrose, NCT05931367) sind laut Register abgeschlossen; eine begutachtete Veröffentlichung lag bei Redaktionsschluss für diese Kapitel noch nicht vor.</w:t>
      </w:r>
    </w:p>
    <w:bookmarkEnd w:id="223"/>
    <w:bookmarkEnd w:id="224"/>
    <w:bookmarkStart w:id="225" w:name="tier--und-laborstudien-5"/>
    <w:p>
      <w:pPr>
        <w:pStyle w:val="Heading3"/>
      </w:pPr>
      <w:r>
        <w:t xml:space="preserve">Tier- und Laborstudien</w:t>
      </w:r>
    </w:p>
    <w:p>
      <w:pPr>
        <w:pStyle w:val="FirstParagraph"/>
      </w:pPr>
      <w:r>
        <w:t xml:space="preserve">Die präklinischen Grundlagen stammen überwiegend vom Hersteller. In Zellkulturen aktiviert Retatrutid alle drei Rezeptoren; bei übergewichtigen Mäusen senkte es Gewicht und Blutzucker, wobei der Glukagon-Anteil den Energieverbrauch erhöhte (Coskun 2022, PMID 35985340). Eine Arbeit an übergewichtigen Mäusen beschreibt, dass transplantierte Bauchspeicheldrüsen- und Lungentumoren unter Retatrutid seltener anwuchsen und langsamer wuchsen (Marathe 2025, PMID 40094000) – ein Tierbefund, aus dem sich für Menschen nichts ableiten lässt.</w:t>
      </w:r>
    </w:p>
    <w:p>
      <w:pPr>
        <w:pStyle w:val="BodyText"/>
      </w:pPr>
      <w:r>
        <w:t xml:space="preserve">Für die Doping-Analytik wurde 2026 ein Nachweisverfahren entwickelt. Dafür wurden Blut- und Urinproben von vier Personen untersucht, die Retatrutid außerhalb von Studien selbst gespritzt hatten. Im Urin fand sich kein intaktes Retatrutid; im Blut war es bis etwa 56 Tage nach der ersten Spritze nachweisbar (Carneiro 2026, PMID 42745421). Die Autorinnen und Autoren verweisen auf Berichte über den Gebrauch unter Freizeitsportlern.</w:t>
      </w:r>
    </w:p>
    <w:bookmarkEnd w:id="225"/>
    <w:bookmarkStart w:id="226" w:name="risiken-und-nebenwirkungen-5"/>
    <w:p>
      <w:pPr>
        <w:pStyle w:val="Heading3"/>
      </w:pPr>
      <w:r>
        <w:t xml:space="preserve">Risiken und Nebenwirkungen</w:t>
      </w:r>
    </w:p>
    <w:p>
      <w:pPr>
        <w:pStyle w:val="FirstParagraph"/>
      </w:pPr>
      <w:r>
        <w:rPr>
          <w:bCs/>
          <w:b/>
        </w:rPr>
        <w:t xml:space="preserve">Belegt aus Studien:</w:t>
      </w:r>
    </w:p>
    <w:p>
      <w:pPr>
        <w:numPr>
          <w:ilvl w:val="0"/>
          <w:numId w:val="1070"/>
        </w:numPr>
        <w:pStyle w:val="Compact"/>
      </w:pPr>
      <w:r>
        <w:rPr>
          <w:bCs/>
          <w:b/>
        </w:rPr>
        <w:t xml:space="preserve">Magen-Darm-Beschwerden</w:t>
      </w:r>
      <w:r>
        <w:t xml:space="preserve"> </w:t>
      </w:r>
      <w:r>
        <w:t xml:space="preserve">sind die häufigsten Nebenwirkungen und deutlich dosisabhängig. In TRIUMPH-2 trat Durchfall bei 27–34 % (Placebo 13 %) und Übelkeit bei 14–28 % (Placebo 8 %) auf (Bellido 2026, PMID 42810372).</w:t>
      </w:r>
    </w:p>
    <w:p>
      <w:pPr>
        <w:numPr>
          <w:ilvl w:val="0"/>
          <w:numId w:val="1070"/>
        </w:numPr>
        <w:pStyle w:val="Compact"/>
      </w:pPr>
      <w:r>
        <w:rPr>
          <w:bCs/>
          <w:b/>
        </w:rPr>
        <w:t xml:space="preserve">Therapieabbrüche:</w:t>
      </w:r>
      <w:r>
        <w:t xml:space="preserve"> </w:t>
      </w:r>
      <w:r>
        <w:t xml:space="preserve">In TRIUMPH-2 brachen 12 % (9 mg) bzw. 8 % (12 mg) die Behandlung wegen Nebenwirkungen oder Tod ab, unter 4 mg 4 % und unter Placebo 5 %.</w:t>
      </w:r>
    </w:p>
    <w:p>
      <w:pPr>
        <w:numPr>
          <w:ilvl w:val="0"/>
          <w:numId w:val="1070"/>
        </w:numPr>
        <w:pStyle w:val="Compact"/>
      </w:pPr>
      <w:r>
        <w:rPr>
          <w:bCs/>
          <w:b/>
        </w:rPr>
        <w:t xml:space="preserve">Dysästhesie</w:t>
      </w:r>
      <w:r>
        <w:t xml:space="preserve"> </w:t>
      </w:r>
      <w:r>
        <w:t xml:space="preserve">– unangenehme Missempfindungen der Haut wie Kribbeln, Brennen oder Berührungsempfindlichkeit – trat in TRIUMPH-2 dosisabhängig bei 4–7 % gegenüber 1 % unter Placebo auf. Dieses Signal ist für Retatrutid vergleichsweise neu; seine Ursache ist ungeklärt.</w:t>
      </w:r>
    </w:p>
    <w:p>
      <w:pPr>
        <w:numPr>
          <w:ilvl w:val="0"/>
          <w:numId w:val="1070"/>
        </w:numPr>
        <w:pStyle w:val="Compact"/>
      </w:pPr>
      <w:r>
        <w:rPr>
          <w:bCs/>
          <w:b/>
        </w:rPr>
        <w:t xml:space="preserve">Niedriger Blutdruck</w:t>
      </w:r>
      <w:r>
        <w:t xml:space="preserve"> </w:t>
      </w:r>
      <w:r>
        <w:t xml:space="preserve">(Hypotonie): 1–6 % gegenüber unter 1 % unter Placebo (TRIUMPH-2).</w:t>
      </w:r>
    </w:p>
    <w:p>
      <w:pPr>
        <w:numPr>
          <w:ilvl w:val="0"/>
          <w:numId w:val="1070"/>
        </w:numPr>
        <w:pStyle w:val="Compact"/>
      </w:pPr>
      <w:r>
        <w:rPr>
          <w:bCs/>
          <w:b/>
        </w:rPr>
        <w:t xml:space="preserve">Herzfrequenz:</w:t>
      </w:r>
      <w:r>
        <w:t xml:space="preserve"> </w:t>
      </w:r>
      <w:r>
        <w:t xml:space="preserve">In der Phase-2-Studie stieg der Puls dosisabhängig an und ging nach 24 Wochen wieder zurück (Jastreboff 2023, PMID 37366315). Ein höherer Ruhepuls ist bei allen GLP-1-Medikamenten bekannt; ob er beim Dreifach-Agonisten klinisch bedeutsam ist, sollen die Endpunktstudien klären.</w:t>
      </w:r>
    </w:p>
    <w:p>
      <w:pPr>
        <w:numPr>
          <w:ilvl w:val="0"/>
          <w:numId w:val="1070"/>
        </w:numPr>
        <w:pStyle w:val="Compact"/>
      </w:pPr>
      <w:r>
        <w:rPr>
          <w:bCs/>
          <w:b/>
        </w:rPr>
        <w:t xml:space="preserve">Verlust fettfreier Masse:</w:t>
      </w:r>
      <w:r>
        <w:t xml:space="preserve"> </w:t>
      </w:r>
      <w:r>
        <w:t xml:space="preserve">wie bei jeder starken Gewichtsabnahme (siehe Tirzepatid).</w:t>
      </w:r>
    </w:p>
    <w:p>
      <w:pPr>
        <w:pStyle w:val="FirstParagraph"/>
      </w:pPr>
      <w:r>
        <w:rPr>
          <w:bCs/>
          <w:b/>
        </w:rPr>
        <w:t xml:space="preserve">Theoretisch oder noch unzureichend untersucht:</w:t>
      </w:r>
      <w:r>
        <w:t xml:space="preserve"> </w:t>
      </w:r>
      <w:r>
        <w:t xml:space="preserve">Der Glukagon-Anteil könnte langfristig Auswirkungen auf Aminosäurestoffwechsel, Herzrhythmus und Knochen haben; belastbare Langzeitdaten gibt es dazu nicht. Für die Klassenrisiken der GLP-1-Medikamente (Gallenblase, Bauchspeicheldrüse, Schilddrüsen-C-Zellen im Tierversuch) liegen für Retatrutid noch zu wenige Patientenjahre vor, um eigene Aussagen zu treffen.</w:t>
      </w:r>
    </w:p>
    <w:p>
      <w:pPr>
        <w:pStyle w:val="BodyText"/>
      </w:pPr>
      <w:r>
        <w:rPr>
          <w:bCs/>
          <w:b/>
        </w:rPr>
        <w:t xml:space="preserve">Graumarkt:</w:t>
      </w:r>
      <w:r>
        <w:t xml:space="preserve"> </w:t>
      </w:r>
      <w:r>
        <w:t xml:space="preserve">Retatrutid wird seit der Phase-2-Veröffentlichung im Internet als „Research Peptide“ angeboten; die Fachzeitschrift JAMA berichtete 2026 über einen wachsenden Schwarzmarkt für Retatrutid und Zenagamtid (Rubin 2026, PMID 42853576). Diese Produkte sind keine Arzneimittel, ihr Inhalt ist nicht geprüft, und die in Studien verwendeten Aufdosierungsschemata lassen sich mit ihnen nicht verlässlich nachbilden. Die Häufung von Nebenwirkungen bei schneller Dosissteigerung in den Studien zeigt, dass gerade dieser Punkt für die Verträglichkeit entscheidend ist. Siehe dazu Teil I und Teil IV.</w:t>
      </w:r>
    </w:p>
    <w:bookmarkEnd w:id="226"/>
    <w:bookmarkStart w:id="227" w:name="rechtslage-5"/>
    <w:p>
      <w:pPr>
        <w:pStyle w:val="Heading3"/>
      </w:pPr>
      <w:r>
        <w:t xml:space="preserve">Rechtslage</w:t>
      </w:r>
    </w:p>
    <w:p>
      <w:pPr>
        <w:numPr>
          <w:ilvl w:val="0"/>
          <w:numId w:val="1071"/>
        </w:numPr>
        <w:pStyle w:val="Compact"/>
      </w:pPr>
      <w:r>
        <w:rPr>
          <w:bCs/>
          <w:b/>
        </w:rPr>
        <w:t xml:space="preserve">EU / Österreich / Deutschland:</w:t>
      </w:r>
      <w:r>
        <w:t xml:space="preserve"> </w:t>
      </w:r>
      <w:r>
        <w:t xml:space="preserve">nicht zugelassen. Retatrutid darf nur im Rahmen klinischer Studien angewendet werden. Der Verkauf als „Forschungschemikalie“ zur Anwendung am Menschen ist arzneimittelrechtlich unzulässig.</w:t>
      </w:r>
    </w:p>
    <w:p>
      <w:pPr>
        <w:numPr>
          <w:ilvl w:val="0"/>
          <w:numId w:val="1071"/>
        </w:numPr>
        <w:pStyle w:val="Compact"/>
      </w:pPr>
      <w:r>
        <w:rPr>
          <w:bCs/>
          <w:b/>
        </w:rPr>
        <w:t xml:space="preserve">USA:</w:t>
      </w:r>
      <w:r>
        <w:t xml:space="preserve"> </w:t>
      </w:r>
      <w:r>
        <w:t xml:space="preserve">nicht zugelassen (Stand Oktober 2026). Im Register ist ein Programm für den erweiterten Zugang vor der Zulassung („Expanded Access“) eingetragen (NCT07629401). Ob und wann ein Zulassungsantrag gestellt wird oder wurde, bitte aktuell prüfen.</w:t>
      </w:r>
    </w:p>
    <w:p>
      <w:pPr>
        <w:numPr>
          <w:ilvl w:val="0"/>
          <w:numId w:val="1071"/>
        </w:numPr>
        <w:pStyle w:val="Compact"/>
      </w:pPr>
      <w:r>
        <w:rPr>
          <w:bCs/>
          <w:b/>
        </w:rPr>
        <w:t xml:space="preserve">Sport:</w:t>
      </w:r>
      <w:r>
        <w:t xml:space="preserve"> </w:t>
      </w:r>
      <w:r>
        <w:t xml:space="preserve">Als nicht zugelassener Wirkstoff fällt Retatrutid unter die WADA-Klasse S0 (Stand 2026, bitte aktuell prüfen). Ein spezifisches Nachweisverfahren im Blut ist beschrieben.</w:t>
      </w:r>
    </w:p>
    <w:bookmarkEnd w:id="227"/>
    <w:bookmarkStart w:id="228" w:name="laufende-studien-und-ausblick-5"/>
    <w:p>
      <w:pPr>
        <w:pStyle w:val="Heading3"/>
      </w:pPr>
      <w:r>
        <w:t xml:space="preserve">Laufende Studien und Ausblick</w:t>
      </w:r>
    </w:p>
    <w:p>
      <w:pPr>
        <w:pStyle w:val="FirstParagraph"/>
      </w:pPr>
      <w:r>
        <w:rPr>
          <w:bCs/>
          <w:b/>
        </w:rPr>
        <w:t xml:space="preserve">Gesichert (registrierte Studien, Stand Oktober 2026):</w:t>
      </w:r>
    </w:p>
    <w:p>
      <w:pPr>
        <w:numPr>
          <w:ilvl w:val="0"/>
          <w:numId w:val="1072"/>
        </w:numPr>
        <w:pStyle w:val="Compact"/>
      </w:pPr>
      <w:r>
        <w:rPr>
          <w:bCs/>
          <w:b/>
        </w:rPr>
        <w:t xml:space="preserve">TRIUMPH-Outcomes</w:t>
      </w:r>
      <w:r>
        <w:t xml:space="preserve"> </w:t>
      </w:r>
      <w:r>
        <w:t xml:space="preserve">(NCT06383390): Endpunktstudie zu Herz-Kreislauf- und Nierenereignissen mit rund 10.000 Teilnehmenden mit Adipositas, geplantes Ende 2029.</w:t>
      </w:r>
    </w:p>
    <w:p>
      <w:pPr>
        <w:numPr>
          <w:ilvl w:val="0"/>
          <w:numId w:val="1072"/>
        </w:numPr>
        <w:pStyle w:val="Compact"/>
      </w:pPr>
      <w:r>
        <w:rPr>
          <w:bCs/>
          <w:b/>
        </w:rPr>
        <w:t xml:space="preserve">Retatrutid gegen Tirzepatid</w:t>
      </w:r>
      <w:r>
        <w:t xml:space="preserve"> </w:t>
      </w:r>
      <w:r>
        <w:t xml:space="preserve">(NCT06662383): direkter Vergleich bei 800 Erwachsenen mit Adipositas, geplantes Studienende Dezember 2026.</w:t>
      </w:r>
    </w:p>
    <w:p>
      <w:pPr>
        <w:numPr>
          <w:ilvl w:val="0"/>
          <w:numId w:val="1072"/>
        </w:numPr>
        <w:pStyle w:val="Compact"/>
      </w:pPr>
      <w:r>
        <w:rPr>
          <w:bCs/>
          <w:b/>
        </w:rPr>
        <w:t xml:space="preserve">Retatrutid gegen Semaglutid</w:t>
      </w:r>
      <w:r>
        <w:t xml:space="preserve"> </w:t>
      </w:r>
      <w:r>
        <w:t xml:space="preserve">bei Typ-2-Diabetes (NCT06260722).</w:t>
      </w:r>
    </w:p>
    <w:p>
      <w:pPr>
        <w:numPr>
          <w:ilvl w:val="0"/>
          <w:numId w:val="1072"/>
        </w:numPr>
        <w:pStyle w:val="Compact"/>
      </w:pPr>
      <w:r>
        <w:rPr>
          <w:bCs/>
          <w:b/>
        </w:rPr>
        <w:t xml:space="preserve">Gewichtserhalt</w:t>
      </w:r>
      <w:r>
        <w:t xml:space="preserve"> </w:t>
      </w:r>
      <w:r>
        <w:t xml:space="preserve">nach Abnahme (NCT06859268),</w:t>
      </w:r>
      <w:r>
        <w:t xml:space="preserve"> </w:t>
      </w:r>
      <w:r>
        <w:rPr>
          <w:bCs/>
          <w:b/>
        </w:rPr>
        <w:t xml:space="preserve">Nierenfunktion</w:t>
      </w:r>
      <w:r>
        <w:t xml:space="preserve"> </w:t>
      </w:r>
      <w:r>
        <w:t xml:space="preserve">bei Typ-2-Diabetes mit Niereninsuffizienz (NCT06297603),</w:t>
      </w:r>
      <w:r>
        <w:t xml:space="preserve"> </w:t>
      </w:r>
      <w:r>
        <w:rPr>
          <w:bCs/>
          <w:b/>
        </w:rPr>
        <w:t xml:space="preserve">chronische Rückenschmerzen</w:t>
      </w:r>
      <w:r>
        <w:t xml:space="preserve"> </w:t>
      </w:r>
      <w:r>
        <w:t xml:space="preserve">bei Adipositas (NCT07035093).</w:t>
      </w:r>
    </w:p>
    <w:p>
      <w:pPr>
        <w:numPr>
          <w:ilvl w:val="0"/>
          <w:numId w:val="1072"/>
        </w:numPr>
        <w:pStyle w:val="Compact"/>
      </w:pPr>
      <w:r>
        <w:t xml:space="preserve">Retatrutid ist außerdem Teil eines Phase-3-Masterprotokolls zur Fettlebererkrankung (NCT07165028).</w:t>
      </w:r>
    </w:p>
    <w:p>
      <w:pPr>
        <w:pStyle w:val="FirstParagraph"/>
      </w:pPr>
      <w:r>
        <w:rPr>
          <w:bCs/>
          <w:b/>
        </w:rPr>
        <w:t xml:space="preserve">Einschätzung:</w:t>
      </w:r>
      <w:r>
        <w:t xml:space="preserve"> </w:t>
      </w:r>
      <w:r>
        <w:t xml:space="preserve">Nach den TRIUMPH-1- und TRIUMPH-2-Daten ist mit Zulassungsanträgen in den USA und der EU zu rechnen; eine Markteinführung in den Jahren 2027 oder 2028 erscheint plausibel, ist aber nicht gesichert. Ob ein zusätzlicher Gewichtsverlust gegenüber Tirzepatid die etwas höheren Abbruchraten und das neue Signal der Dysästhesie aufwiegt, wird der direkte Vergleich zeigen. Für viele Menschen ist ein mittlerer, gut verträglicher Gewichtsverlust wichtiger als ein Rekordwert.</w:t>
      </w:r>
    </w:p>
    <w:bookmarkEnd w:id="228"/>
    <w:bookmarkStart w:id="229" w:name="fazit-5"/>
    <w:p>
      <w:pPr>
        <w:pStyle w:val="Heading3"/>
      </w:pPr>
      <w:r>
        <w:t xml:space="preserve">Fazit</w:t>
      </w:r>
    </w:p>
    <w:p>
      <w:pPr>
        <w:pStyle w:val="FirstParagraph"/>
      </w:pPr>
      <w:r>
        <w:t xml:space="preserve">Retatrutid ist ein Dreifach-Agonist an GIP-, GLP-1- und Glukagon-Rezeptor und hat in der Phase-3-Studie TRIUMPH-1 eine durchschnittliche Gewichtsabnahme von 25,0 % nach 80 Wochen erreicht – der höchste bisher in einer großen Medikamentenstudie gemessene Wert. Auch bei Typ-2-Diabetes, Kniearthrose und Schlafapnoe zeigten sich deutliche Effekte. Die Nebenwirkungen betreffen vor allem den Magen-Darm-Trakt; neu sind Missempfindungen der Haut, und die Abbruchraten steigen in hohen Dosen. Daten zu Herz-Kreislauf-Ereignissen und eine Zulassung stehen noch aus. Graumarktprodukte mit der Aufschrift „Retatrutide“ sind keine sichere Abkürzung zu diesem Medikament.</w:t>
      </w:r>
    </w:p>
    <w:bookmarkEnd w:id="229"/>
    <w:bookmarkEnd w:id="230"/>
    <w:bookmarkStart w:id="241" w:name="survodutid"/>
    <w:p>
      <w:pPr>
        <w:pStyle w:val="Heading2"/>
      </w:pPr>
      <w:r>
        <w:t xml:space="preserve">Survodutid</w:t>
      </w:r>
    </w:p>
    <w:bookmarkStart w:id="231" w:name="steckbrief-6"/>
    <w:p>
      <w:pPr>
        <w:pStyle w:val="Heading3"/>
      </w:pPr>
      <w:r>
        <w:t xml:space="preserve">Steckbrief</w:t>
      </w:r>
    </w:p>
    <w:p>
      <w:pPr>
        <w:numPr>
          <w:ilvl w:val="0"/>
          <w:numId w:val="1073"/>
        </w:numPr>
        <w:pStyle w:val="Compact"/>
      </w:pPr>
      <w:r>
        <w:rPr>
          <w:bCs/>
          <w:b/>
        </w:rPr>
        <w:t xml:space="preserve">Art/Struktur:</w:t>
      </w:r>
      <w:r>
        <w:t xml:space="preserve"> </w:t>
      </w:r>
      <w:r>
        <w:t xml:space="preserve">synthetisches, fettsäuremodifiziertes Peptid für die einmal wöchentliche Gabe unter die Haut; Entwicklungscode BI 456906.</w:t>
      </w:r>
    </w:p>
    <w:p>
      <w:pPr>
        <w:numPr>
          <w:ilvl w:val="0"/>
          <w:numId w:val="1073"/>
        </w:numPr>
        <w:pStyle w:val="Compact"/>
      </w:pPr>
      <w:r>
        <w:rPr>
          <w:bCs/>
          <w:b/>
        </w:rPr>
        <w:t xml:space="preserve">Herkunft:</w:t>
      </w:r>
      <w:r>
        <w:t xml:space="preserve"> </w:t>
      </w:r>
      <w:r>
        <w:t xml:space="preserve">entwickelt von Boehringer Ingelheim in Zusammenarbeit mit dem dänischen Unternehmen Zealand Pharma.</w:t>
      </w:r>
    </w:p>
    <w:p>
      <w:pPr>
        <w:numPr>
          <w:ilvl w:val="0"/>
          <w:numId w:val="1073"/>
        </w:numPr>
        <w:pStyle w:val="Compact"/>
      </w:pPr>
      <w:r>
        <w:rPr>
          <w:bCs/>
          <w:b/>
        </w:rPr>
        <w:t xml:space="preserve">Wirkprinzip:</w:t>
      </w:r>
      <w:r>
        <w:t xml:space="preserve"> </w:t>
      </w:r>
      <w:r>
        <w:t xml:space="preserve">doppelter Agonist an Glukagon-Rezeptor und GLP-1-Rezeptor (ohne GIP-Anteil).</w:t>
      </w:r>
    </w:p>
    <w:p>
      <w:pPr>
        <w:numPr>
          <w:ilvl w:val="0"/>
          <w:numId w:val="1073"/>
        </w:numPr>
        <w:pStyle w:val="Compact"/>
      </w:pPr>
      <w:r>
        <w:rPr>
          <w:bCs/>
          <w:b/>
        </w:rPr>
        <w:t xml:space="preserve">Zulassung EU:</w:t>
      </w:r>
      <w:r>
        <w:t xml:space="preserve"> </w:t>
      </w:r>
      <w:r>
        <w:t xml:space="preserve">nein (Stand Oktober 2026).</w:t>
      </w:r>
    </w:p>
    <w:p>
      <w:pPr>
        <w:numPr>
          <w:ilvl w:val="0"/>
          <w:numId w:val="1073"/>
        </w:numPr>
        <w:pStyle w:val="Compact"/>
      </w:pPr>
      <w:r>
        <w:rPr>
          <w:bCs/>
          <w:b/>
        </w:rPr>
        <w:t xml:space="preserve">Zulassung USA:</w:t>
      </w:r>
      <w:r>
        <w:t xml:space="preserve"> </w:t>
      </w:r>
      <w:r>
        <w:t xml:space="preserve">nein (Stand Oktober 2026).</w:t>
      </w:r>
    </w:p>
    <w:p>
      <w:pPr>
        <w:numPr>
          <w:ilvl w:val="0"/>
          <w:numId w:val="1073"/>
        </w:numPr>
        <w:pStyle w:val="Compact"/>
      </w:pPr>
      <w:r>
        <w:rPr>
          <w:bCs/>
          <w:b/>
        </w:rPr>
        <w:t xml:space="preserve">WADA:</w:t>
      </w:r>
      <w:r>
        <w:t xml:space="preserve"> </w:t>
      </w:r>
      <w:r>
        <w:t xml:space="preserve">als nirgends zugelassener Wirkstoff unter S0 „Nicht zugelassene Substanzen“ verboten (Stand 2026, bitte aktuell prüfen).</w:t>
      </w:r>
    </w:p>
    <w:p>
      <w:pPr>
        <w:numPr>
          <w:ilvl w:val="0"/>
          <w:numId w:val="1073"/>
        </w:numPr>
        <w:pStyle w:val="Compact"/>
      </w:pPr>
      <w:r>
        <w:rPr>
          <w:bCs/>
          <w:b/>
        </w:rPr>
        <w:t xml:space="preserve">Evidenzstufe:</w:t>
      </w:r>
      <w:r>
        <w:t xml:space="preserve"> </w:t>
      </w:r>
      <w:r>
        <w:rPr>
          <w:bCs/>
          <w:b/>
        </w:rPr>
        <w:t xml:space="preserve">B</w:t>
      </w:r>
      <w:r>
        <w:t xml:space="preserve"> </w:t>
      </w:r>
      <w:r>
        <w:t xml:space="preserve">– randomisierte Phase-2- und erste Phase-3-Studien veröffentlicht, keine Zulassung.</w:t>
      </w:r>
    </w:p>
    <w:bookmarkEnd w:id="231"/>
    <w:bookmarkStart w:id="232" w:name="wie-es-wirken-soll-6"/>
    <w:p>
      <w:pPr>
        <w:pStyle w:val="Heading3"/>
      </w:pPr>
      <w:r>
        <w:t xml:space="preserve">Wie es wirken soll</w:t>
      </w:r>
    </w:p>
    <w:p>
      <w:pPr>
        <w:pStyle w:val="FirstParagraph"/>
      </w:pPr>
      <w:r>
        <w:t xml:space="preserve">Survodutid verbindet zwei Darm- bzw. Bauchspeicheldrüsenhormone: GLP-1, das Sättigung fördert und die Insulinausschüttung verstärkt, und Glukagon, das den Energieverbrauch erhöht und die Leber zum Abbau von Fett anregt. Während Tirzepatid auf GIP plus GLP-1 setzt und Retatrutid alle drei Signale vereint, verzichtet Survodutid auf den GIP-Anteil und betont stattdessen die Glukagon-Wirkung. Der Hersteller zielt damit besonders auf die Leber: Die Fettlebererkrankung MASH ist neben Adipositas das zweite Hauptentwicklungsgebiet.</w:t>
      </w:r>
    </w:p>
    <w:p>
      <w:pPr>
        <w:pStyle w:val="BodyText"/>
      </w:pPr>
      <w:r>
        <w:t xml:space="preserve">Aus 19 ähnlichen Kandidaten wurde Survodutid ausgewählt, weil es in Tierversuchen beide Rezeptoren ausgewogen ansprach. Bei übergewichtigen Mäusen verringerte sich das Körpergewicht um etwa ein Viertel (Thomas 2024, PMID 38560764). Untersuchungen an Mäusen deuten darauf hin, dass die appetitsenkende Wirkung im Gehirn vor allem über den GLP-1-Rezeptor läuft; der Glukagon-Anteil wirkt eher im Körper, etwa in der Leber (Zimmermann 2026, PMID 41638399). Das sind Tierbefunde; beim Menschen wird die Wirkung auf den Energieverbrauch derzeit in einer eigenen Studie gemessen (NCT06745284).</w:t>
      </w:r>
    </w:p>
    <w:bookmarkEnd w:id="232"/>
    <w:bookmarkStart w:id="235" w:name="studien-am-menschen-6"/>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10 Humanstudien; hinzu kommt die gezielt nachrecherchierte Veröffentlichung der Phase-3-Studie SYNCHRONIZE-2. Auf ClinicalTrials.gov waren 29 Studien registriert, darunter das Phase-3-Programm SYNCHRONIZE (Adipositas) und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2 Typ-2-Diabetes (Blüher 2024), PMID 38095657</w:t>
            </w:r>
          </w:p>
        </w:tc>
        <w:tc>
          <w:tcPr/>
          <w:p>
            <w:pPr>
              <w:pStyle w:val="Compact"/>
              <w:jc w:val="left"/>
            </w:pPr>
            <w:r>
              <w:t xml:space="preserve">413 Erwachsene mit Metformin, gegen Placebo und offen Semaglutid</w:t>
            </w:r>
          </w:p>
        </w:tc>
        <w:tc>
          <w:tcPr/>
          <w:p>
            <w:pPr>
              <w:pStyle w:val="Compact"/>
              <w:jc w:val="left"/>
            </w:pPr>
            <w:r>
              <w:t xml:space="preserve">16 Wochen</w:t>
            </w:r>
          </w:p>
        </w:tc>
        <w:tc>
          <w:tcPr/>
          <w:p>
            <w:pPr>
              <w:pStyle w:val="Compact"/>
              <w:jc w:val="left"/>
            </w:pPr>
            <w:r>
              <w:t xml:space="preserve">HbA1c bis −1,71 Punkte; Gewicht bis −8,7 % (Semaglutid −5,3 %)</w:t>
            </w:r>
          </w:p>
        </w:tc>
      </w:tr>
      <w:tr>
        <w:tc>
          <w:tcPr/>
          <w:p>
            <w:pPr>
              <w:pStyle w:val="Compact"/>
              <w:jc w:val="left"/>
            </w:pPr>
            <w:r>
              <w:t xml:space="preserve">Phase 2 Adipositas (le Roux 2024), PMID 38330987</w:t>
            </w:r>
          </w:p>
        </w:tc>
        <w:tc>
          <w:tcPr/>
          <w:p>
            <w:pPr>
              <w:pStyle w:val="Compact"/>
              <w:jc w:val="left"/>
            </w:pPr>
            <w:r>
              <w:t xml:space="preserve">387 Erwachsene ohne Diabetes, gegen Placebo</w:t>
            </w:r>
          </w:p>
        </w:tc>
        <w:tc>
          <w:tcPr/>
          <w:p>
            <w:pPr>
              <w:pStyle w:val="Compact"/>
              <w:jc w:val="left"/>
            </w:pPr>
            <w:r>
              <w:t xml:space="preserve">46 Wochen</w:t>
            </w:r>
          </w:p>
        </w:tc>
        <w:tc>
          <w:tcPr/>
          <w:p>
            <w:pPr>
              <w:pStyle w:val="Compact"/>
              <w:jc w:val="left"/>
            </w:pPr>
            <w:r>
              <w:t xml:space="preserve">−6,2 bis −14,9 % Gewicht vs. −2,8 %</w:t>
            </w:r>
          </w:p>
        </w:tc>
      </w:tr>
      <w:tr>
        <w:tc>
          <w:tcPr/>
          <w:p>
            <w:pPr>
              <w:pStyle w:val="Compact"/>
              <w:jc w:val="left"/>
            </w:pPr>
            <w:r>
              <w:t xml:space="preserve">Phase 2 MASH (Sanyal 2024), PMID 38847460</w:t>
            </w:r>
          </w:p>
        </w:tc>
        <w:tc>
          <w:tcPr/>
          <w:p>
            <w:pPr>
              <w:pStyle w:val="Compact"/>
              <w:jc w:val="left"/>
            </w:pPr>
            <w:r>
              <w:t xml:space="preserve">293 Erwachsene mit bioptisch gesicherter MASH und Fibrose F1–F3</w:t>
            </w:r>
          </w:p>
        </w:tc>
        <w:tc>
          <w:tcPr/>
          <w:p>
            <w:pPr>
              <w:pStyle w:val="Compact"/>
              <w:jc w:val="left"/>
            </w:pPr>
            <w:r>
              <w:t xml:space="preserve">48 Wochen</w:t>
            </w:r>
          </w:p>
        </w:tc>
        <w:tc>
          <w:tcPr/>
          <w:p>
            <w:pPr>
              <w:pStyle w:val="Compact"/>
              <w:jc w:val="left"/>
            </w:pPr>
            <w:r>
              <w:t xml:space="preserve">MASH-Besserung bei 43–62 % vs. 14 %</w:t>
            </w:r>
          </w:p>
        </w:tc>
      </w:tr>
      <w:tr>
        <w:tc>
          <w:tcPr/>
          <w:p>
            <w:pPr>
              <w:pStyle w:val="Compact"/>
              <w:jc w:val="left"/>
            </w:pPr>
            <w:r>
              <w:t xml:space="preserve">SYNCHRONIZE-1 (le Roux 2026), PMID 42253238</w:t>
            </w:r>
          </w:p>
        </w:tc>
        <w:tc>
          <w:tcPr/>
          <w:p>
            <w:pPr>
              <w:pStyle w:val="Compact"/>
              <w:jc w:val="left"/>
            </w:pPr>
            <w:r>
              <w:t xml:space="preserve">725 Erwachsene mit Adipositas ohne Diabetes, gegen Placebo</w:t>
            </w:r>
          </w:p>
        </w:tc>
        <w:tc>
          <w:tcPr/>
          <w:p>
            <w:pPr>
              <w:pStyle w:val="Compact"/>
              <w:jc w:val="left"/>
            </w:pPr>
            <w:r>
              <w:t xml:space="preserve">76 Wochen</w:t>
            </w:r>
          </w:p>
        </w:tc>
        <w:tc>
          <w:tcPr/>
          <w:p>
            <w:pPr>
              <w:pStyle w:val="Compact"/>
              <w:jc w:val="left"/>
            </w:pPr>
            <w:r>
              <w:t xml:space="preserve">−12,2 / −13,0 % (3,6/6,0 mg) vs. −5,4 %</w:t>
            </w:r>
          </w:p>
        </w:tc>
      </w:tr>
      <w:tr>
        <w:tc>
          <w:tcPr/>
          <w:p>
            <w:pPr>
              <w:pStyle w:val="Compact"/>
              <w:jc w:val="left"/>
            </w:pPr>
            <w:r>
              <w:t xml:space="preserve">SYNCHRONIZE-2 (Wharton 2026), PMID 42820639</w:t>
            </w:r>
          </w:p>
        </w:tc>
        <w:tc>
          <w:tcPr/>
          <w:p>
            <w:pPr>
              <w:pStyle w:val="Compact"/>
              <w:jc w:val="left"/>
            </w:pPr>
            <w:r>
              <w:t xml:space="preserve">752 Erwachsene mit Adipositas und Typ-2-Diabetes, gegen Placebo</w:t>
            </w:r>
          </w:p>
        </w:tc>
        <w:tc>
          <w:tcPr/>
          <w:p>
            <w:pPr>
              <w:pStyle w:val="Compact"/>
              <w:jc w:val="left"/>
            </w:pPr>
            <w:r>
              <w:t xml:space="preserve">76 Wochen</w:t>
            </w:r>
          </w:p>
        </w:tc>
        <w:tc>
          <w:tcPr/>
          <w:p>
            <w:pPr>
              <w:pStyle w:val="Compact"/>
              <w:jc w:val="left"/>
            </w:pPr>
            <w:r>
              <w:t xml:space="preserve">−8,2 / −9,8 % vs. −3,9 %</w:t>
            </w:r>
          </w:p>
        </w:tc>
      </w:tr>
      <w:tr>
        <w:tc>
          <w:tcPr/>
          <w:p>
            <w:pPr>
              <w:pStyle w:val="Compact"/>
              <w:jc w:val="left"/>
            </w:pPr>
            <w:r>
              <w:t xml:space="preserve">SYNCHRONIZE-MASLD (Kaplan 2026), PMID 42252333</w:t>
            </w:r>
          </w:p>
        </w:tc>
        <w:tc>
          <w:tcPr/>
          <w:p>
            <w:pPr>
              <w:pStyle w:val="Compact"/>
              <w:jc w:val="left"/>
            </w:pPr>
            <w:r>
              <w:t xml:space="preserve">216 Erwachsene mit Adipositas und Fettleber mit Risikozeichen</w:t>
            </w:r>
          </w:p>
        </w:tc>
        <w:tc>
          <w:tcPr/>
          <w:p>
            <w:pPr>
              <w:pStyle w:val="Compact"/>
              <w:jc w:val="left"/>
            </w:pPr>
            <w:r>
              <w:t xml:space="preserve">48 Wochen</w:t>
            </w:r>
          </w:p>
        </w:tc>
        <w:tc>
          <w:tcPr/>
          <w:p>
            <w:pPr>
              <w:pStyle w:val="Compact"/>
              <w:jc w:val="left"/>
            </w:pPr>
            <w:r>
              <w:t xml:space="preserve">Leberfett −30 % oder mehr bei 84,2 % vs. 24,3 %</w:t>
            </w:r>
          </w:p>
        </w:tc>
      </w:tr>
    </w:tbl>
    <w:bookmarkStart w:id="233" w:name="adipositas-und-typ-2-diabetes"/>
    <w:p>
      <w:pPr>
        <w:pStyle w:val="Heading4"/>
      </w:pPr>
      <w:r>
        <w:t xml:space="preserve">Adipositas und Typ-2-Diabetes</w:t>
      </w:r>
    </w:p>
    <w:p>
      <w:pPr>
        <w:pStyle w:val="FirstParagraph"/>
      </w:pPr>
      <w:r>
        <w:t xml:space="preserve">Die Phase-2-Studie bei Adipositas (le Roux 2024, PMID 38330987) zeigte nach 46 Wochen eine dosisabhängige Gewichtsabnahme von bis zu 14,9 %. Auffällig war die hohe Abbruchrate: Nur 61 % der Teilnehmenden unter Survodutid beendeten die 46 Behandlungswochen, allerdings auch nur 60 % unter Placebo. Magen-Darm-Nebenwirkungen traten bei 75 % unter Survodutid und 42 % unter Placebo auf. Die Aufdosierung war in dieser Studie vergleichsweise schnell.</w:t>
      </w:r>
    </w:p>
    <w:p>
      <w:pPr>
        <w:pStyle w:val="BodyText"/>
      </w:pPr>
      <w:r>
        <w:t xml:space="preserve">In der Phase-3-Studie</w:t>
      </w:r>
      <w:r>
        <w:t xml:space="preserve"> </w:t>
      </w:r>
      <w:r>
        <w:rPr>
          <w:bCs/>
          <w:b/>
        </w:rPr>
        <w:t xml:space="preserve">SYNCHRONIZE-1</w:t>
      </w:r>
      <w:r>
        <w:t xml:space="preserve"> </w:t>
      </w:r>
      <w:r>
        <w:t xml:space="preserve">(le Roux 2026, PMID 42253238) wurde langsamer aufdosiert. Nach 76 Wochen verloren die Teilnehmenden in der höheren Dosis 13,0 % ihres Körpergewichts, unter Placebo 5,4 %. Das liegt unter den Werten, die Tirzepatid oder Retatrutid in ähnlich angelegten Studien erreichten. Dabei ist zu beachten, dass die Hauptanalyse alle Personen einschloss – auch diejenigen, die die Behandlung abbrachen oder bei denen die Aufdosierung verlängert wurde. Magen-Darm-Beschwerden betrafen 80,9 % bzw. 89,7 % gegenüber 47,9 % unter Placebo; Todesfälle traten nicht auf.</w:t>
      </w:r>
    </w:p>
    <w:p>
      <w:pPr>
        <w:pStyle w:val="BodyText"/>
      </w:pPr>
      <w:r>
        <w:rPr>
          <w:bCs/>
          <w:b/>
        </w:rPr>
        <w:t xml:space="preserve">SYNCHRONIZE-2</w:t>
      </w:r>
      <w:r>
        <w:t xml:space="preserve"> </w:t>
      </w:r>
      <w:r>
        <w:t xml:space="preserve">(Wharton 2026, PMID 42820639) untersuchte 752 Menschen mit Adipositas und Typ-2-Diabetes. Der Gewichtsverlust betrug nach 76 Wochen 8,2 % bzw. 9,8 % gegenüber 3,9 % unter Placebo; der HbA1c-Wert sank von 7,4 % um 0,8 bis 0,9 Prozentpunkte.</w:t>
      </w:r>
    </w:p>
    <w:p>
      <w:pPr>
        <w:pStyle w:val="BodyText"/>
      </w:pPr>
      <w:r>
        <w:t xml:space="preserve">In der Phase-2-Studie bei Typ-2-Diabetes senkte Survodutid den HbA1c-Wert nach 16 Wochen in mittlerer Dosis ähnlich stark wie Semaglutid 1 mg (je etwa −1,46 bzw. −1,47 Punkte); die höheren Dosen führten zu mehr Gewichtsverlust als Semaglutid (Blüher 2024, PMID 38095657). Der Semaglutid-Arm war allerdings offen und die Studie kurz.</w:t>
      </w:r>
    </w:p>
    <w:bookmarkEnd w:id="233"/>
    <w:bookmarkStart w:id="234" w:name="fettleber-masld-und-mash"/>
    <w:p>
      <w:pPr>
        <w:pStyle w:val="Heading4"/>
      </w:pPr>
      <w:r>
        <w:t xml:space="preserve">Fettleber (MASLD und MASH)</w:t>
      </w:r>
    </w:p>
    <w:p>
      <w:pPr>
        <w:pStyle w:val="FirstParagraph"/>
      </w:pPr>
      <w:r>
        <w:t xml:space="preserve">Hier liegt die eigentliche Stärke der bisherigen Daten. In der Phase-2-Studie bei bioptisch gesicherter MASH mit Fibrose (Sanyal 2024, PMID 38847460) besserte sich die Leberentzündung ohne Verschlechterung der Fibrose bei 47 %, 62 % und 43 % der drei Dosisgruppen gegenüber 14 % unter Placebo. Eine Verbesserung der Fibrose um mindestens eine Stufe zeigten 34–36 % gegenüber 22 %. Die Dosis-Wirkungs-Kurve verlief dabei nicht linear: Die mittlere Dosis schnitt am besten ab.</w:t>
      </w:r>
    </w:p>
    <w:p>
      <w:pPr>
        <w:pStyle w:val="BodyText"/>
      </w:pPr>
      <w:r>
        <w:t xml:space="preserve">Die Phase-3-Studie</w:t>
      </w:r>
      <w:r>
        <w:t xml:space="preserve"> </w:t>
      </w:r>
      <w:r>
        <w:rPr>
          <w:bCs/>
          <w:b/>
        </w:rPr>
        <w:t xml:space="preserve">SYNCHRONIZE-MASLD</w:t>
      </w:r>
      <w:r>
        <w:t xml:space="preserve"> </w:t>
      </w:r>
      <w:r>
        <w:t xml:space="preserve">(Kaplan 2026, PMID 42252333) mit 216 Erwachsenen zeigte nach 48 Wochen bei 84,2 % unter Survodutid eine Abnahme des Leberfetts um mindestens 30 % (Placebo 24,3 %), gemessen mittels MRT. Nach der strengeren Auswertung, die auch Behandlungsabbrüche berücksichtigt, waren es 68,5 % gegenüber 28,6 %. Die Autorinnen und Autoren nennen selbst die kurze Dauer und die Rekrutierung nur in den USA und Spanien als Einschränkungen.</w:t>
      </w:r>
    </w:p>
    <w:p>
      <w:pPr>
        <w:pStyle w:val="BodyText"/>
      </w:pPr>
      <w:r>
        <w:t xml:space="preserve">In einer offenen Phase-1-Studie wurde Survodutid auch bei Menschen mit Leberzirrhose, einschließlich fortgeschrittener Stadien, untersucht. Die Blutspiegel unterschieden sich nicht wesentlich von denen Lebergesunder; Leberfett, Lebersteifigkeit und Körpergewicht gingen über 28 Wochen zurück (Lawitz 2024, PMID 38857788). Diese Studie war klein und nicht kontrolliert.</w:t>
      </w:r>
    </w:p>
    <w:bookmarkEnd w:id="234"/>
    <w:bookmarkEnd w:id="235"/>
    <w:bookmarkStart w:id="236" w:name="tier--und-laborstudien-6"/>
    <w:p>
      <w:pPr>
        <w:pStyle w:val="Heading3"/>
      </w:pPr>
      <w:r>
        <w:t xml:space="preserve">Tier- und Laborstudien</w:t>
      </w:r>
    </w:p>
    <w:p>
      <w:pPr>
        <w:pStyle w:val="FirstParagraph"/>
      </w:pPr>
      <w:r>
        <w:t xml:space="preserve">Die präklinischen Daten stammen überwiegend aus den Laboren des Herstellers: Rezeptorprofile in Zelllinien, Gewichtsverlust bei Mäusen mit ernährungsbedingter Adipositas und Blutzuckersenkung bei diabetischen Mäusen (Thomas 2024, PMID 38560764). Zum Wirkort im Gehirn liegen Untersuchungen an Mäusen und an menschlichem Gewebe vor (Zimmermann 2026, PMID 41638399). Unabhängige Tierstudien sind selten.</w:t>
      </w:r>
    </w:p>
    <w:bookmarkEnd w:id="236"/>
    <w:bookmarkStart w:id="237" w:name="risiken-und-nebenwirkungen-6"/>
    <w:p>
      <w:pPr>
        <w:pStyle w:val="Heading3"/>
      </w:pPr>
      <w:r>
        <w:t xml:space="preserve">Risiken und Nebenwirkungen</w:t>
      </w:r>
    </w:p>
    <w:p>
      <w:pPr>
        <w:pStyle w:val="FirstParagraph"/>
      </w:pPr>
      <w:r>
        <w:rPr>
          <w:bCs/>
          <w:b/>
        </w:rPr>
        <w:t xml:space="preserve">Belegt aus Studien:</w:t>
      </w:r>
    </w:p>
    <w:p>
      <w:pPr>
        <w:numPr>
          <w:ilvl w:val="0"/>
          <w:numId w:val="1074"/>
        </w:numPr>
        <w:pStyle w:val="Compact"/>
      </w:pPr>
      <w:r>
        <w:rPr>
          <w:bCs/>
          <w:b/>
        </w:rPr>
        <w:t xml:space="preserve">Magen-Darm-Beschwerden</w:t>
      </w:r>
      <w:r>
        <w:t xml:space="preserve"> </w:t>
      </w:r>
      <w:r>
        <w:t xml:space="preserve">sind bei Survodutid besonders häufig. In der MASH-Studie traten Übelkeit bei 66 % (Placebo 23 %), Durchfall bei 49 % (23 %) und Erbrechen bei 41 % (4 %) auf (Sanyal 2024, PMID 38847460). In SYNCHRONIZE-1 berichteten bis zu 89,7 % über Magen-Darm-Beschwerden (le Roux 2026, PMID 42253238). Die Häufigkeit ist im Vergleich mit anderen Inkretin-Medikamenten hoch, auch wenn die meisten Beschwerden leicht bis mittelschwer waren.</w:t>
      </w:r>
    </w:p>
    <w:p>
      <w:pPr>
        <w:numPr>
          <w:ilvl w:val="0"/>
          <w:numId w:val="1074"/>
        </w:numPr>
        <w:pStyle w:val="Compact"/>
      </w:pPr>
      <w:r>
        <w:rPr>
          <w:bCs/>
          <w:b/>
        </w:rPr>
        <w:t xml:space="preserve">Schwere unerwünschte Ereignisse</w:t>
      </w:r>
      <w:r>
        <w:t xml:space="preserve"> </w:t>
      </w:r>
      <w:r>
        <w:t xml:space="preserve">waren in der MASH-Studie mit 8 % unter Survodutid und 7 % unter Placebo ähnlich häufig.</w:t>
      </w:r>
    </w:p>
    <w:p>
      <w:pPr>
        <w:numPr>
          <w:ilvl w:val="0"/>
          <w:numId w:val="1074"/>
        </w:numPr>
        <w:pStyle w:val="Compact"/>
      </w:pPr>
      <w:r>
        <w:rPr>
          <w:bCs/>
          <w:b/>
        </w:rPr>
        <w:t xml:space="preserve">Abbrüche:</w:t>
      </w:r>
      <w:r>
        <w:t xml:space="preserve"> </w:t>
      </w:r>
      <w:r>
        <w:t xml:space="preserve">In der Phase-2-Adipositasstudie beendeten nur rund 60 % die Behandlungsphase – in beiden Gruppen.</w:t>
      </w:r>
    </w:p>
    <w:p>
      <w:pPr>
        <w:pStyle w:val="FirstParagraph"/>
      </w:pPr>
      <w:r>
        <w:rPr>
          <w:bCs/>
          <w:b/>
        </w:rPr>
        <w:t xml:space="preserve">Noch offen:</w:t>
      </w:r>
      <w:r>
        <w:t xml:space="preserve"> </w:t>
      </w:r>
      <w:r>
        <w:t xml:space="preserve">Herzfrequenzanstiege sind bei Glukagon- und GLP-1-Agonisten bekannt; eine eigene Studie zur Herzsicherheit wurde durchgeführt (NCT06200467). Die große Herz-Kreislauf-Sicherheitsstudie SYNCHRONIZE-CVOT ist laut Register abgeschlossen; die Ergebnisse waren bei Redaktionsschluss noch nicht in einer begutachteten Fachzeitschrift veröffentlicht. Langfristige Auswirkungen der Glukagon-Komponente auf Muskeln, Knochen und Aminosäurestoffwechsel sind nicht untersucht.</w:t>
      </w:r>
    </w:p>
    <w:bookmarkEnd w:id="237"/>
    <w:bookmarkStart w:id="238" w:name="rechtslage-6"/>
    <w:p>
      <w:pPr>
        <w:pStyle w:val="Heading3"/>
      </w:pPr>
      <w:r>
        <w:t xml:space="preserve">Rechtslage</w:t>
      </w:r>
    </w:p>
    <w:p>
      <w:pPr>
        <w:numPr>
          <w:ilvl w:val="0"/>
          <w:numId w:val="1075"/>
        </w:numPr>
        <w:pStyle w:val="Compact"/>
      </w:pPr>
      <w:r>
        <w:rPr>
          <w:bCs/>
          <w:b/>
        </w:rPr>
        <w:t xml:space="preserve">EU / Österreich / Deutschland:</w:t>
      </w:r>
      <w:r>
        <w:t xml:space="preserve"> </w:t>
      </w:r>
      <w:r>
        <w:t xml:space="preserve">nicht zugelassen; Anwendung nur in klinischen Studien. Graumarktangebote sind keine legalen Arzneimittel.</w:t>
      </w:r>
    </w:p>
    <w:p>
      <w:pPr>
        <w:numPr>
          <w:ilvl w:val="0"/>
          <w:numId w:val="1075"/>
        </w:numPr>
        <w:pStyle w:val="Compact"/>
      </w:pPr>
      <w:r>
        <w:rPr>
          <w:bCs/>
          <w:b/>
        </w:rPr>
        <w:t xml:space="preserve">USA:</w:t>
      </w:r>
      <w:r>
        <w:t xml:space="preserve"> </w:t>
      </w:r>
      <w:r>
        <w:t xml:space="preserve">nicht zugelassen. Die FDA hat Survodutid für die MASH-Behandlung als „Breakthrough Therapy“ eingestuft, was das Prüfverfahren beschleunigen kann (Stand 2026, bitte aktuell prüfen).</w:t>
      </w:r>
    </w:p>
    <w:p>
      <w:pPr>
        <w:numPr>
          <w:ilvl w:val="0"/>
          <w:numId w:val="1075"/>
        </w:numPr>
        <w:pStyle w:val="Compact"/>
      </w:pPr>
      <w:r>
        <w:rPr>
          <w:bCs/>
          <w:b/>
        </w:rPr>
        <w:t xml:space="preserve">Sport:</w:t>
      </w:r>
      <w:r>
        <w:t xml:space="preserve"> </w:t>
      </w:r>
      <w:r>
        <w:t xml:space="preserve">WADA-Klasse S0 (nicht zugelassene Substanz), Stand 2026, bitte aktuell prüfen.</w:t>
      </w:r>
    </w:p>
    <w:bookmarkEnd w:id="238"/>
    <w:bookmarkStart w:id="239" w:name="laufende-studien-und-ausblick-6"/>
    <w:p>
      <w:pPr>
        <w:pStyle w:val="Heading3"/>
      </w:pPr>
      <w:r>
        <w:t xml:space="preserve">Laufende Studien und Ausblick</w:t>
      </w:r>
    </w:p>
    <w:p>
      <w:pPr>
        <w:pStyle w:val="FirstParagraph"/>
      </w:pPr>
      <w:r>
        <w:rPr>
          <w:bCs/>
          <w:b/>
        </w:rPr>
        <w:t xml:space="preserve">Gesichert (registrierte Studien, Stand Oktober 2026):</w:t>
      </w:r>
    </w:p>
    <w:p>
      <w:pPr>
        <w:numPr>
          <w:ilvl w:val="0"/>
          <w:numId w:val="1076"/>
        </w:numPr>
        <w:pStyle w:val="Compact"/>
      </w:pPr>
      <w:r>
        <w:rPr>
          <w:bCs/>
          <w:b/>
        </w:rPr>
        <w:t xml:space="preserve">SYNCHRONIZE-CVOT</w:t>
      </w:r>
      <w:r>
        <w:t xml:space="preserve"> </w:t>
      </w:r>
      <w:r>
        <w:t xml:space="preserve">(NCT06077864): Herz-Kreislauf-Sicherheitsstudie mit 5.531 Teilnehmenden, laut Register abgeschlossen; Design beschrieben bei Kosiborod 2024 (PMID 39453356).</w:t>
      </w:r>
    </w:p>
    <w:p>
      <w:pPr>
        <w:numPr>
          <w:ilvl w:val="0"/>
          <w:numId w:val="1076"/>
        </w:numPr>
        <w:pStyle w:val="Compact"/>
      </w:pPr>
      <w:r>
        <w:rPr>
          <w:bCs/>
          <w:b/>
        </w:rPr>
        <w:t xml:space="preserve">LIVERAGE</w:t>
      </w:r>
      <w:r>
        <w:t xml:space="preserve"> </w:t>
      </w:r>
      <w:r>
        <w:t xml:space="preserve">(NCT06632444) mit 1.800 Teilnehmenden mit MASH und Fibrose sowie</w:t>
      </w:r>
      <w:r>
        <w:t xml:space="preserve"> </w:t>
      </w:r>
      <w:r>
        <w:rPr>
          <w:bCs/>
          <w:b/>
        </w:rPr>
        <w:t xml:space="preserve">LIVERAGE-Cirrhosis</w:t>
      </w:r>
      <w:r>
        <w:t xml:space="preserve"> </w:t>
      </w:r>
      <w:r>
        <w:t xml:space="preserve">(NCT06632457) mit 1.590 Teilnehmenden mit MASH-Zirrhose – die entscheidenden Studien für eine Zulassung in der Leberheilkunde, mit geplanten Enddaten zwischen 2029 und 2031.</w:t>
      </w:r>
    </w:p>
    <w:p>
      <w:pPr>
        <w:numPr>
          <w:ilvl w:val="0"/>
          <w:numId w:val="1076"/>
        </w:numPr>
        <w:pStyle w:val="Compact"/>
      </w:pPr>
      <w:r>
        <w:t xml:space="preserve">Weitere Phase-3-Studien: Typ-2-Diabetes (NCT07754461), Frauen mit Adipositas (NCT07850050), Herzstruktur bei Adipositas (NCT07850063), Personen ohne vorherige Behandlung (NCT07855900).</w:t>
      </w:r>
    </w:p>
    <w:p>
      <w:pPr>
        <w:numPr>
          <w:ilvl w:val="0"/>
          <w:numId w:val="1076"/>
        </w:numPr>
        <w:pStyle w:val="Compact"/>
      </w:pPr>
      <w:r>
        <w:t xml:space="preserve">Phase-3-Studien in China (NCT06214741) und Japan (NCT06176365) sind abgeschlossen.</w:t>
      </w:r>
    </w:p>
    <w:p>
      <w:pPr>
        <w:pStyle w:val="FirstParagraph"/>
      </w:pPr>
      <w:r>
        <w:rPr>
          <w:bCs/>
          <w:b/>
        </w:rPr>
        <w:t xml:space="preserve">Einschätzung:</w:t>
      </w:r>
      <w:r>
        <w:t xml:space="preserve"> </w:t>
      </w:r>
      <w:r>
        <w:t xml:space="preserve">Als reines Abnehmmedikament dürfte es Survodutid gegen Tirzepatid, Semaglutid und die kommenden Dreifach-Agonisten schwer haben – die Gewichtsabnahme in SYNCHRONIZE-1 war geringer, die Magen-Darm-Nebenwirkungen häufig. Seine Nische könnte die Fettlebererkrankung werden, insbesondere fortgeschrittene Stadien bis zur Zirrhose, für die es kaum Behandlungsmöglichkeiten gibt. Ob das gelingt, entscheiden die LIVERAGE-Studien.</w:t>
      </w:r>
    </w:p>
    <w:bookmarkEnd w:id="239"/>
    <w:bookmarkStart w:id="240" w:name="fazit-6"/>
    <w:p>
      <w:pPr>
        <w:pStyle w:val="Heading3"/>
      </w:pPr>
      <w:r>
        <w:t xml:space="preserve">Fazit</w:t>
      </w:r>
    </w:p>
    <w:p>
      <w:pPr>
        <w:pStyle w:val="FirstParagraph"/>
      </w:pPr>
      <w:r>
        <w:t xml:space="preserve">Survodutid ist ein doppelter Glukagon- und GLP-1-Agonist, der in Phase-3-Studien das Körpergewicht nach 76 Wochen um bis zu 13,0 % (ohne Diabetes) bzw. 9,8 % (mit Typ-2-Diabetes) verringerte. Deutlicher waren die Effekte auf die Leber: In der Phase-2-Studie besserte sich die Leberentzündung bei bis zu 62 % gegenüber 14 % unter Placebo. Magen-Darm-Beschwerden sind sehr häufig. Survodutid ist nicht zugelassen; ob es als Lebermedikament eine Zukunft hat, zeigen die laufenden Phase-3-Studien.</w:t>
      </w:r>
    </w:p>
    <w:bookmarkEnd w:id="240"/>
    <w:bookmarkEnd w:id="241"/>
    <w:bookmarkStart w:id="254" w:name="mazdutid"/>
    <w:p>
      <w:pPr>
        <w:pStyle w:val="Heading2"/>
      </w:pPr>
      <w:r>
        <w:t xml:space="preserve">Mazdutid</w:t>
      </w:r>
    </w:p>
    <w:bookmarkStart w:id="242" w:name="steckbrief-7"/>
    <w:p>
      <w:pPr>
        <w:pStyle w:val="Heading3"/>
      </w:pPr>
      <w:r>
        <w:t xml:space="preserve">Steckbrief</w:t>
      </w:r>
    </w:p>
    <w:p>
      <w:pPr>
        <w:numPr>
          <w:ilvl w:val="0"/>
          <w:numId w:val="1077"/>
        </w:numPr>
        <w:pStyle w:val="Compact"/>
      </w:pPr>
      <w:r>
        <w:rPr>
          <w:bCs/>
          <w:b/>
        </w:rPr>
        <w:t xml:space="preserve">Art/Struktur:</w:t>
      </w:r>
      <w:r>
        <w:t xml:space="preserve"> </w:t>
      </w:r>
      <w:r>
        <w:t xml:space="preserve">synthetisches, fettsäuremodifiziertes Peptid, abgeleitet vom Darmhormon Oxyntomodulin; einmal wöchentliche Gabe unter die Haut. Entwicklungscodes LY3305677 (Eli Lilly) und IBI362 (Innovent Biologics).</w:t>
      </w:r>
    </w:p>
    <w:p>
      <w:pPr>
        <w:numPr>
          <w:ilvl w:val="0"/>
          <w:numId w:val="1077"/>
        </w:numPr>
        <w:pStyle w:val="Compact"/>
      </w:pPr>
      <w:r>
        <w:rPr>
          <w:bCs/>
          <w:b/>
        </w:rPr>
        <w:t xml:space="preserve">Herkunft:</w:t>
      </w:r>
      <w:r>
        <w:t xml:space="preserve"> </w:t>
      </w:r>
      <w:r>
        <w:t xml:space="preserve">ursprünglich von Eli Lilly entwickelt; in China von Innovent Biologics bis zur Zulassung gebracht, außerhalb Chinas weiter von Lilly untersucht.</w:t>
      </w:r>
    </w:p>
    <w:p>
      <w:pPr>
        <w:numPr>
          <w:ilvl w:val="0"/>
          <w:numId w:val="1077"/>
        </w:numPr>
        <w:pStyle w:val="Compact"/>
      </w:pPr>
      <w:r>
        <w:rPr>
          <w:bCs/>
          <w:b/>
        </w:rPr>
        <w:t xml:space="preserve">Wirkprinzip:</w:t>
      </w:r>
      <w:r>
        <w:t xml:space="preserve"> </w:t>
      </w:r>
      <w:r>
        <w:t xml:space="preserve">doppelter Agonist an GLP-1- und Glukagon-Rezeptor – wie Survodutid, aber ein eigenständiges Molekül.</w:t>
      </w:r>
    </w:p>
    <w:p>
      <w:pPr>
        <w:numPr>
          <w:ilvl w:val="0"/>
          <w:numId w:val="1077"/>
        </w:numPr>
        <w:pStyle w:val="Compact"/>
      </w:pPr>
      <w:r>
        <w:rPr>
          <w:bCs/>
          <w:b/>
        </w:rPr>
        <w:t xml:space="preserve">Zulassung EU:</w:t>
      </w:r>
      <w:r>
        <w:t xml:space="preserve"> </w:t>
      </w:r>
      <w:r>
        <w:t xml:space="preserve">nein.</w:t>
      </w:r>
    </w:p>
    <w:p>
      <w:pPr>
        <w:numPr>
          <w:ilvl w:val="0"/>
          <w:numId w:val="1077"/>
        </w:numPr>
        <w:pStyle w:val="Compact"/>
      </w:pPr>
      <w:r>
        <w:rPr>
          <w:bCs/>
          <w:b/>
        </w:rPr>
        <w:t xml:space="preserve">Zulassung USA:</w:t>
      </w:r>
      <w:r>
        <w:t xml:space="preserve"> </w:t>
      </w:r>
      <w:r>
        <w:t xml:space="preserve">nein.</w:t>
      </w:r>
    </w:p>
    <w:p>
      <w:pPr>
        <w:numPr>
          <w:ilvl w:val="0"/>
          <w:numId w:val="1077"/>
        </w:numPr>
        <w:pStyle w:val="Compact"/>
      </w:pPr>
      <w:r>
        <w:rPr>
          <w:bCs/>
          <w:b/>
        </w:rPr>
        <w:t xml:space="preserve">Zulassung China:</w:t>
      </w:r>
      <w:r>
        <w:t xml:space="preserve"> </w:t>
      </w:r>
      <w:r>
        <w:t xml:space="preserve">ja, seit Juni 2025 für das Gewichtsmanagement, seit September 2025 auch für Typ-2-Diabetes (Handelsname Xinermei).</w:t>
      </w:r>
    </w:p>
    <w:p>
      <w:pPr>
        <w:numPr>
          <w:ilvl w:val="0"/>
          <w:numId w:val="1077"/>
        </w:numPr>
        <w:pStyle w:val="Compact"/>
      </w:pPr>
      <w:r>
        <w:rPr>
          <w:bCs/>
          <w:b/>
        </w:rPr>
        <w:t xml:space="preserve">WADA:</w:t>
      </w:r>
      <w:r>
        <w:t xml:space="preserve"> </w:t>
      </w:r>
      <w:r>
        <w:t xml:space="preserve">nicht namentlich gelistet. Da Mazdutid von einer staatlichen Gesundheitsbehörde (China) zugelassen ist, fällt es nach dem Wortlaut nicht mehr unter S0; ein Einsatz im Sport ohne medizinische Indikation ist dennoch problematisch (Stand 2026, bitte aktuell prüfen).</w:t>
      </w:r>
    </w:p>
    <w:p>
      <w:pPr>
        <w:numPr>
          <w:ilvl w:val="0"/>
          <w:numId w:val="1077"/>
        </w:numPr>
        <w:pStyle w:val="Compact"/>
      </w:pPr>
      <w:r>
        <w:rPr>
          <w:bCs/>
          <w:b/>
        </w:rPr>
        <w:t xml:space="preserve">Evidenzstufe:</w:t>
      </w:r>
      <w:r>
        <w:t xml:space="preserve"> </w:t>
      </w:r>
      <w:r>
        <w:rPr>
          <w:bCs/>
          <w:b/>
        </w:rPr>
        <w:t xml:space="preserve">A</w:t>
      </w:r>
      <w:r>
        <w:t xml:space="preserve"> </w:t>
      </w:r>
      <w:r>
        <w:t xml:space="preserve">– mehrere große Phase-3-Studien und eine Zulassung, allerdings fast ausschließlich bei chinesischen Teilnehmenden.</w:t>
      </w:r>
    </w:p>
    <w:bookmarkEnd w:id="242"/>
    <w:bookmarkStart w:id="243" w:name="wie-es-wirken-soll-7"/>
    <w:p>
      <w:pPr>
        <w:pStyle w:val="Heading3"/>
      </w:pPr>
      <w:r>
        <w:t xml:space="preserve">Wie es wirken soll</w:t>
      </w:r>
    </w:p>
    <w:p>
      <w:pPr>
        <w:pStyle w:val="FirstParagraph"/>
      </w:pPr>
      <w:r>
        <w:t xml:space="preserve">Oxyntomodulin ist ein natürliches Hormon aus dem Darm, das – ähnlich wie GLP-1 – nach dem Essen ausgeschüttet wird. Es aktiviert sowohl den GLP-1- als auch den Glukagon-Rezeptor, allerdings nur schwach und sehr kurz. Mazdutid ist eine stabilisierte, lang wirksame Version dieses Prinzips.</w:t>
      </w:r>
    </w:p>
    <w:p>
      <w:pPr>
        <w:pStyle w:val="BodyText"/>
      </w:pPr>
      <w:r>
        <w:t xml:space="preserve">Der GLP-1-Anteil dämpft den Appetit, verlangsamt die Magenentleerung und fördert die blutzuckerabhängige Insulinausschüttung. Der Glukagon-Anteil soll den Energieverbrauch steigern und den Fettabbau in der Leber fördern (siehe auch Kapitel Survodutid). Beim Menschen ist der Beitrag des Glukagon-Anteils zum Gewichtsverlust nicht direkt gemessen; die Hypothese stützt sich vor allem auf Tierdaten.</w:t>
      </w:r>
    </w:p>
    <w:bookmarkEnd w:id="243"/>
    <w:bookmarkStart w:id="248" w:name="studien-am-menschen-7"/>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9 Humanstudien, ergänzt durch eine Hochdosis-Phase-1-Studie und einen Fallbericht. Auf ClinicalTrials.gov waren 44 Studien registriert, die meisten davon in China. Die Zulassungsstudien heißen</w:t>
      </w:r>
      <w:r>
        <w:t xml:space="preserve"> </w:t>
      </w:r>
      <w:r>
        <w:rPr>
          <w:bCs/>
          <w:b/>
        </w:rPr>
        <w:t xml:space="preserve">GLORY</w:t>
      </w:r>
      <w:r>
        <w:t xml:space="preserve"> </w:t>
      </w:r>
      <w:r>
        <w:t xml:space="preserve">(Adipositas) und</w:t>
      </w:r>
      <w:r>
        <w:t xml:space="preserve"> </w:t>
      </w:r>
      <w:r>
        <w:rPr>
          <w:bCs/>
          <w:b/>
        </w:rPr>
        <w:t xml:space="preserve">DREAMS</w:t>
      </w:r>
      <w:r>
        <w:t xml:space="preserve"> </w:t>
      </w:r>
      <w:r>
        <w:t xml:space="preserve">(Typ-2-Diabetes).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2 Adipositas (Ji 2023), PMID 38092790</w:t>
            </w:r>
          </w:p>
        </w:tc>
        <w:tc>
          <w:tcPr/>
          <w:p>
            <w:pPr>
              <w:pStyle w:val="Compact"/>
              <w:jc w:val="left"/>
            </w:pPr>
            <w:r>
              <w:t xml:space="preserve">248 chinesische Erwachsene mit Übergewicht/Adipositas</w:t>
            </w:r>
          </w:p>
        </w:tc>
        <w:tc>
          <w:tcPr/>
          <w:p>
            <w:pPr>
              <w:pStyle w:val="Compact"/>
              <w:jc w:val="left"/>
            </w:pPr>
            <w:r>
              <w:t xml:space="preserve">24 Wochen</w:t>
            </w:r>
          </w:p>
        </w:tc>
        <w:tc>
          <w:tcPr/>
          <w:p>
            <w:pPr>
              <w:pStyle w:val="Compact"/>
              <w:jc w:val="left"/>
            </w:pPr>
            <w:r>
              <w:t xml:space="preserve">−6,7 bis −11,3 % Gewicht vs. +1,0 %</w:t>
            </w:r>
          </w:p>
        </w:tc>
      </w:tr>
      <w:tr>
        <w:tc>
          <w:tcPr/>
          <w:p>
            <w:pPr>
              <w:pStyle w:val="Compact"/>
              <w:jc w:val="left"/>
            </w:pPr>
            <w:r>
              <w:t xml:space="preserve">Phase 2 Typ-2-Diabetes (Zhang 2024), PMID 37943529</w:t>
            </w:r>
          </w:p>
        </w:tc>
        <w:tc>
          <w:tcPr/>
          <w:p>
            <w:pPr>
              <w:pStyle w:val="Compact"/>
              <w:jc w:val="left"/>
            </w:pPr>
            <w:r>
              <w:t xml:space="preserve">250 chinesische Erwachsene, gegen Placebo und offen Dulaglutid</w:t>
            </w:r>
          </w:p>
        </w:tc>
        <w:tc>
          <w:tcPr/>
          <w:p>
            <w:pPr>
              <w:pStyle w:val="Compact"/>
              <w:jc w:val="left"/>
            </w:pPr>
            <w:r>
              <w:t xml:space="preserve">20 Wochen</w:t>
            </w:r>
          </w:p>
        </w:tc>
        <w:tc>
          <w:tcPr/>
          <w:p>
            <w:pPr>
              <w:pStyle w:val="Compact"/>
              <w:jc w:val="left"/>
            </w:pPr>
            <w:r>
              <w:t xml:space="preserve">HbA1c −1,41 bis −1,67 (Dulaglutid −1,35)</w:t>
            </w:r>
          </w:p>
        </w:tc>
      </w:tr>
      <w:tr>
        <w:tc>
          <w:tcPr/>
          <w:p>
            <w:pPr>
              <w:pStyle w:val="Compact"/>
              <w:jc w:val="left"/>
            </w:pPr>
            <w:r>
              <w:t xml:space="preserve">GLORY-1 (Ji 2025), PMID 40421736</w:t>
            </w:r>
          </w:p>
        </w:tc>
        <w:tc>
          <w:tcPr/>
          <w:p>
            <w:pPr>
              <w:pStyle w:val="Compact"/>
              <w:jc w:val="left"/>
            </w:pPr>
            <w:r>
              <w:t xml:space="preserve">610 chinesische Erwachsene mit Übergewicht/Adipositas, gegen Placebo</w:t>
            </w:r>
          </w:p>
        </w:tc>
        <w:tc>
          <w:tcPr/>
          <w:p>
            <w:pPr>
              <w:pStyle w:val="Compact"/>
              <w:jc w:val="left"/>
            </w:pPr>
            <w:r>
              <w:t xml:space="preserve">48 Wochen</w:t>
            </w:r>
          </w:p>
        </w:tc>
        <w:tc>
          <w:tcPr/>
          <w:p>
            <w:pPr>
              <w:pStyle w:val="Compact"/>
              <w:jc w:val="left"/>
            </w:pPr>
            <w:r>
              <w:t xml:space="preserve">−11,00 / −14,01 % (4/6 mg) vs. +0,30 %</w:t>
            </w:r>
          </w:p>
        </w:tc>
      </w:tr>
      <w:tr>
        <w:tc>
          <w:tcPr/>
          <w:p>
            <w:pPr>
              <w:pStyle w:val="Compact"/>
              <w:jc w:val="left"/>
            </w:pPr>
            <w:r>
              <w:t xml:space="preserve">GLORY-2 (Gao 2026), PMID 42251595</w:t>
            </w:r>
          </w:p>
        </w:tc>
        <w:tc>
          <w:tcPr/>
          <w:p>
            <w:pPr>
              <w:pStyle w:val="Compact"/>
              <w:jc w:val="left"/>
            </w:pPr>
            <w:r>
              <w:t xml:space="preserve">461 chinesische Erwachsene mit Adipositas, höhere Dosis gegen Placebo</w:t>
            </w:r>
          </w:p>
        </w:tc>
        <w:tc>
          <w:tcPr/>
          <w:p>
            <w:pPr>
              <w:pStyle w:val="Compact"/>
              <w:jc w:val="left"/>
            </w:pPr>
            <w:r>
              <w:t xml:space="preserve">60 Wochen</w:t>
            </w:r>
          </w:p>
        </w:tc>
        <w:tc>
          <w:tcPr/>
          <w:p>
            <w:pPr>
              <w:pStyle w:val="Compact"/>
              <w:jc w:val="left"/>
            </w:pPr>
            <w:r>
              <w:t xml:space="preserve">−16,65 % vs. −1,50 %</w:t>
            </w:r>
          </w:p>
        </w:tc>
      </w:tr>
      <w:tr>
        <w:tc>
          <w:tcPr/>
          <w:p>
            <w:pPr>
              <w:pStyle w:val="Compact"/>
              <w:jc w:val="left"/>
            </w:pPr>
            <w:r>
              <w:t xml:space="preserve">DREAMS-1 (Zhu 2026), PMID 41407859</w:t>
            </w:r>
          </w:p>
        </w:tc>
        <w:tc>
          <w:tcPr/>
          <w:p>
            <w:pPr>
              <w:pStyle w:val="Compact"/>
              <w:jc w:val="left"/>
            </w:pPr>
            <w:r>
              <w:t xml:space="preserve">320 chinesische Erwachsene mit Typ-2-Diabetes, gegen Placebo</w:t>
            </w:r>
          </w:p>
        </w:tc>
        <w:tc>
          <w:tcPr/>
          <w:p>
            <w:pPr>
              <w:pStyle w:val="Compact"/>
              <w:jc w:val="left"/>
            </w:pPr>
            <w:r>
              <w:t xml:space="preserve">24 Wochen</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chinesische Erwachsene mit Typ-2-Diabetes, gegen Dulaglutid</w:t>
            </w:r>
          </w:p>
        </w:tc>
        <w:tc>
          <w:tcPr/>
          <w:p>
            <w:pPr>
              <w:pStyle w:val="Compact"/>
              <w:jc w:val="left"/>
            </w:pPr>
            <w:r>
              <w:t xml:space="preserve">28 Wochen</w:t>
            </w:r>
          </w:p>
        </w:tc>
        <w:tc>
          <w:tcPr/>
          <w:p>
            <w:pPr>
              <w:pStyle w:val="Compact"/>
              <w:jc w:val="left"/>
            </w:pPr>
            <w:r>
              <w:t xml:space="preserve">HbA1c zusätzlich −0,24 / −0,30; Gewicht zusätzlich −3,78 / −5,76 %</w:t>
            </w:r>
          </w:p>
        </w:tc>
      </w:tr>
      <w:tr>
        <w:tc>
          <w:tcPr/>
          <w:p>
            <w:pPr>
              <w:pStyle w:val="Compact"/>
              <w:jc w:val="left"/>
            </w:pPr>
            <w:r>
              <w:t xml:space="preserve">Phase 2 USA (Hsia 2026), PMID 42628555</w:t>
            </w:r>
          </w:p>
        </w:tc>
        <w:tc>
          <w:tcPr/>
          <w:p>
            <w:pPr>
              <w:pStyle w:val="Compact"/>
              <w:jc w:val="left"/>
            </w:pPr>
            <w:r>
              <w:t xml:space="preserve">179 Erwachsene mit Übergewicht/Adipositas, gegen Placebo</w:t>
            </w:r>
          </w:p>
        </w:tc>
        <w:tc>
          <w:tcPr/>
          <w:p>
            <w:pPr>
              <w:pStyle w:val="Compact"/>
              <w:jc w:val="left"/>
            </w:pPr>
            <w:r>
              <w:t xml:space="preserve">48 Wochen (Hauptendpunkt 32)</w:t>
            </w:r>
          </w:p>
        </w:tc>
        <w:tc>
          <w:tcPr/>
          <w:p>
            <w:pPr>
              <w:pStyle w:val="Compact"/>
              <w:jc w:val="left"/>
            </w:pPr>
            <w:r>
              <w:t xml:space="preserve">−7,3 bis −18,1 % nach 32 Wochen vs. −0,9 %</w:t>
            </w:r>
          </w:p>
        </w:tc>
      </w:tr>
    </w:tbl>
    <w:bookmarkStart w:id="244" w:name="adipositas-glory-1-und-glory-2"/>
    <w:p>
      <w:pPr>
        <w:pStyle w:val="Heading4"/>
      </w:pPr>
      <w:r>
        <w:t xml:space="preserve">Adipositas: GLORY-1 und GLORY-2</w:t>
      </w:r>
    </w:p>
    <w:p>
      <w:pPr>
        <w:pStyle w:val="FirstParagraph"/>
      </w:pPr>
      <w:r>
        <w:rPr>
          <w:bCs/>
          <w:b/>
        </w:rPr>
        <w:t xml:space="preserve">GLORY-1</w:t>
      </w:r>
      <w:r>
        <w:t xml:space="preserve"> </w:t>
      </w:r>
      <w:r>
        <w:t xml:space="preserve">(Ji 2025, PMID 40421736) war die Zulassungsstudie für China. Die Einschlusskriterien orientierten sich an chinesischen Grenzwerten: BMI ab 28 oder ab 24 mit Begleiterkrankung. Bei einem Ausgangsgewicht von 87,2 kg verringerte sich das Gewicht nach 48 Wochen um 11,0 % (4 mg) bzw. 14,0 % (6 mg); unter Placebo blieb es praktisch gleich. Mindestens 15 % verloren 35,7 % bzw. 49,5 % der Teilnehmenden. Abbrüche wegen Nebenwirkungen waren mit 0,5–1,5 % sehr selten.</w:t>
      </w:r>
    </w:p>
    <w:p>
      <w:pPr>
        <w:pStyle w:val="BodyText"/>
      </w:pPr>
      <w:r>
        <w:rPr>
          <w:bCs/>
          <w:b/>
        </w:rPr>
        <w:t xml:space="preserve">GLORY-2</w:t>
      </w:r>
      <w:r>
        <w:t xml:space="preserve"> </w:t>
      </w:r>
      <w:r>
        <w:t xml:space="preserve">(Gao 2026, PMID 42251595) prüfte eine höhere Dosis bei Menschen mit einem BMI ab 30. Die Teilnehmenden waren mit durchschnittlich 33,9 Jahren auffallend jung. Nach 60 Wochen betrug der Gewichtsverlust 16,65 % gegenüber 1,50 % unter Placebo. Der Preis waren deutlich mehr Magen-Darm-Beschwerden: Erbrechen bei 53,1 % (Placebo 1,3 %), Übelkeit bei 46,9 % (3,2 %) und Durchfall bei 39,4 % (6,5 %). Wegen Nebenwirkungen brachen trotzdem nur 2,9 % die Behandlung ab.</w:t>
      </w:r>
    </w:p>
    <w:bookmarkEnd w:id="244"/>
    <w:bookmarkStart w:id="245" w:name="typ-2-diabetes-dreams-1-und-dreams-2"/>
    <w:p>
      <w:pPr>
        <w:pStyle w:val="Heading4"/>
      </w:pPr>
      <w:r>
        <w:t xml:space="preserve">Typ-2-Diabetes: DREAMS-1 und DREAMS-2</w:t>
      </w:r>
    </w:p>
    <w:p>
      <w:pPr>
        <w:pStyle w:val="FirstParagraph"/>
      </w:pPr>
      <w:r>
        <w:t xml:space="preserve">In</w:t>
      </w:r>
      <w:r>
        <w:t xml:space="preserve"> </w:t>
      </w:r>
      <w:r>
        <w:rPr>
          <w:bCs/>
          <w:b/>
        </w:rPr>
        <w:t xml:space="preserve">DREAMS-1</w:t>
      </w:r>
      <w:r>
        <w:t xml:space="preserve"> </w:t>
      </w:r>
      <w:r>
        <w:t xml:space="preserve">(Zhu 2026, PMID 41407859) erhielten Menschen mit neu diagnostiziertem Typ-2-Diabetes (mittlere Diabetesdauer 1,9 Jahre) Mazdutid ohne weitere Diabetesmedikamente. Der HbA1c-Wert sank in der höheren Dosis nach 24 Wochen um 2,15 Prozentpunkte (Placebo −0,14), das Gewicht um 7,81 %.</w:t>
      </w:r>
    </w:p>
    <w:p>
      <w:pPr>
        <w:pStyle w:val="BodyText"/>
      </w:pPr>
      <w:r>
        <w:rPr>
          <w:bCs/>
          <w:b/>
        </w:rPr>
        <w:t xml:space="preserve">DREAMS-2</w:t>
      </w:r>
      <w:r>
        <w:t xml:space="preserve"> </w:t>
      </w:r>
      <w:r>
        <w:t xml:space="preserve">(Guo 2026, PMID 41407860) ist bislang die wichtigste Vergleichsstudie: Gegen das etablierte GLP-1-Medikament Dulaglutid war Mazdutid beim HbA1c nicht unterlegen und überlegen, wenn auch mit kleinem Abstand (−0,24 bzw. −0,30 Prozentpunkte zusätzlich). Deutlicher war der Unterschied beim Gewicht (zusätzlich −3,78 bzw. −5,76 %). Magen-Darm-Nebenwirkungen waren unter Mazdutid häufiger als unter Dulaglutid.</w:t>
      </w:r>
    </w:p>
    <w:p>
      <w:pPr>
        <w:pStyle w:val="BodyText"/>
      </w:pPr>
      <w:r>
        <w:t xml:space="preserve">Eine Vergleichsstudie gegen Semaglutid bei Menschen mit frühem Typ-2-Diabetes und Adipositas (DREAMS-3) ist laut Register abgeschlossen (NCT06184568); ihr Design und die Ausgangsdaten der 349 Teilnehmenden sind veröffentlicht (Luo 2026, PMID 41260459), die Ergebnisse noch nicht.</w:t>
      </w:r>
    </w:p>
    <w:bookmarkEnd w:id="245"/>
    <w:bookmarkStart w:id="246" w:name="X6cdc925622381547a8c5a43896cc69891a51fb8"/>
    <w:p>
      <w:pPr>
        <w:pStyle w:val="Heading4"/>
      </w:pPr>
      <w:r>
        <w:t xml:space="preserve">Studien außerhalb Chinas und höhere Dosen</w:t>
      </w:r>
    </w:p>
    <w:p>
      <w:pPr>
        <w:pStyle w:val="FirstParagraph"/>
      </w:pPr>
      <w:r>
        <w:t xml:space="preserve">Lilly untersucht Mazdutid außerhalb Chinas in höheren Dosen. In einer kleinen Phase-1-Studie mit 32 Erwachsenen in den USA sank das Körpergewicht in der höchsten Dosis nach 20 Wochen um 20,0 bzw. 21,0 % (zwei Aufdosierungsschemata) gegenüber 0,1 % unter Placebo; schwere Nebenwirkungen traten nicht auf (Bhattachar 2025, PMID 40832785).</w:t>
      </w:r>
    </w:p>
    <w:p>
      <w:pPr>
        <w:pStyle w:val="BodyText"/>
      </w:pPr>
      <w:r>
        <w:t xml:space="preserve">In der US-amerikanischen Phase-2-Studie mit 179 Teilnehmenden (Hsia 2026, PMID 42628555) betrug der Gewichtsverlust nach 32 Wochen bis zu 18,1 % in der höchsten Dosis. Allerdings brachen dort 20 % die Behandlung wegen Nebenwirkungen ab, überwiegend wegen Magen-Darm-Beschwerden. Die Hauptanalyse verwendete zudem den „Wirksamkeits-Schätzer“, der Personen nach einem Abbruch nicht mehr berücksichtigt und den Effekt daher eher günstiger darstellt.</w:t>
      </w:r>
    </w:p>
    <w:bookmarkEnd w:id="246"/>
    <w:bookmarkStart w:id="247" w:name="einzelfallberichte"/>
    <w:p>
      <w:pPr>
        <w:pStyle w:val="Heading4"/>
      </w:pPr>
      <w:r>
        <w:t xml:space="preserve">Einzelfallberichte</w:t>
      </w:r>
    </w:p>
    <w:p>
      <w:pPr>
        <w:pStyle w:val="FirstParagraph"/>
      </w:pPr>
      <w:r>
        <w:t xml:space="preserve">Ein Fallbericht beschreibt einen 15-jährigen Patienten mit Adipositas, Typ-2-Diabetes und erhöhter Harnsäure, der Mazdutid zusätzlich zu Metformin und Insulin erhielt und nach 36 Wochen 16,8 kg abnahm (Cheng 2025, PMID 41030857). Ein Einzelfall erlaubt keine Aussage über Wirksamkeit oder Sicherheit bei Jugendlichen; eine Studie dazu läuft (NCT07255209).</w:t>
      </w:r>
    </w:p>
    <w:bookmarkEnd w:id="247"/>
    <w:bookmarkEnd w:id="248"/>
    <w:bookmarkStart w:id="249" w:name="tier--und-laborstudien-7"/>
    <w:p>
      <w:pPr>
        <w:pStyle w:val="Heading3"/>
      </w:pPr>
      <w:r>
        <w:t xml:space="preserve">Tier- und Laborstudien</w:t>
      </w:r>
    </w:p>
    <w:p>
      <w:pPr>
        <w:pStyle w:val="FirstParagraph"/>
      </w:pPr>
      <w:r>
        <w:t xml:space="preserve">Bei diabetischen Mäusen (db/db-Modell) schnitt Mazdutid in Gedächtnis- und Verhaltenstests besser ab als Dulaglutid; im Gehirngewebe zeigten sich weniger Schäden (Dong 2025, PMID 40479843). Bei Mäusen mit ernährungsbedingter Fettleber und in Leberzellkulturen verringerte Mazdutid Fetteinlagerung und Entzündungszeichen (Gan 2026, PMID 41901218). Ob sich daraus Vorteile für Menschen ergeben, ist offen; eine Studie zu Typ-2-Diabetes mit beginnender kognitiver Beeinträchtigung ist in China registriert (NCT07083154).</w:t>
      </w:r>
    </w:p>
    <w:bookmarkEnd w:id="249"/>
    <w:bookmarkStart w:id="250" w:name="risiken-und-nebenwirkungen-7"/>
    <w:p>
      <w:pPr>
        <w:pStyle w:val="Heading3"/>
      </w:pPr>
      <w:r>
        <w:t xml:space="preserve">Risiken und Nebenwirkungen</w:t>
      </w:r>
    </w:p>
    <w:p>
      <w:pPr>
        <w:pStyle w:val="FirstParagraph"/>
      </w:pPr>
      <w:r>
        <w:rPr>
          <w:bCs/>
          <w:b/>
        </w:rPr>
        <w:t xml:space="preserve">Belegt aus Studien:</w:t>
      </w:r>
    </w:p>
    <w:p>
      <w:pPr>
        <w:numPr>
          <w:ilvl w:val="0"/>
          <w:numId w:val="1078"/>
        </w:numPr>
        <w:pStyle w:val="Compact"/>
      </w:pPr>
      <w:r>
        <w:rPr>
          <w:bCs/>
          <w:b/>
        </w:rPr>
        <w:t xml:space="preserve">Magen-Darm-Beschwerden</w:t>
      </w:r>
      <w:r>
        <w:t xml:space="preserve"> </w:t>
      </w:r>
      <w:r>
        <w:t xml:space="preserve">sind die häufigsten Nebenwirkungen; ihre Häufigkeit steigt mit der Dosis. In der Phase-2-Diabetesstudie traten Durchfall bei 36 %, verminderter Appetit bei 29 %, Übelkeit bei 23 % und Erbrechen bei 14 % auf (Zhang 2024, PMID 37943529). In GLORY-2 erbrach mehr als die Hälfte der Teilnehmenden mindestens einmal (Gao 2026, PMID 42251595).</w:t>
      </w:r>
    </w:p>
    <w:p>
      <w:pPr>
        <w:numPr>
          <w:ilvl w:val="0"/>
          <w:numId w:val="1078"/>
        </w:numPr>
        <w:pStyle w:val="Compact"/>
      </w:pPr>
      <w:r>
        <w:rPr>
          <w:bCs/>
          <w:b/>
        </w:rPr>
        <w:t xml:space="preserve">Unterzuckerung:</w:t>
      </w:r>
      <w:r>
        <w:t xml:space="preserve"> </w:t>
      </w:r>
      <w:r>
        <w:t xml:space="preserve">In der Phase-2-Diabetesstudie wurden Unterzuckerungen bei 10 % unter Mazdutid und 8 % unter Placebo berichtet (Zhang 2024, PMID 37943529).</w:t>
      </w:r>
    </w:p>
    <w:p>
      <w:pPr>
        <w:numPr>
          <w:ilvl w:val="0"/>
          <w:numId w:val="1078"/>
        </w:numPr>
        <w:pStyle w:val="Compact"/>
      </w:pPr>
      <w:r>
        <w:rPr>
          <w:bCs/>
          <w:b/>
        </w:rPr>
        <w:t xml:space="preserve">Abbrüche bei hohen Dosen:</w:t>
      </w:r>
      <w:r>
        <w:t xml:space="preserve"> </w:t>
      </w:r>
      <w:r>
        <w:t xml:space="preserve">bis zu 20 % in der US-Phase-2-Studie (Hsia 2026, PMID 42628555).</w:t>
      </w:r>
    </w:p>
    <w:p>
      <w:pPr>
        <w:pStyle w:val="FirstParagraph"/>
      </w:pPr>
      <w:r>
        <w:rPr>
          <w:bCs/>
          <w:b/>
        </w:rPr>
        <w:t xml:space="preserve">Noch offen:</w:t>
      </w:r>
      <w:r>
        <w:t xml:space="preserve"> </w:t>
      </w:r>
      <w:r>
        <w:t xml:space="preserve">Es gibt keine Herz-Kreislauf-Endpunktstudie. Langzeitdaten über mehr als 60 Wochen fehlen. Die Studien schlossen fast ausschließlich Menschen chinesischer Herkunft ein, die bei gleichem Gewichtsverlust andere Ausgangswerte (niedrigeres Körpergewicht) hatten als europäische Studienpopulationen. Die für GLP-1-Medikamente bekannten Klassenrisiken (Gallenblase, Bauchspeicheldrüse, Schilddrüsen-C-Zellen im Tierversuch) sind bei Mazdutid mangels Patientenjahren noch nicht eigenständig bewertet.</w:t>
      </w:r>
    </w:p>
    <w:bookmarkEnd w:id="250"/>
    <w:bookmarkStart w:id="251" w:name="rechtslage-7"/>
    <w:p>
      <w:pPr>
        <w:pStyle w:val="Heading3"/>
      </w:pPr>
      <w:r>
        <w:t xml:space="preserve">Rechtslage</w:t>
      </w:r>
    </w:p>
    <w:p>
      <w:pPr>
        <w:numPr>
          <w:ilvl w:val="0"/>
          <w:numId w:val="1079"/>
        </w:numPr>
        <w:pStyle w:val="Compact"/>
      </w:pPr>
      <w:r>
        <w:rPr>
          <w:bCs/>
          <w:b/>
        </w:rPr>
        <w:t xml:space="preserve">China:</w:t>
      </w:r>
      <w:r>
        <w:t xml:space="preserve"> </w:t>
      </w:r>
      <w:r>
        <w:t xml:space="preserve">zugelassen (Juni 2025 für Gewichtsmanagement, September 2025 für Typ-2-Diabetes) (Shirley 2025, PMID 41028652).</w:t>
      </w:r>
    </w:p>
    <w:p>
      <w:pPr>
        <w:numPr>
          <w:ilvl w:val="0"/>
          <w:numId w:val="1079"/>
        </w:numPr>
        <w:pStyle w:val="Compact"/>
      </w:pPr>
      <w:r>
        <w:rPr>
          <w:bCs/>
          <w:b/>
        </w:rPr>
        <w:t xml:space="preserve">EU / Österreich / Deutschland:</w:t>
      </w:r>
      <w:r>
        <w:t xml:space="preserve"> </w:t>
      </w:r>
      <w:r>
        <w:t xml:space="preserve">nicht zugelassen. Ein Import zur Anwendung ist ohne Zulassung nicht legal; über den Graumarkt angebotene „Mazdutide“-Produkte sind keine geprüften Arzneimittel.</w:t>
      </w:r>
    </w:p>
    <w:p>
      <w:pPr>
        <w:numPr>
          <w:ilvl w:val="0"/>
          <w:numId w:val="1079"/>
        </w:numPr>
        <w:pStyle w:val="Compact"/>
      </w:pPr>
      <w:r>
        <w:rPr>
          <w:bCs/>
          <w:b/>
        </w:rPr>
        <w:t xml:space="preserve">USA:</w:t>
      </w:r>
      <w:r>
        <w:t xml:space="preserve"> </w:t>
      </w:r>
      <w:r>
        <w:t xml:space="preserve">nicht zugelassen; Lilly führt eigene Studien durch.</w:t>
      </w:r>
    </w:p>
    <w:p>
      <w:pPr>
        <w:numPr>
          <w:ilvl w:val="0"/>
          <w:numId w:val="1079"/>
        </w:numPr>
        <w:pStyle w:val="Compact"/>
      </w:pPr>
      <w:r>
        <w:rPr>
          <w:bCs/>
          <w:b/>
        </w:rPr>
        <w:t xml:space="preserve">Sport:</w:t>
      </w:r>
      <w:r>
        <w:t xml:space="preserve"> </w:t>
      </w:r>
      <w:r>
        <w:t xml:space="preserve">nicht namentlich gelistet; Status unter S0 wegen der chinesischen Zulassung unklar – Stand 2026, bitte aktuell prüfen.</w:t>
      </w:r>
    </w:p>
    <w:bookmarkEnd w:id="251"/>
    <w:bookmarkStart w:id="252" w:name="laufende-studien-und-ausblick-7"/>
    <w:p>
      <w:pPr>
        <w:pStyle w:val="Heading3"/>
      </w:pPr>
      <w:r>
        <w:t xml:space="preserve">Laufende Studien und Ausblick</w:t>
      </w:r>
    </w:p>
    <w:p>
      <w:pPr>
        <w:pStyle w:val="FirstParagraph"/>
      </w:pPr>
      <w:r>
        <w:rPr>
          <w:bCs/>
          <w:b/>
        </w:rPr>
        <w:t xml:space="preserve">Gesichert (registrierte Studien, Stand Oktober 2026):</w:t>
      </w:r>
    </w:p>
    <w:p>
      <w:pPr>
        <w:numPr>
          <w:ilvl w:val="0"/>
          <w:numId w:val="1080"/>
        </w:numPr>
        <w:pStyle w:val="Compact"/>
      </w:pPr>
      <w:r>
        <w:t xml:space="preserve">Vergleich mit Semaglutid bei Fettleber (NCT06884293) und bei frühem Typ-2-Diabetes (NCT06184568, abgeschlossen).</w:t>
      </w:r>
    </w:p>
    <w:p>
      <w:pPr>
        <w:numPr>
          <w:ilvl w:val="0"/>
          <w:numId w:val="1080"/>
        </w:numPr>
        <w:pStyle w:val="Compact"/>
      </w:pPr>
      <w:r>
        <w:t xml:space="preserve">Schlafapnoe (NCT06931028), Bluthochdruck mit Adipositas (NCT07469800), Jugendliche (NCT07255209).</w:t>
      </w:r>
    </w:p>
    <w:p>
      <w:pPr>
        <w:numPr>
          <w:ilvl w:val="0"/>
          <w:numId w:val="1080"/>
        </w:numPr>
        <w:pStyle w:val="Compact"/>
      </w:pPr>
      <w:r>
        <w:t xml:space="preserve">Phase-2-Studien zu MASH (NCT06937749), Herzinsuffizienz mit Adipositas (NCT06862908) und Alkoholkonsumstörung (NCT06817356, abgeschlossen, Sponsor Lilly).</w:t>
      </w:r>
    </w:p>
    <w:p>
      <w:pPr>
        <w:numPr>
          <w:ilvl w:val="0"/>
          <w:numId w:val="1080"/>
        </w:numPr>
        <w:pStyle w:val="Compact"/>
      </w:pPr>
      <w:r>
        <w:t xml:space="preserve">Lilly prüft Mazdutid außerdem in einem Phase-2-Masterprotokoll (NCT06143956).</w:t>
      </w:r>
    </w:p>
    <w:p>
      <w:pPr>
        <w:pStyle w:val="FirstParagraph"/>
      </w:pPr>
      <w:r>
        <w:rPr>
          <w:bCs/>
          <w:b/>
        </w:rPr>
        <w:t xml:space="preserve">Einschätzung:</w:t>
      </w:r>
      <w:r>
        <w:t xml:space="preserve"> </w:t>
      </w:r>
      <w:r>
        <w:t xml:space="preserve">Mazdutid ist das erste Glukagon/GLP-1-Doppelmedikament mit einer Zulassung – allerdings nur in China. Ob Lilly eine Zulassung in den USA und Europa anstrebt, hängt vermutlich davon ab, ob sich das Molekül neben Tirzepatid und Retatrutid aus demselben Haus abgrenzen lässt, etwa bei Fettleber oder Alkoholkonsumstörung. Das ist eine Einschätzung; konkrete Zulassungsanträge außerhalb Chinas sind nicht bekannt.</w:t>
      </w:r>
    </w:p>
    <w:bookmarkEnd w:id="252"/>
    <w:bookmarkStart w:id="253" w:name="fazit-7"/>
    <w:p>
      <w:pPr>
        <w:pStyle w:val="Heading3"/>
      </w:pPr>
      <w:r>
        <w:t xml:space="preserve">Fazit</w:t>
      </w:r>
    </w:p>
    <w:p>
      <w:pPr>
        <w:pStyle w:val="FirstParagraph"/>
      </w:pPr>
      <w:r>
        <w:t xml:space="preserve">Mazdutid ist ein lang wirksamer Abkömmling des Darmhormons Oxyntomodulin, der GLP-1- und Glukagon-Rezeptor gleichzeitig aktiviert. In chinesischen Phase-3-Studien verringerte sich das Körpergewicht um 11–14 % nach 48 Wochen bzw. um 16,65 % nach 60 Wochen mit höherer Dosis; bei Typ-2-Diabetes war es Dulaglutid leicht überlegen. Häufigste Nebenwirkungen sind Magen-Darm-Beschwerden, die bei höheren Dosen sehr häufig werden. Mazdutid ist nur in China zugelassen; Daten zu Herz-Kreislauf-Endpunkten und zu nicht-asiatischen Bevölkerungsgruppen fehlen weitgehend.</w:t>
      </w:r>
    </w:p>
    <w:bookmarkEnd w:id="253"/>
    <w:bookmarkEnd w:id="254"/>
    <w:bookmarkStart w:id="266" w:name="cagrilintid-und-cagrisema"/>
    <w:p>
      <w:pPr>
        <w:pStyle w:val="Heading2"/>
      </w:pPr>
      <w:r>
        <w:t xml:space="preserve">Cagrilintid und CagriSema</w:t>
      </w:r>
    </w:p>
    <w:bookmarkStart w:id="255" w:name="steckbrief-8"/>
    <w:p>
      <w:pPr>
        <w:pStyle w:val="Heading3"/>
      </w:pPr>
      <w:r>
        <w:t xml:space="preserve">Steckbrief</w:t>
      </w:r>
    </w:p>
    <w:p>
      <w:pPr>
        <w:numPr>
          <w:ilvl w:val="0"/>
          <w:numId w:val="1081"/>
        </w:numPr>
        <w:pStyle w:val="Compact"/>
      </w:pPr>
      <w:r>
        <w:rPr>
          <w:bCs/>
          <w:b/>
        </w:rPr>
        <w:t xml:space="preserve">Art/Struktur:</w:t>
      </w:r>
      <w:r>
        <w:t xml:space="preserve"> </w:t>
      </w:r>
      <w:r>
        <w:t xml:space="preserve">Cagrilintid ist ein synthetisches, fettsäuremodifiziertes Analogon des Hormons Amylin für die einmal wöchentliche Gabe unter die Haut.</w:t>
      </w:r>
      <w:r>
        <w:t xml:space="preserve"> </w:t>
      </w:r>
      <w:r>
        <w:rPr>
          <w:bCs/>
          <w:b/>
        </w:rPr>
        <w:t xml:space="preserve">CagriSema</w:t>
      </w:r>
      <w:r>
        <w:t xml:space="preserve"> </w:t>
      </w:r>
      <w:r>
        <w:t xml:space="preserve">ist die feste Kombination aus Cagrilintid und Semaglutid in einem Injektionsgerät.</w:t>
      </w:r>
    </w:p>
    <w:p>
      <w:pPr>
        <w:numPr>
          <w:ilvl w:val="0"/>
          <w:numId w:val="1081"/>
        </w:numPr>
        <w:pStyle w:val="Compact"/>
      </w:pPr>
      <w:r>
        <w:rPr>
          <w:bCs/>
          <w:b/>
        </w:rPr>
        <w:t xml:space="preserve">Herkunft:</w:t>
      </w:r>
      <w:r>
        <w:t xml:space="preserve"> </w:t>
      </w:r>
      <w:r>
        <w:t xml:space="preserve">entwickelt von Novo Nordisk, dem Hersteller von Semaglutid.</w:t>
      </w:r>
    </w:p>
    <w:p>
      <w:pPr>
        <w:numPr>
          <w:ilvl w:val="0"/>
          <w:numId w:val="1081"/>
        </w:numPr>
        <w:pStyle w:val="Compact"/>
      </w:pPr>
      <w:r>
        <w:rPr>
          <w:bCs/>
          <w:b/>
        </w:rPr>
        <w:t xml:space="preserve">Wirkprinzip:</w:t>
      </w:r>
      <w:r>
        <w:t xml:space="preserve"> </w:t>
      </w:r>
      <w:r>
        <w:t xml:space="preserve">Cagrilintid aktiviert Amylin-Rezeptoren und zusätzlich den verwandten Calcitonin-Rezeptor (ein „dualer Amylin- und Calcitonin-Rezeptor-Agonist“). In CagriSema kommt die GLP-1-Wirkung des Semaglutids hinzu.</w:t>
      </w:r>
    </w:p>
    <w:p>
      <w:pPr>
        <w:numPr>
          <w:ilvl w:val="0"/>
          <w:numId w:val="1081"/>
        </w:numPr>
        <w:pStyle w:val="Compact"/>
      </w:pPr>
      <w:r>
        <w:rPr>
          <w:bCs/>
          <w:b/>
        </w:rPr>
        <w:t xml:space="preserve">Zulassung EU:</w:t>
      </w:r>
      <w:r>
        <w:t xml:space="preserve"> </w:t>
      </w:r>
      <w:r>
        <w:t xml:space="preserve">nein (Stand Oktober 2026).</w:t>
      </w:r>
    </w:p>
    <w:p>
      <w:pPr>
        <w:numPr>
          <w:ilvl w:val="0"/>
          <w:numId w:val="1081"/>
        </w:numPr>
        <w:pStyle w:val="Compact"/>
      </w:pPr>
      <w:r>
        <w:rPr>
          <w:bCs/>
          <w:b/>
        </w:rPr>
        <w:t xml:space="preserve">Zulassung USA:</w:t>
      </w:r>
      <w:r>
        <w:t xml:space="preserve"> </w:t>
      </w:r>
      <w:r>
        <w:t xml:space="preserve">nein (Stand Oktober 2026; ein Zulassungsverfahren für CagriSema ist angekündigt bzw. könnte bereits laufen – bitte aktuell prüfen).</w:t>
      </w:r>
    </w:p>
    <w:p>
      <w:pPr>
        <w:numPr>
          <w:ilvl w:val="0"/>
          <w:numId w:val="1081"/>
        </w:numPr>
        <w:pStyle w:val="Compact"/>
      </w:pPr>
      <w:r>
        <w:rPr>
          <w:bCs/>
          <w:b/>
        </w:rPr>
        <w:t xml:space="preserve">WADA:</w:t>
      </w:r>
      <w:r>
        <w:t xml:space="preserve"> </w:t>
      </w:r>
      <w:r>
        <w:t xml:space="preserve">als nicht zugelassene Substanz unter S0 verboten (Stand 2026, bitte aktuell prüfen).</w:t>
      </w:r>
    </w:p>
    <w:p>
      <w:pPr>
        <w:numPr>
          <w:ilvl w:val="0"/>
          <w:numId w:val="1081"/>
        </w:numPr>
        <w:pStyle w:val="Compact"/>
      </w:pPr>
      <w:r>
        <w:rPr>
          <w:bCs/>
          <w:b/>
        </w:rPr>
        <w:t xml:space="preserve">Evidenzstufe:</w:t>
      </w:r>
      <w:r>
        <w:t xml:space="preserve"> </w:t>
      </w:r>
      <w:r>
        <w:rPr>
          <w:bCs/>
          <w:b/>
        </w:rPr>
        <w:t xml:space="preserve">B</w:t>
      </w:r>
      <w:r>
        <w:t xml:space="preserve"> </w:t>
      </w:r>
      <w:r>
        <w:t xml:space="preserve">– mehrere große Phase-3-Studien veröffentlicht, aber noch keine Zulassung. Mit Zulassung würde CagriSema Stufe A erreichen.</w:t>
      </w:r>
    </w:p>
    <w:bookmarkEnd w:id="255"/>
    <w:bookmarkStart w:id="256" w:name="wie-es-wirken-soll-8"/>
    <w:p>
      <w:pPr>
        <w:pStyle w:val="Heading3"/>
      </w:pPr>
      <w:r>
        <w:t xml:space="preserve">Wie es wirken soll</w:t>
      </w:r>
    </w:p>
    <w:p>
      <w:pPr>
        <w:pStyle w:val="FirstParagraph"/>
      </w:pPr>
      <w:r>
        <w:t xml:space="preserve">Amylin ist ein Hormon, das die Betazellen der Bauchspeicheldrüse gemeinsam mit Insulin ausschütten. Es wirkt vor allem im Hirnstamm: Es fördert das Sättigungsgefühl, verlangsamt die Magenentleerung und bremst die Glukagon-Ausschüttung nach dem Essen. Menschen mit Typ-1-Diabetes fehlt neben Insulin auch Amylin.</w:t>
      </w:r>
    </w:p>
    <w:p>
      <w:pPr>
        <w:pStyle w:val="BodyText"/>
      </w:pPr>
      <w:r>
        <w:t xml:space="preserve">Natürliches Amylin ist als Medikament ungeeignet, weil es zur Verklumpung neigt (es bildet sogenannte Amyloid-Fibrillen) und nur Minuten im Blut überdauert. Das erste Amylin-Medikament, Pramlintid (siehe eigenes Kapitel), muss deshalb mehrmals täglich gespritzt werden. Cagrilintid wurde gezielt so verändert, dass es stabil bleibt und durch eine Fettsäurekette eine Woche lang wirkt (Kruse 2021, PMID 34288673). In Phase-1-Daten lag die Halbwertszeit bei 159 bis 195 Stunden, also rund einer Woche (Enebo 2021, PMID 33894838).</w:t>
      </w:r>
    </w:p>
    <w:p>
      <w:pPr>
        <w:pStyle w:val="BodyText"/>
      </w:pPr>
      <w:r>
        <w:t xml:space="preserve">Die Kombination mit Semaglutid folgt einer einfachen Idee: Amylin und GLP-1 wirken über verschiedene Rezeptoren und teilweise unterschiedliche Hirnregionen auf die Sättigung – die Effekte könnten sich addieren. Untersuchungen an genetisch veränderten Mäusen zeigen, dass Cagrilintid für seine gewichtssenkende Wirkung die Amylin-Rezeptor-Untertypen 1 und 3 im Gehirn benötigt (Carvas 2025, PMID 40609154). Bei Ratten senkte CagriSema vor allem die Energieaufnahme, während der Energieverbrauch weitgehend erhalten blieb (Jacobsen 2025, PMID 40629149).</w:t>
      </w:r>
    </w:p>
    <w:bookmarkEnd w:id="256"/>
    <w:bookmarkStart w:id="260" w:name="studien-am-menschen-8"/>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15 Humanstudien zu Cagrilintid bzw. CagriSema. Auf ClinicalTrials.gov waren 44 Studien registriert. Das Zulassungsprogramm heißt</w:t>
      </w:r>
      <w:r>
        <w:t xml:space="preserve"> </w:t>
      </w:r>
      <w:r>
        <w:rPr>
          <w:bCs/>
          <w:b/>
        </w:rPr>
        <w:t xml:space="preserve">REDEFINE</w:t>
      </w:r>
      <w:r>
        <w:t xml:space="preserve"> </w:t>
      </w:r>
      <w:r>
        <w:t xml:space="preserve">(Gewichtsmanagement) bzw.</w:t>
      </w:r>
      <w:r>
        <w:t xml:space="preserve"> </w:t>
      </w:r>
      <w:r>
        <w:rPr>
          <w:bCs/>
          <w:b/>
        </w:rPr>
        <w:t xml:space="preserve">REIMAGINE</w:t>
      </w:r>
      <w:r>
        <w:t xml:space="preserve"> </w:t>
      </w:r>
      <w:r>
        <w:t xml:space="preserve">(Typ-2-Diabetes).</w:t>
      </w:r>
    </w:p>
    <w:bookmarkStart w:id="257" w:name="cagrilintid-allein"/>
    <w:p>
      <w:pPr>
        <w:pStyle w:val="Heading4"/>
      </w:pPr>
      <w:r>
        <w:t xml:space="preserve">Cagrilintid allein</w:t>
      </w:r>
    </w:p>
    <w:p>
      <w:pPr>
        <w:pStyle w:val="FirstParagraph"/>
      </w:pPr>
      <w:r>
        <w:t xml:space="preserve">In der Phase-2-Dosisfindungsstudie (Lau 2021, PMID 34798060) erhielten 706 Erwachsene mit Übergewicht oder Adipositas 26 Wochen lang Cagrilintid in fünf Dosen, Liraglutid oder Placebo. Das Gewicht sank dosisabhängig um 6,0 bis 10,8 % (Placebo 3,0 %). Die höchste Dosis war Liraglutid 3,0 mg leicht überlegen (10,8 % vs. 9,0 %). Übelkeit trat bei 20–47 % auf (Placebo 18 %). Cagrilintid allein erreicht damit etwa die Größenordnung älterer GLP-1-Medikamente, nicht die von Semaglutid oder Tirzepatid. Inzwischen wird es auch als Einzelsubstanz in Phase 3 geprüft (NCT07220642).</w:t>
      </w:r>
    </w:p>
    <w:bookmarkEnd w:id="257"/>
    <w:bookmarkStart w:id="258" w:name="cagrisema-frühe-studien"/>
    <w:p>
      <w:pPr>
        <w:pStyle w:val="Heading4"/>
      </w:pPr>
      <w:r>
        <w:t xml:space="preserve">CagriSema: frühe Studien</w:t>
      </w:r>
    </w:p>
    <w:p>
      <w:pPr>
        <w:pStyle w:val="FirstParagraph"/>
      </w:pPr>
      <w:r>
        <w:t xml:space="preserve">In einer Phase-1b-Studie bei 95 gesunden Personen mit Übergewicht verloren die Teilnehmenden mit Semaglutid plus Cagrilintid nach 20 Wochen bis zu 17,1 % ihres Gewichts, mit Semaglutid plus Placebo 9,8 % (Enebo 2021, PMID 33894838). Die beiden Wirkstoffe beeinflussten ihre Blutspiegel gegenseitig nicht.</w:t>
      </w:r>
    </w:p>
    <w:p>
      <w:pPr>
        <w:pStyle w:val="BodyText"/>
      </w:pPr>
      <w:r>
        <w:t xml:space="preserve">Eine kleine Phase-2-Studie bei 92 Menschen mit Typ-2-Diabetes verglich CagriSema direkt mit beiden Einzelsubstanzen (Frias 2023, PMID 37364590). Nach 32 Wochen betrug die Gewichtsabnahme 15,6 % mit CagriSema, 5,1 % mit Semaglutid und 8,1 % mit Cagrilintid. Beim HbA1c war CagriSema mit −2,2 Prozentpunkten Semaglutid (−1,8) nicht statistisch überlegen.</w:t>
      </w:r>
    </w:p>
    <w:bookmarkEnd w:id="258"/>
    <w:bookmarkStart w:id="259" w:name="cagrisema-phase-3-redefine-und-reimagine"/>
    <w:p>
      <w:pPr>
        <w:pStyle w:val="Heading4"/>
      </w:pPr>
      <w:r>
        <w:t xml:space="preserve">CagriSema: Phase 3 (REDEFINE und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REDEFINE 1 (Garvey 2025), PMID 40544433</w:t>
            </w:r>
          </w:p>
        </w:tc>
        <w:tc>
          <w:tcPr/>
          <w:p>
            <w:pPr>
              <w:pStyle w:val="Compact"/>
              <w:jc w:val="left"/>
            </w:pPr>
            <w:r>
              <w:t xml:space="preserve">3.417 Erwachsene mit Übergewicht/Adipositas ohne Diabetes; gegen Placebo und Einzelsubstanzen</w:t>
            </w:r>
          </w:p>
        </w:tc>
        <w:tc>
          <w:tcPr/>
          <w:p>
            <w:pPr>
              <w:pStyle w:val="Compact"/>
              <w:jc w:val="left"/>
            </w:pPr>
            <w:r>
              <w:t xml:space="preserve">68 Wochen</w:t>
            </w:r>
          </w:p>
        </w:tc>
        <w:tc>
          <w:tcPr/>
          <w:p>
            <w:pPr>
              <w:pStyle w:val="Compact"/>
              <w:jc w:val="left"/>
            </w:pPr>
            <w:r>
              <w:t xml:space="preserve">−20,4 % Gewicht vs. −3,0 %</w:t>
            </w:r>
          </w:p>
        </w:tc>
      </w:tr>
      <w:tr>
        <w:tc>
          <w:tcPr/>
          <w:p>
            <w:pPr>
              <w:pStyle w:val="Compact"/>
              <w:jc w:val="left"/>
            </w:pPr>
            <w:r>
              <w:t xml:space="preserve">REDEFINE 2 (Davies 2025), PMID 40544432</w:t>
            </w:r>
          </w:p>
        </w:tc>
        <w:tc>
          <w:tcPr/>
          <w:p>
            <w:pPr>
              <w:pStyle w:val="Compact"/>
              <w:jc w:val="left"/>
            </w:pPr>
            <w:r>
              <w:t xml:space="preserve">1.206 Erwachsene mit Adipositas und Typ-2-Diabetes, gegen Placebo</w:t>
            </w:r>
          </w:p>
        </w:tc>
        <w:tc>
          <w:tcPr/>
          <w:p>
            <w:pPr>
              <w:pStyle w:val="Compact"/>
              <w:jc w:val="left"/>
            </w:pPr>
            <w:r>
              <w:t xml:space="preserve">68 Wochen</w:t>
            </w:r>
          </w:p>
        </w:tc>
        <w:tc>
          <w:tcPr/>
          <w:p>
            <w:pPr>
              <w:pStyle w:val="Compact"/>
              <w:jc w:val="left"/>
            </w:pPr>
            <w:r>
              <w:t xml:space="preserve">−13,7 % vs. −3,4 %</w:t>
            </w:r>
          </w:p>
        </w:tc>
      </w:tr>
      <w:tr>
        <w:tc>
          <w:tcPr/>
          <w:p>
            <w:pPr>
              <w:pStyle w:val="Compact"/>
              <w:jc w:val="left"/>
            </w:pPr>
            <w:r>
              <w:t xml:space="preserve">REDEFINE 5 (Yamauchi 2026), PMID 42009015</w:t>
            </w:r>
          </w:p>
        </w:tc>
        <w:tc>
          <w:tcPr/>
          <w:p>
            <w:pPr>
              <w:pStyle w:val="Compact"/>
              <w:jc w:val="left"/>
            </w:pPr>
            <w:r>
              <w:t xml:space="preserve">331 Erwachsene in Japan und Taiwan, gegen Semaglutid</w:t>
            </w:r>
          </w:p>
        </w:tc>
        <w:tc>
          <w:tcPr/>
          <w:p>
            <w:pPr>
              <w:pStyle w:val="Compact"/>
              <w:jc w:val="left"/>
            </w:pPr>
            <w:r>
              <w:t xml:space="preserve">68 Wochen</w:t>
            </w:r>
          </w:p>
        </w:tc>
        <w:tc>
          <w:tcPr/>
          <w:p>
            <w:pPr>
              <w:pStyle w:val="Compact"/>
              <w:jc w:val="left"/>
            </w:pPr>
            <w:r>
              <w:t xml:space="preserve">−18,4 % vs. −11,9 % (Semaglutid)</w:t>
            </w:r>
          </w:p>
        </w:tc>
      </w:tr>
      <w:tr>
        <w:tc>
          <w:tcPr/>
          <w:p>
            <w:pPr>
              <w:pStyle w:val="Compact"/>
              <w:jc w:val="left"/>
            </w:pPr>
            <w:r>
              <w:t xml:space="preserve">REIMAGINE 1 (Aroda 2026), PMID 42251860</w:t>
            </w:r>
          </w:p>
        </w:tc>
        <w:tc>
          <w:tcPr/>
          <w:p>
            <w:pPr>
              <w:pStyle w:val="Compact"/>
              <w:jc w:val="left"/>
            </w:pPr>
            <w:r>
              <w:t xml:space="preserve">189 Erwachsene mit Typ-2-Diabetes ohne Medikamente, gegen Placebo</w:t>
            </w:r>
          </w:p>
        </w:tc>
        <w:tc>
          <w:tcPr/>
          <w:p>
            <w:pPr>
              <w:pStyle w:val="Compact"/>
              <w:jc w:val="left"/>
            </w:pPr>
            <w:r>
              <w:t xml:space="preserve">40 Wochen</w:t>
            </w:r>
          </w:p>
        </w:tc>
        <w:tc>
          <w:tcPr/>
          <w:p>
            <w:pPr>
              <w:pStyle w:val="Compact"/>
              <w:jc w:val="left"/>
            </w:pPr>
            <w:r>
              <w:t xml:space="preserve">HbA1c −1,8 vs. −0,1; Gewicht −13,8 % vs. −1,4 %</w:t>
            </w:r>
          </w:p>
        </w:tc>
      </w:tr>
      <w:tr>
        <w:tc>
          <w:tcPr/>
          <w:p>
            <w:pPr>
              <w:pStyle w:val="Compact"/>
              <w:jc w:val="left"/>
            </w:pPr>
            <w:r>
              <w:t xml:space="preserve">REIMAGINE 2 (Buse 2026), PMID 42251859</w:t>
            </w:r>
          </w:p>
        </w:tc>
        <w:tc>
          <w:tcPr/>
          <w:p>
            <w:pPr>
              <w:pStyle w:val="Compact"/>
              <w:jc w:val="left"/>
            </w:pPr>
            <w:r>
              <w:t xml:space="preserve">2.713 Erwachsene mit Typ-2-Diabetes, gegen Semaglutid, Cagrilintid und Placebo</w:t>
            </w:r>
          </w:p>
        </w:tc>
        <w:tc>
          <w:tcPr/>
          <w:p>
            <w:pPr>
              <w:pStyle w:val="Compact"/>
              <w:jc w:val="left"/>
            </w:pPr>
            <w:r>
              <w:t xml:space="preserve">68 Wochen</w:t>
            </w:r>
          </w:p>
        </w:tc>
        <w:tc>
          <w:tcPr/>
          <w:p>
            <w:pPr>
              <w:pStyle w:val="Compact"/>
              <w:jc w:val="left"/>
            </w:pPr>
            <w:r>
              <w:t xml:space="preserve">HbA1c −1,91 vs. −1,75 (Semaglutid 2,4 mg)</w:t>
            </w:r>
          </w:p>
        </w:tc>
      </w:tr>
      <w:tr>
        <w:tc>
          <w:tcPr/>
          <w:p>
            <w:pPr>
              <w:pStyle w:val="Compact"/>
              <w:jc w:val="left"/>
            </w:pPr>
            <w:r>
              <w:t xml:space="preserve">REIMAGINE 3 (Rosenstock 2026), PMID 42251856</w:t>
            </w:r>
          </w:p>
        </w:tc>
        <w:tc>
          <w:tcPr/>
          <w:p>
            <w:pPr>
              <w:pStyle w:val="Compact"/>
              <w:jc w:val="left"/>
            </w:pPr>
            <w:r>
              <w:t xml:space="preserve">274 Erwachsene mit Typ-2-Diabetes und Basalinsulin, gegen Placebo</w:t>
            </w:r>
          </w:p>
        </w:tc>
        <w:tc>
          <w:tcPr/>
          <w:p>
            <w:pPr>
              <w:pStyle w:val="Compact"/>
              <w:jc w:val="left"/>
            </w:pPr>
            <w:r>
              <w:t xml:space="preserve">40 Wochen</w:t>
            </w:r>
          </w:p>
        </w:tc>
        <w:tc>
          <w:tcPr/>
          <w:p>
            <w:pPr>
              <w:pStyle w:val="Compact"/>
              <w:jc w:val="left"/>
            </w:pPr>
            <w:r>
              <w:t xml:space="preserve">HbA1c −2,33 vs. −0,66; Gewicht −10 bis −12 %</w:t>
            </w:r>
          </w:p>
        </w:tc>
      </w:tr>
    </w:tbl>
    <w:p>
      <w:pPr>
        <w:pStyle w:val="BodyText"/>
      </w:pPr>
      <w:r>
        <w:rPr>
          <w:bCs/>
          <w:b/>
        </w:rPr>
        <w:t xml:space="preserve">REDEFINE 1</w:t>
      </w:r>
      <w:r>
        <w:t xml:space="preserve"> </w:t>
      </w:r>
      <w:r>
        <w:t xml:space="preserve">(Garvey 2025, PMID 40544433) ist die Hauptstudie. Bei 3.417 Erwachsenen ohne Diabetes verringerte sich das Körpergewicht nach 68 Wochen um durchschnittlich 20,4 % gegenüber 3,0 % unter Placebo. Die Studie enthielt auch kleinere Gruppen mit Semaglutid allein und Cagrilintid allein. In einer Nachauswertung erreichten 30,3 % unter CagriSema, 19,1 % unter Semaglutid, 9,0 % unter Cagrilintid und 3,3 % unter Placebo sowohl einen BMI unter 27 als auch ein günstiges Verhältnis von Taille zu Körpergröße (Busetto 2026, PMID 42503495). Der systolische Blutdruck sank unter CagriSema um 10,9 mmHg (Placebo −2,8) (Verma 2026, PMID 41328546).</w:t>
      </w:r>
    </w:p>
    <w:p>
      <w:pPr>
        <w:pStyle w:val="BodyText"/>
      </w:pPr>
      <w:r>
        <w:t xml:space="preserve">Zur Einordnung: Die erreichten 20,4 % liegen in der Größenordnung von Tirzepatid in SURMOUNT-1 (20,9 % nach 72 Wochen in der höchsten Dosis). Ein solcher Quervergleich zwischen verschiedenen Studien ist nur eine grobe Orientierung; der direkte Vergleich steht noch aus (siehe unten).</w:t>
      </w:r>
    </w:p>
    <w:p>
      <w:pPr>
        <w:pStyle w:val="BodyText"/>
      </w:pPr>
      <w:r>
        <w:rPr>
          <w:bCs/>
          <w:b/>
        </w:rPr>
        <w:t xml:space="preserve">REDEFINE 2</w:t>
      </w:r>
      <w:r>
        <w:t xml:space="preserve"> </w:t>
      </w:r>
      <w:r>
        <w:t xml:space="preserve">(Davies 2025, PMID 40544432) bestätigte das Muster bei Menschen mit Typ-2-Diabetes: −13,7 % gegenüber −3,4 %. 73,5 % erreichten einen HbA1c-Wert von höchstens 6,5 % (Placebo 15,9 %).</w:t>
      </w:r>
    </w:p>
    <w:p>
      <w:pPr>
        <w:pStyle w:val="BodyText"/>
      </w:pPr>
      <w:r>
        <w:rPr>
          <w:bCs/>
          <w:b/>
        </w:rPr>
        <w:t xml:space="preserve">REDEFINE 5</w:t>
      </w:r>
      <w:r>
        <w:t xml:space="preserve"> </w:t>
      </w:r>
      <w:r>
        <w:t xml:space="preserve">(Yamauchi 2026, PMID 42009015) ist die erste veröffentlichte verblindete Phase-3-Studie im direkten Vergleich mit Semaglutid 2,4 mg: In Japan und Taiwan verloren die Teilnehmenden 18,4 % mit CagriSema gegenüber 11,9 % mit Semaglutid allein. Magen-Darm-Beschwerden waren mit 53 % gegenüber 51 % ähnlich häufig.</w:t>
      </w:r>
    </w:p>
    <w:p>
      <w:pPr>
        <w:pStyle w:val="BodyText"/>
      </w:pPr>
      <w:r>
        <w:rPr>
          <w:bCs/>
          <w:b/>
        </w:rPr>
        <w:t xml:space="preserve">REIMAGINE 2</w:t>
      </w:r>
      <w:r>
        <w:t xml:space="preserve"> </w:t>
      </w:r>
      <w:r>
        <w:t xml:space="preserve">(Buse 2026, PMID 42251859) zeigte bei Typ-2-Diabetes, dass CagriSema den HbA1c-Wert nur geringfügig stärker senkt als Semaglutid 2,4 mg allein (−1,91 vs. −1,75 Prozentpunkte). Der Zusatznutzen von Cagrilintid liegt also vor allem beim Gewicht, kaum beim Blutzucker.</w:t>
      </w:r>
    </w:p>
    <w:p>
      <w:pPr>
        <w:pStyle w:val="BodyText"/>
      </w:pPr>
      <w:r>
        <w:t xml:space="preserve">Die direkte Vergleichsstudie gegen Tirzepatid bei Adipositas (REDEFINE 4, NCT06131437) sowie zwei Vergleichsstudien gegen Tirzepatid bei Typ-2-Diabetes (NCT06221969, NCT06534411) sind laut Register abgeschlossen; begutachtete Veröffentlichungen lagen bei der Recherche noch nicht vor.</w:t>
      </w:r>
    </w:p>
    <w:bookmarkEnd w:id="259"/>
    <w:bookmarkEnd w:id="260"/>
    <w:bookmarkStart w:id="261" w:name="tier--und-laborstudien-8"/>
    <w:p>
      <w:pPr>
        <w:pStyle w:val="Heading3"/>
      </w:pPr>
      <w:r>
        <w:t xml:space="preserve">Tier- und Laborstudien</w:t>
      </w:r>
    </w:p>
    <w:p>
      <w:pPr>
        <w:pStyle w:val="FirstParagraph"/>
      </w:pPr>
      <w:r>
        <w:t xml:space="preserve">Strukturbiologische Untersuchungen zeigen, wie Cagrilintid an Amylin- und Calcitonin-Rezeptoren bindet (Cao 2025, PMID 40204768). Bei Mäusen ohne die Amylin-Rezeptor-Untertypen 1 und 3 war die Wirkung stark abgeschwächt (Carvas 2025, PMID 40609154). Bei Ratten senkte CagriSema die Nahrungsaufnahme um 39 %; nach Berechnung der Autorinnen und Autoren ging etwa ein Drittel des Gewichtsverlusts darauf zurück, dass der Energieverbrauch nicht im üblichen Maß absank (Jacobsen 2025, PMID 40629149). In einer weiteren Rattenstudie verstärkte die Kombination von Cagrilintid mit Retatrutid den Gewichtsverlust (Petersen 2026, PMID 42744908) – ein Hinweis, dass Amylin-Wirkstoffe künftig auch mit anderen Inkretin-Medikamenten kombiniert werden könnten. Alle diese Ergebnisse stammen aus Tierversuchen.</w:t>
      </w:r>
    </w:p>
    <w:bookmarkEnd w:id="261"/>
    <w:bookmarkStart w:id="262" w:name="risiken-und-nebenwirkungen-8"/>
    <w:p>
      <w:pPr>
        <w:pStyle w:val="Heading3"/>
      </w:pPr>
      <w:r>
        <w:t xml:space="preserve">Risiken und Nebenwirkungen</w:t>
      </w:r>
    </w:p>
    <w:p>
      <w:pPr>
        <w:pStyle w:val="FirstParagraph"/>
      </w:pPr>
      <w:r>
        <w:rPr>
          <w:bCs/>
          <w:b/>
        </w:rPr>
        <w:t xml:space="preserve">Belegt aus Studien:</w:t>
      </w:r>
    </w:p>
    <w:p>
      <w:pPr>
        <w:numPr>
          <w:ilvl w:val="0"/>
          <w:numId w:val="1082"/>
        </w:numPr>
        <w:pStyle w:val="Compact"/>
      </w:pPr>
      <w:r>
        <w:rPr>
          <w:bCs/>
          <w:b/>
        </w:rPr>
        <w:t xml:space="preserve">Magen-Darm-Beschwerden</w:t>
      </w:r>
      <w:r>
        <w:t xml:space="preserve"> </w:t>
      </w:r>
      <w:r>
        <w:t xml:space="preserve">– Übelkeit, Erbrechen, Durchfall, Verstopfung, Bauchschmerzen – betrafen in REDEFINE 1 79,6 % unter CagriSema gegenüber 39,9 % unter Placebo; sie waren meist vorübergehend und leicht bis mittelschwer (Garvey 2025, PMID 40544433). In REDEFINE 2 waren es 72,5 % gegenüber 34,4 % (Davies 2025, PMID 40544432).</w:t>
      </w:r>
    </w:p>
    <w:p>
      <w:pPr>
        <w:numPr>
          <w:ilvl w:val="0"/>
          <w:numId w:val="1082"/>
        </w:numPr>
        <w:pStyle w:val="Compact"/>
      </w:pPr>
      <w:r>
        <w:rPr>
          <w:bCs/>
          <w:b/>
        </w:rPr>
        <w:t xml:space="preserve">Unterzuckerung:</w:t>
      </w:r>
      <w:r>
        <w:t xml:space="preserve"> </w:t>
      </w:r>
      <w:r>
        <w:t xml:space="preserve">In REIMAGINE 3 traten trotz gleichzeitiger Insulinbehandlung keine schweren Unterzuckerungen auf (Rosenstock 2026, PMID 42251856). Bei Kombination mit Insulin oder Sulfonylharnstoffen bleibt das Risiko aber grundsätzlich bestehen.</w:t>
      </w:r>
    </w:p>
    <w:p>
      <w:pPr>
        <w:numPr>
          <w:ilvl w:val="0"/>
          <w:numId w:val="1082"/>
        </w:numPr>
        <w:pStyle w:val="Compact"/>
      </w:pPr>
      <w:r>
        <w:rPr>
          <w:bCs/>
          <w:b/>
        </w:rPr>
        <w:t xml:space="preserve">Herzrhythmus:</w:t>
      </w:r>
      <w:r>
        <w:t xml:space="preserve"> </w:t>
      </w:r>
      <w:r>
        <w:t xml:space="preserve">In einer eigenen Studie mit 105 gesunden Personen verlängerte Cagrilintid die QT-Zeit im EKG nicht in klinisch relevantem Ausmaß (Gabe 2024, PMID 39279639).</w:t>
      </w:r>
    </w:p>
    <w:p>
      <w:pPr>
        <w:numPr>
          <w:ilvl w:val="0"/>
          <w:numId w:val="1082"/>
        </w:numPr>
        <w:pStyle w:val="Compact"/>
      </w:pPr>
      <w:r>
        <w:rPr>
          <w:bCs/>
          <w:b/>
        </w:rPr>
        <w:t xml:space="preserve">Nieren- und Leberfunktion:</w:t>
      </w:r>
      <w:r>
        <w:t xml:space="preserve"> </w:t>
      </w:r>
      <w:r>
        <w:t xml:space="preserve">Die Blutspiegel von Cagrilintid veränderten sich bei eingeschränkter Nieren- oder Leberfunktion nicht wesentlich (Nielsen 2026, PMID 42228334).</w:t>
      </w:r>
    </w:p>
    <w:p>
      <w:pPr>
        <w:pStyle w:val="FirstParagraph"/>
      </w:pPr>
      <w:r>
        <w:rPr>
          <w:bCs/>
          <w:b/>
        </w:rPr>
        <w:t xml:space="preserve">Theoretisch oder noch nicht ausreichend untersucht:</w:t>
      </w:r>
      <w:r>
        <w:t xml:space="preserve"> </w:t>
      </w:r>
      <w:r>
        <w:t xml:space="preserve">Der Calcitonin-Rezeptor kommt auch in Knochen vor; wie sich die Dauerstimulation auf den Knochenstoffwechsel auswirkt, wird derzeit untersucht (NCT07010432). Ebenso ungeklärt ist, ob die Kombination den Verlust von Muskelmasse beeinflusst (NCT07527195). Zu den Klassenrisiken von Semaglutid (Gallenblase, Bauchspeicheldrüse, Schilddrüsen-C-Zellen im Tierversuch) siehe das Kapitel Semaglutid.</w:t>
      </w:r>
    </w:p>
    <w:bookmarkEnd w:id="262"/>
    <w:bookmarkStart w:id="263" w:name="rechtslage-8"/>
    <w:p>
      <w:pPr>
        <w:pStyle w:val="Heading3"/>
      </w:pPr>
      <w:r>
        <w:t xml:space="preserve">Rechtslage</w:t>
      </w:r>
    </w:p>
    <w:p>
      <w:pPr>
        <w:numPr>
          <w:ilvl w:val="0"/>
          <w:numId w:val="1083"/>
        </w:numPr>
        <w:pStyle w:val="Compact"/>
      </w:pPr>
      <w:r>
        <w:rPr>
          <w:bCs/>
          <w:b/>
        </w:rPr>
        <w:t xml:space="preserve">EU / Österreich / Deutschland:</w:t>
      </w:r>
      <w:r>
        <w:t xml:space="preserve"> </w:t>
      </w:r>
      <w:r>
        <w:t xml:space="preserve">weder Cagrilintid noch CagriSema sind zugelassen; Anwendung nur in Studien. Graumarktangebote von „Cagrilintide“ sind keine Arzneimittel und nicht geprüft.</w:t>
      </w:r>
    </w:p>
    <w:p>
      <w:pPr>
        <w:numPr>
          <w:ilvl w:val="0"/>
          <w:numId w:val="1083"/>
        </w:numPr>
        <w:pStyle w:val="Compact"/>
      </w:pPr>
      <w:r>
        <w:rPr>
          <w:bCs/>
          <w:b/>
        </w:rPr>
        <w:t xml:space="preserve">USA:</w:t>
      </w:r>
      <w:r>
        <w:t xml:space="preserve"> </w:t>
      </w:r>
      <w:r>
        <w:t xml:space="preserve">nicht zugelassen (Stand Oktober 2026, bitte aktuell prüfen).</w:t>
      </w:r>
    </w:p>
    <w:p>
      <w:pPr>
        <w:numPr>
          <w:ilvl w:val="0"/>
          <w:numId w:val="1083"/>
        </w:numPr>
        <w:pStyle w:val="Compact"/>
      </w:pPr>
      <w:r>
        <w:rPr>
          <w:bCs/>
          <w:b/>
        </w:rPr>
        <w:t xml:space="preserve">Sport:</w:t>
      </w:r>
      <w:r>
        <w:t xml:space="preserve"> </w:t>
      </w:r>
      <w:r>
        <w:t xml:space="preserve">WADA-Klasse S0 (nicht zugelassen), Stand 2026, bitte aktuell prüfen.</w:t>
      </w:r>
    </w:p>
    <w:bookmarkEnd w:id="263"/>
    <w:bookmarkStart w:id="264" w:name="laufende-studien-und-ausblick-8"/>
    <w:p>
      <w:pPr>
        <w:pStyle w:val="Heading3"/>
      </w:pPr>
      <w:r>
        <w:t xml:space="preserve">Laufende Studien und Ausblick</w:t>
      </w:r>
    </w:p>
    <w:p>
      <w:pPr>
        <w:pStyle w:val="FirstParagraph"/>
      </w:pPr>
      <w:r>
        <w:rPr>
          <w:bCs/>
          <w:b/>
        </w:rPr>
        <w:t xml:space="preserve">Gesichert (registrierte Studien, Stand Oktober 2026):</w:t>
      </w:r>
    </w:p>
    <w:p>
      <w:pPr>
        <w:numPr>
          <w:ilvl w:val="0"/>
          <w:numId w:val="1084"/>
        </w:numPr>
        <w:pStyle w:val="Compact"/>
      </w:pPr>
      <w:r>
        <w:rPr>
          <w:bCs/>
          <w:b/>
        </w:rPr>
        <w:t xml:space="preserve">REDEFINE 3</w:t>
      </w:r>
      <w:r>
        <w:t xml:space="preserve"> </w:t>
      </w:r>
      <w:r>
        <w:t xml:space="preserve">(NCT05669755): Herz-Kreislauf-Endpunktstudie mit 7.076 randomisierten Menschen mit bestehender Herz-Kreislauf-Erkrankung und Übergewicht; geplantes Ende 2027. Design und Ausgangsdaten sind veröffentlicht (Cavender 2026, PMID 42838477).</w:t>
      </w:r>
    </w:p>
    <w:p>
      <w:pPr>
        <w:numPr>
          <w:ilvl w:val="0"/>
          <w:numId w:val="1084"/>
        </w:numPr>
        <w:pStyle w:val="Compact"/>
      </w:pPr>
      <w:r>
        <w:rPr>
          <w:bCs/>
          <w:b/>
        </w:rPr>
        <w:t xml:space="preserve">Vergleiche gegen Tirzepatid</w:t>
      </w:r>
      <w:r>
        <w:t xml:space="preserve"> </w:t>
      </w:r>
      <w:r>
        <w:t xml:space="preserve">(NCT06131437, NCT06221969, NCT06534411): abgeschlossen, Veröffentlichung ausstehend.</w:t>
      </w:r>
    </w:p>
    <w:p>
      <w:pPr>
        <w:numPr>
          <w:ilvl w:val="0"/>
          <w:numId w:val="1084"/>
        </w:numPr>
        <w:pStyle w:val="Compact"/>
      </w:pPr>
      <w:r>
        <w:rPr>
          <w:bCs/>
          <w:b/>
        </w:rPr>
        <w:t xml:space="preserve">Höhere CagriSema-Dosen</w:t>
      </w:r>
      <w:r>
        <w:t xml:space="preserve"> </w:t>
      </w:r>
      <w:r>
        <w:t xml:space="preserve">gegen Semaglutid (NCT07564414) und Langzeitstudie zum Gewichtserhalt (NCT06780449).</w:t>
      </w:r>
    </w:p>
    <w:p>
      <w:pPr>
        <w:numPr>
          <w:ilvl w:val="0"/>
          <w:numId w:val="1084"/>
        </w:numPr>
        <w:pStyle w:val="Compact"/>
      </w:pPr>
      <w:r>
        <w:rPr>
          <w:bCs/>
          <w:b/>
        </w:rPr>
        <w:t xml:space="preserve">Kinder und Jugendliche</w:t>
      </w:r>
      <w:r>
        <w:t xml:space="preserve"> </w:t>
      </w:r>
      <w:r>
        <w:t xml:space="preserve">(NCT07253285) sowie Cagrilintid allein (NCT07220642).</w:t>
      </w:r>
    </w:p>
    <w:p>
      <w:pPr>
        <w:numPr>
          <w:ilvl w:val="0"/>
          <w:numId w:val="1084"/>
        </w:numPr>
        <w:pStyle w:val="Compact"/>
      </w:pPr>
      <w:r>
        <w:t xml:space="preserve">Kleinere Studien zu Knochen (NCT07010432), Muskeln (NCT07527195) und zu Menschen, die GLP-1-Medikamente nicht vertragen (NCT07607587).</w:t>
      </w:r>
    </w:p>
    <w:p>
      <w:pPr>
        <w:pStyle w:val="FirstParagraph"/>
      </w:pPr>
      <w:r>
        <w:rPr>
          <w:bCs/>
          <w:b/>
        </w:rPr>
        <w:t xml:space="preserve">Einschätzung:</w:t>
      </w:r>
      <w:r>
        <w:t xml:space="preserve"> </w:t>
      </w:r>
      <w:r>
        <w:t xml:space="preserve">CagriSema dürfte als erste Amylin-GLP-1-Kombination auf den Markt kommen. Ob sie sich gegen Tirzepatid und die kommenden Dreifach-Agonisten durchsetzt, hängt von den Vergleichsstudien und der Verträglichkeit ab. Der wissenschaftlich interessantere Aspekt ist die Erweiterung des Werkzeugkastens: Amylin ist nach GLP-1, GIP und Glukagon der vierte Hormonweg, der für die Adipositasbehandlung erschlossen wird (siehe auch Amycretin).</w:t>
      </w:r>
    </w:p>
    <w:bookmarkEnd w:id="264"/>
    <w:bookmarkStart w:id="265" w:name="fazit-8"/>
    <w:p>
      <w:pPr>
        <w:pStyle w:val="Heading3"/>
      </w:pPr>
      <w:r>
        <w:t xml:space="preserve">Fazit</w:t>
      </w:r>
    </w:p>
    <w:p>
      <w:pPr>
        <w:pStyle w:val="FirstParagraph"/>
      </w:pPr>
      <w:r>
        <w:t xml:space="preserve">Cagrilintid ist ein lang wirksames Amylin-Analogon, das allein das Gewicht in Phase 2 um bis zu 10,8 % senkte. In Kombination mit Semaglutid (CagriSema) erreichte es in REDEFINE 1 nach 68 Wochen einen Gewichtsverlust von 20,4 % und war in Ostasien Semaglutid allein deutlich überlegen (18,4 % vs. 11,9 %). Magen-Darm-Beschwerden betreffen etwa vier von fünf Behandelten. CagriSema ist noch nicht zugelassen; Daten zu Herz-Kreislauf-Ereignissen und zum direkten Vergleich mit Tirzepatid stehen aus.</w:t>
      </w:r>
    </w:p>
    <w:bookmarkEnd w:id="265"/>
    <w:bookmarkEnd w:id="266"/>
    <w:bookmarkStart w:id="278" w:name="amycretin-zenagamtid"/>
    <w:p>
      <w:pPr>
        <w:pStyle w:val="Heading2"/>
      </w:pPr>
      <w:r>
        <w:t xml:space="preserve">Amycretin (Zenagamtid)</w:t>
      </w:r>
    </w:p>
    <w:bookmarkStart w:id="267" w:name="steckbrief-9"/>
    <w:p>
      <w:pPr>
        <w:pStyle w:val="Heading3"/>
      </w:pPr>
      <w:r>
        <w:t xml:space="preserve">Steckbrief</w:t>
      </w:r>
    </w:p>
    <w:p>
      <w:pPr>
        <w:numPr>
          <w:ilvl w:val="0"/>
          <w:numId w:val="1085"/>
        </w:numPr>
        <w:pStyle w:val="Compact"/>
      </w:pPr>
      <w:r>
        <w:rPr>
          <w:bCs/>
          <w:b/>
        </w:rPr>
        <w:t xml:space="preserve">Art/Struktur:</w:t>
      </w:r>
      <w:r>
        <w:t xml:space="preserve"> </w:t>
      </w:r>
      <w:r>
        <w:t xml:space="preserve">synthetisches Peptid, das in einem einzigen Molekül GLP-1- und Amylin-Wirkung vereint („unimolekular“). Seit 2026 trägt es den internationalen Freinamen</w:t>
      </w:r>
      <w:r>
        <w:t xml:space="preserve"> </w:t>
      </w:r>
      <w:r>
        <w:rPr>
          <w:bCs/>
          <w:b/>
        </w:rPr>
        <w:t xml:space="preserve">Zenagamtid</w:t>
      </w:r>
      <w:r>
        <w:t xml:space="preserve"> </w:t>
      </w:r>
      <w:r>
        <w:t xml:space="preserve">(englisch zenagamtide); Entwicklungscode NNC0487-0111. Es wird in zwei Formen entwickelt: als wöchentliche Spritze und als tägliche Tablette.</w:t>
      </w:r>
    </w:p>
    <w:p>
      <w:pPr>
        <w:numPr>
          <w:ilvl w:val="0"/>
          <w:numId w:val="1085"/>
        </w:numPr>
        <w:pStyle w:val="Compact"/>
      </w:pPr>
      <w:r>
        <w:rPr>
          <w:bCs/>
          <w:b/>
        </w:rPr>
        <w:t xml:space="preserve">Herkunft:</w:t>
      </w:r>
      <w:r>
        <w:t xml:space="preserve"> </w:t>
      </w:r>
      <w:r>
        <w:t xml:space="preserve">entwickelt von Novo Nordisk.</w:t>
      </w:r>
    </w:p>
    <w:p>
      <w:pPr>
        <w:numPr>
          <w:ilvl w:val="0"/>
          <w:numId w:val="1085"/>
        </w:numPr>
        <w:pStyle w:val="Compact"/>
      </w:pPr>
      <w:r>
        <w:rPr>
          <w:bCs/>
          <w:b/>
        </w:rPr>
        <w:t xml:space="preserve">Wirkprinzip:</w:t>
      </w:r>
      <w:r>
        <w:t xml:space="preserve"> </w:t>
      </w:r>
      <w:r>
        <w:t xml:space="preserve">Agonist an GLP-1-, Amylin- und Calcitonin-Rezeptoren.</w:t>
      </w:r>
    </w:p>
    <w:p>
      <w:pPr>
        <w:numPr>
          <w:ilvl w:val="0"/>
          <w:numId w:val="1085"/>
        </w:numPr>
        <w:pStyle w:val="Compact"/>
      </w:pPr>
      <w:r>
        <w:rPr>
          <w:bCs/>
          <w:b/>
        </w:rPr>
        <w:t xml:space="preserve">Zulassung EU:</w:t>
      </w:r>
      <w:r>
        <w:t xml:space="preserve"> </w:t>
      </w:r>
      <w:r>
        <w:t xml:space="preserve">nein.</w:t>
      </w:r>
    </w:p>
    <w:p>
      <w:pPr>
        <w:numPr>
          <w:ilvl w:val="0"/>
          <w:numId w:val="1085"/>
        </w:numPr>
        <w:pStyle w:val="Compact"/>
      </w:pPr>
      <w:r>
        <w:rPr>
          <w:bCs/>
          <w:b/>
        </w:rPr>
        <w:t xml:space="preserve">Zulassung USA:</w:t>
      </w:r>
      <w:r>
        <w:t xml:space="preserve"> </w:t>
      </w:r>
      <w:r>
        <w:t xml:space="preserve">nein.</w:t>
      </w:r>
    </w:p>
    <w:p>
      <w:pPr>
        <w:numPr>
          <w:ilvl w:val="0"/>
          <w:numId w:val="1085"/>
        </w:numPr>
        <w:pStyle w:val="Compact"/>
      </w:pPr>
      <w:r>
        <w:rPr>
          <w:bCs/>
          <w:b/>
        </w:rPr>
        <w:t xml:space="preserve">WADA:</w:t>
      </w:r>
      <w:r>
        <w:t xml:space="preserve"> </w:t>
      </w:r>
      <w:r>
        <w:t xml:space="preserve">als nicht zugelassene Substanz unter S0 verboten (Stand 2026, bitte aktuell prüfen).</w:t>
      </w:r>
    </w:p>
    <w:p>
      <w:pPr>
        <w:numPr>
          <w:ilvl w:val="0"/>
          <w:numId w:val="1085"/>
        </w:numPr>
        <w:pStyle w:val="Compact"/>
      </w:pPr>
      <w:r>
        <w:rPr>
          <w:bCs/>
          <w:b/>
        </w:rPr>
        <w:t xml:space="preserve">Evidenzstufe:</w:t>
      </w:r>
      <w:r>
        <w:t xml:space="preserve"> </w:t>
      </w:r>
      <w:r>
        <w:rPr>
          <w:bCs/>
          <w:b/>
        </w:rPr>
        <w:t xml:space="preserve">B</w:t>
      </w:r>
      <w:r>
        <w:t xml:space="preserve"> </w:t>
      </w:r>
      <w:r>
        <w:t xml:space="preserve">– randomisierte Phase-1- und Phase-2-Studien veröffentlicht; Phase 3 hat 2026 begonnen.</w:t>
      </w:r>
    </w:p>
    <w:bookmarkEnd w:id="267"/>
    <w:bookmarkStart w:id="268" w:name="wie-es-wirken-soll-9"/>
    <w:p>
      <w:pPr>
        <w:pStyle w:val="Heading3"/>
      </w:pPr>
      <w:r>
        <w:t xml:space="preserve">Wie es wirken soll</w:t>
      </w:r>
    </w:p>
    <w:p>
      <w:pPr>
        <w:pStyle w:val="FirstParagraph"/>
      </w:pPr>
      <w:r>
        <w:t xml:space="preserve">CagriSema (siehe vorheriges Kapitel) kombiniert zwei getrennte Wirkstoffe – das Amylin-Analogon Cagrilintid und den GLP-1-Agonisten Semaglutid – in einer Spritze. Amycretin geht einen Schritt weiter: Ein einziges Peptid aktiviert beide Rezeptorsysteme. Das vereinfacht Herstellung und Dosierung und ermöglicht im Prinzip eine Tablettenform, wie es sie mit oralem Semaglutid bereits gibt.</w:t>
      </w:r>
    </w:p>
    <w:p>
      <w:pPr>
        <w:pStyle w:val="BodyText"/>
      </w:pPr>
      <w:r>
        <w:t xml:space="preserve">GLP-1 und Amylin fördern beide das Sättigungsgefühl, verlangsamen die Magenentleerung und dämpfen die Glukagon-Ausschüttung, wirken aber über verschiedene Rezeptoren und Nervenbahnen im Hirnstamm. In Zellversuchen aktivierte Amycretin menschliche, Maus- und Ratten-Rezeptoren für GLP-1, Amylin und Calcitonin. Bei Ratten mit ernährungsbedingter Adipositas verringerte es über 21 Tage die Energieaufnahme um 47 % und das Körpergewicht um 18 %, während der Energieverbrauch erhalten blieb; die Insulinempfindlichkeit verbesserte sich, und die Leberverfettung ging zurück (Kuhre 2025, PMID 40706446). Das sind Tierdaten.</w:t>
      </w:r>
    </w:p>
    <w:bookmarkEnd w:id="268"/>
    <w:bookmarkStart w:id="272" w:name="studien-am-menschen-9"/>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4 Humanstudien. Die automatische Registerabfrage unter dem Namen „amycretin“ fand nur einen Eintrag; unter dem neuen Namen Zenagamtid und dem Entwicklungscode NNC0487-0111 sind auf ClinicalTrials.gov jedoch rund 30 Studien registriert, darunter das 2026 gestartete Phase-3-Programm</w:t>
      </w:r>
      <w:r>
        <w:t xml:space="preserve"> </w:t>
      </w:r>
      <w:r>
        <w:rPr>
          <w:bCs/>
          <w:b/>
        </w:rPr>
        <w:t xml:space="preserve">AMAZE</w:t>
      </w:r>
      <w:r>
        <w:t xml:space="preserve"> </w:t>
      </w:r>
      <w:r>
        <w:t xml:space="preserve">(Gewicht) und</w:t>
      </w:r>
      <w:r>
        <w:t xml:space="preserve"> </w:t>
      </w:r>
      <w:r>
        <w:rPr>
          <w:bCs/>
          <w:b/>
        </w:rPr>
        <w:t xml:space="preserve">AMBITION</w:t>
      </w:r>
      <w:r>
        <w:t xml:space="preserve"> </w:t>
      </w:r>
      <w:r>
        <w:t xml:space="preserve">(Typ-2-Diabetes).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1, Tablette (Gasiorek 2025), PMID 40550229</w:t>
            </w:r>
          </w:p>
        </w:tc>
        <w:tc>
          <w:tcPr/>
          <w:p>
            <w:pPr>
              <w:pStyle w:val="Compact"/>
              <w:jc w:val="left"/>
            </w:pPr>
            <w:r>
              <w:t xml:space="preserve">144 Erwachsene mit Übergewicht/Adipositas, gegen Placebo</w:t>
            </w:r>
          </w:p>
        </w:tc>
        <w:tc>
          <w:tcPr/>
          <w:p>
            <w:pPr>
              <w:pStyle w:val="Compact"/>
              <w:jc w:val="left"/>
            </w:pPr>
            <w:r>
              <w:t xml:space="preserve">bis 12 Wochen</w:t>
            </w:r>
          </w:p>
        </w:tc>
        <w:tc>
          <w:tcPr/>
          <w:p>
            <w:pPr>
              <w:pStyle w:val="Compact"/>
              <w:jc w:val="left"/>
            </w:pPr>
            <w:r>
              <w:t xml:space="preserve">Sicherheit; Nebenwirkungen dosisabhängig, alle leicht bis mittelschwer</w:t>
            </w:r>
          </w:p>
        </w:tc>
      </w:tr>
      <w:tr>
        <w:tc>
          <w:tcPr/>
          <w:p>
            <w:pPr>
              <w:pStyle w:val="Compact"/>
              <w:jc w:val="left"/>
            </w:pPr>
            <w:r>
              <w:t xml:space="preserve">Phase 1b/2a, Spritze (Dahl 2025), PMID 40550231</w:t>
            </w:r>
          </w:p>
        </w:tc>
        <w:tc>
          <w:tcPr/>
          <w:p>
            <w:pPr>
              <w:pStyle w:val="Compact"/>
              <w:jc w:val="left"/>
            </w:pPr>
            <w:r>
              <w:t xml:space="preserve">125 Erwachsene mit Übergewicht/Adipositas, gegen Placebo</w:t>
            </w:r>
          </w:p>
        </w:tc>
        <w:tc>
          <w:tcPr/>
          <w:p>
            <w:pPr>
              <w:pStyle w:val="Compact"/>
              <w:jc w:val="left"/>
            </w:pPr>
            <w:r>
              <w:t xml:space="preserve">bis 36 Wochen</w:t>
            </w:r>
          </w:p>
        </w:tc>
        <w:tc>
          <w:tcPr/>
          <w:p>
            <w:pPr>
              <w:pStyle w:val="Compact"/>
              <w:jc w:val="left"/>
            </w:pPr>
            <w:r>
              <w:t xml:space="preserve">bis −24,3 % Gewicht vs. −1,1 %</w:t>
            </w:r>
          </w:p>
        </w:tc>
      </w:tr>
      <w:tr>
        <w:tc>
          <w:tcPr/>
          <w:p>
            <w:pPr>
              <w:pStyle w:val="Compact"/>
              <w:jc w:val="left"/>
            </w:pPr>
            <w:r>
              <w:t xml:space="preserve">Phase 2, Tablette (Mora 2026), PMID 42532079</w:t>
            </w:r>
          </w:p>
        </w:tc>
        <w:tc>
          <w:tcPr/>
          <w:p>
            <w:pPr>
              <w:pStyle w:val="Compact"/>
              <w:jc w:val="left"/>
            </w:pPr>
            <w:r>
              <w:t xml:space="preserve">186 Erwachsene mit Typ-2-Diabetes, gegen Placebo</w:t>
            </w:r>
          </w:p>
        </w:tc>
        <w:tc>
          <w:tcPr/>
          <w:p>
            <w:pPr>
              <w:pStyle w:val="Compact"/>
              <w:jc w:val="left"/>
            </w:pPr>
            <w:r>
              <w:t xml:space="preserve">36 Wochen</w:t>
            </w:r>
          </w:p>
        </w:tc>
        <w:tc>
          <w:tcPr/>
          <w:p>
            <w:pPr>
              <w:pStyle w:val="Compact"/>
              <w:jc w:val="left"/>
            </w:pPr>
            <w:r>
              <w:t xml:space="preserve">HbA1c −0,9 bis −1,4</w:t>
            </w:r>
          </w:p>
        </w:tc>
      </w:tr>
      <w:tr>
        <w:tc>
          <w:tcPr/>
          <w:p>
            <w:pPr>
              <w:pStyle w:val="Compact"/>
              <w:jc w:val="left"/>
            </w:pPr>
            <w:r>
              <w:t xml:space="preserve">Phase 2, Spritze (Mora 2026), PMID 42532080</w:t>
            </w:r>
          </w:p>
        </w:tc>
        <w:tc>
          <w:tcPr/>
          <w:p>
            <w:pPr>
              <w:pStyle w:val="Compact"/>
              <w:jc w:val="left"/>
            </w:pPr>
            <w:r>
              <w:t xml:space="preserve">262 Erwachsene mit Typ-2-Diabetes, gegen Placebo</w:t>
            </w:r>
          </w:p>
        </w:tc>
        <w:tc>
          <w:tcPr/>
          <w:p>
            <w:pPr>
              <w:pStyle w:val="Compact"/>
              <w:jc w:val="left"/>
            </w:pPr>
            <w:r>
              <w:t xml:space="preserve">36 Wochen</w:t>
            </w:r>
          </w:p>
        </w:tc>
        <w:tc>
          <w:tcPr/>
          <w:p>
            <w:pPr>
              <w:pStyle w:val="Compact"/>
              <w:jc w:val="left"/>
            </w:pPr>
            <w:r>
              <w:t xml:space="preserve">HbA1c −0,9 bis −1,7</w:t>
            </w:r>
          </w:p>
        </w:tc>
      </w:tr>
    </w:tbl>
    <w:bookmarkStart w:id="269" w:name="tablettenform-erste-studie-am-menschen"/>
    <w:p>
      <w:pPr>
        <w:pStyle w:val="Heading4"/>
      </w:pPr>
      <w:r>
        <w:t xml:space="preserve">Tablettenform: erste Studie am Menschen</w:t>
      </w:r>
    </w:p>
    <w:p>
      <w:pPr>
        <w:pStyle w:val="FirstParagraph"/>
      </w:pPr>
      <w:r>
        <w:t xml:space="preserve">Die erste Studie am Menschen prüfte Amycretin als Tablette (Gasiorek 2025, PMID 40550229). 144 Erwachsene mit Übergewicht oder Adipositas erhielten Einzel- oder Mehrfachdosen über bis zu zwölf Wochen. 62 % berichteten über mindestens ein unerwünschtes Ereignis; alle waren leicht oder mittelschwer und nahmen mit der Dosis zu. Etwa die Hälfte der Ereignisse betraf den Magen-Darm-Trakt. Die Blutspiegel stiegen proportional zur Dosis. Die Gewichtsdaten waren nur ein untergeordneter, explorativer Endpunkt dieser Sicherheitsstudie.</w:t>
      </w:r>
    </w:p>
    <w:bookmarkEnd w:id="269"/>
    <w:bookmarkStart w:id="270" w:name="spritzenform-phase-1b2a"/>
    <w:p>
      <w:pPr>
        <w:pStyle w:val="Heading4"/>
      </w:pPr>
      <w:r>
        <w:t xml:space="preserve">Spritzenform: Phase 1b/2a</w:t>
      </w:r>
    </w:p>
    <w:p>
      <w:pPr>
        <w:pStyle w:val="FirstParagraph"/>
      </w:pPr>
      <w:r>
        <w:t xml:space="preserve">In der Studie mit der wöchentlichen Spritze (Dahl 2025, PMID 40550231) erhielten 125 Personen Amycretin oder Placebo in mehreren Studienteilen mit unterschiedlichen Zieldosen und Behandlungsdauern. Der Gewichtsverlust war für eine frühe Studie bemerkenswert:</w:t>
      </w:r>
    </w:p>
    <w:p>
      <w:pPr>
        <w:numPr>
          <w:ilvl w:val="0"/>
          <w:numId w:val="1086"/>
        </w:numPr>
        <w:pStyle w:val="Compact"/>
      </w:pPr>
      <w:r>
        <w:t xml:space="preserve">höchste Dosis, 36 Wochen: −24,3 % gegenüber −1,1 % unter Placebo</w:t>
      </w:r>
    </w:p>
    <w:p>
      <w:pPr>
        <w:numPr>
          <w:ilvl w:val="0"/>
          <w:numId w:val="1086"/>
        </w:numPr>
        <w:pStyle w:val="Compact"/>
      </w:pPr>
      <w:r>
        <w:t xml:space="preserve">zweithöchste Dosis, 36 Wochen: −22,0 % gegenüber +1,9 %</w:t>
      </w:r>
    </w:p>
    <w:p>
      <w:pPr>
        <w:numPr>
          <w:ilvl w:val="0"/>
          <w:numId w:val="1086"/>
        </w:numPr>
        <w:pStyle w:val="Compact"/>
      </w:pPr>
      <w:r>
        <w:t xml:space="preserve">mittlere Dosis, 28 Wochen: −16,2 % gegenüber +2,3 %</w:t>
      </w:r>
    </w:p>
    <w:p>
      <w:pPr>
        <w:numPr>
          <w:ilvl w:val="0"/>
          <w:numId w:val="1086"/>
        </w:numPr>
        <w:pStyle w:val="Compact"/>
      </w:pPr>
      <w:r>
        <w:t xml:space="preserve">niedrige Dosis, 20 Wochen: −9,7 % gegenüber +2,0 %</w:t>
      </w:r>
    </w:p>
    <w:p>
      <w:pPr>
        <w:pStyle w:val="FirstParagraph"/>
      </w:pPr>
      <w:r>
        <w:t xml:space="preserve">Diese Zahlen sind mit Vorsicht zu lesen: Die Gruppen waren klein, die Studie fand an einem einzigen Zentrum statt, und die Autorinnen und Autoren berichten selbst, dass viele Teilnehmende die Studie vorzeitig verließen – zu einem großen Teil aus Gründen, die nicht mit Nebenwirkungen zusammenhingen. Ein Gewichtsverlust von über 20 % nach 36 Wochen ist ein starkes Signal, aber noch keine belastbare Schätzung für die breite Anwendung.</w:t>
      </w:r>
    </w:p>
    <w:bookmarkEnd w:id="270"/>
    <w:bookmarkStart w:id="271" w:name="typ-2-diabetes-zwei-phase-2-studien"/>
    <w:p>
      <w:pPr>
        <w:pStyle w:val="Heading4"/>
      </w:pPr>
      <w:r>
        <w:t xml:space="preserve">Typ-2-Diabetes: zwei Phase-2-Studien</w:t>
      </w:r>
    </w:p>
    <w:p>
      <w:pPr>
        <w:pStyle w:val="FirstParagraph"/>
      </w:pPr>
      <w:r>
        <w:t xml:space="preserve">2026 erschienen zwei parallele Dosisfindungsstudien bei Menschen mit Typ-2-Diabetes, die Metformin (mit oder ohne SGLT2-Hemmer) einnahmen:</w:t>
      </w:r>
    </w:p>
    <w:p>
      <w:pPr>
        <w:numPr>
          <w:ilvl w:val="0"/>
          <w:numId w:val="1087"/>
        </w:numPr>
        <w:pStyle w:val="Compact"/>
      </w:pPr>
      <w:r>
        <w:rPr>
          <w:bCs/>
          <w:b/>
        </w:rPr>
        <w:t xml:space="preserve">Tablette</w:t>
      </w:r>
      <w:r>
        <w:t xml:space="preserve"> </w:t>
      </w:r>
      <w:r>
        <w:t xml:space="preserve">(Mora 2026, PMID 42532079): Nach 36 Wochen sank der HbA1c-Wert um 0,9 bis 1,4 Prozentpunkte (Ausgangswert rund 8 %). Magen-Darm-Beschwerden traten bei 26–47 % auf (Placebo 23 %). Schwere unerwünschte Ereignisse betrafen 4 % unter Zenagamtid und niemanden unter Placebo.</w:t>
      </w:r>
    </w:p>
    <w:p>
      <w:pPr>
        <w:numPr>
          <w:ilvl w:val="0"/>
          <w:numId w:val="1087"/>
        </w:numPr>
        <w:pStyle w:val="Compact"/>
      </w:pPr>
      <w:r>
        <w:rPr>
          <w:bCs/>
          <w:b/>
        </w:rPr>
        <w:t xml:space="preserve">Spritze</w:t>
      </w:r>
      <w:r>
        <w:t xml:space="preserve"> </w:t>
      </w:r>
      <w:r>
        <w:t xml:space="preserve">(Mora 2026, PMID 42532080): Der HbA1c-Wert sank je nach Dosis um 0,9 bis 1,7 Prozentpunkte. Schwere unerwünschte Ereignisse traten bei 8 % der Teilnehmenden auf, über alle Dosisgruppen und Placebo verteilt.</w:t>
      </w:r>
    </w:p>
    <w:p>
      <w:pPr>
        <w:pStyle w:val="FirstParagraph"/>
      </w:pPr>
      <w:r>
        <w:t xml:space="preserve">Die Gewichtsergebnisse dieser Diabetesstudien sind in den Zusammenfassungen nicht beziffert und werden hier deshalb nicht genannt.</w:t>
      </w:r>
    </w:p>
    <w:bookmarkEnd w:id="271"/>
    <w:bookmarkEnd w:id="272"/>
    <w:bookmarkStart w:id="273" w:name="tier--und-laborstudien-9"/>
    <w:p>
      <w:pPr>
        <w:pStyle w:val="Heading3"/>
      </w:pPr>
      <w:r>
        <w:t xml:space="preserve">Tier- und Laborstudien</w:t>
      </w:r>
    </w:p>
    <w:p>
      <w:pPr>
        <w:pStyle w:val="FirstParagraph"/>
      </w:pPr>
      <w:r>
        <w:t xml:space="preserve">Die vorklinischen Daten stammen vom Hersteller (Kuhre 2025, PMID 40706446): Rezeptoraktivierung in Zellkulturen, Gewichtsverlust und verbesserte Insulinempfindlichkeit bei übergewichtigen Ratten, weniger Leberverfettung und eine Anreicherung in appetitregulierenden Hirnregionen von Mäusen. Unabhängige Tierstudien liegen kaum vor.</w:t>
      </w:r>
    </w:p>
    <w:bookmarkEnd w:id="273"/>
    <w:bookmarkStart w:id="274" w:name="risiken-und-nebenwirkungen-9"/>
    <w:p>
      <w:pPr>
        <w:pStyle w:val="Heading3"/>
      </w:pPr>
      <w:r>
        <w:t xml:space="preserve">Risiken und Nebenwirkungen</w:t>
      </w:r>
    </w:p>
    <w:p>
      <w:pPr>
        <w:pStyle w:val="FirstParagraph"/>
      </w:pPr>
      <w:r>
        <w:rPr>
          <w:bCs/>
          <w:b/>
        </w:rPr>
        <w:t xml:space="preserve">Belegt aus Studien:</w:t>
      </w:r>
    </w:p>
    <w:p>
      <w:pPr>
        <w:numPr>
          <w:ilvl w:val="0"/>
          <w:numId w:val="1088"/>
        </w:numPr>
        <w:pStyle w:val="Compact"/>
      </w:pPr>
      <w:r>
        <w:rPr>
          <w:bCs/>
          <w:b/>
        </w:rPr>
        <w:t xml:space="preserve">Magen-Darm-Beschwerden</w:t>
      </w:r>
      <w:r>
        <w:t xml:space="preserve"> </w:t>
      </w:r>
      <w:r>
        <w:t xml:space="preserve">sind die häufigsten Nebenwirkungen, in den frühen Studien bei der Mehrheit der Behandelten; sie waren meist leicht bis mittelschwer und dosisabhängig (Gasiorek 2025, PMID 40550229; Dahl 2025, PMID 40550231).</w:t>
      </w:r>
    </w:p>
    <w:p>
      <w:pPr>
        <w:numPr>
          <w:ilvl w:val="0"/>
          <w:numId w:val="1088"/>
        </w:numPr>
        <w:pStyle w:val="Compact"/>
      </w:pPr>
      <w:r>
        <w:rPr>
          <w:bCs/>
          <w:b/>
        </w:rPr>
        <w:t xml:space="preserve">Schwere unerwünschte Ereignisse</w:t>
      </w:r>
      <w:r>
        <w:t xml:space="preserve"> </w:t>
      </w:r>
      <w:r>
        <w:t xml:space="preserve">waren in den Phase-2-Studien selten; in der Tablettenstudie traten sie nur unter Zenagamtid auf (4 % vs. 0 %), in der Spritzenstudie gleichmäßig verteilt (Mora 2026, PMID 42532079; PMID 42532080).</w:t>
      </w:r>
    </w:p>
    <w:p>
      <w:pPr>
        <w:numPr>
          <w:ilvl w:val="0"/>
          <w:numId w:val="1088"/>
        </w:numPr>
        <w:pStyle w:val="Compact"/>
      </w:pPr>
      <w:r>
        <w:rPr>
          <w:bCs/>
          <w:b/>
        </w:rPr>
        <w:t xml:space="preserve">Nierenfunktion:</w:t>
      </w:r>
      <w:r>
        <w:t xml:space="preserve"> </w:t>
      </w:r>
      <w:r>
        <w:t xml:space="preserve">Bei eingeschränkter Nierenfunktion bis hin zur Dialysepflicht veränderten sich die Blutspiegel nach einer Einzeldosis nicht klinisch relevant (Oldenburg 2026, PMID 42443140).</w:t>
      </w:r>
    </w:p>
    <w:p>
      <w:pPr>
        <w:pStyle w:val="FirstParagraph"/>
      </w:pPr>
      <w:r>
        <w:rPr>
          <w:bCs/>
          <w:b/>
        </w:rPr>
        <w:t xml:space="preserve">Noch offen:</w:t>
      </w:r>
      <w:r>
        <w:t xml:space="preserve"> </w:t>
      </w:r>
      <w:r>
        <w:t xml:space="preserve">Langzeitsicherheit, Wirkung auf Knochen (Calcitonin-Rezeptor), Muskelmasse und Herz-Kreislauf-System. Für die Klassenrisiken der GLP-1-Medikamente (Gallenblase, Bauchspeicheldrüse) gibt es noch zu wenige Behandlungsjahre.</w:t>
      </w:r>
    </w:p>
    <w:p>
      <w:pPr>
        <w:pStyle w:val="BodyText"/>
      </w:pPr>
      <w:r>
        <w:rPr>
          <w:bCs/>
          <w:b/>
        </w:rPr>
        <w:t xml:space="preserve">Graumarkt:</w:t>
      </w:r>
      <w:r>
        <w:t xml:space="preserve"> </w:t>
      </w:r>
      <w:r>
        <w:t xml:space="preserve">Schon vor Beginn der Phase 3 wird Zenagamtid im Internet als „Research Peptide“ angeboten. Ein Bericht in der Fachzeitschrift JAMA beschreibt einen wachsenden Schwarzmarkt für die beiden nicht zugelassenen Wirkstoffe Retatrutid und Zenagamtid und die damit verbundenen Risiken (Rubin 2026, PMID 42853576). Wer solche Produkte verwendet, kennt weder Inhalt noch Reinheit noch eine erprobte Dosierung (siehe Teil I und Teil IV).</w:t>
      </w:r>
    </w:p>
    <w:bookmarkEnd w:id="274"/>
    <w:bookmarkStart w:id="275" w:name="rechtslage-9"/>
    <w:p>
      <w:pPr>
        <w:pStyle w:val="Heading3"/>
      </w:pPr>
      <w:r>
        <w:t xml:space="preserve">Rechtslage</w:t>
      </w:r>
    </w:p>
    <w:p>
      <w:pPr>
        <w:numPr>
          <w:ilvl w:val="0"/>
          <w:numId w:val="1089"/>
        </w:numPr>
        <w:pStyle w:val="Compact"/>
      </w:pPr>
      <w:r>
        <w:rPr>
          <w:bCs/>
          <w:b/>
        </w:rPr>
        <w:t xml:space="preserve">EU / Österreich / Deutschland:</w:t>
      </w:r>
      <w:r>
        <w:t xml:space="preserve"> </w:t>
      </w:r>
      <w:r>
        <w:t xml:space="preserve">nicht zugelassen; Anwendung nur in klinischen Studien.</w:t>
      </w:r>
    </w:p>
    <w:p>
      <w:pPr>
        <w:numPr>
          <w:ilvl w:val="0"/>
          <w:numId w:val="1089"/>
        </w:numPr>
        <w:pStyle w:val="Compact"/>
      </w:pPr>
      <w:r>
        <w:rPr>
          <w:bCs/>
          <w:b/>
        </w:rPr>
        <w:t xml:space="preserve">USA:</w:t>
      </w:r>
      <w:r>
        <w:t xml:space="preserve"> </w:t>
      </w:r>
      <w:r>
        <w:t xml:space="preserve">nicht zugelassen.</w:t>
      </w:r>
    </w:p>
    <w:p>
      <w:pPr>
        <w:numPr>
          <w:ilvl w:val="0"/>
          <w:numId w:val="1089"/>
        </w:numPr>
        <w:pStyle w:val="Compact"/>
      </w:pPr>
      <w:r>
        <w:rPr>
          <w:bCs/>
          <w:b/>
        </w:rPr>
        <w:t xml:space="preserve">Sport:</w:t>
      </w:r>
      <w:r>
        <w:t xml:space="preserve"> </w:t>
      </w:r>
      <w:r>
        <w:t xml:space="preserve">WADA-Klasse S0 (nicht zugelassene Substanz), Stand 2026, bitte aktuell prüfen.</w:t>
      </w:r>
    </w:p>
    <w:bookmarkEnd w:id="275"/>
    <w:bookmarkStart w:id="276" w:name="laufende-studien-und-ausblick-9"/>
    <w:p>
      <w:pPr>
        <w:pStyle w:val="Heading3"/>
      </w:pPr>
      <w:r>
        <w:t xml:space="preserve">Laufende Studien und Ausblick</w:t>
      </w:r>
    </w:p>
    <w:p>
      <w:pPr>
        <w:pStyle w:val="FirstParagraph"/>
      </w:pPr>
      <w:r>
        <w:rPr>
          <w:bCs/>
          <w:b/>
        </w:rPr>
        <w:t xml:space="preserve">Gesichert (registrierte Studien, Stand Oktober 2026):</w:t>
      </w:r>
    </w:p>
    <w:p>
      <w:pPr>
        <w:numPr>
          <w:ilvl w:val="0"/>
          <w:numId w:val="1090"/>
        </w:numPr>
        <w:pStyle w:val="Compact"/>
      </w:pPr>
      <w:r>
        <w:rPr>
          <w:bCs/>
          <w:b/>
        </w:rPr>
        <w:t xml:space="preserve">AMAZE 1</w:t>
      </w:r>
      <w:r>
        <w:t xml:space="preserve"> </w:t>
      </w:r>
      <w:r>
        <w:t xml:space="preserve">(NCT07339423): Phase 3 mit 1.150 Erwachsenen mit Übergewicht/Adipositas, Spritzenform.</w:t>
      </w:r>
    </w:p>
    <w:p>
      <w:pPr>
        <w:numPr>
          <w:ilvl w:val="0"/>
          <w:numId w:val="1090"/>
        </w:numPr>
        <w:pStyle w:val="Compact"/>
      </w:pPr>
      <w:r>
        <w:rPr>
          <w:bCs/>
          <w:b/>
        </w:rPr>
        <w:t xml:space="preserve">AMAZE 2</w:t>
      </w:r>
      <w:r>
        <w:t xml:space="preserve"> </w:t>
      </w:r>
      <w:r>
        <w:t xml:space="preserve">(NCT07533175): Übergewicht mit Typ-2-Diabetes.</w:t>
      </w:r>
    </w:p>
    <w:p>
      <w:pPr>
        <w:numPr>
          <w:ilvl w:val="0"/>
          <w:numId w:val="1090"/>
        </w:numPr>
        <w:pStyle w:val="Compact"/>
      </w:pPr>
      <w:r>
        <w:rPr>
          <w:bCs/>
          <w:b/>
        </w:rPr>
        <w:t xml:space="preserve">AMAZE 3 und 4</w:t>
      </w:r>
      <w:r>
        <w:t xml:space="preserve"> </w:t>
      </w:r>
      <w:r>
        <w:t xml:space="preserve">(NCT07571005, NCT07571109): Schlafapnoe ohne bzw. mit Atemmaskentherapie.</w:t>
      </w:r>
    </w:p>
    <w:p>
      <w:pPr>
        <w:numPr>
          <w:ilvl w:val="0"/>
          <w:numId w:val="1090"/>
        </w:numPr>
        <w:pStyle w:val="Compact"/>
      </w:pPr>
      <w:r>
        <w:rPr>
          <w:bCs/>
          <w:b/>
        </w:rPr>
        <w:t xml:space="preserve">AMAZE 6</w:t>
      </w:r>
      <w:r>
        <w:t xml:space="preserve"> </w:t>
      </w:r>
      <w:r>
        <w:t xml:space="preserve">(NCT07509307) und eine weitere Studie (NCT07481630): Kniearthrose.</w:t>
      </w:r>
    </w:p>
    <w:p>
      <w:pPr>
        <w:numPr>
          <w:ilvl w:val="0"/>
          <w:numId w:val="1090"/>
        </w:numPr>
        <w:pStyle w:val="Compact"/>
      </w:pPr>
      <w:r>
        <w:rPr>
          <w:bCs/>
          <w:b/>
        </w:rPr>
        <w:t xml:space="preserve">AMAZE 9</w:t>
      </w:r>
      <w:r>
        <w:t xml:space="preserve"> </w:t>
      </w:r>
      <w:r>
        <w:t xml:space="preserve">(NCT07720271): Tablettenform bei Übergewicht.</w:t>
      </w:r>
    </w:p>
    <w:p>
      <w:pPr>
        <w:numPr>
          <w:ilvl w:val="0"/>
          <w:numId w:val="1090"/>
        </w:numPr>
        <w:pStyle w:val="Compact"/>
      </w:pPr>
      <w:r>
        <w:rPr>
          <w:bCs/>
          <w:b/>
        </w:rPr>
        <w:t xml:space="preserve">AMAZE 12</w:t>
      </w:r>
      <w:r>
        <w:t xml:space="preserve"> </w:t>
      </w:r>
      <w:r>
        <w:t xml:space="preserve">(NCT07503210): Gewichtserhalt nach Abnahme.</w:t>
      </w:r>
    </w:p>
    <w:p>
      <w:pPr>
        <w:numPr>
          <w:ilvl w:val="0"/>
          <w:numId w:val="1090"/>
        </w:numPr>
        <w:pStyle w:val="Compact"/>
      </w:pPr>
      <w:r>
        <w:t xml:space="preserve">Vergleich mit Semaglutid (NCT07668414; bei Typ-2-Diabetes NCT07400107) und mit Insulin glargin bei Typ-2-Diabetes (NCT07797335, AMBITION 7).</w:t>
      </w:r>
    </w:p>
    <w:p>
      <w:pPr>
        <w:numPr>
          <w:ilvl w:val="0"/>
          <w:numId w:val="1090"/>
        </w:numPr>
        <w:pStyle w:val="Compact"/>
      </w:pPr>
      <w:r>
        <w:t xml:space="preserve">Endpunktstudien: Herzinsuffizienz mit Adipositas (NCT07567001, 5.610 Teilnehmende) und Herz-Kreislauf-Ereignisse bei Arteriosklerose (NCT07861100, 8.500 Teilnehmende geplant).</w:t>
      </w:r>
    </w:p>
    <w:p>
      <w:pPr>
        <w:pStyle w:val="FirstParagraph"/>
      </w:pPr>
      <w:r>
        <w:rPr>
          <w:bCs/>
          <w:b/>
        </w:rPr>
        <w:t xml:space="preserve">Einschätzung:</w:t>
      </w:r>
      <w:r>
        <w:t xml:space="preserve"> </w:t>
      </w:r>
      <w:r>
        <w:t xml:space="preserve">Novo Nordisk setzt mit diesem breiten Phase-3-Programm erkennbar darauf, Amycretin/Zenagamtid zum Nachfolger von Semaglutid zu machen. Ergebnisse der ersten Phase-3-Studien sind frühestens 2027 zu erwarten, eine Zulassung kaum vor 2028. Ob die beeindruckenden Zahlen der kleinen Phase-1b/2a-Studie in großen Studien Bestand haben, ist offen.</w:t>
      </w:r>
    </w:p>
    <w:bookmarkEnd w:id="276"/>
    <w:bookmarkStart w:id="277" w:name="fazit-9"/>
    <w:p>
      <w:pPr>
        <w:pStyle w:val="Heading3"/>
      </w:pPr>
      <w:r>
        <w:t xml:space="preserve">Fazit</w:t>
      </w:r>
    </w:p>
    <w:p>
      <w:pPr>
        <w:pStyle w:val="FirstParagraph"/>
      </w:pPr>
      <w:r>
        <w:t xml:space="preserve">Amycretin – seit 2026 Zenagamtid – ist ein einzelnes Peptid, das GLP-1- und Amylin-Rezeptoren gleichzeitig aktiviert, und wird als Spritze und als Tablette entwickelt. In einer kleinen Phase-1b/2a-Studie sank das Gewicht nach 36 Wochen um bis zu 24,3 %; in Phase-2-Studien bei Typ-2-Diabetes sank der HbA1c-Wert um bis zu 1,7 Prozentpunkte. Die häufigsten Nebenwirkungen betreffen den Magen-Darm-Trakt. Die Phase-3-Studien haben 2026 begonnen; bis zu einer möglichen Zulassung ist Zenagamtid ein reines Prüfpräparat, und Graumarktware ist kein Ersatz.</w:t>
      </w:r>
    </w:p>
    <w:bookmarkEnd w:id="277"/>
    <w:bookmarkEnd w:id="278"/>
    <w:bookmarkStart w:id="289" w:name="maridebart-cafraglutid-maritide"/>
    <w:p>
      <w:pPr>
        <w:pStyle w:val="Heading2"/>
      </w:pPr>
      <w:r>
        <w:t xml:space="preserve">Maridebart Cafraglutid (MariTide)</w:t>
      </w:r>
    </w:p>
    <w:bookmarkStart w:id="279" w:name="steckbrief-10"/>
    <w:p>
      <w:pPr>
        <w:pStyle w:val="Heading3"/>
      </w:pPr>
      <w:r>
        <w:t xml:space="preserve">Steckbrief</w:t>
      </w:r>
    </w:p>
    <w:p>
      <w:pPr>
        <w:numPr>
          <w:ilvl w:val="0"/>
          <w:numId w:val="1091"/>
        </w:numPr>
        <w:pStyle w:val="Compact"/>
      </w:pPr>
      <w:r>
        <w:rPr>
          <w:bCs/>
          <w:b/>
        </w:rPr>
        <w:t xml:space="preserve">Art/Struktur:</w:t>
      </w:r>
      <w:r>
        <w:t xml:space="preserve"> </w:t>
      </w:r>
      <w:r>
        <w:t xml:space="preserve">ein sogenanntes Antikörper-Peptid-Konjugat. Ein vollständig menschlicher monoklonaler Antikörper ist über kurze Aminosäure-Verbindungsstücke mit zwei GLP-1-ähnlichen Peptiden verknüpft. Streng genommen ist MariTide also kein reines Peptid, sondern ein Hybrid aus Antikörper und Peptid. Entwicklungscode AMG 133, Kurzname MariTide.</w:t>
      </w:r>
    </w:p>
    <w:p>
      <w:pPr>
        <w:numPr>
          <w:ilvl w:val="0"/>
          <w:numId w:val="1091"/>
        </w:numPr>
        <w:pStyle w:val="Compact"/>
      </w:pPr>
      <w:r>
        <w:rPr>
          <w:bCs/>
          <w:b/>
        </w:rPr>
        <w:t xml:space="preserve">Herkunft:</w:t>
      </w:r>
      <w:r>
        <w:t xml:space="preserve"> </w:t>
      </w:r>
      <w:r>
        <w:t xml:space="preserve">entwickelt von Amgen.</w:t>
      </w:r>
    </w:p>
    <w:p>
      <w:pPr>
        <w:numPr>
          <w:ilvl w:val="0"/>
          <w:numId w:val="1091"/>
        </w:numPr>
        <w:pStyle w:val="Compact"/>
      </w:pPr>
      <w:r>
        <w:rPr>
          <w:bCs/>
          <w:b/>
        </w:rPr>
        <w:t xml:space="preserve">Wirkprinzip:</w:t>
      </w:r>
      <w:r>
        <w:t xml:space="preserve"> </w:t>
      </w:r>
      <w:r>
        <w:t xml:space="preserve">Der GLP-1-Anteil</w:t>
      </w:r>
      <w:r>
        <w:t xml:space="preserve"> </w:t>
      </w:r>
      <w:r>
        <w:rPr>
          <w:bCs/>
          <w:b/>
        </w:rPr>
        <w:t xml:space="preserve">aktiviert</w:t>
      </w:r>
      <w:r>
        <w:t xml:space="preserve"> </w:t>
      </w:r>
      <w:r>
        <w:t xml:space="preserve">den GLP-1-Rezeptor, der Antikörper</w:t>
      </w:r>
      <w:r>
        <w:t xml:space="preserve"> </w:t>
      </w:r>
      <w:r>
        <w:rPr>
          <w:bCs/>
          <w:b/>
        </w:rPr>
        <w:t xml:space="preserve">blockiert</w:t>
      </w:r>
      <w:r>
        <w:t xml:space="preserve"> </w:t>
      </w:r>
      <w:r>
        <w:t xml:space="preserve">den GIP-Rezeptor (GIPR-Antagonist). Das ist das Gegenteil von Tirzepatid, das den GIP-Rezeptor aktiviert.</w:t>
      </w:r>
    </w:p>
    <w:p>
      <w:pPr>
        <w:numPr>
          <w:ilvl w:val="0"/>
          <w:numId w:val="1091"/>
        </w:numPr>
        <w:pStyle w:val="Compact"/>
      </w:pPr>
      <w:r>
        <w:rPr>
          <w:bCs/>
          <w:b/>
        </w:rPr>
        <w:t xml:space="preserve">Besonderheit:</w:t>
      </w:r>
      <w:r>
        <w:t xml:space="preserve"> </w:t>
      </w:r>
      <w:r>
        <w:t xml:space="preserve">Durch den Antikörper-Anteil wirkt MariTide sehr lange; untersucht wird eine Gabe alle vier Wochen oder seltener.</w:t>
      </w:r>
    </w:p>
    <w:p>
      <w:pPr>
        <w:numPr>
          <w:ilvl w:val="0"/>
          <w:numId w:val="1091"/>
        </w:numPr>
        <w:pStyle w:val="Compact"/>
      </w:pPr>
      <w:r>
        <w:rPr>
          <w:bCs/>
          <w:b/>
        </w:rPr>
        <w:t xml:space="preserve">Zulassung EU / USA:</w:t>
      </w:r>
      <w:r>
        <w:t xml:space="preserve"> </w:t>
      </w:r>
      <w:r>
        <w:t xml:space="preserve">nein (Stand Oktober 2026).</w:t>
      </w:r>
    </w:p>
    <w:p>
      <w:pPr>
        <w:numPr>
          <w:ilvl w:val="0"/>
          <w:numId w:val="1091"/>
        </w:numPr>
        <w:pStyle w:val="Compact"/>
      </w:pPr>
      <w:r>
        <w:rPr>
          <w:bCs/>
          <w:b/>
        </w:rPr>
        <w:t xml:space="preserve">WADA:</w:t>
      </w:r>
      <w:r>
        <w:t xml:space="preserve"> </w:t>
      </w:r>
      <w:r>
        <w:t xml:space="preserve">als nicht zugelassene Substanz unter S0 verboten (Stand 2026, bitte aktuell prüfen).</w:t>
      </w:r>
    </w:p>
    <w:p>
      <w:pPr>
        <w:numPr>
          <w:ilvl w:val="0"/>
          <w:numId w:val="1091"/>
        </w:numPr>
        <w:pStyle w:val="Compact"/>
      </w:pPr>
      <w:r>
        <w:rPr>
          <w:bCs/>
          <w:b/>
        </w:rPr>
        <w:t xml:space="preserve">Evidenzstufe:</w:t>
      </w:r>
      <w:r>
        <w:t xml:space="preserve"> </w:t>
      </w:r>
      <w:r>
        <w:rPr>
          <w:bCs/>
          <w:b/>
        </w:rPr>
        <w:t xml:space="preserve">B</w:t>
      </w:r>
      <w:r>
        <w:t xml:space="preserve"> </w:t>
      </w:r>
      <w:r>
        <w:t xml:space="preserve">– eine große randomisierte Phase-2-Studie, Phase 3 läuft.</w:t>
      </w:r>
    </w:p>
    <w:bookmarkEnd w:id="279"/>
    <w:bookmarkStart w:id="280" w:name="wie-es-wirken-soll-10"/>
    <w:p>
      <w:pPr>
        <w:pStyle w:val="Heading3"/>
      </w:pPr>
      <w:r>
        <w:t xml:space="preserve">Wie es wirken soll</w:t>
      </w:r>
    </w:p>
    <w:p>
      <w:pPr>
        <w:pStyle w:val="FirstParagraph"/>
      </w:pPr>
      <w:r>
        <w:t xml:space="preserve">Bei GIP gibt es ein bemerkenswertes Paradox. Tirzepatid</w:t>
      </w:r>
      <w:r>
        <w:t xml:space="preserve"> </w:t>
      </w:r>
      <w:r>
        <w:rPr>
          <w:iCs/>
          <w:i/>
        </w:rPr>
        <w:t xml:space="preserve">aktiviert</w:t>
      </w:r>
      <w:r>
        <w:t xml:space="preserve"> </w:t>
      </w:r>
      <w:r>
        <w:t xml:space="preserve">den GIP-Rezeptor und erreicht damit zusammen mit GLP-1 einen starken Gewichtsverlust. Gleichzeitig zeigten genetische Studien und Mausversuche, dass auch das</w:t>
      </w:r>
      <w:r>
        <w:t xml:space="preserve"> </w:t>
      </w:r>
      <w:r>
        <w:rPr>
          <w:iCs/>
          <w:i/>
        </w:rPr>
        <w:t xml:space="preserve">Blockieren</w:t>
      </w:r>
      <w:r>
        <w:t xml:space="preserve"> </w:t>
      </w:r>
      <w:r>
        <w:t xml:space="preserve">des GIP-Rezeptors vor Übergewicht schützen kann. Eine mögliche Erklärung: Eine Daueraktivierung des Rezeptors führt dazu, dass die Zelle ihn abschaltet – im Endeffekt ähnelt sie dann einer Blockade. Endgültig geklärt ist das nicht; eine Vergleichsstudie an Mäusen fand, dass beide Ansätze bei Übergewicht Nahrungsaufnahme und Gewicht senkten, sich aber in ihren Stoffwechselwirkungen unterschieden: Der GIP-Agonist verbesserte die Glukosetoleranz, der Antagonist verringerte eher die Insulinempfindlichkeit (Davies 2026, PMID 41287212).</w:t>
      </w:r>
    </w:p>
    <w:p>
      <w:pPr>
        <w:pStyle w:val="BodyText"/>
      </w:pPr>
      <w:r>
        <w:t xml:space="preserve">Amgen setzt auf die Blockade. Der Antikörper gegen den GIP-Rezeptor sorgt gleichzeitig dafür, dass das Molekül sehr lange im Blut bleibt – Antikörper werden langsam abgebaut. Bei übergewichtigen Mäusen und Affen senkte AMG 133 das Körpergewicht und verbesserte Stoffwechselwerte (Véniant 2024, PMID 38316982). Die chemische Entwicklung bis zum fertigen Molekül ist 2026 beschrieben worden (Wu 2026, PMID 41941715).</w:t>
      </w:r>
    </w:p>
    <w:bookmarkEnd w:id="280"/>
    <w:bookmarkStart w:id="283" w:name="studien-am-menschen-10"/>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2 Humanstudien: eine Phase-1- und eine Phase-2-Studie. Auf ClinicalTrials.gov waren 28 Studien registriert, darunter das Phase-3-Programm</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1 (Véniant 2024), PMID 38316982</w:t>
            </w:r>
          </w:p>
        </w:tc>
        <w:tc>
          <w:tcPr/>
          <w:p>
            <w:pPr>
              <w:pStyle w:val="Compact"/>
              <w:jc w:val="left"/>
            </w:pPr>
            <w:r>
              <w:t xml:space="preserve">Erwachsene mit Adipositas, Einzel- und Mehrfachdosen gegen Placebo</w:t>
            </w:r>
          </w:p>
        </w:tc>
        <w:tc>
          <w:tcPr/>
          <w:p>
            <w:pPr>
              <w:pStyle w:val="Compact"/>
              <w:jc w:val="left"/>
            </w:pPr>
            <w:r>
              <w:t xml:space="preserve">Einzel- und Mehrfachgabe mit Nachbeobachtung</w:t>
            </w:r>
          </w:p>
        </w:tc>
        <w:tc>
          <w:tcPr/>
          <w:p>
            <w:pPr>
              <w:pStyle w:val="Compact"/>
              <w:jc w:val="left"/>
            </w:pPr>
            <w:r>
              <w:t xml:space="preserve">dosisabhängiger Gewichtsverlust, bis 150 Tage nach letzter Dosis anhaltend</w:t>
            </w:r>
          </w:p>
        </w:tc>
      </w:tr>
      <w:tr>
        <w:tc>
          <w:tcPr/>
          <w:p>
            <w:pPr>
              <w:pStyle w:val="Compact"/>
              <w:jc w:val="left"/>
            </w:pPr>
            <w:r>
              <w:t xml:space="preserve">Phase 2 (Jastreboff 2025), PMID 40549887</w:t>
            </w:r>
          </w:p>
        </w:tc>
        <w:tc>
          <w:tcPr/>
          <w:p>
            <w:pPr>
              <w:pStyle w:val="Compact"/>
              <w:jc w:val="left"/>
            </w:pPr>
            <w:r>
              <w:t xml:space="preserve">592 Erwachsene mit Adipositas, mit oder ohne Typ-2-Diabetes; gegen Placebo</w:t>
            </w:r>
          </w:p>
        </w:tc>
        <w:tc>
          <w:tcPr/>
          <w:p>
            <w:pPr>
              <w:pStyle w:val="Compact"/>
              <w:jc w:val="left"/>
            </w:pPr>
            <w:r>
              <w:t xml:space="preserve">52 Wochen</w:t>
            </w:r>
          </w:p>
        </w:tc>
        <w:tc>
          <w:tcPr/>
          <w:p>
            <w:pPr>
              <w:pStyle w:val="Compact"/>
              <w:jc w:val="left"/>
            </w:pPr>
            <w:r>
              <w:t xml:space="preserve">ohne Diabetes −12,3 bis −16,2 % vs. −2,5 %; mit Diabetes −8,4 bis −12,3 % vs. −1,7 %</w:t>
            </w:r>
          </w:p>
        </w:tc>
      </w:tr>
    </w:tbl>
    <w:bookmarkStart w:id="281" w:name="phase-1"/>
    <w:p>
      <w:pPr>
        <w:pStyle w:val="Heading4"/>
      </w:pPr>
      <w:r>
        <w:t xml:space="preserve">Phase 1</w:t>
      </w:r>
    </w:p>
    <w:p>
      <w:pPr>
        <w:pStyle w:val="FirstParagraph"/>
      </w:pPr>
      <w:r>
        <w:t xml:space="preserve">In der ersten Studie am Menschen (Véniant 2024, PMID 38316982; NCT04478708) zeigte AMG 133 einen dosisabhängigen Gewichtsverlust bei akzeptabler Verträglichkeit. Auffällig war die lange Wirkdauer: In den Gruppen mit Mehrfachgabe hielt der Gewichtsverlust bis zu 150 Tage nach der letzten Dosis an.</w:t>
      </w:r>
    </w:p>
    <w:bookmarkEnd w:id="281"/>
    <w:bookmarkStart w:id="282" w:name="phase-2"/>
    <w:p>
      <w:pPr>
        <w:pStyle w:val="Heading4"/>
      </w:pPr>
      <w:r>
        <w:t xml:space="preserve">Phase 2</w:t>
      </w:r>
    </w:p>
    <w:p>
      <w:pPr>
        <w:pStyle w:val="FirstParagraph"/>
      </w:pPr>
      <w:r>
        <w:t xml:space="preserve">Die Phase-2-Studie (Jastreboff 2025, PMID 40549887) war breit angelegt: elf Gruppen in zwei Kohorten mit verschiedenen Dosen, Dosierintervallen (alle vier oder acht Wochen) und mit oder ohne langsame Aufdosierung.</w:t>
      </w:r>
    </w:p>
    <w:p>
      <w:pPr>
        <w:numPr>
          <w:ilvl w:val="0"/>
          <w:numId w:val="1092"/>
        </w:numPr>
        <w:pStyle w:val="Compact"/>
      </w:pPr>
      <w:r>
        <w:rPr>
          <w:bCs/>
          <w:b/>
        </w:rPr>
        <w:t xml:space="preserve">Ohne Diabetes</w:t>
      </w:r>
      <w:r>
        <w:t xml:space="preserve"> </w:t>
      </w:r>
      <w:r>
        <w:t xml:space="preserve">(465 Teilnehmende, mittlerer BMI 37,9): Nach 52 Wochen betrug der Gewichtsverlust je nach Gruppe 12,3 bis 16,2 %, unter Placebo 2,5 %. Diese Auswertung berücksichtigt alle Teilnehmenden unabhängig von Behandlungsabbrüchen.</w:t>
      </w:r>
    </w:p>
    <w:p>
      <w:pPr>
        <w:numPr>
          <w:ilvl w:val="0"/>
          <w:numId w:val="1092"/>
        </w:numPr>
        <w:pStyle w:val="Compact"/>
      </w:pPr>
      <w:r>
        <w:rPr>
          <w:bCs/>
          <w:b/>
        </w:rPr>
        <w:t xml:space="preserve">Mit Typ-2-Diabetes</w:t>
      </w:r>
      <w:r>
        <w:t xml:space="preserve"> </w:t>
      </w:r>
      <w:r>
        <w:t xml:space="preserve">(127 Teilnehmende): Gewichtsverlust 8,4 bis 12,3 % gegenüber 1,7 %; der HbA1c-Wert sank um 1,2 bis 1,6 Prozentpunkte (Placebo +0,1).</w:t>
      </w:r>
    </w:p>
    <w:p>
      <w:pPr>
        <w:pStyle w:val="FirstParagraph"/>
      </w:pPr>
      <w:r>
        <w:t xml:space="preserve">Magen-Darm-Nebenwirkungen waren häufig, aber seltener, wenn mit einer niedrigeren Dosis begonnen und langsam gesteigert wurde. Unerwartete Sicherheitssignale traten laut den Autorinnen und Autoren nicht auf. Ein Gewichtsverlust von rund 16 % nach einem Jahr liegt im Bereich von Semaglutid, aber unter dem von Tirzepatid. Der mögliche Vorteil von MariTide ist daher weniger das Ausmaß der Abnahme als die seltene Gabe.</w:t>
      </w:r>
    </w:p>
    <w:bookmarkEnd w:id="282"/>
    <w:bookmarkEnd w:id="283"/>
    <w:bookmarkStart w:id="284" w:name="tier--und-laborstudien-10"/>
    <w:p>
      <w:pPr>
        <w:pStyle w:val="Heading3"/>
      </w:pPr>
      <w:r>
        <w:t xml:space="preserve">Tier- und Laborstudien</w:t>
      </w:r>
    </w:p>
    <w:p>
      <w:pPr>
        <w:pStyle w:val="FirstParagraph"/>
      </w:pPr>
      <w:r>
        <w:t xml:space="preserve">In Zellsystemen wurde bestätigt, dass AMG 133 den GIP-Rezeptor blockiert und den GLP-1-Rezeptor aktiviert. Bei übergewichtigen Mäusen und Javaneraffen verringerte es das Körpergewicht und verbesserte Stoffwechselmarker (Véniant 2024, PMID 38316982; Wu 2026, PMID 41941715). Vergleichende Mausstudien zur GIP-Blockade gegenüber GIP-Aktivierung zeigen unterschiedliche Effekte auf Insulinempfindlichkeit und Fettgewebe (Davies 2026, PMID 41287212). Alle diese Befunde stammen aus Tierversuchen.</w:t>
      </w:r>
    </w:p>
    <w:bookmarkEnd w:id="284"/>
    <w:bookmarkStart w:id="285" w:name="risiken-und-nebenwirkungen-10"/>
    <w:p>
      <w:pPr>
        <w:pStyle w:val="Heading3"/>
      </w:pPr>
      <w:r>
        <w:t xml:space="preserve">Risiken und Nebenwirkungen</w:t>
      </w:r>
    </w:p>
    <w:p>
      <w:pPr>
        <w:pStyle w:val="FirstParagraph"/>
      </w:pPr>
      <w:r>
        <w:rPr>
          <w:bCs/>
          <w:b/>
        </w:rPr>
        <w:t xml:space="preserve">Belegt aus Studien:</w:t>
      </w:r>
    </w:p>
    <w:p>
      <w:pPr>
        <w:numPr>
          <w:ilvl w:val="0"/>
          <w:numId w:val="1093"/>
        </w:numPr>
        <w:pStyle w:val="Compact"/>
      </w:pPr>
      <w:r>
        <w:rPr>
          <w:bCs/>
          <w:b/>
        </w:rPr>
        <w:t xml:space="preserve">Magen-Darm-Beschwerden</w:t>
      </w:r>
      <w:r>
        <w:t xml:space="preserve"> </w:t>
      </w:r>
      <w:r>
        <w:t xml:space="preserve">(Übelkeit, Erbrechen) waren in der Phase-2-Studie häufig, vor allem bei hoher Startdosis ohne Aufdosierung (Jastreboff 2025, PMID 40549887). Genaue Prozentangaben sind in der Zusammenfassung nicht enthalten.</w:t>
      </w:r>
    </w:p>
    <w:p>
      <w:pPr>
        <w:pStyle w:val="FirstParagraph"/>
      </w:pPr>
      <w:r>
        <w:rPr>
          <w:bCs/>
          <w:b/>
        </w:rPr>
        <w:t xml:space="preserve">Spezifische offene Fragen:</w:t>
      </w:r>
    </w:p>
    <w:p>
      <w:pPr>
        <w:numPr>
          <w:ilvl w:val="0"/>
          <w:numId w:val="1094"/>
        </w:numPr>
        <w:pStyle w:val="Compact"/>
      </w:pPr>
      <w:r>
        <w:rPr>
          <w:bCs/>
          <w:b/>
        </w:rPr>
        <w:t xml:space="preserve">Lange Wirkdauer:</w:t>
      </w:r>
      <w:r>
        <w:t xml:space="preserve"> </w:t>
      </w:r>
      <w:r>
        <w:t xml:space="preserve">Was bei vielen Patientinnen und Patienten als Vorteil gilt, ist bei Nebenwirkungen ein Nachteil: Ein Medikament, das monatelang im Körper bleibt, lässt sich nicht rasch absetzen. In der Phase-1-Studie hielt die Wirkung bis zu 150 Tage nach der letzten Dosis an (Véniant 2024, PMID 38316982). Das ist etwa bei einer ungeplanten Schwangerschaft oder vor Operationen relevant.</w:t>
      </w:r>
    </w:p>
    <w:p>
      <w:pPr>
        <w:numPr>
          <w:ilvl w:val="0"/>
          <w:numId w:val="1094"/>
        </w:numPr>
        <w:pStyle w:val="Compact"/>
      </w:pPr>
      <w:r>
        <w:rPr>
          <w:bCs/>
          <w:b/>
        </w:rPr>
        <w:t xml:space="preserve">GIP-Blockade:</w:t>
      </w:r>
      <w:r>
        <w:t xml:space="preserve"> </w:t>
      </w:r>
      <w:r>
        <w:t xml:space="preserve">Welche Langzeitfolgen eine dauerhafte Blockade des GIP-Rezeptors hat – etwa auf Knochen, Fettgewebe oder Insulinempfindlichkeit –, ist beim Menschen unbekannt. In Mausstudien verringerte ein GIP-Antagonist die Insulinempfindlichkeit im Vergleich zu Kontrolltieren mit gleicher Futtermenge (Davies 2026, PMID 41287212).</w:t>
      </w:r>
    </w:p>
    <w:p>
      <w:pPr>
        <w:numPr>
          <w:ilvl w:val="0"/>
          <w:numId w:val="1094"/>
        </w:numPr>
        <w:pStyle w:val="Compact"/>
      </w:pPr>
      <w:r>
        <w:rPr>
          <w:bCs/>
          <w:b/>
        </w:rPr>
        <w:t xml:space="preserve">Antikörperbildung:</w:t>
      </w:r>
      <w:r>
        <w:t xml:space="preserve"> </w:t>
      </w:r>
      <w:r>
        <w:t xml:space="preserve">Bei Antikörper-basierten Medikamenten kann das Immunsystem Antikörper gegen das Medikament bilden. Daten dazu aus großen Studien stehen aus.</w:t>
      </w:r>
    </w:p>
    <w:p>
      <w:pPr>
        <w:numPr>
          <w:ilvl w:val="0"/>
          <w:numId w:val="1094"/>
        </w:numPr>
        <w:pStyle w:val="Compact"/>
      </w:pPr>
      <w:r>
        <w:t xml:space="preserve">Die bekannten Klassenrisiken der GLP-1-Medikamente (Gallenblase, Bauchspeicheldrüse) sind für MariTide noch nicht ausreichend untersucht.</w:t>
      </w:r>
    </w:p>
    <w:bookmarkEnd w:id="285"/>
    <w:bookmarkStart w:id="286" w:name="rechtslage-10"/>
    <w:p>
      <w:pPr>
        <w:pStyle w:val="Heading3"/>
      </w:pPr>
      <w:r>
        <w:t xml:space="preserve">Rechtslage</w:t>
      </w:r>
    </w:p>
    <w:p>
      <w:pPr>
        <w:numPr>
          <w:ilvl w:val="0"/>
          <w:numId w:val="1095"/>
        </w:numPr>
        <w:pStyle w:val="Compact"/>
      </w:pPr>
      <w:r>
        <w:rPr>
          <w:bCs/>
          <w:b/>
        </w:rPr>
        <w:t xml:space="preserve">EU / Österreich / Deutschland:</w:t>
      </w:r>
      <w:r>
        <w:t xml:space="preserve"> </w:t>
      </w:r>
      <w:r>
        <w:t xml:space="preserve">nicht zugelassen; Anwendung nur in klinischen Studien. Da es sich um ein komplexes biotechnologisches Produkt handelt, ist eine Nachahmung auf dem Graumarkt deutlich schwieriger als bei kleinen Peptiden.</w:t>
      </w:r>
    </w:p>
    <w:p>
      <w:pPr>
        <w:numPr>
          <w:ilvl w:val="0"/>
          <w:numId w:val="1095"/>
        </w:numPr>
        <w:pStyle w:val="Compact"/>
      </w:pPr>
      <w:r>
        <w:rPr>
          <w:bCs/>
          <w:b/>
        </w:rPr>
        <w:t xml:space="preserve">USA:</w:t>
      </w:r>
      <w:r>
        <w:t xml:space="preserve"> </w:t>
      </w:r>
      <w:r>
        <w:t xml:space="preserve">nicht zugelassen.</w:t>
      </w:r>
    </w:p>
    <w:p>
      <w:pPr>
        <w:numPr>
          <w:ilvl w:val="0"/>
          <w:numId w:val="1095"/>
        </w:numPr>
        <w:pStyle w:val="Compact"/>
      </w:pPr>
      <w:r>
        <w:rPr>
          <w:bCs/>
          <w:b/>
        </w:rPr>
        <w:t xml:space="preserve">Sport:</w:t>
      </w:r>
      <w:r>
        <w:t xml:space="preserve"> </w:t>
      </w:r>
      <w:r>
        <w:t xml:space="preserve">WADA-Klasse S0 (nicht zugelassene Substanz), Stand 2026, bitte aktuell prüfen.</w:t>
      </w:r>
    </w:p>
    <w:bookmarkEnd w:id="286"/>
    <w:bookmarkStart w:id="287" w:name="laufende-studien-und-ausblick-10"/>
    <w:p>
      <w:pPr>
        <w:pStyle w:val="Heading3"/>
      </w:pPr>
      <w:r>
        <w:t xml:space="preserve">Laufende Studien und Ausblick</w:t>
      </w:r>
    </w:p>
    <w:p>
      <w:pPr>
        <w:pStyle w:val="FirstParagraph"/>
      </w:pPr>
      <w:r>
        <w:rPr>
          <w:bCs/>
          <w:b/>
        </w:rPr>
        <w:t xml:space="preserve">Gesichert (registrierte Studien, Stand Oktober 2026):</w:t>
      </w:r>
    </w:p>
    <w:p>
      <w:pPr>
        <w:numPr>
          <w:ilvl w:val="0"/>
          <w:numId w:val="1096"/>
        </w:numPr>
        <w:pStyle w:val="Compact"/>
      </w:pPr>
      <w:r>
        <w:rPr>
          <w:bCs/>
          <w:b/>
        </w:rPr>
        <w:t xml:space="preserve">Gewichtsmanagement ohne Diabetes</w:t>
      </w:r>
      <w:r>
        <w:t xml:space="preserve"> </w:t>
      </w:r>
      <w:r>
        <w:t xml:space="preserve">(NCT06858839): Phase 3 mit 3.853 Teilnehmenden, geplantes Ende 2027.</w:t>
      </w:r>
    </w:p>
    <w:p>
      <w:pPr>
        <w:numPr>
          <w:ilvl w:val="0"/>
          <w:numId w:val="1096"/>
        </w:numPr>
        <w:pStyle w:val="Compact"/>
      </w:pPr>
      <w:r>
        <w:rPr>
          <w:bCs/>
          <w:b/>
        </w:rPr>
        <w:t xml:space="preserve">Gewichtsmanagement mit Typ-2-Diabetes</w:t>
      </w:r>
      <w:r>
        <w:t xml:space="preserve"> </w:t>
      </w:r>
      <w:r>
        <w:t xml:space="preserve">(NCT06858878): Phase 3 mit 1.105 Teilnehmenden.</w:t>
      </w:r>
    </w:p>
    <w:p>
      <w:pPr>
        <w:numPr>
          <w:ilvl w:val="0"/>
          <w:numId w:val="1096"/>
        </w:numPr>
        <w:pStyle w:val="Compact"/>
      </w:pPr>
      <w:r>
        <w:rPr>
          <w:bCs/>
          <w:b/>
        </w:rPr>
        <w:t xml:space="preserve">Herz-Kreislauf-Endpunktstudie</w:t>
      </w:r>
      <w:r>
        <w:t xml:space="preserve"> </w:t>
      </w:r>
      <w:r>
        <w:t xml:space="preserve">(NCT07037433) mit 12.800 Teilnehmenden und</w:t>
      </w:r>
      <w:r>
        <w:t xml:space="preserve"> </w:t>
      </w:r>
      <w:r>
        <w:rPr>
          <w:bCs/>
          <w:b/>
        </w:rPr>
        <w:t xml:space="preserve">Herzinsuffizienz-Studie</w:t>
      </w:r>
      <w:r>
        <w:t xml:space="preserve"> </w:t>
      </w:r>
      <w:r>
        <w:t xml:space="preserve">(NCT07037459) mit 5.056 Teilnehmenden, jeweils bis 2030.</w:t>
      </w:r>
    </w:p>
    <w:p>
      <w:pPr>
        <w:numPr>
          <w:ilvl w:val="0"/>
          <w:numId w:val="1096"/>
        </w:numPr>
        <w:pStyle w:val="Compact"/>
      </w:pPr>
      <w:r>
        <w:rPr>
          <w:bCs/>
          <w:b/>
        </w:rPr>
        <w:t xml:space="preserve">Schlafapnoe</w:t>
      </w:r>
      <w:r>
        <w:t xml:space="preserve"> </w:t>
      </w:r>
      <w:r>
        <w:t xml:space="preserve">ohne und mit Atemmaske (NCT07226765, NCT07225686).</w:t>
      </w:r>
    </w:p>
    <w:p>
      <w:pPr>
        <w:numPr>
          <w:ilvl w:val="0"/>
          <w:numId w:val="1096"/>
        </w:numPr>
        <w:pStyle w:val="Compact"/>
      </w:pPr>
      <w:r>
        <w:rPr>
          <w:bCs/>
          <w:b/>
        </w:rPr>
        <w:t xml:space="preserve">Vergleich mit Semaglutid</w:t>
      </w:r>
      <w:r>
        <w:t xml:space="preserve"> </w:t>
      </w:r>
      <w:r>
        <w:t xml:space="preserve">bei Typ-2-Diabetes (NCT07866066), Umstieg von anderen GLP-1-Medikamenten (NCT07575399), Japan (NCT06987695), Fettleber (NCT07441252, Phase 2).</w:t>
      </w:r>
    </w:p>
    <w:p>
      <w:pPr>
        <w:numPr>
          <w:ilvl w:val="0"/>
          <w:numId w:val="1096"/>
        </w:numPr>
        <w:pStyle w:val="Compact"/>
      </w:pPr>
      <w:r>
        <w:t xml:space="preserve">Phase-1-Studien zu Magenentleerung (NCT07429032), Herzrhythmus (NCT07229157) und Wechselwirkungen mit der Pille (NCT07523711).</w:t>
      </w:r>
    </w:p>
    <w:p>
      <w:pPr>
        <w:pStyle w:val="FirstParagraph"/>
      </w:pPr>
      <w:r>
        <w:rPr>
          <w:bCs/>
          <w:b/>
        </w:rPr>
        <w:t xml:space="preserve">Einschätzung:</w:t>
      </w:r>
      <w:r>
        <w:t xml:space="preserve"> </w:t>
      </w:r>
      <w:r>
        <w:t xml:space="preserve">MariTide steht für ein anderes Konzept als die Tirzepatid-Familie – weniger Spritzen statt maximaler Gewichtsabnahme. Für Menschen, die eine Dauerbehandlung brauchen, könnte eine monatliche oder noch seltenere Gabe die Therapietreue verbessern. Ob das Konzept der GIP-Blockade langfristig sicher ist, müssen die großen Phase-3-Studien zeigen. Eine Zulassung ist frühestens ab 2028 realistisch.</w:t>
      </w:r>
    </w:p>
    <w:bookmarkEnd w:id="287"/>
    <w:bookmarkStart w:id="288" w:name="fazit-10"/>
    <w:p>
      <w:pPr>
        <w:pStyle w:val="Heading3"/>
      </w:pPr>
      <w:r>
        <w:t xml:space="preserve">Fazit</w:t>
      </w:r>
    </w:p>
    <w:p>
      <w:pPr>
        <w:pStyle w:val="FirstParagraph"/>
      </w:pPr>
      <w:r>
        <w:t xml:space="preserve">Maridebart Cafraglutid ist ein Antikörper-Peptid-Konjugat, das den GLP-1-Rezeptor aktiviert und den GIP-Rezeptor blockiert, und wird nur einmal im Monat oder seltener gegeben. In der Phase-2-Studie sank das Körpergewicht nach 52 Wochen um bis zu 16,2 % ohne und um bis zu 12,3 % mit Typ-2-Diabetes. Magen-Darm-Beschwerden sind häufig und hängen stark von der Aufdosierung ab; die lange Wirkdauer ist Vorteil und Risiko zugleich. Das Phase-3-Programm mit Endpunktstudien zu Herz-Kreislauf-Erkrankungen und Herzinsuffizienz läuft.</w:t>
      </w:r>
    </w:p>
    <w:bookmarkEnd w:id="288"/>
    <w:bookmarkEnd w:id="289"/>
    <w:bookmarkStart w:id="302" w:name="pramlintid"/>
    <w:p>
      <w:pPr>
        <w:pStyle w:val="Heading2"/>
      </w:pPr>
      <w:r>
        <w:t xml:space="preserve">Pramlintid</w:t>
      </w:r>
    </w:p>
    <w:bookmarkStart w:id="290" w:name="steckbrief-11"/>
    <w:p>
      <w:pPr>
        <w:pStyle w:val="Heading3"/>
      </w:pPr>
      <w:r>
        <w:t xml:space="preserve">Steckbrief</w:t>
      </w:r>
    </w:p>
    <w:p>
      <w:pPr>
        <w:numPr>
          <w:ilvl w:val="0"/>
          <w:numId w:val="1097"/>
        </w:numPr>
        <w:pStyle w:val="Compact"/>
      </w:pPr>
      <w:r>
        <w:rPr>
          <w:bCs/>
          <w:b/>
        </w:rPr>
        <w:t xml:space="preserve">Art/Struktur:</w:t>
      </w:r>
      <w:r>
        <w:t xml:space="preserve"> </w:t>
      </w:r>
      <w:r>
        <w:t xml:space="preserve">synthetisches Analogon des menschlichen Hormons Amylin aus 37 Aminosäuren. An drei Stellen wurden Aminosäuren ausgetauscht (nach dem Vorbild des Ratten-Amylins), damit das Molekül nicht wie natürliches menschliches Amylin verklumpt. Es wirkt nur kurz und wird vor den Hauptmahlzeiten gespritzt.</w:t>
      </w:r>
    </w:p>
    <w:p>
      <w:pPr>
        <w:numPr>
          <w:ilvl w:val="0"/>
          <w:numId w:val="1097"/>
        </w:numPr>
        <w:pStyle w:val="Compact"/>
      </w:pPr>
      <w:r>
        <w:rPr>
          <w:bCs/>
          <w:b/>
        </w:rPr>
        <w:t xml:space="preserve">Herkunft:</w:t>
      </w:r>
      <w:r>
        <w:t xml:space="preserve"> </w:t>
      </w:r>
      <w:r>
        <w:t xml:space="preserve">entwickelt von Amylin Pharmaceuticals; heute Teil des Portfolios von AstraZeneca. Handelsname in den USA: Symlin.</w:t>
      </w:r>
    </w:p>
    <w:p>
      <w:pPr>
        <w:numPr>
          <w:ilvl w:val="0"/>
          <w:numId w:val="1097"/>
        </w:numPr>
        <w:pStyle w:val="Compact"/>
      </w:pPr>
      <w:r>
        <w:rPr>
          <w:bCs/>
          <w:b/>
        </w:rPr>
        <w:t xml:space="preserve">Wirkprinzip:</w:t>
      </w:r>
      <w:r>
        <w:t xml:space="preserve"> </w:t>
      </w:r>
      <w:r>
        <w:t xml:space="preserve">Agonist an Amylin-Rezeptoren – verlangsamt die Magenentleerung, dämpft die Glukagon-Ausschüttung nach dem Essen und fördert das Sättigungsgefühl.</w:t>
      </w:r>
    </w:p>
    <w:p>
      <w:pPr>
        <w:numPr>
          <w:ilvl w:val="0"/>
          <w:numId w:val="1097"/>
        </w:numPr>
        <w:pStyle w:val="Compact"/>
      </w:pPr>
      <w:r>
        <w:rPr>
          <w:bCs/>
          <w:b/>
        </w:rPr>
        <w:t xml:space="preserve">Zulassung EU:</w:t>
      </w:r>
      <w:r>
        <w:t xml:space="preserve"> </w:t>
      </w:r>
      <w:r>
        <w:t xml:space="preserve">nein – Pramlintid wurde in der EU nie zugelassen.</w:t>
      </w:r>
    </w:p>
    <w:p>
      <w:pPr>
        <w:numPr>
          <w:ilvl w:val="0"/>
          <w:numId w:val="1097"/>
        </w:numPr>
        <w:pStyle w:val="Compact"/>
      </w:pPr>
      <w:r>
        <w:rPr>
          <w:bCs/>
          <w:b/>
        </w:rPr>
        <w:t xml:space="preserve">Zulassung USA:</w:t>
      </w:r>
      <w:r>
        <w:t xml:space="preserve"> </w:t>
      </w:r>
      <w:r>
        <w:t xml:space="preserve">ja, seit 2005 als Zusatz zu Mahlzeiteninsulin bei Typ-1- und Typ-2-Diabetes.</w:t>
      </w:r>
    </w:p>
    <w:p>
      <w:pPr>
        <w:numPr>
          <w:ilvl w:val="0"/>
          <w:numId w:val="1097"/>
        </w:numPr>
        <w:pStyle w:val="Compact"/>
      </w:pPr>
      <w:r>
        <w:rPr>
          <w:bCs/>
          <w:b/>
        </w:rPr>
        <w:t xml:space="preserve">WADA:</w:t>
      </w:r>
      <w:r>
        <w:t xml:space="preserve"> </w:t>
      </w:r>
      <w:r>
        <w:t xml:space="preserve">nicht namentlich gelistet; wegen der US-Zulassung fällt es nicht unter S0 (Stand 2026, bitte aktuell prüfen).</w:t>
      </w:r>
    </w:p>
    <w:p>
      <w:pPr>
        <w:numPr>
          <w:ilvl w:val="0"/>
          <w:numId w:val="1097"/>
        </w:numPr>
        <w:pStyle w:val="Compact"/>
      </w:pPr>
      <w:r>
        <w:rPr>
          <w:bCs/>
          <w:b/>
        </w:rPr>
        <w:t xml:space="preserve">Evidenzstufe:</w:t>
      </w:r>
      <w:r>
        <w:t xml:space="preserve"> </w:t>
      </w:r>
      <w:r>
        <w:rPr>
          <w:bCs/>
          <w:b/>
        </w:rPr>
        <w:t xml:space="preserve">A</w:t>
      </w:r>
      <w:r>
        <w:t xml:space="preserve"> </w:t>
      </w:r>
      <w:r>
        <w:t xml:space="preserve">– mehrere große randomisierte Studien, Zulassung in den USA.</w:t>
      </w:r>
    </w:p>
    <w:bookmarkEnd w:id="290"/>
    <w:bookmarkStart w:id="291" w:name="wie-es-wirken-soll-11"/>
    <w:p>
      <w:pPr>
        <w:pStyle w:val="Heading3"/>
      </w:pPr>
      <w:r>
        <w:t xml:space="preserve">Wie es wirken soll</w:t>
      </w:r>
    </w:p>
    <w:p>
      <w:pPr>
        <w:pStyle w:val="FirstParagraph"/>
      </w:pPr>
      <w:r>
        <w:t xml:space="preserve">Die Betazellen der Bauchspeicheldrüse schütten nicht nur Insulin aus, sondern im selben Takt auch Amylin. Bei Typ-1-Diabetes sind die Betazellen zerstört – es fehlen also beide Hormone, ersetzt wird in der Regel aber nur Insulin. Auch bei fortgeschrittenem Typ-2-Diabetes ist die Amylin-Ausschüttung vermindert.</w:t>
      </w:r>
    </w:p>
    <w:p>
      <w:pPr>
        <w:pStyle w:val="BodyText"/>
      </w:pPr>
      <w:r>
        <w:t xml:space="preserve">Amylin wirkt nach dem Essen in drei Richtungen: Es verlangsamt die Magenentleerung, sodass der Zucker langsamer ins Blut gelangt; es dämpft die Glukagon-Ausschüttung, die bei Diabetes nach Mahlzeiten oft unpassend hoch ist; und es fördert über den Hirnstamm das Sättigungsgefühl. Pramlintid sollte diese fehlende Wirkung ersetzen und so die Blutzuckerspitzen nach dem Essen glätten. Dass es die Magenentleerung verzögert, wurde unter anderem in einer kleinen Studie mit zwölf Menschen mit Typ-1- und Typ-2-Diabetes gezeigt: Die Zeit, bis die Hälfte einer festen Mahlzeit den Magen verlassen hatte, verlängerte sich von 91 auf 268 bis 329 Minuten (Vella 2002, PMID 11975712).</w:t>
      </w:r>
    </w:p>
    <w:p>
      <w:pPr>
        <w:pStyle w:val="BodyText"/>
      </w:pPr>
      <w:r>
        <w:t xml:space="preserve">Pramlintid ist historisch wichtig: Es war das erste Amylin-Medikament und gilt als Vorläufer der heutigen lang wirksamen Amylin-Wirkstoffe wie Cagrilintid und Amycretin (siehe dort). Sein großer praktischer Nachteil ist die kurze Wirkdauer, die mehrere Spritzen pro Tag erfordert.</w:t>
      </w:r>
    </w:p>
    <w:bookmarkEnd w:id="291"/>
    <w:bookmarkStart w:id="296" w:name="studien-am-menschen-11"/>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76 Humanstudien, überwiegend aus den Jahren 1996 bis 2010, sowie einige Meta-Analysen. Auf ClinicalTrials.gov waren 64 Studien registriert, fast alle abgeschlossen; neue Studien betreffen vor allem „künstliche Bauchspeicheldrüsen“ und die Migräneforschung.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Whitehouse 2002, PMID 11919132</w:t>
            </w:r>
          </w:p>
        </w:tc>
        <w:tc>
          <w:tcPr/>
          <w:p>
            <w:pPr>
              <w:pStyle w:val="Compact"/>
              <w:jc w:val="left"/>
            </w:pPr>
            <w:r>
              <w:t xml:space="preserve">480 Erwachsene mit Typ-1-Diabetes, gegen Placebo</w:t>
            </w:r>
          </w:p>
        </w:tc>
        <w:tc>
          <w:tcPr/>
          <w:p>
            <w:pPr>
              <w:pStyle w:val="Compact"/>
              <w:jc w:val="left"/>
            </w:pPr>
            <w:r>
              <w:t xml:space="preserve">52 Wochen (+1 Jahr offen)</w:t>
            </w:r>
          </w:p>
        </w:tc>
        <w:tc>
          <w:tcPr/>
          <w:p>
            <w:pPr>
              <w:pStyle w:val="Compact"/>
              <w:jc w:val="left"/>
            </w:pPr>
            <w:r>
              <w:t xml:space="preserve">HbA1c −0,67 vs. −0,16 nach 13 Wochen; Gewichtsabnahme statt -zunahme</w:t>
            </w:r>
          </w:p>
        </w:tc>
      </w:tr>
      <w:tr>
        <w:tc>
          <w:tcPr/>
          <w:p>
            <w:pPr>
              <w:pStyle w:val="Compact"/>
              <w:jc w:val="left"/>
            </w:pPr>
            <w:r>
              <w:t xml:space="preserve">Ratner 2004, PMID 15498087</w:t>
            </w:r>
          </w:p>
        </w:tc>
        <w:tc>
          <w:tcPr/>
          <w:p>
            <w:pPr>
              <w:pStyle w:val="Compact"/>
              <w:jc w:val="left"/>
            </w:pPr>
            <w:r>
              <w:t xml:space="preserve">651 Erwachsene mit Typ-1-Diabetes, gegen Placebo</w:t>
            </w:r>
          </w:p>
        </w:tc>
        <w:tc>
          <w:tcPr/>
          <w:p>
            <w:pPr>
              <w:pStyle w:val="Compact"/>
              <w:jc w:val="left"/>
            </w:pPr>
            <w:r>
              <w:t xml:space="preserve">52 Wochen</w:t>
            </w:r>
          </w:p>
        </w:tc>
        <w:tc>
          <w:tcPr/>
          <w:p>
            <w:pPr>
              <w:pStyle w:val="Compact"/>
              <w:jc w:val="left"/>
            </w:pPr>
            <w:r>
              <w:t xml:space="preserve">HbA1c −0,29 bis −0,34 vs. −0,04; Gewicht −0,4 kg vs. +0,8 kg</w:t>
            </w:r>
          </w:p>
        </w:tc>
      </w:tr>
      <w:tr>
        <w:tc>
          <w:tcPr/>
          <w:p>
            <w:pPr>
              <w:pStyle w:val="Compact"/>
              <w:jc w:val="left"/>
            </w:pPr>
            <w:r>
              <w:t xml:space="preserve">Hollander 2003, PMID 12610038</w:t>
            </w:r>
          </w:p>
        </w:tc>
        <w:tc>
          <w:tcPr/>
          <w:p>
            <w:pPr>
              <w:pStyle w:val="Compact"/>
              <w:jc w:val="left"/>
            </w:pPr>
            <w:r>
              <w:t xml:space="preserve">656 Erwachsene mit insulinbehandeltem Typ-2-Diabetes, gegen Placebo</w:t>
            </w:r>
          </w:p>
        </w:tc>
        <w:tc>
          <w:tcPr/>
          <w:p>
            <w:pPr>
              <w:pStyle w:val="Compact"/>
              <w:jc w:val="left"/>
            </w:pPr>
            <w:r>
              <w:t xml:space="preserve">52 Wochen</w:t>
            </w:r>
          </w:p>
        </w:tc>
        <w:tc>
          <w:tcPr/>
          <w:p>
            <w:pPr>
              <w:pStyle w:val="Compact"/>
              <w:jc w:val="left"/>
            </w:pPr>
            <w:r>
              <w:t xml:space="preserve">HbA1c −0,62 (Woche 52); Gewicht −1,4 kg vs. +0,7 kg</w:t>
            </w:r>
          </w:p>
        </w:tc>
      </w:tr>
      <w:tr>
        <w:tc>
          <w:tcPr/>
          <w:p>
            <w:pPr>
              <w:pStyle w:val="Compact"/>
              <w:jc w:val="left"/>
            </w:pPr>
            <w:r>
              <w:t xml:space="preserve">Edelman 2006, PMID 17003291</w:t>
            </w:r>
          </w:p>
        </w:tc>
        <w:tc>
          <w:tcPr/>
          <w:p>
            <w:pPr>
              <w:pStyle w:val="Compact"/>
              <w:jc w:val="left"/>
            </w:pPr>
            <w:r>
              <w:t xml:space="preserve">296 Erwachsene mit Typ-1-Diabetes, intensivierte Insulintherapie</w:t>
            </w:r>
          </w:p>
        </w:tc>
        <w:tc>
          <w:tcPr/>
          <w:p>
            <w:pPr>
              <w:pStyle w:val="Compact"/>
              <w:jc w:val="left"/>
            </w:pPr>
            <w:r>
              <w:t xml:space="preserve">29 Wochen</w:t>
            </w:r>
          </w:p>
        </w:tc>
        <w:tc>
          <w:tcPr/>
          <w:p>
            <w:pPr>
              <w:pStyle w:val="Compact"/>
              <w:jc w:val="left"/>
            </w:pPr>
            <w:r>
              <w:t xml:space="preserve">HbA1c gleich (−0,5 beide); Gewicht −1,3 vs. +1,2 kg; Insulin −28 %</w:t>
            </w:r>
          </w:p>
        </w:tc>
      </w:tr>
      <w:tr>
        <w:tc>
          <w:tcPr/>
          <w:p>
            <w:pPr>
              <w:pStyle w:val="Compact"/>
              <w:jc w:val="left"/>
            </w:pPr>
            <w:r>
              <w:t xml:space="preserve">Riddle 2007, PMID 17698615</w:t>
            </w:r>
          </w:p>
        </w:tc>
        <w:tc>
          <w:tcPr/>
          <w:p>
            <w:pPr>
              <w:pStyle w:val="Compact"/>
              <w:jc w:val="left"/>
            </w:pPr>
            <w:r>
              <w:t xml:space="preserve">212 Erwachsene mit Typ-2-Diabetes und Basalinsulin, gegen Placebo</w:t>
            </w:r>
          </w:p>
        </w:tc>
        <w:tc>
          <w:tcPr/>
          <w:p>
            <w:pPr>
              <w:pStyle w:val="Compact"/>
              <w:jc w:val="left"/>
            </w:pPr>
            <w:r>
              <w:t xml:space="preserve">16 Wochen</w:t>
            </w:r>
          </w:p>
        </w:tc>
        <w:tc>
          <w:tcPr/>
          <w:p>
            <w:pPr>
              <w:pStyle w:val="Compact"/>
              <w:jc w:val="left"/>
            </w:pPr>
            <w:r>
              <w:t xml:space="preserve">HbA1c −0,70 vs. −0,36; Gewicht −1,6 vs. +0,7 kg</w:t>
            </w:r>
          </w:p>
        </w:tc>
      </w:tr>
      <w:tr>
        <w:tc>
          <w:tcPr/>
          <w:p>
            <w:pPr>
              <w:pStyle w:val="Compact"/>
              <w:jc w:val="left"/>
            </w:pPr>
            <w:r>
              <w:t xml:space="preserve">Smith 2008, PMID 18753666</w:t>
            </w:r>
          </w:p>
        </w:tc>
        <w:tc>
          <w:tcPr/>
          <w:p>
            <w:pPr>
              <w:pStyle w:val="Compact"/>
              <w:jc w:val="left"/>
            </w:pPr>
            <w:r>
              <w:t xml:space="preserve">411 Erwachsene mit Adipositas, mit Lebensstilprogramm</w:t>
            </w:r>
          </w:p>
        </w:tc>
        <w:tc>
          <w:tcPr/>
          <w:p>
            <w:pPr>
              <w:pStyle w:val="Compact"/>
              <w:jc w:val="left"/>
            </w:pPr>
            <w:r>
              <w:t xml:space="preserve">4 Monate (+8 Monate)</w:t>
            </w:r>
          </w:p>
        </w:tc>
        <w:tc>
          <w:tcPr/>
          <w:p>
            <w:pPr>
              <w:pStyle w:val="Compact"/>
              <w:jc w:val="left"/>
            </w:pPr>
            <w:r>
              <w:t xml:space="preserve">nach 12 Monaten placebobereinigt bis −7,2 kg</w:t>
            </w:r>
          </w:p>
        </w:tc>
      </w:tr>
    </w:tbl>
    <w:bookmarkStart w:id="292" w:name="typ-1-diabetes"/>
    <w:p>
      <w:pPr>
        <w:pStyle w:val="Heading4"/>
      </w:pPr>
      <w:r>
        <w:t xml:space="preserve">Typ-1-Diabetes</w:t>
      </w:r>
    </w:p>
    <w:p>
      <w:pPr>
        <w:pStyle w:val="FirstParagraph"/>
      </w:pPr>
      <w:r>
        <w:t xml:space="preserve">Die großen Zulassungsstudien liefen über ein Jahr. In der Studie von Whitehouse (2002, PMID 11919132) mit 480 Menschen mit Typ-1-Diabetes sank der HbA1c-Wert nach 13 Wochen um 0,67 Prozentpunkte gegenüber 0,16 unter Placebo; der Unterschied blieb bis Woche 52 statistisch signifikant. Die Teilnehmenden nahmen im Mittel ab statt zu, die Gesamtrate schwerer Unterzuckerungen war nicht erhöht. In der Studie von Ratner (2004, PMID 15498087) mit 651 Teilnehmenden war der Effekt kleiner: −0,29 bzw. −0,34 Prozentpunkte gegenüber −0,04.</w:t>
      </w:r>
    </w:p>
    <w:p>
      <w:pPr>
        <w:pStyle w:val="BodyText"/>
      </w:pPr>
      <w:r>
        <w:t xml:space="preserve">Diese Effekte sind bescheiden. Eine Netzwerk-Meta-Analyse aller Zusatzmedikamente bei Typ-1-Diabetes mit 58 Studien bewertete die Vertrauenswürdigkeit der Evidenz überwiegend als mäßig bis sehr niedrig und fand, dass Pramlintid – wie GLP-1-Agonisten und Metformin – Übelkeit häufiger macht (Avgerinos 2021, PMID 33300282).</w:t>
      </w:r>
    </w:p>
    <w:p>
      <w:pPr>
        <w:pStyle w:val="BodyText"/>
      </w:pPr>
      <w:r>
        <w:t xml:space="preserve">Eine wichtige Lehre lieferte die Studie von Edelman (2006, PMID 17003291): Wenn zu Beginn der Pramlintid-Behandlung die Mahlzeiteninsulindosis vorsorglich um 30 bis 50 % gesenkt wurde, war der HbA1c-Wert nach 29 Wochen in beiden Gruppen gleich gesunken (je −0,5). Unter Pramlintid waren aber die Blutzuckerspitzen nach dem Essen kleiner, das Gewicht sank um 1,3 kg (Placebo +1,2 kg), und es wurde 28 % weniger Insulin benötigt. Übelkeit trat bei 63 % auf (Placebo 36 %).</w:t>
      </w:r>
    </w:p>
    <w:bookmarkEnd w:id="292"/>
    <w:bookmarkStart w:id="293" w:name="typ-2-diabetes"/>
    <w:p>
      <w:pPr>
        <w:pStyle w:val="Heading4"/>
      </w:pPr>
      <w:r>
        <w:t xml:space="preserve">Typ-2-Diabetes</w:t>
      </w:r>
    </w:p>
    <w:p>
      <w:pPr>
        <w:pStyle w:val="FirstParagraph"/>
      </w:pPr>
      <w:r>
        <w:t xml:space="preserve">Bei insulinbehandeltem Typ-2-Diabetes senkte Pramlintid den HbA1c-Wert nach einem Jahr um 0,62 Prozentpunkte, mit einer Gewichtsabnahme von 1,4 kg gegenüber 0,7 kg Zunahme unter Placebo (Hollander 2003, PMID 12610038). Als Zusatz zu Basalinsulin war es in einer offenen Studie mit 113 Teilnehmenden ähnlich wirksam wie ein schnell wirkendes Mahlzeiteninsulin, führte aber nicht zu Gewichtszunahme (0,0 kg vs. +4,7 kg) und zu weniger leichten Unterzuckerungen; dafür klagten 21 % über Übelkeit (Riddle 2009, PMID 19502544).</w:t>
      </w:r>
    </w:p>
    <w:p>
      <w:pPr>
        <w:pStyle w:val="BodyText"/>
      </w:pPr>
      <w:r>
        <w:t xml:space="preserve">Eine Meta-Analyse von acht randomisierten Studien ergab bei Typ-2-Diabetes eine HbA1c-Senkung um 0,33 Prozentpunkte und einen Gewichtsverlust von 2,57 kg gegenüber Kontrolle; Übelkeit trat 1,8-mal häufiger auf (Singh-Franco 2011, PMID 21199269).</w:t>
      </w:r>
    </w:p>
    <w:bookmarkEnd w:id="293"/>
    <w:bookmarkStart w:id="294" w:name="adipositas"/>
    <w:p>
      <w:pPr>
        <w:pStyle w:val="Heading4"/>
      </w:pPr>
      <w:r>
        <w:t xml:space="preserve">Adipositas</w:t>
      </w:r>
    </w:p>
    <w:p>
      <w:pPr>
        <w:pStyle w:val="FirstParagraph"/>
      </w:pPr>
      <w:r>
        <w:t xml:space="preserve">Zwischen 2005 und 2010 wurde Pramlintid auch als Abnehmmedikament geprüft. In einer 16-wöchigen Studie mit 204 Menschen mit Adipositas betrug der placebobereinigte Gewichtsverlust 3,7 % (Aronne 2007, PMID 17504894). Kombiniert mit einem Lebensstilprogramm hielten einige Dosisgruppen ihren Gewichtsverlust über zwölf Monate; placebobereinigt waren es bis zu 7,2 kg bzw. 6,8 % (Smith 2008, PMID 18753666). Eine Kombination mit Metreleptin (einem Leptin-Analogon) erreichte nach 20 Wochen 12,7 % Gewichtsverlust gegenüber 8,4 % mit Pramlintid allein (Ravussin 2009, PMID 19521351). Diese Entwicklung wurde nicht bis zur Zulassung fortgeführt.</w:t>
      </w:r>
    </w:p>
    <w:bookmarkEnd w:id="294"/>
    <w:bookmarkStart w:id="295" w:name="X01dcb93c3d38b031098fb5d63f533f26118fec6"/>
    <w:p>
      <w:pPr>
        <w:pStyle w:val="Heading4"/>
      </w:pPr>
      <w:r>
        <w:t xml:space="preserve">Neuere Anwendungen: künstliche Bauchspeicheldrüse</w:t>
      </w:r>
    </w:p>
    <w:p>
      <w:pPr>
        <w:pStyle w:val="FirstParagraph"/>
      </w:pPr>
      <w:r>
        <w:t xml:space="preserve">Seit etwa 2015 erlebt Pramlintid eine kleine Renaissance in der Forschung zu automatisierten Insulinpumpensystemen. In einer randomisierten Crossover-Studie stieg die Zeit im Zielbereich mit einem System, das neben schnell wirkendem Insulin auch Pramlintid abgibt, von 74 % auf 84 % (Haidar 2020, PMID 31974099). Eine kleine Pilotstudie untersuchte, ob ein solches System das Kohlenhydratzählen überflüssig machen kann; die Unterschiede zur Standardbehandlung waren nicht statistisch signifikant (Odabassian 2025, PMID 41174925). Eine feste Mischung aus Pramlintid und einem Insulin (ADO09) führte in einer 16-wöchigen Studie mit 80 Menschen mit Typ-1-Diabetes zu 2,1 kg mehr Gewichtsverlust als Insulin lispro, bei unverändertem HbA1c (Andersen 2024, PMID 39109464).</w:t>
      </w:r>
    </w:p>
    <w:bookmarkEnd w:id="295"/>
    <w:bookmarkEnd w:id="296"/>
    <w:bookmarkStart w:id="297" w:name="tier--und-laborstudien-11"/>
    <w:p>
      <w:pPr>
        <w:pStyle w:val="Heading3"/>
      </w:pPr>
      <w:r>
        <w:t xml:space="preserve">Tier- und Laborstudien</w:t>
      </w:r>
    </w:p>
    <w:p>
      <w:pPr>
        <w:pStyle w:val="FirstParagraph"/>
      </w:pPr>
      <w:r>
        <w:t xml:space="preserve">Die Grundlagen der Amylin-Forschung stammen aus Tier- und Laborstudien, die hier nicht im Einzelnen dargestellt werden. Bei Nagetieren führte die Kombination von Amylin und Leptin zu einem überadditiven Gewichtsverlust (in Ravussin 2009, PMID 19521351, als Ausgangspunkt beschrieben). In Mausmodellen löste Amylin, ähnlich wie das Migräne-Botenstoff-Peptid CGRP, Überempfindlichkeit und Lichtscheu aus (Ghanizada 2021, PMID 33772845).</w:t>
      </w:r>
    </w:p>
    <w:bookmarkEnd w:id="297"/>
    <w:bookmarkStart w:id="298" w:name="risiken-und-nebenwirkungen-11"/>
    <w:p>
      <w:pPr>
        <w:pStyle w:val="Heading3"/>
      </w:pPr>
      <w:r>
        <w:t xml:space="preserve">Risiken und Nebenwirkungen</w:t>
      </w:r>
    </w:p>
    <w:p>
      <w:pPr>
        <w:pStyle w:val="FirstParagraph"/>
      </w:pPr>
      <w:r>
        <w:rPr>
          <w:bCs/>
          <w:b/>
        </w:rPr>
        <w:t xml:space="preserve">Belegt aus Studien:</w:t>
      </w:r>
    </w:p>
    <w:p>
      <w:pPr>
        <w:numPr>
          <w:ilvl w:val="0"/>
          <w:numId w:val="1098"/>
        </w:numPr>
        <w:pStyle w:val="Compact"/>
      </w:pPr>
      <w:r>
        <w:rPr>
          <w:bCs/>
          <w:b/>
        </w:rPr>
        <w:t xml:space="preserve">Übelkeit</w:t>
      </w:r>
      <w:r>
        <w:t xml:space="preserve"> </w:t>
      </w:r>
      <w:r>
        <w:t xml:space="preserve">ist die häufigste Nebenwirkung, vor allem in den ersten Wochen; je nach Studie zwischen 9 % und 63 % (Smith 2008, PMID 18753666; Edelman 2006, PMID 17003291).</w:t>
      </w:r>
    </w:p>
    <w:p>
      <w:pPr>
        <w:numPr>
          <w:ilvl w:val="0"/>
          <w:numId w:val="1098"/>
        </w:numPr>
        <w:pStyle w:val="Compact"/>
      </w:pPr>
      <w:r>
        <w:rPr>
          <w:bCs/>
          <w:b/>
        </w:rPr>
        <w:t xml:space="preserve">Schwere Unterzuckerung</w:t>
      </w:r>
      <w:r>
        <w:t xml:space="preserve"> </w:t>
      </w:r>
      <w:r>
        <w:t xml:space="preserve">ist das wichtigste Risiko. Pramlintid selbst senkt den Blutzucker kaum, verstärkt aber die Wirkung des gleichzeitig gespritzten Insulins, weil der Zucker aus der Mahlzeit verzögert ankommt. In der Studie von Edelman traten schwere Unterzuckerungen unter Pramlintid häufiger auf als unter Placebo (0,57 vs. 0,30 Ereignisse pro Patientenjahr), insbesondere bei Teilnehmenden, die auf einer niedrigen Dosis blieben (Edelman 2006, PMID 17003291). In den USA trägt das Medikament deshalb einen deutlichen Warnhinweis; vor Behandlungsbeginn wird eine Reduktion der Mahlzeiteninsulindosis vorgesehen – Details regelt die Fachinformation, die Umsetzung gehört in ärztliche Hände.</w:t>
      </w:r>
    </w:p>
    <w:p>
      <w:pPr>
        <w:numPr>
          <w:ilvl w:val="0"/>
          <w:numId w:val="1098"/>
        </w:numPr>
        <w:pStyle w:val="Compact"/>
      </w:pPr>
      <w:r>
        <w:rPr>
          <w:bCs/>
          <w:b/>
        </w:rPr>
        <w:t xml:space="preserve">Kopfschmerzen und Migräne:</w:t>
      </w:r>
      <w:r>
        <w:t xml:space="preserve"> </w:t>
      </w:r>
      <w:r>
        <w:t xml:space="preserve">In einer experimentellen Studie mit 36 Menschen mit Migräne bekamen nach einer Pramlintid-Infusion 88 % Kopfschmerzen und 41 % eine migräneartige Attacke (Ghanizada 2021, PMID 33772845). Diese Studie verwendete eine Infusion zu Forschungszwecken; sie zeigt aber, dass Amylin-Rezeptoren bei Migräne eine Rolle spielen. Für die neuen, lang wirksamen Amylin-Medikamente ist dieser Befund ebenfalls relevant.</w:t>
      </w:r>
    </w:p>
    <w:p>
      <w:pPr>
        <w:numPr>
          <w:ilvl w:val="0"/>
          <w:numId w:val="1098"/>
        </w:numPr>
        <w:pStyle w:val="Compact"/>
      </w:pPr>
      <w:r>
        <w:rPr>
          <w:bCs/>
          <w:b/>
        </w:rPr>
        <w:t xml:space="preserve">Wechselwirkungen:</w:t>
      </w:r>
      <w:r>
        <w:t xml:space="preserve"> </w:t>
      </w:r>
      <w:r>
        <w:t xml:space="preserve">Da Pramlintid die Magenentleerung verzögert, können Tabletten, deren rascher Wirkeintritt wichtig ist, verzögert aufgenommen werden (Fachinformation).</w:t>
      </w:r>
    </w:p>
    <w:bookmarkEnd w:id="298"/>
    <w:bookmarkStart w:id="299" w:name="rechtslage-11"/>
    <w:p>
      <w:pPr>
        <w:pStyle w:val="Heading3"/>
      </w:pPr>
      <w:r>
        <w:t xml:space="preserve">Rechtslage</w:t>
      </w:r>
    </w:p>
    <w:p>
      <w:pPr>
        <w:numPr>
          <w:ilvl w:val="0"/>
          <w:numId w:val="1099"/>
        </w:numPr>
        <w:pStyle w:val="Compact"/>
      </w:pPr>
      <w:r>
        <w:rPr>
          <w:bCs/>
          <w:b/>
        </w:rPr>
        <w:t xml:space="preserve">EU / Österreich / Deutschland:</w:t>
      </w:r>
      <w:r>
        <w:t xml:space="preserve"> </w:t>
      </w:r>
      <w:r>
        <w:t xml:space="preserve">nicht zugelassen. Pramlintid ist in Europa nur über Einzelimport für bestimmte Patientinnen und Patienten denkbar und spielt praktisch keine Rolle.</w:t>
      </w:r>
    </w:p>
    <w:p>
      <w:pPr>
        <w:numPr>
          <w:ilvl w:val="0"/>
          <w:numId w:val="1099"/>
        </w:numPr>
        <w:pStyle w:val="Compact"/>
      </w:pPr>
      <w:r>
        <w:rPr>
          <w:bCs/>
          <w:b/>
        </w:rPr>
        <w:t xml:space="preserve">USA:</w:t>
      </w:r>
      <w:r>
        <w:t xml:space="preserve"> </w:t>
      </w:r>
      <w:r>
        <w:t xml:space="preserve">zugelassen seit 2005 (Symlin) als Zusatz zu Mahlzeiteninsulin bei Typ-1- und Typ-2-Diabetes; verschreibungspflichtig. Für Adipositas ohne Diabetes ist es nicht zugelassen.</w:t>
      </w:r>
    </w:p>
    <w:p>
      <w:pPr>
        <w:numPr>
          <w:ilvl w:val="0"/>
          <w:numId w:val="1099"/>
        </w:numPr>
        <w:pStyle w:val="Compact"/>
      </w:pPr>
      <w:r>
        <w:rPr>
          <w:bCs/>
          <w:b/>
        </w:rPr>
        <w:t xml:space="preserve">Sport:</w:t>
      </w:r>
      <w:r>
        <w:t xml:space="preserve"> </w:t>
      </w:r>
      <w:r>
        <w:t xml:space="preserve">nicht auf der WADA-Liste genannt (Stand 2026, bitte aktuell prüfen).</w:t>
      </w:r>
    </w:p>
    <w:bookmarkEnd w:id="299"/>
    <w:bookmarkStart w:id="300" w:name="laufende-studien-und-ausblick-11"/>
    <w:p>
      <w:pPr>
        <w:pStyle w:val="Heading3"/>
      </w:pPr>
      <w:r>
        <w:t xml:space="preserve">Laufende Studien und Ausblick</w:t>
      </w:r>
    </w:p>
    <w:p>
      <w:pPr>
        <w:pStyle w:val="FirstParagraph"/>
      </w:pPr>
      <w:r>
        <w:rPr>
          <w:bCs/>
          <w:b/>
        </w:rPr>
        <w:t xml:space="preserve">Gesichert (registrierte Studien, Stand Oktober 2026):</w:t>
      </w:r>
      <w:r>
        <w:t xml:space="preserve"> </w:t>
      </w:r>
      <w:r>
        <w:t xml:space="preserve">Neue Studien mit Pramlintid sind überwiegend kleine Grundlagenstudien, etwa zur Rolle von Amylin bei Migräne ohne Aura (NCT07340788), bei Kopfschmerzen nach Kopfverletzungen (NCT07340775) und zur Sättigung (NCT07506369). Die Autorinnen und Autoren der Pilotstudie zur Pramlintid-Insulinpumpe kündigen eine größere Studie an (Odabassian 2025, PMID 41174925).</w:t>
      </w:r>
    </w:p>
    <w:p>
      <w:pPr>
        <w:pStyle w:val="BodyText"/>
      </w:pPr>
      <w:r>
        <w:rPr>
          <w:bCs/>
          <w:b/>
        </w:rPr>
        <w:t xml:space="preserve">Einschätzung:</w:t>
      </w:r>
      <w:r>
        <w:t xml:space="preserve"> </w:t>
      </w:r>
      <w:r>
        <w:t xml:space="preserve">Als Medikament ist Pramlintid ein Nischenprodukt geblieben – zu viele Spritzen, zu viel Übelkeit, zu geringer Effekt auf den HbA1c-Wert. Seine wichtigste Rolle dürfte es als Wegbereiter spielen: Die lang wirksamen Amylin-Analoga der neuen Generation (Cagrilintid, Amycretin, Eloralintid und andere) bauen auf seinen Erfahrungen auf. In der Forschung zu Systemen mit zwei Hormonen bei Typ-1-Diabetes könnte es eine kleine Rolle behalten.</w:t>
      </w:r>
    </w:p>
    <w:bookmarkEnd w:id="300"/>
    <w:bookmarkStart w:id="301" w:name="fazit-11"/>
    <w:p>
      <w:pPr>
        <w:pStyle w:val="Heading3"/>
      </w:pPr>
      <w:r>
        <w:t xml:space="preserve">Fazit</w:t>
      </w:r>
    </w:p>
    <w:p>
      <w:pPr>
        <w:pStyle w:val="FirstParagraph"/>
      </w:pPr>
      <w:r>
        <w:t xml:space="preserve">Pramlintid ist das erste Amylin-Medikament und seit 2005 in den USA, nicht aber in der EU, als Zusatz zu Insulin zugelassen. In großen Studien senkte es den HbA1c-Wert nur um etwa 0,3 bis 0,7 Prozentpunkte, verhinderte aber die insulintypische Gewichtszunahme und glättete die Blutzuckerspitzen nach Mahlzeiten. Übelkeit ist häufig, und in Kombination mit Insulin besteht ein relevantes Risiko schwerer Unterzuckerungen. Heute ist Pramlintid vor allem als Vorläufer der neuen lang wirksamen Amylin-Medikamente von Bedeutung.</w:t>
      </w:r>
    </w:p>
    <w:bookmarkEnd w:id="301"/>
    <w:bookmarkEnd w:id="302"/>
    <w:bookmarkStart w:id="316" w:name="setmelanotid"/>
    <w:p>
      <w:pPr>
        <w:pStyle w:val="Heading2"/>
      </w:pPr>
      <w:r>
        <w:t xml:space="preserve">Setmelanotid</w:t>
      </w:r>
    </w:p>
    <w:bookmarkStart w:id="303" w:name="steckbrief-12"/>
    <w:p>
      <w:pPr>
        <w:pStyle w:val="Heading3"/>
      </w:pPr>
      <w:r>
        <w:t xml:space="preserve">Steckbrief</w:t>
      </w:r>
    </w:p>
    <w:p>
      <w:pPr>
        <w:numPr>
          <w:ilvl w:val="0"/>
          <w:numId w:val="1100"/>
        </w:numPr>
        <w:pStyle w:val="Compact"/>
      </w:pPr>
      <w:r>
        <w:rPr>
          <w:bCs/>
          <w:b/>
        </w:rPr>
        <w:t xml:space="preserve">Art/Struktur:</w:t>
      </w:r>
      <w:r>
        <w:t xml:space="preserve"> </w:t>
      </w:r>
      <w:r>
        <w:t xml:space="preserve">kleines, ringförmig geschlossenes (zyklisches) synthetisches Peptid, das den körpereigenen Botenstoff Alpha-MSH nachahmt. Einmal tägliche Gabe unter die Haut. Früherer Entwicklungscode RM-493.</w:t>
      </w:r>
    </w:p>
    <w:p>
      <w:pPr>
        <w:numPr>
          <w:ilvl w:val="0"/>
          <w:numId w:val="1100"/>
        </w:numPr>
        <w:pStyle w:val="Compact"/>
      </w:pPr>
      <w:r>
        <w:rPr>
          <w:bCs/>
          <w:b/>
        </w:rPr>
        <w:t xml:space="preserve">Herkunft:</w:t>
      </w:r>
      <w:r>
        <w:t xml:space="preserve"> </w:t>
      </w:r>
      <w:r>
        <w:t xml:space="preserve">entwickelt von Rhythm Pharmaceuticals; Handelsname Imcivree.</w:t>
      </w:r>
    </w:p>
    <w:p>
      <w:pPr>
        <w:numPr>
          <w:ilvl w:val="0"/>
          <w:numId w:val="1100"/>
        </w:numPr>
        <w:pStyle w:val="Compact"/>
      </w:pPr>
      <w:r>
        <w:rPr>
          <w:bCs/>
          <w:b/>
        </w:rPr>
        <w:t xml:space="preserve">Wirkprinzip:</w:t>
      </w:r>
      <w:r>
        <w:t xml:space="preserve"> </w:t>
      </w:r>
      <w:r>
        <w:t xml:space="preserve">Agonist am Melanocortin-4-Rezeptor (MC4R) im Hypothalamus, einer zentralen Schaltstelle für Hunger und Sättigung.</w:t>
      </w:r>
    </w:p>
    <w:p>
      <w:pPr>
        <w:numPr>
          <w:ilvl w:val="0"/>
          <w:numId w:val="1100"/>
        </w:numPr>
        <w:pStyle w:val="Compact"/>
      </w:pPr>
      <w:r>
        <w:rPr>
          <w:bCs/>
          <w:b/>
        </w:rPr>
        <w:t xml:space="preserve">Zulassung EU:</w:t>
      </w:r>
      <w:r>
        <w:t xml:space="preserve"> </w:t>
      </w:r>
      <w:r>
        <w:t xml:space="preserve">ja (Imcivree) für Adipositas bei genetisch bestätigtem POMC-, PCSK1- oder Leptinrezeptor-Mangel sowie beim Bardet-Biedl-Syndrom.</w:t>
      </w:r>
    </w:p>
    <w:p>
      <w:pPr>
        <w:numPr>
          <w:ilvl w:val="0"/>
          <w:numId w:val="1100"/>
        </w:numPr>
        <w:pStyle w:val="Compact"/>
      </w:pPr>
      <w:r>
        <w:rPr>
          <w:bCs/>
          <w:b/>
        </w:rPr>
        <w:t xml:space="preserve">Zulassung USA:</w:t>
      </w:r>
      <w:r>
        <w:t xml:space="preserve"> </w:t>
      </w:r>
      <w:r>
        <w:t xml:space="preserve">ja (Imcivree), erstmals 2020, für dieselben seltenen genetischen Formen (Markham 2021, PMID 33638809).</w:t>
      </w:r>
    </w:p>
    <w:p>
      <w:pPr>
        <w:numPr>
          <w:ilvl w:val="0"/>
          <w:numId w:val="1100"/>
        </w:numPr>
        <w:pStyle w:val="Compact"/>
      </w:pPr>
      <w:r>
        <w:rPr>
          <w:bCs/>
          <w:b/>
        </w:rPr>
        <w:t xml:space="preserve">WADA:</w:t>
      </w:r>
      <w:r>
        <w:t xml:space="preserve"> </w:t>
      </w:r>
      <w:r>
        <w:t xml:space="preserve">nicht namentlich gelistet; als zugelassenes Arzneimittel nicht unter S0 (Stand 2026, bitte aktuell prüfen).</w:t>
      </w:r>
    </w:p>
    <w:p>
      <w:pPr>
        <w:numPr>
          <w:ilvl w:val="0"/>
          <w:numId w:val="1100"/>
        </w:numPr>
        <w:pStyle w:val="Compact"/>
      </w:pPr>
      <w:r>
        <w:rPr>
          <w:bCs/>
          <w:b/>
        </w:rPr>
        <w:t xml:space="preserve">Evidenzstufe:</w:t>
      </w:r>
      <w:r>
        <w:t xml:space="preserve"> </w:t>
      </w:r>
      <w:r>
        <w:rPr>
          <w:bCs/>
          <w:b/>
        </w:rPr>
        <w:t xml:space="preserve">A</w:t>
      </w:r>
      <w:r>
        <w:t xml:space="preserve"> </w:t>
      </w:r>
      <w:r>
        <w:t xml:space="preserve">– Zulassung auf Basis von Phase-3-Studien; wegen der Seltenheit der Erkrankungen sind die Studien jedoch klein und teilweise unkontrolliert.</w:t>
      </w:r>
    </w:p>
    <w:bookmarkEnd w:id="303"/>
    <w:bookmarkStart w:id="304" w:name="wie-es-wirken-soll-12"/>
    <w:p>
      <w:pPr>
        <w:pStyle w:val="Heading3"/>
      </w:pPr>
      <w:r>
        <w:t xml:space="preserve">Wie es wirken soll</w:t>
      </w:r>
    </w:p>
    <w:p>
      <w:pPr>
        <w:pStyle w:val="FirstParagraph"/>
      </w:pPr>
      <w:r>
        <w:t xml:space="preserve">Setmelanotid unterscheidet sich grundlegend von allen anderen Wirkstoffen dieses Teils. Es ist kein allgemeines Abnehmmedikament, sondern eine gezielte Behandlung für Menschen, bei denen eine bestimmte Signalkette im Gehirn defekt ist.</w:t>
      </w:r>
    </w:p>
    <w:p>
      <w:pPr>
        <w:pStyle w:val="BodyText"/>
      </w:pPr>
      <w:r>
        <w:t xml:space="preserve">Diese Kette heißt Leptin-Melanocortin-Signalweg. Vereinfacht: Das Fettgewebe schüttet das Hormon Leptin aus. Leptin wirkt im Hypothalamus auf Nervenzellen, die aus einem Vorläufermolekül namens POMC den Botenstoff Alpha-MSH herstellen. Für diese Herstellung braucht es ein Enzym namens PCSK1. Alpha-MSH aktiviert schließlich den MC4-Rezeptor – und das Signal lautet: „Genug gegessen.“</w:t>
      </w:r>
    </w:p>
    <w:p>
      <w:pPr>
        <w:pStyle w:val="BodyText"/>
      </w:pPr>
      <w:r>
        <w:t xml:space="preserve">Fällt eines dieser Glieder durch eine angeborene Genveränderung aus, entsteht ein quälender, unstillbarer Hunger (Hyperphagie), der schon im Kleinkindalter zu schwerer Adipositas führt. Diät und Bewegung allein können dagegen wenig ausrichten. Setmelanotid setzt am Ende der Kette an und aktiviert den MC4-Rezeptor direkt – es überbrückt sozusagen die defekten Glieder davor.</w:t>
      </w:r>
    </w:p>
    <w:p>
      <w:pPr>
        <w:pStyle w:val="BodyText"/>
      </w:pPr>
      <w:r>
        <w:t xml:space="preserve">Setmelanotid wirkt außerdem am eng verwandten Melanocortin-1-Rezeptor in der Haut. Das erklärt die häufigste Nebenwirkung: eine Bräunung der Haut (siehe unten) – und es verbindet Setmelanotid mit den Bräunungspeptiden wie Melanotan II und Afamelanotid (Teil II, Gruppe E).</w:t>
      </w:r>
    </w:p>
    <w:bookmarkEnd w:id="304"/>
    <w:bookmarkStart w:id="310" w:name="studien-am-menschen-12"/>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15 Humanstudien. Auf ClinicalTrials.gov waren 27 Studien registriert. Wegen der Seltenheit der Zielerkrankungen umfassen die Studien oft nur 10 bis 40 Teilnehmende; die größte veröffentlichte randomisierte Studie (zur hypothalamischen Adipositas) schloss 120 Personen ein.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Kühnen 2016, PMID 27468060</w:t>
            </w:r>
          </w:p>
        </w:tc>
        <w:tc>
          <w:tcPr/>
          <w:p>
            <w:pPr>
              <w:pStyle w:val="Compact"/>
              <w:jc w:val="left"/>
            </w:pPr>
            <w:r>
              <w:t xml:space="preserve">2 Personen mit POMC-Mangel, offen</w:t>
            </w:r>
          </w:p>
        </w:tc>
        <w:tc>
          <w:tcPr/>
          <w:p>
            <w:pPr>
              <w:pStyle w:val="Compact"/>
              <w:jc w:val="left"/>
            </w:pPr>
            <w:r>
              <w:t xml:space="preserve">12 bzw. 42 Wochen</w:t>
            </w:r>
          </w:p>
        </w:tc>
        <w:tc>
          <w:tcPr/>
          <w:p>
            <w:pPr>
              <w:pStyle w:val="Compact"/>
              <w:jc w:val="left"/>
            </w:pPr>
            <w:r>
              <w:t xml:space="preserve">−20,5 kg bzw. −51,0 kg; weniger Hunger</w:t>
            </w:r>
          </w:p>
        </w:tc>
      </w:tr>
      <w:tr>
        <w:tc>
          <w:tcPr/>
          <w:p>
            <w:pPr>
              <w:pStyle w:val="Compact"/>
              <w:jc w:val="left"/>
            </w:pPr>
            <w:r>
              <w:t xml:space="preserve">Clément 2020 (POMC/LEPR), PMID 33137293</w:t>
            </w:r>
          </w:p>
        </w:tc>
        <w:tc>
          <w:tcPr/>
          <w:p>
            <w:pPr>
              <w:pStyle w:val="Compact"/>
              <w:jc w:val="left"/>
            </w:pPr>
            <w:r>
              <w:t xml:space="preserve">10 Personen mit POMC- und 11 mit LEPR-Mangel; einarmig, mit Absetzphase</w:t>
            </w:r>
          </w:p>
        </w:tc>
        <w:tc>
          <w:tcPr/>
          <w:p>
            <w:pPr>
              <w:pStyle w:val="Compact"/>
              <w:jc w:val="left"/>
            </w:pPr>
            <w:r>
              <w:t xml:space="preserve">etwa 1 Jahr</w:t>
            </w:r>
          </w:p>
        </w:tc>
        <w:tc>
          <w:tcPr/>
          <w:p>
            <w:pPr>
              <w:pStyle w:val="Compact"/>
              <w:jc w:val="left"/>
            </w:pPr>
            <w:r>
              <w:t xml:space="preserve">≥10 % Gewichtsverlust bei 80 % (POMC) bzw. 45 % (LEPR)</w:t>
            </w:r>
          </w:p>
        </w:tc>
      </w:tr>
      <w:tr>
        <w:tc>
          <w:tcPr/>
          <w:p>
            <w:pPr>
              <w:pStyle w:val="Compact"/>
              <w:jc w:val="left"/>
            </w:pPr>
            <w:r>
              <w:t xml:space="preserve">Haqq 2022 (BBS/Alström), PMID 36356613</w:t>
            </w:r>
          </w:p>
        </w:tc>
        <w:tc>
          <w:tcPr/>
          <w:p>
            <w:pPr>
              <w:pStyle w:val="Compact"/>
              <w:jc w:val="left"/>
            </w:pPr>
            <w:r>
              <w:t xml:space="preserve">38 Personen mit Bardet-Biedl- oder Alström-Syndrom; 14 Wochen gegen Placebo, dann offen</w:t>
            </w:r>
          </w:p>
        </w:tc>
        <w:tc>
          <w:tcPr/>
          <w:p>
            <w:pPr>
              <w:pStyle w:val="Compact"/>
              <w:jc w:val="left"/>
            </w:pPr>
            <w:r>
              <w:t xml:space="preserve">66 Wochen</w:t>
            </w:r>
          </w:p>
        </w:tc>
        <w:tc>
          <w:tcPr/>
          <w:p>
            <w:pPr>
              <w:pStyle w:val="Compact"/>
              <w:jc w:val="left"/>
            </w:pPr>
            <w:r>
              <w:t xml:space="preserve">≥10 % Gewichtsverlust bei 32,3 % der BBS-Patienten ab 12 Jahren</w:t>
            </w:r>
          </w:p>
        </w:tc>
      </w:tr>
      <w:tr>
        <w:tc>
          <w:tcPr/>
          <w:p>
            <w:pPr>
              <w:pStyle w:val="Compact"/>
              <w:jc w:val="left"/>
            </w:pPr>
            <w:r>
              <w:t xml:space="preserve">VENTURE (Argente 2025), PMID 39549719</w:t>
            </w:r>
          </w:p>
        </w:tc>
        <w:tc>
          <w:tcPr/>
          <w:p>
            <w:pPr>
              <w:pStyle w:val="Compact"/>
              <w:jc w:val="left"/>
            </w:pPr>
            <w:r>
              <w:t xml:space="preserve">12 Kinder von 2 bis 5 Jahren, offen</w:t>
            </w:r>
          </w:p>
        </w:tc>
        <w:tc>
          <w:tcPr/>
          <w:p>
            <w:pPr>
              <w:pStyle w:val="Compact"/>
              <w:jc w:val="left"/>
            </w:pPr>
            <w:r>
              <w:t xml:space="preserve">52 Wochen</w:t>
            </w:r>
          </w:p>
        </w:tc>
        <w:tc>
          <w:tcPr/>
          <w:p>
            <w:pPr>
              <w:pStyle w:val="Compact"/>
              <w:jc w:val="left"/>
            </w:pPr>
            <w:r>
              <w:t xml:space="preserve">BMI −18 % im Mittel</w:t>
            </w:r>
          </w:p>
        </w:tc>
      </w:tr>
      <w:tr>
        <w:tc>
          <w:tcPr/>
          <w:p>
            <w:pPr>
              <w:pStyle w:val="Compact"/>
              <w:jc w:val="left"/>
            </w:pPr>
            <w:r>
              <w:t xml:space="preserve">Roth 2024 (hypothalamische Adipositas), PMID 38697184</w:t>
            </w:r>
          </w:p>
        </w:tc>
        <w:tc>
          <w:tcPr/>
          <w:p>
            <w:pPr>
              <w:pStyle w:val="Compact"/>
              <w:jc w:val="left"/>
            </w:pPr>
            <w:r>
              <w:t xml:space="preserve">18 Personen, offen</w:t>
            </w:r>
          </w:p>
        </w:tc>
        <w:tc>
          <w:tcPr/>
          <w:p>
            <w:pPr>
              <w:pStyle w:val="Compact"/>
              <w:jc w:val="left"/>
            </w:pPr>
            <w:r>
              <w:t xml:space="preserve">16 Wochen</w:t>
            </w:r>
          </w:p>
        </w:tc>
        <w:tc>
          <w:tcPr/>
          <w:p>
            <w:pPr>
              <w:pStyle w:val="Compact"/>
              <w:jc w:val="left"/>
            </w:pPr>
            <w:r>
              <w:t xml:space="preserve">BMI −15 % im Mittel</w:t>
            </w:r>
          </w:p>
        </w:tc>
      </w:tr>
      <w:tr>
        <w:tc>
          <w:tcPr/>
          <w:p>
            <w:pPr>
              <w:pStyle w:val="Compact"/>
              <w:jc w:val="left"/>
            </w:pPr>
            <w:r>
              <w:t xml:space="preserve">TRANSCEND (Miller 2026), PMID 42418774</w:t>
            </w:r>
          </w:p>
        </w:tc>
        <w:tc>
          <w:tcPr/>
          <w:p>
            <w:pPr>
              <w:pStyle w:val="Compact"/>
              <w:jc w:val="left"/>
            </w:pPr>
            <w:r>
              <w:t xml:space="preserve">120 Personen mit erworbener hypothalamischer Adipositas, gegen Placebo</w:t>
            </w:r>
          </w:p>
        </w:tc>
        <w:tc>
          <w:tcPr/>
          <w:p>
            <w:pPr>
              <w:pStyle w:val="Compact"/>
              <w:jc w:val="left"/>
            </w:pPr>
            <w:r>
              <w:t xml:space="preserve">52 Wochen</w:t>
            </w:r>
          </w:p>
        </w:tc>
        <w:tc>
          <w:tcPr/>
          <w:p>
            <w:pPr>
              <w:pStyle w:val="Compact"/>
              <w:jc w:val="left"/>
            </w:pPr>
            <w:r>
              <w:t xml:space="preserve">BMI −16,5 % vs. +3,3 %</w:t>
            </w:r>
          </w:p>
        </w:tc>
      </w:tr>
    </w:tbl>
    <w:bookmarkStart w:id="305" w:name="pomc--pcsk1--und-leptinrezeptor-mangel"/>
    <w:p>
      <w:pPr>
        <w:pStyle w:val="Heading4"/>
      </w:pPr>
      <w:r>
        <w:t xml:space="preserve">POMC-, PCSK1- und Leptinrezeptor-Mangel</w:t>
      </w:r>
    </w:p>
    <w:p>
      <w:pPr>
        <w:pStyle w:val="FirstParagraph"/>
      </w:pPr>
      <w:r>
        <w:t xml:space="preserve">Die ersten Berichte waren Einzelfälle: Zwei Patientinnen bzw. Patienten mit POMC-Mangel verloren in einer von Ärztinnen und Ärzten initiierten Studie 51,0 kg nach 42 Wochen bzw. 20,5 kg nach 12 Wochen, und ihr Hunger ließ dauerhaft nach (Kühnen 2016, PMID 27468060). Ähnliches wurde für drei Personen mit Leptinrezeptor-Mangel beschrieben (Clément 2018, PMID 29736023).</w:t>
      </w:r>
    </w:p>
    <w:p>
      <w:pPr>
        <w:pStyle w:val="BodyText"/>
      </w:pPr>
      <w:r>
        <w:t xml:space="preserve">Die Zulassungsstudien (Clément 2020, PMID 33137293) waren einarmig – es gab also keine durchgehende Placebogruppe –, enthielten aber eine kurze verblindete Absetzphase. Nach etwa einem Jahr hatten 8 von 10 Personen mit POMC-Mangel und 5 von 11 mit Leptinrezeptor-Mangel mindestens 10 % ihres Gewichts verloren. Der Hunger auf einer Skala von 0 bis 10 ging um 27,1 % bzw. 43,7 % zurück. Für so seltene Erkrankungen sind kleine, unkontrollierte Studien oft das einzig Machbare. Bei einer Erkrankung, bei der ohne Behandlung praktisch keine Gewichtsabnahme zu erwarten ist, sind die Ergebnisse dennoch aussagekräftig.</w:t>
      </w:r>
    </w:p>
    <w:bookmarkEnd w:id="305"/>
    <w:bookmarkStart w:id="306" w:name="bardet-biedl-syndrom"/>
    <w:p>
      <w:pPr>
        <w:pStyle w:val="Heading4"/>
      </w:pPr>
      <w:r>
        <w:t xml:space="preserve">Bardet-Biedl-Syndrom</w:t>
      </w:r>
    </w:p>
    <w:p>
      <w:pPr>
        <w:pStyle w:val="FirstParagraph"/>
      </w:pPr>
      <w:r>
        <w:t xml:space="preserve">Das Bardet-Biedl-Syndrom (BBS) ist eine seltene Erbkrankheit, bei der die feinen Zellfortsätze (Zilien) gestört sind; neben Netzhautschäden, Nierenproblemen und überzähligen Fingern oder Zehen gehören starker Hunger und Adipositas dazu. In der Phase-3-Studie (Haqq 2022, PMID 36356613) erreichten nach 52 Wochen 32,3 % der Personen mit BBS ab 12 Jahren einen Gewichtsverlust von mindestens 10 %. Beim verwandten Alström-Syndrom waren die Ergebnisse nicht eindeutig. Ein Vergleich mit einer passenden Kontrollgruppe aus einem BBS-Register ergab, dass 58,6 % der behandelten gegenüber 6,9 % der unbehandelten Patientinnen und Patienten das jeweilige Erfolgskriterium erreichten (Argente 2026, PMID 41703984) – eine indirekte, aber hilfreiche Einordnung.</w:t>
      </w:r>
    </w:p>
    <w:bookmarkEnd w:id="306"/>
    <w:bookmarkStart w:id="307" w:name="kleinkinder"/>
    <w:p>
      <w:pPr>
        <w:pStyle w:val="Heading4"/>
      </w:pPr>
      <w:r>
        <w:t xml:space="preserve">Kleinkinder</w:t>
      </w:r>
    </w:p>
    <w:p>
      <w:pPr>
        <w:pStyle w:val="FirstParagraph"/>
      </w:pPr>
      <w:r>
        <w:t xml:space="preserve">In der offenen VENTURE-Studie mit 12 Kindern zwischen 2 und 5 Jahren sank der BMI nach einem Jahr im Mittel um 18 %: um 26 % bei POMC- oder Leptinrezeptor-Mangel und um 10 % bei BBS. 91 % der Betreuungspersonen berichteten, dass die Kinder weniger hungrig waren (Argente 2025, PMID 39549719).</w:t>
      </w:r>
    </w:p>
    <w:bookmarkEnd w:id="307"/>
    <w:bookmarkStart w:id="308" w:name="hypothalamische-adipositas"/>
    <w:p>
      <w:pPr>
        <w:pStyle w:val="Heading4"/>
      </w:pPr>
      <w:r>
        <w:t xml:space="preserve">Hypothalamische Adipositas</w:t>
      </w:r>
    </w:p>
    <w:p>
      <w:pPr>
        <w:pStyle w:val="FirstParagraph"/>
      </w:pPr>
      <w:r>
        <w:t xml:space="preserve">Eine zweite, häufigere Zielgruppe sind Menschen, deren Hypothalamus durch einen Tumor (oft ein Kraniopharyngeom), eine Operation oder Bestrahlung geschädigt wurde. Sie entwickeln häufig eine schwer behandelbare Adipositas. Nach einer offenen Phase-2-Studie mit 18 Personen, in der der BMI nach 16 Wochen um durchschnittlich 15 % sank (Roth 2024, PMID 38697184), folgte die randomisierte Phase-3-Studie TRANSCEND (Miller 2026, PMID 42418774):</w:t>
      </w:r>
    </w:p>
    <w:p>
      <w:pPr>
        <w:numPr>
          <w:ilvl w:val="0"/>
          <w:numId w:val="1101"/>
        </w:numPr>
        <w:pStyle w:val="Compact"/>
      </w:pPr>
      <w:r>
        <w:t xml:space="preserve">120 Personen zwischen 4 und 66 Jahren, Verhältnis 2:1 Setmelanotid zu Placebo.</w:t>
      </w:r>
    </w:p>
    <w:p>
      <w:pPr>
        <w:numPr>
          <w:ilvl w:val="0"/>
          <w:numId w:val="1101"/>
        </w:numPr>
        <w:pStyle w:val="Compact"/>
      </w:pPr>
      <w:r>
        <w:t xml:space="preserve">Nach 52 Wochen: BMI −16,5 % unter Setmelanotid, +3,3 % unter Placebo.</w:t>
      </w:r>
    </w:p>
    <w:p>
      <w:pPr>
        <w:numPr>
          <w:ilvl w:val="0"/>
          <w:numId w:val="1101"/>
        </w:numPr>
        <w:pStyle w:val="Compact"/>
      </w:pPr>
      <w:r>
        <w:t xml:space="preserve">Hunger-Score: −2,73 gegenüber −1,45 Punkte.</w:t>
      </w:r>
    </w:p>
    <w:p>
      <w:pPr>
        <w:numPr>
          <w:ilvl w:val="0"/>
          <w:numId w:val="1101"/>
        </w:numPr>
        <w:pStyle w:val="Compact"/>
      </w:pPr>
      <w:r>
        <w:t xml:space="preserve">Schwere unerwünschte Ereignisse: 28 % gegenüber 8 %.</w:t>
      </w:r>
    </w:p>
    <w:bookmarkEnd w:id="308"/>
    <w:bookmarkStart w:id="309" w:name="häufigere-genetische-varianten"/>
    <w:p>
      <w:pPr>
        <w:pStyle w:val="Heading4"/>
      </w:pPr>
      <w:r>
        <w:t xml:space="preserve">Häufigere genetische Varianten</w:t>
      </w:r>
    </w:p>
    <w:p>
      <w:pPr>
        <w:pStyle w:val="FirstParagraph"/>
      </w:pPr>
      <w:r>
        <w:t xml:space="preserve">Weniger überzeugend sind die Daten bei Menschen mit nur einer veränderten Kopie des MC4R-Gens – einer der häufigsten genetischen Ursachen schwerer Adipositas. In einer kleinen 28-tägigen Studie verloren solche Personen zwar Gewicht, aber deutlich weniger als Personen mit POMC-Defekten (Collet 2017, PMID 29031731). Die größere Phase-3-Studie EMANATE zu verschiedenen Varianten im MC4R-Signalweg ist laut Register abgeschlossen (NCT05093634); eine begutachtete Veröffentlichung lag bei der Recherche noch nicht vor.</w:t>
      </w:r>
    </w:p>
    <w:bookmarkEnd w:id="309"/>
    <w:bookmarkEnd w:id="310"/>
    <w:bookmarkStart w:id="311" w:name="tier--und-laborstudien-12"/>
    <w:p>
      <w:pPr>
        <w:pStyle w:val="Heading3"/>
      </w:pPr>
      <w:r>
        <w:t xml:space="preserve">Tier- und Laborstudien</w:t>
      </w:r>
    </w:p>
    <w:p>
      <w:pPr>
        <w:pStyle w:val="FirstParagraph"/>
      </w:pPr>
      <w:r>
        <w:t xml:space="preserve">In Zellversuchen ist Setmelanotid am MC4-Rezeptor deutlich wirksamer als das körpereigene Alpha-MSH und kann einen Teil defekter Rezeptorvarianten teilweise wieder aktivieren. Bei normalen Nagetieren führte es zu Gewichtsverlust, bei Mäusen ganz ohne MC4-Rezeptor dagegen nicht (Collet 2017, PMID 29031731). Das bestätigt, dass die Wirkung tatsächlich über diesen Rezeptor läuft.</w:t>
      </w:r>
    </w:p>
    <w:bookmarkEnd w:id="311"/>
    <w:bookmarkStart w:id="312" w:name="risiken-und-nebenwirkungen-12"/>
    <w:p>
      <w:pPr>
        <w:pStyle w:val="Heading3"/>
      </w:pPr>
      <w:r>
        <w:t xml:space="preserve">Risiken und Nebenwirkungen</w:t>
      </w:r>
    </w:p>
    <w:p>
      <w:pPr>
        <w:pStyle w:val="FirstParagraph"/>
      </w:pPr>
      <w:r>
        <w:rPr>
          <w:bCs/>
          <w:b/>
        </w:rPr>
        <w:t xml:space="preserve">Belegt aus Studien:</w:t>
      </w:r>
    </w:p>
    <w:p>
      <w:pPr>
        <w:numPr>
          <w:ilvl w:val="0"/>
          <w:numId w:val="1102"/>
        </w:numPr>
        <w:pStyle w:val="Compact"/>
      </w:pPr>
      <w:r>
        <w:rPr>
          <w:bCs/>
          <w:b/>
        </w:rPr>
        <w:t xml:space="preserve">Hautreaktionen an der Einstichstelle</w:t>
      </w:r>
      <w:r>
        <w:t xml:space="preserve"> </w:t>
      </w:r>
      <w:r>
        <w:t xml:space="preserve">(Rötung, Schwellung): In einer Meta-Analyse von sieben Studien mit 185 Personen bei 96 % (Sridharan 2026, PMID 39924461).</w:t>
      </w:r>
    </w:p>
    <w:p>
      <w:pPr>
        <w:numPr>
          <w:ilvl w:val="0"/>
          <w:numId w:val="1102"/>
        </w:numPr>
        <w:pStyle w:val="Compact"/>
      </w:pPr>
      <w:r>
        <w:rPr>
          <w:bCs/>
          <w:b/>
        </w:rPr>
        <w:t xml:space="preserve">Dunklere Haut (Hyperpigmentierung):</w:t>
      </w:r>
      <w:r>
        <w:t xml:space="preserve"> </w:t>
      </w:r>
      <w:r>
        <w:t xml:space="preserve">bei 62 % in derselben Meta-Analyse. Über die Wirkung am Melanocortin-1-Rezeptor bräunt die Haut, Lippen und Muttermale werden dunkler, rote Haare können sich braun färben. In einer Beobachtung über bis zu 46 Monate stabilisierte sich die Bräunung mit der Zeit; bösartige Hautveränderungen traten nicht auf (Kanti 2021, PMID 34058738). Fachleute empfehlen regelmäßige Hautuntersuchungen.</w:t>
      </w:r>
    </w:p>
    <w:p>
      <w:pPr>
        <w:numPr>
          <w:ilvl w:val="0"/>
          <w:numId w:val="1102"/>
        </w:numPr>
        <w:pStyle w:val="Compact"/>
      </w:pPr>
      <w:r>
        <w:rPr>
          <w:bCs/>
          <w:b/>
        </w:rPr>
        <w:t xml:space="preserve">Übelkeit und Erbrechen:</w:t>
      </w:r>
      <w:r>
        <w:t xml:space="preserve"> </w:t>
      </w:r>
      <w:r>
        <w:t xml:space="preserve">bei 36 % bzw. 26 %; Durchfall bei 21 % (Sridharan 2026, PMID 39924461).</w:t>
      </w:r>
    </w:p>
    <w:p>
      <w:pPr>
        <w:numPr>
          <w:ilvl w:val="0"/>
          <w:numId w:val="1102"/>
        </w:numPr>
        <w:pStyle w:val="Compact"/>
      </w:pPr>
      <w:r>
        <w:rPr>
          <w:bCs/>
          <w:b/>
        </w:rPr>
        <w:t xml:space="preserve">Schwere unerwünschte Ereignisse:</w:t>
      </w:r>
      <w:r>
        <w:t xml:space="preserve"> </w:t>
      </w:r>
      <w:r>
        <w:t xml:space="preserve">In TRANSCEND häufiger unter Setmelanotid (28 % vs. 8 %) (Miller 2026, PMID 42418774); die Zusammenfassung schlüsselt sie nicht im Einzelnen auf.</w:t>
      </w:r>
    </w:p>
    <w:p>
      <w:pPr>
        <w:numPr>
          <w:ilvl w:val="0"/>
          <w:numId w:val="1102"/>
        </w:numPr>
        <w:pStyle w:val="Compact"/>
      </w:pPr>
      <w:r>
        <w:t xml:space="preserve">In der BBS-Studie wurden als schwere Ereignisse unter anderem Suizidgedanken berichtet, die nicht als behandlungsbedingt eingestuft wurden (Haqq 2022, PMID 36356613). Die Fachinformation enthält Hinweise zu Depression und Suizidgedanken sowie zu spontanen Erektionen bei Männern.</w:t>
      </w:r>
    </w:p>
    <w:p>
      <w:pPr>
        <w:pStyle w:val="FirstParagraph"/>
      </w:pPr>
      <w:r>
        <w:rPr>
          <w:bCs/>
          <w:b/>
        </w:rPr>
        <w:t xml:space="preserve">Theoretisch:</w:t>
      </w:r>
      <w:r>
        <w:t xml:space="preserve"> </w:t>
      </w:r>
      <w:r>
        <w:t xml:space="preserve">Ob die anhaltende Stimulation der Pigmentzellen langfristig das Hautkrebsrisiko beeinflusst, ist nicht geklärt; bisherige Beobachtungen über einige Jahre zeigen kein Signal.</w:t>
      </w:r>
    </w:p>
    <w:p>
      <w:pPr>
        <w:pStyle w:val="BodyText"/>
      </w:pPr>
      <w:r>
        <w:rPr>
          <w:bCs/>
          <w:b/>
        </w:rPr>
        <w:t xml:space="preserve">Missbrauchspotenzial:</w:t>
      </w:r>
      <w:r>
        <w:t xml:space="preserve"> </w:t>
      </w:r>
      <w:r>
        <w:t xml:space="preserve">Wegen der Bräunungswirkung wird Setmelanotid in Internetforen gelegentlich mit Melanotan II in Verbindung gebracht. Es ist für Menschen ohne nachgewiesenen genetischen Defekt kein geeignetes Abnehmmittel und dafür nicht untersucht.</w:t>
      </w:r>
    </w:p>
    <w:bookmarkEnd w:id="312"/>
    <w:bookmarkStart w:id="313" w:name="rechtslage-12"/>
    <w:p>
      <w:pPr>
        <w:pStyle w:val="Heading3"/>
      </w:pPr>
      <w:r>
        <w:t xml:space="preserve">Rechtslage</w:t>
      </w:r>
    </w:p>
    <w:p>
      <w:pPr>
        <w:numPr>
          <w:ilvl w:val="0"/>
          <w:numId w:val="1103"/>
        </w:numPr>
        <w:pStyle w:val="Compact"/>
      </w:pPr>
      <w:r>
        <w:rPr>
          <w:bCs/>
          <w:b/>
        </w:rPr>
        <w:t xml:space="preserve">EU / Österreich / Deutschland:</w:t>
      </w:r>
      <w:r>
        <w:t xml:space="preserve"> </w:t>
      </w:r>
      <w:r>
        <w:t xml:space="preserve">zugelassen (Imcivree), verschreibungspflichtig, nur für genetisch bestätigte Formen (POMC-, PCSK1-, Leptinrezeptor-Mangel, Bardet-Biedl-Syndrom). Die Diagnose erfordert eine genetische Untersuchung; Einleitung und Überwachung gehören in spezialisierte Zentren. Details zur Erweiterung auf hypothalamische Adipositas: Stand 2026, bitte aktuell prüfen.</w:t>
      </w:r>
    </w:p>
    <w:p>
      <w:pPr>
        <w:numPr>
          <w:ilvl w:val="0"/>
          <w:numId w:val="1103"/>
        </w:numPr>
        <w:pStyle w:val="Compact"/>
      </w:pPr>
      <w:r>
        <w:rPr>
          <w:bCs/>
          <w:b/>
        </w:rPr>
        <w:t xml:space="preserve">USA:</w:t>
      </w:r>
      <w:r>
        <w:t xml:space="preserve"> </w:t>
      </w:r>
      <w:r>
        <w:t xml:space="preserve">zugelassen seit 2020 (POMC, PCSK1, LEPR), später erweitert auf das Bardet-Biedl-Syndrom und auf jüngere Kinder; ein Antrag für hypothalamische Adipositas wurde auf Grundlage von TRANSCEND gestellt (Stand 2026, bitte aktuell prüfen).</w:t>
      </w:r>
    </w:p>
    <w:p>
      <w:pPr>
        <w:numPr>
          <w:ilvl w:val="0"/>
          <w:numId w:val="1103"/>
        </w:numPr>
        <w:pStyle w:val="Compact"/>
      </w:pPr>
      <w:r>
        <w:rPr>
          <w:bCs/>
          <w:b/>
        </w:rPr>
        <w:t xml:space="preserve">Sport:</w:t>
      </w:r>
      <w:r>
        <w:t xml:space="preserve"> </w:t>
      </w:r>
      <w:r>
        <w:t xml:space="preserve">nicht auf der WADA-Liste genannt (Stand 2026, bitte aktuell prüfen).</w:t>
      </w:r>
    </w:p>
    <w:bookmarkEnd w:id="313"/>
    <w:bookmarkStart w:id="314" w:name="laufende-studien-und-ausblick-12"/>
    <w:p>
      <w:pPr>
        <w:pStyle w:val="Heading3"/>
      </w:pPr>
      <w:r>
        <w:t xml:space="preserve">Laufende Studien und Ausblick</w:t>
      </w:r>
    </w:p>
    <w:p>
      <w:pPr>
        <w:pStyle w:val="FirstParagraph"/>
      </w:pPr>
      <w:r>
        <w:rPr>
          <w:bCs/>
          <w:b/>
        </w:rPr>
        <w:t xml:space="preserve">Gesichert (registrierte Studien, Stand Oktober 2026):</w:t>
      </w:r>
    </w:p>
    <w:p>
      <w:pPr>
        <w:numPr>
          <w:ilvl w:val="0"/>
          <w:numId w:val="1104"/>
        </w:numPr>
        <w:pStyle w:val="Compact"/>
      </w:pPr>
      <w:r>
        <w:rPr>
          <w:bCs/>
          <w:b/>
        </w:rPr>
        <w:t xml:space="preserve">TRANSCEND</w:t>
      </w:r>
      <w:r>
        <w:t xml:space="preserve"> </w:t>
      </w:r>
      <w:r>
        <w:t xml:space="preserve">(NCT05774756) läuft in einer Verlängerung weiter; eine Teilstudie untersucht angeborene hypothalamische Adipositas (NCT06760546).</w:t>
      </w:r>
    </w:p>
    <w:p>
      <w:pPr>
        <w:numPr>
          <w:ilvl w:val="0"/>
          <w:numId w:val="1104"/>
        </w:numPr>
        <w:pStyle w:val="Compact"/>
      </w:pPr>
      <w:r>
        <w:rPr>
          <w:bCs/>
          <w:b/>
        </w:rPr>
        <w:t xml:space="preserve">Prader-Willi-Syndrom</w:t>
      </w:r>
      <w:r>
        <w:t xml:space="preserve"> </w:t>
      </w:r>
      <w:r>
        <w:t xml:space="preserve">(NCT06772597): Phase 2 mit 18 Teilnehmenden.</w:t>
      </w:r>
    </w:p>
    <w:p>
      <w:pPr>
        <w:numPr>
          <w:ilvl w:val="0"/>
          <w:numId w:val="1104"/>
        </w:numPr>
        <w:pStyle w:val="Compact"/>
      </w:pPr>
      <w:r>
        <w:rPr>
          <w:bCs/>
          <w:b/>
        </w:rPr>
        <w:t xml:space="preserve">Langzeitbeobachtung</w:t>
      </w:r>
      <w:r>
        <w:t xml:space="preserve"> </w:t>
      </w:r>
      <w:r>
        <w:t xml:space="preserve">bei BBS und schwerer genetischer Adipositas in der Praxis (NCT07674290).</w:t>
      </w:r>
    </w:p>
    <w:p>
      <w:pPr>
        <w:numPr>
          <w:ilvl w:val="0"/>
          <w:numId w:val="1104"/>
        </w:numPr>
        <w:pStyle w:val="Compact"/>
      </w:pPr>
      <w:r>
        <w:rPr>
          <w:bCs/>
          <w:b/>
        </w:rPr>
        <w:t xml:space="preserve">EMANATE</w:t>
      </w:r>
      <w:r>
        <w:t xml:space="preserve"> </w:t>
      </w:r>
      <w:r>
        <w:t xml:space="preserve">(NCT05093634) und</w:t>
      </w:r>
      <w:r>
        <w:t xml:space="preserve"> </w:t>
      </w:r>
      <w:r>
        <w:rPr>
          <w:bCs/>
          <w:b/>
        </w:rPr>
        <w:t xml:space="preserve">DAYBREAK</w:t>
      </w:r>
      <w:r>
        <w:t xml:space="preserve"> </w:t>
      </w:r>
      <w:r>
        <w:t xml:space="preserve">(NCT04963231) zu weiteren Genvarianten: abgeschlossen, Veröffentlichung ausstehend.</w:t>
      </w:r>
    </w:p>
    <w:p>
      <w:pPr>
        <w:pStyle w:val="FirstParagraph"/>
      </w:pPr>
      <w:r>
        <w:rPr>
          <w:bCs/>
          <w:b/>
        </w:rPr>
        <w:t xml:space="preserve">Einschätzung:</w:t>
      </w:r>
      <w:r>
        <w:t xml:space="preserve"> </w:t>
      </w:r>
      <w:r>
        <w:t xml:space="preserve">Setmelanotid hat gezeigt, dass Präzisionsmedizin bei Adipositas möglich ist: Wer die Ursache kennt, kann gezielt behandeln. Die Zielgruppe bleibt klein; mit der hypothalamischen Adipositas könnte sie sich aber deutlich erweitern. Für die große Mehrheit der Menschen mit Adipositas, bei denen kein solcher Gendefekt vorliegt, sind GLP-1-basierte Medikamente wirksamer und besser untersucht.</w:t>
      </w:r>
    </w:p>
    <w:bookmarkEnd w:id="314"/>
    <w:bookmarkStart w:id="315" w:name="fazit-12"/>
    <w:p>
      <w:pPr>
        <w:pStyle w:val="Heading3"/>
      </w:pPr>
      <w:r>
        <w:t xml:space="preserve">Fazit</w:t>
      </w:r>
    </w:p>
    <w:p>
      <w:pPr>
        <w:pStyle w:val="FirstParagraph"/>
      </w:pPr>
      <w:r>
        <w:t xml:space="preserve">Setmelanotid ist ein kleines zyklisches Peptid, das den MC4-Rezeptor im Gehirn aktiviert und so defekte Glieder des Leptin-Melanocortin-Signalwegs überbrückt. In kleinen Zulassungsstudien verloren 80 % der Menschen mit POMC-Mangel und 45 % mit Leptinrezeptor-Mangel mindestens 10 % ihres Gewichts; bei hypothalamischer Adipositas sank der BMI nach einem Jahr um 16,5 % gegenüber einem Anstieg unter Placebo. Fast alle Behandelten bekommen Hautreaktionen an der Einstichstelle, die Mehrheit eine dunklere Haut. Setmelanotid ist in der EU und den USA für seltene genetische Adipositasformen zugelassen und kein Medikament für die allgemeine Gewichtsabnahme.</w:t>
      </w:r>
    </w:p>
    <w:bookmarkEnd w:id="315"/>
    <w:bookmarkEnd w:id="316"/>
    <w:bookmarkStart w:id="325" w:name="aod-9604"/>
    <w:p>
      <w:pPr>
        <w:pStyle w:val="Heading2"/>
      </w:pPr>
      <w:r>
        <w:t xml:space="preserve">AOD-9604</w:t>
      </w:r>
    </w:p>
    <w:bookmarkStart w:id="317" w:name="steckbrief-13"/>
    <w:p>
      <w:pPr>
        <w:pStyle w:val="Heading3"/>
      </w:pPr>
      <w:r>
        <w:t xml:space="preserve">Steckbrief</w:t>
      </w:r>
    </w:p>
    <w:p>
      <w:pPr>
        <w:numPr>
          <w:ilvl w:val="0"/>
          <w:numId w:val="1105"/>
        </w:numPr>
        <w:pStyle w:val="Compact"/>
      </w:pPr>
      <w:r>
        <w:rPr>
          <w:bCs/>
          <w:b/>
        </w:rPr>
        <w:t xml:space="preserve">Art/Struktur:</w:t>
      </w:r>
      <w:r>
        <w:t xml:space="preserve"> </w:t>
      </w:r>
      <w:r>
        <w:t xml:space="preserve">synthetisches Peptid aus dem hinteren Ende (C-Terminus) des menschlichen Wachstumshormons: die Aminosäuren 177 bis 191, ergänzt um ein zusätzliches Tyrosin am Anfang (Cox 2015, PMID 25208511). Im Internet oft unter Bezeichnungen wie „hGH Fragment 176-191“ oder „Frag 176-191“ angeboten. Der Name steht für „Anti-Obesity Drug 9604“.</w:t>
      </w:r>
    </w:p>
    <w:p>
      <w:pPr>
        <w:numPr>
          <w:ilvl w:val="0"/>
          <w:numId w:val="1105"/>
        </w:numPr>
        <w:pStyle w:val="Compact"/>
      </w:pPr>
      <w:r>
        <w:rPr>
          <w:bCs/>
          <w:b/>
        </w:rPr>
        <w:t xml:space="preserve">Herkunft:</w:t>
      </w:r>
      <w:r>
        <w:t xml:space="preserve"> </w:t>
      </w:r>
      <w:r>
        <w:t xml:space="preserve">in den 1990er-Jahren an der Monash University in Melbourne entwickelt und vom australischen Unternehmen Metabolic Pharmaceuticals als Abnehmmedikament verfolgt.</w:t>
      </w:r>
    </w:p>
    <w:p>
      <w:pPr>
        <w:numPr>
          <w:ilvl w:val="0"/>
          <w:numId w:val="1105"/>
        </w:numPr>
        <w:pStyle w:val="Compact"/>
      </w:pPr>
      <w:r>
        <w:rPr>
          <w:bCs/>
          <w:b/>
        </w:rPr>
        <w:t xml:space="preserve">Wirkprinzip (Hypothese):</w:t>
      </w:r>
      <w:r>
        <w:t xml:space="preserve"> </w:t>
      </w:r>
      <w:r>
        <w:t xml:space="preserve">soll die fettabbauende Wirkung des Wachstumshormons nachahmen, ohne dessen Wirkung auf Blutzucker und Wachstum.</w:t>
      </w:r>
    </w:p>
    <w:p>
      <w:pPr>
        <w:numPr>
          <w:ilvl w:val="0"/>
          <w:numId w:val="1105"/>
        </w:numPr>
        <w:pStyle w:val="Compact"/>
      </w:pPr>
      <w:r>
        <w:rPr>
          <w:bCs/>
          <w:b/>
        </w:rPr>
        <w:t xml:space="preserve">Zulassung EU / USA:</w:t>
      </w:r>
      <w:r>
        <w:t xml:space="preserve"> </w:t>
      </w:r>
      <w:r>
        <w:t xml:space="preserve">nein. Die Entwicklung als Arzneimittel wurde nach Phase-2-Studien eingestellt.</w:t>
      </w:r>
    </w:p>
    <w:p>
      <w:pPr>
        <w:numPr>
          <w:ilvl w:val="0"/>
          <w:numId w:val="1105"/>
        </w:numPr>
        <w:pStyle w:val="Compact"/>
      </w:pPr>
      <w:r>
        <w:rPr>
          <w:bCs/>
          <w:b/>
        </w:rPr>
        <w:t xml:space="preserve">WADA:</w:t>
      </w:r>
      <w:r>
        <w:t xml:space="preserve"> </w:t>
      </w:r>
      <w:r>
        <w:t xml:space="preserve">verboten – Wachstumshormon-Fragmente wie AOD-9604 sind auf der Verbotsliste in der Klasse S2 ausdrücklich genannt (Stand 2026, bitte aktuell prüfen).</w:t>
      </w:r>
    </w:p>
    <w:p>
      <w:pPr>
        <w:numPr>
          <w:ilvl w:val="0"/>
          <w:numId w:val="1105"/>
        </w:numPr>
        <w:pStyle w:val="Compact"/>
      </w:pPr>
      <w:r>
        <w:rPr>
          <w:bCs/>
          <w:b/>
        </w:rPr>
        <w:t xml:space="preserve">Evidenzstufe:</w:t>
      </w:r>
      <w:r>
        <w:t xml:space="preserve"> </w:t>
      </w:r>
      <w:r>
        <w:rPr>
          <w:bCs/>
          <w:b/>
        </w:rPr>
        <w:t xml:space="preserve">D</w:t>
      </w:r>
      <w:r>
        <w:t xml:space="preserve"> </w:t>
      </w:r>
      <w:r>
        <w:t xml:space="preserve">– keine in PubMed auffindbaren veröffentlichten Ergebnisse von Studien am Menschen; Daten aus Tier- und Laborstudien.</w:t>
      </w:r>
    </w:p>
    <w:bookmarkEnd w:id="317"/>
    <w:bookmarkStart w:id="318" w:name="wie-es-wirken-soll-13"/>
    <w:p>
      <w:pPr>
        <w:pStyle w:val="Heading3"/>
      </w:pPr>
      <w:r>
        <w:t xml:space="preserve">Wie es wirken soll</w:t>
      </w:r>
    </w:p>
    <w:p>
      <w:pPr>
        <w:pStyle w:val="FirstParagraph"/>
      </w:pPr>
      <w:r>
        <w:t xml:space="preserve">Das Wachstumshormon (hGH) hat viele Wirkungen: Es fördert das Längenwachstum, wirkt auf Muskeln und Knochen, regt die Fettverbrennung an – und erhöht den Blutzucker, indem es die Insulinwirkung abschwächt. Schon in den 1970er- und 1980er-Jahren untersuchten Forschende an Tieren, ob einzelne Abschnitte des Hormons unterschiedliche Teilwirkungen tragen. Bemerkenswert: In einer Studie an Ratten lösten chemisch veränderte Versionen genau dieses Abschnitts (Aminosäuren 177 bis 191) einen erhöhten Blutzucker und eine Insulinresistenz aus (Wade 1982, PMID 6751009) – also gerade die Wirkung, die AOD-9604 später vermeiden sollte. Die Ergebnisse hängen offenbar stark von der genauen chemischen Form des Peptids ab.</w:t>
      </w:r>
    </w:p>
    <w:p>
      <w:pPr>
        <w:pStyle w:val="BodyText"/>
      </w:pPr>
      <w:r>
        <w:t xml:space="preserve">Die Idee hinter AOD-9604: Ein kurzes Stück vom Ende des Hormons soll nur die fettabbauende Wirkung behalten. Laboruntersuchungen zeigten, dass AOD-9604 nicht an den Wachstumshormon-Rezeptor bindet und dort auch keine Zellteilung anregt (Heffernan 2001, PMID 11673763). Es wäre also kein „kleines Wachstumshormon“, sondern ein Molekül mit einem eigenen, noch nicht vollständig verstandenen Wirkmechanismus. In Versuchen an Mäusen ohne Beta-3-Adrenozeptor (einem wichtigen Rezeptor für den Fettabbau) blieb die gewichtssenkende Langzeitwirkung aus; die Autorinnen und Autoren schlossen daraus, dass der Rezeptor beteiligt, aber nicht der direkte Angriffspunkt ist (Heffernan 2001, PMID 11713213).</w:t>
      </w:r>
    </w:p>
    <w:bookmarkEnd w:id="318"/>
    <w:bookmarkStart w:id="319" w:name="studien-am-menschen-13"/>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w:t>
      </w:r>
      <w:r>
        <w:t xml:space="preserve"> </w:t>
      </w:r>
      <w:r>
        <w:rPr>
          <w:bCs/>
          <w:b/>
        </w:rPr>
        <w:t xml:space="preserve">keine</w:t>
      </w:r>
      <w:r>
        <w:t xml:space="preserve"> </w:t>
      </w:r>
      <w:r>
        <w:t xml:space="preserve">veröffentlichte Humanstudie. Auf ClinicalTrials.gov ist unter „AOD9604“ bzw. „AOD-9604“ keine Studie registriert.</w:t>
      </w:r>
    </w:p>
    <w:p>
      <w:pPr>
        <w:pStyle w:val="BodyText"/>
      </w:pPr>
      <w:r>
        <w:t xml:space="preserve">Das bedeutet nicht, dass AOD-9604 nie an Menschen getestet wurde. Übersichtsarbeiten aus den Jahren 2004 bis 2006 berichten, dass sich AOD-9604 in Phase-2-Studien zur Behandlung der Adipositas befand (Wilding 2004, PMID 15134286; Halford 2006, PMID 16625817). Die Ergebnisse dieser Studien wurden jedoch nicht in einer begutachteten, in PubMed erfassten Fachzeitschrift veröffentlicht. Nach öffentlich zugänglichen Informationen stellte der Entwickler das Abnehmprogramm in der zweiten Hälfte der 2000er-Jahre ein, weil sich kein ausreichender Effekt zeigte. Da diese Angaben nicht aus einer überprüfbaren Studienveröffentlichung stammen, nennt dieses Buch dazu keine Zahlen.</w:t>
      </w:r>
    </w:p>
    <w:p>
      <w:pPr>
        <w:pStyle w:val="BodyText"/>
      </w:pPr>
      <w:r>
        <w:t xml:space="preserve">Für Leserinnen und Leser heißt das: Wer heute AOD-9604 als Abnehm- oder „Fatburner“-Peptid angeboten bekommt, kann sich auf keine veröffentlichte Studie am Menschen berufen, die eine Wirkung belegt.</w:t>
      </w:r>
    </w:p>
    <w:bookmarkEnd w:id="319"/>
    <w:bookmarkStart w:id="320" w:name="tier--und-laborstudien-13"/>
    <w:p>
      <w:pPr>
        <w:pStyle w:val="Heading3"/>
      </w:pPr>
      <w:r>
        <w:t xml:space="preserve">Tier- und Laborstudien</w:t>
      </w:r>
    </w:p>
    <w:p>
      <w:pPr>
        <w:pStyle w:val="FirstParagraph"/>
      </w:pPr>
      <w:r>
        <w:t xml:space="preserve">Alle folgenden Ergebnisse stammen aus Tierversuchen oder Laboruntersuchungen:</w:t>
      </w:r>
    </w:p>
    <w:p>
      <w:pPr>
        <w:numPr>
          <w:ilvl w:val="0"/>
          <w:numId w:val="1106"/>
        </w:numPr>
        <w:pStyle w:val="Compact"/>
      </w:pPr>
      <w:r>
        <w:rPr>
          <w:bCs/>
          <w:b/>
        </w:rPr>
        <w:t xml:space="preserve">Bei übergewichtigen Ratten</w:t>
      </w:r>
      <w:r>
        <w:t xml:space="preserve"> </w:t>
      </w:r>
      <w:r>
        <w:t xml:space="preserve">(Zucker-Ratten) verringerte AOD-9604, über 19 Tage über das Futter gegeben, die Gewichtszunahme um mehr als die Hälfte; das Fettgewebe zeigte eine höhere Fettabbau-Aktivität. Anders als bei vollständigem Wachstumshormon verschlechterte sich die Insulinempfindlichkeit nicht (Ng 2000, PMID 11146367).</w:t>
      </w:r>
    </w:p>
    <w:p>
      <w:pPr>
        <w:numPr>
          <w:ilvl w:val="0"/>
          <w:numId w:val="1106"/>
        </w:numPr>
        <w:pStyle w:val="Compact"/>
      </w:pPr>
      <w:r>
        <w:rPr>
          <w:bCs/>
          <w:b/>
        </w:rPr>
        <w:t xml:space="preserve">Bei übergewichtigen Mäusen</w:t>
      </w:r>
      <w:r>
        <w:t xml:space="preserve"> </w:t>
      </w:r>
      <w:r>
        <w:t xml:space="preserve">verringerten sowohl Wachstumshormon als auch AOD-9604 über 14 Tage die Gewichtszunahme und steigerten die Fettverbrennung. Im Gegensatz zum Wachstumshormon löste AOD-9604 keinen erhöhten Blutzucker aus (Heffernan 2001, PMID 11673763).</w:t>
      </w:r>
    </w:p>
    <w:p>
      <w:pPr>
        <w:numPr>
          <w:ilvl w:val="0"/>
          <w:numId w:val="1106"/>
        </w:numPr>
        <w:pStyle w:val="Compact"/>
      </w:pPr>
      <w:r>
        <w:rPr>
          <w:bCs/>
          <w:b/>
        </w:rPr>
        <w:t xml:space="preserve">Ältere Vorarbeiten</w:t>
      </w:r>
      <w:r>
        <w:t xml:space="preserve"> </w:t>
      </w:r>
      <w:r>
        <w:t xml:space="preserve">an Mäusen mit dem verwandten Peptid hGH 177–191 zeigten eine geringere Zunahme von Körpergewicht und Fettgewebe (Natera 1994, PMID 7987248).</w:t>
      </w:r>
    </w:p>
    <w:p>
      <w:pPr>
        <w:numPr>
          <w:ilvl w:val="0"/>
          <w:numId w:val="1106"/>
        </w:numPr>
        <w:pStyle w:val="Compact"/>
      </w:pPr>
      <w:r>
        <w:rPr>
          <w:bCs/>
          <w:b/>
        </w:rPr>
        <w:t xml:space="preserve">Bei Kaninchen</w:t>
      </w:r>
      <w:r>
        <w:t xml:space="preserve"> </w:t>
      </w:r>
      <w:r>
        <w:t xml:space="preserve">mit künstlich ausgelöster Kniearthrose verbesserten Injektionen von AOD-9604 in das Gelenk – allein oder zusammen mit Hyaluronsäure – den Knorpelzustand (Kwon 2015, PMID 26275694). Dieser Befund wird im Internet häufig als Beleg für eine „gelenkregenerierende“ Wirkung beim Menschen angeführt; eine solche Studie am Menschen gibt es nicht.</w:t>
      </w:r>
    </w:p>
    <w:p>
      <w:pPr>
        <w:pStyle w:val="FirstParagraph"/>
      </w:pPr>
      <w:r>
        <w:t xml:space="preserve">Die Tierstudien sind klein, teilweise älter und überwiegend aus dem Umfeld der Entwickler.</w:t>
      </w:r>
    </w:p>
    <w:bookmarkEnd w:id="320"/>
    <w:bookmarkStart w:id="321" w:name="risiken-und-nebenwirkungen-13"/>
    <w:p>
      <w:pPr>
        <w:pStyle w:val="Heading3"/>
      </w:pPr>
      <w:r>
        <w:t xml:space="preserve">Risiken und Nebenwirkungen</w:t>
      </w:r>
    </w:p>
    <w:p>
      <w:pPr>
        <w:pStyle w:val="FirstParagraph"/>
      </w:pPr>
      <w:r>
        <w:rPr>
          <w:bCs/>
          <w:b/>
        </w:rPr>
        <w:t xml:space="preserve">Belegt:</w:t>
      </w:r>
      <w:r>
        <w:t xml:space="preserve"> </w:t>
      </w:r>
      <w:r>
        <w:t xml:space="preserve">Mangels veröffentlichter Humanstudien gibt es keine belastbaren Daten zu Nebenwirkungen beim Menschen.</w:t>
      </w:r>
    </w:p>
    <w:p>
      <w:pPr>
        <w:pStyle w:val="BodyText"/>
      </w:pPr>
      <w:r>
        <w:rPr>
          <w:bCs/>
          <w:b/>
        </w:rPr>
        <w:t xml:space="preserve">Aus Analysen von Graumarkt-Produkten und der Dopingkontrolle:</w:t>
      </w:r>
    </w:p>
    <w:p>
      <w:pPr>
        <w:numPr>
          <w:ilvl w:val="0"/>
          <w:numId w:val="1107"/>
        </w:numPr>
        <w:pStyle w:val="Compact"/>
      </w:pPr>
      <w:r>
        <w:t xml:space="preserve">AOD-9604 wird seit Jahren über Internetseiten angeboten und wurde in beschlagnahmten Fläschchen gefunden, unter anderem in den USA (Cox 2015, PMID 25208511) und in Belgien, wo Behörden unbekannte Peptidpräparate untersuchten (Vanhee 2014, PMID 24976118).</w:t>
      </w:r>
    </w:p>
    <w:p>
      <w:pPr>
        <w:numPr>
          <w:ilvl w:val="0"/>
          <w:numId w:val="1107"/>
        </w:numPr>
        <w:pStyle w:val="Compact"/>
      </w:pPr>
      <w:r>
        <w:t xml:space="preserve">Übersichtsarbeiten zu Peptiden im Sport und Graumarkt betonen, dass für AOD-9604 und ähnliche Wirkstoffe kaum belastbare Sicherheitsdaten am Menschen vorliegen und Zusammensetzung, Dosis und Reinheit der Produkte unsicher sind (Mendias 2026, PMID 41966639; Dominikowski 2026, PMID 42395176). Eine weitere Übersicht weist auf falsch deklarierte oder verunreinigte Produkte im unregulierten Handel hin (Coutinho 2026, PMID 41880199).</w:t>
      </w:r>
    </w:p>
    <w:p>
      <w:pPr>
        <w:pStyle w:val="FirstParagraph"/>
      </w:pPr>
      <w:r>
        <w:rPr>
          <w:bCs/>
          <w:b/>
        </w:rPr>
        <w:t xml:space="preserve">Theoretisch:</w:t>
      </w:r>
      <w:r>
        <w:t xml:space="preserve"> </w:t>
      </w:r>
      <w:r>
        <w:t xml:space="preserve">Bei jedem Injektionsprodukt aus nicht kontrollierter Herstellung bestehen Risiken durch Verunreinigungen, Bakterien oder falsche Inhaltsstoffe (siehe Teil I und Teil IV). Ob AOD-9604 – wie Wachstumshormon – langfristig Stoffwechsel oder Zellwachstum beeinflusst, ist beim Menschen nicht untersucht. Die Labordaten sprechen gegen eine direkte Wirkung am Wachstumshormon-Rezeptor (Heffernan 2001, PMID 11673763).</w:t>
      </w:r>
    </w:p>
    <w:bookmarkEnd w:id="321"/>
    <w:bookmarkStart w:id="322" w:name="rechtslage-13"/>
    <w:p>
      <w:pPr>
        <w:pStyle w:val="Heading3"/>
      </w:pPr>
      <w:r>
        <w:t xml:space="preserve">Rechtslage</w:t>
      </w:r>
    </w:p>
    <w:p>
      <w:pPr>
        <w:numPr>
          <w:ilvl w:val="0"/>
          <w:numId w:val="1108"/>
        </w:numPr>
        <w:pStyle w:val="Compact"/>
      </w:pPr>
      <w:r>
        <w:rPr>
          <w:bCs/>
          <w:b/>
        </w:rPr>
        <w:t xml:space="preserve">EU / Österreich / Deutschland:</w:t>
      </w:r>
      <w:r>
        <w:t xml:space="preserve"> </w:t>
      </w:r>
      <w:r>
        <w:t xml:space="preserve">nicht als Arzneimittel zugelassen. Produkte, die zur Anwendung am Menschen angeboten werden, sind arzneimittelrechtlich nicht verkehrsfähig; „for research use only“-Hinweise ändern daran nichts.</w:t>
      </w:r>
    </w:p>
    <w:p>
      <w:pPr>
        <w:numPr>
          <w:ilvl w:val="0"/>
          <w:numId w:val="1108"/>
        </w:numPr>
        <w:pStyle w:val="Compact"/>
      </w:pPr>
      <w:r>
        <w:rPr>
          <w:bCs/>
          <w:b/>
        </w:rPr>
        <w:t xml:space="preserve">USA:</w:t>
      </w:r>
      <w:r>
        <w:t xml:space="preserve"> </w:t>
      </w:r>
      <w:r>
        <w:t xml:space="preserve">nicht als Arzneimittel zugelassen. Die FDA hat AOD-9604 in die Liste der Substanzen aufgenommen, die wegen Sicherheitsbedenken nicht ohne Weiteres von Apotheken zu Arzneimitteln verarbeitet werden dürfen (Stand 2026, bitte aktuell prüfen).</w:t>
      </w:r>
    </w:p>
    <w:p>
      <w:pPr>
        <w:numPr>
          <w:ilvl w:val="0"/>
          <w:numId w:val="1108"/>
        </w:numPr>
        <w:pStyle w:val="Compact"/>
      </w:pPr>
      <w:r>
        <w:rPr>
          <w:bCs/>
          <w:b/>
        </w:rPr>
        <w:t xml:space="preserve">Sport:</w:t>
      </w:r>
      <w:r>
        <w:t xml:space="preserve"> </w:t>
      </w:r>
      <w:r>
        <w:t xml:space="preserve">ausdrücklich verboten (WADA-Verbotsliste, Klasse S2 – Peptidhormone, Wachstumsfaktoren und verwandte Substanzen; Wachstumshormon-Fragmente). Bekannt wurde AOD-9604 einem breiteren Publikum durch den Dopingskandal um den australischen Football-Club Essendon im Jahr 2013. Für Dopingkontrollen wurden spezifische Nachweisverfahren im Urin entwickelt (Cox 2015, PMID 25208511). Der übliche Wachstumshormon-Test wird durch AOD-9604 nicht beeinflusst (Orlovius 2013, PMID 24124033) – das Fragment muss also gezielt gesucht werden. Stand 2026, bitte aktuell prüfen.</w:t>
      </w:r>
    </w:p>
    <w:bookmarkEnd w:id="322"/>
    <w:bookmarkStart w:id="323" w:name="laufende-studien-und-ausblick-13"/>
    <w:p>
      <w:pPr>
        <w:pStyle w:val="Heading3"/>
      </w:pPr>
      <w:r>
        <w:t xml:space="preserve">Laufende Studien und Ausblick</w:t>
      </w:r>
    </w:p>
    <w:p>
      <w:pPr>
        <w:pStyle w:val="FirstParagraph"/>
      </w:pPr>
      <w:r>
        <w:rPr>
          <w:bCs/>
          <w:b/>
        </w:rPr>
        <w:t xml:space="preserve">Gesichert:</w:t>
      </w:r>
      <w:r>
        <w:t xml:space="preserve"> </w:t>
      </w:r>
      <w:r>
        <w:t xml:space="preserve">Auf ClinicalTrials.gov ist keine laufende Studie zu AOD-9604 registriert (Abfrage Oktober 2026).</w:t>
      </w:r>
    </w:p>
    <w:p>
      <w:pPr>
        <w:pStyle w:val="BodyText"/>
      </w:pPr>
      <w:r>
        <w:rPr>
          <w:bCs/>
          <w:b/>
        </w:rPr>
        <w:t xml:space="preserve">Einschätzung:</w:t>
      </w:r>
      <w:r>
        <w:t xml:space="preserve"> </w:t>
      </w:r>
      <w:r>
        <w:t xml:space="preserve">Es gibt keinen erkennbaren Weg, auf dem AOD-9604 in absehbarer Zeit zu einem zugelassenen Medikament werden könnte. Mit den GLP-1-basierten Wirkstoffen existieren heute Abnehmmedikamente mit großer, gut dokumentierter Wirksamkeit; ein Peptid, dessen eigene Entwicklung als Abnehmmittel nicht erfolgreich war, dürfte kaum neues Investoreninteresse wecken. AOD-9604 wird daher voraussichtlich ein Graumarkt-Produkt bleiben.</w:t>
      </w:r>
    </w:p>
    <w:bookmarkEnd w:id="323"/>
    <w:bookmarkStart w:id="324" w:name="fazit-13"/>
    <w:p>
      <w:pPr>
        <w:pStyle w:val="Heading3"/>
      </w:pPr>
      <w:r>
        <w:t xml:space="preserve">Fazit</w:t>
      </w:r>
    </w:p>
    <w:p>
      <w:pPr>
        <w:pStyle w:val="FirstParagraph"/>
      </w:pPr>
      <w:r>
        <w:t xml:space="preserve">AOD-9604 ist ein kurzes Stück des Wachstumshormons, das bei Ratten und Mäusen den Fettabbau anregte, ohne den Blutzucker zu erhöhen. Studien am Menschen wurden zwar in den 2000er-Jahren durchgeführt, ihre Ergebnisse sind aber nicht in begutachteten Fachzeitschriften veröffentlicht, und die Entwicklung als Abnehmmedikament wurde eingestellt. Belastbare Daten zu Wirkung und Sicherheit beim Menschen fehlen daher vollständig. AOD-9604 ist nirgends als Arzneimittel zugelassen und im Sport ausdrücklich verboten.</w:t>
      </w:r>
    </w:p>
    <w:bookmarkEnd w:id="324"/>
    <w:bookmarkEnd w:id="325"/>
    <w:bookmarkStart w:id="337" w:name="orforglipron-zum-vergleich"/>
    <w:p>
      <w:pPr>
        <w:pStyle w:val="Heading2"/>
      </w:pPr>
      <w:r>
        <w:t xml:space="preserve">Orforglipron (zum Vergleich)</w:t>
      </w:r>
    </w:p>
    <w:bookmarkStart w:id="326" w:name="steckbrief-14"/>
    <w:p>
      <w:pPr>
        <w:pStyle w:val="Heading3"/>
      </w:pPr>
      <w:r>
        <w:t xml:space="preserve">Steckbrief</w:t>
      </w:r>
    </w:p>
    <w:p>
      <w:pPr>
        <w:numPr>
          <w:ilvl w:val="0"/>
          <w:numId w:val="1109"/>
        </w:numPr>
        <w:pStyle w:val="Compact"/>
      </w:pPr>
      <w:r>
        <w:rPr>
          <w:bCs/>
          <w:b/>
        </w:rPr>
        <w:t xml:space="preserve">Art/Struktur:</w:t>
      </w:r>
      <w:r>
        <w:t xml:space="preserve"> </w:t>
      </w:r>
      <w:r>
        <w:rPr>
          <w:bCs/>
          <w:b/>
        </w:rPr>
        <w:t xml:space="preserve">kein Peptid</w:t>
      </w:r>
      <w:r>
        <w:t xml:space="preserve">, sondern ein kleines, chemisch hergestelltes Molekül („small molecule“), das am GLP-1-Rezeptor wie ein Peptid wirkt. Entwicklungscode LY3502970. Einmal tägliche Einnahme als Tablette bzw. Kapsel.</w:t>
      </w:r>
    </w:p>
    <w:p>
      <w:pPr>
        <w:numPr>
          <w:ilvl w:val="0"/>
          <w:numId w:val="1109"/>
        </w:numPr>
        <w:pStyle w:val="Compact"/>
      </w:pPr>
      <w:r>
        <w:rPr>
          <w:bCs/>
          <w:b/>
        </w:rPr>
        <w:t xml:space="preserve">Herkunft:</w:t>
      </w:r>
      <w:r>
        <w:t xml:space="preserve"> </w:t>
      </w:r>
      <w:r>
        <w:t xml:space="preserve">ursprünglich von Chugai Pharmaceutical entdeckt, von Eli Lilly lizenziert und entwickelt.</w:t>
      </w:r>
    </w:p>
    <w:p>
      <w:pPr>
        <w:numPr>
          <w:ilvl w:val="0"/>
          <w:numId w:val="1109"/>
        </w:numPr>
        <w:pStyle w:val="Compact"/>
      </w:pPr>
      <w:r>
        <w:rPr>
          <w:bCs/>
          <w:b/>
        </w:rPr>
        <w:t xml:space="preserve">Wirkprinzip:</w:t>
      </w:r>
      <w:r>
        <w:t xml:space="preserve"> </w:t>
      </w:r>
      <w:r>
        <w:t xml:space="preserve">Agonist am GLP-1-Rezeptor – derselbe Angriffspunkt wie bei Semaglutid oder Liraglutid, aber mit einer völlig anderen chemischen Struktur.</w:t>
      </w:r>
    </w:p>
    <w:p>
      <w:pPr>
        <w:numPr>
          <w:ilvl w:val="0"/>
          <w:numId w:val="1109"/>
        </w:numPr>
        <w:pStyle w:val="Compact"/>
      </w:pPr>
      <w:r>
        <w:rPr>
          <w:bCs/>
          <w:b/>
        </w:rPr>
        <w:t xml:space="preserve">Zulassung EU / USA:</w:t>
      </w:r>
      <w:r>
        <w:t xml:space="preserve"> </w:t>
      </w:r>
      <w:r>
        <w:t xml:space="preserve">nach dem Stand der Recherche für dieses Buch (Oktober 2026) nicht als zugelassen erfasst; Zulassungsanträge sind auf Grundlage der Phase-3-Studien gestellt worden bzw. angekündigt – bitte aktuell prüfen.</w:t>
      </w:r>
    </w:p>
    <w:p>
      <w:pPr>
        <w:numPr>
          <w:ilvl w:val="0"/>
          <w:numId w:val="1109"/>
        </w:numPr>
        <w:pStyle w:val="Compact"/>
      </w:pPr>
      <w:r>
        <w:rPr>
          <w:bCs/>
          <w:b/>
        </w:rPr>
        <w:t xml:space="preserve">WADA:</w:t>
      </w:r>
      <w:r>
        <w:t xml:space="preserve"> </w:t>
      </w:r>
      <w:r>
        <w:t xml:space="preserve">nicht namentlich gelistet; solange nirgends zugelassen, unter S0 verboten (Stand 2026, bitte aktuell prüfen).</w:t>
      </w:r>
    </w:p>
    <w:p>
      <w:pPr>
        <w:numPr>
          <w:ilvl w:val="0"/>
          <w:numId w:val="1109"/>
        </w:numPr>
        <w:pStyle w:val="Compact"/>
      </w:pPr>
      <w:r>
        <w:rPr>
          <w:bCs/>
          <w:b/>
        </w:rPr>
        <w:t xml:space="preserve">Evidenzstufe:</w:t>
      </w:r>
      <w:r>
        <w:t xml:space="preserve"> </w:t>
      </w:r>
      <w:r>
        <w:rPr>
          <w:bCs/>
          <w:b/>
        </w:rPr>
        <w:t xml:space="preserve">A</w:t>
      </w:r>
      <w:r>
        <w:t xml:space="preserve"> </w:t>
      </w:r>
      <w:r>
        <w:t xml:space="preserve">nach Datenlage (mehrere große Phase-3-Studien inklusive Herz-Kreislauf-Sicherheitsstudie); die formale Zulassung steht noch aus bzw. ist zu prüfen.</w:t>
      </w:r>
    </w:p>
    <w:bookmarkEnd w:id="326"/>
    <w:bookmarkStart w:id="327" w:name="X82dbc472d8c57b425c1330acc7c92ebd581963b"/>
    <w:p>
      <w:pPr>
        <w:pStyle w:val="Heading3"/>
      </w:pPr>
      <w:r>
        <w:t xml:space="preserve">Warum dieses Kapitel in einem Peptid-Buch steht</w:t>
      </w:r>
    </w:p>
    <w:p>
      <w:pPr>
        <w:pStyle w:val="FirstParagraph"/>
      </w:pPr>
      <w:r>
        <w:t xml:space="preserve">Alle GLP-1-Medikamente bis 2025 waren Peptide. Peptide werden im Magen-Darm-Trakt größtenteils verdaut und kaum aufgenommen – deshalb müssen sie gespritzt werden. Die einzige Ausnahme, Semaglutid als Tablette, braucht einen Hilfsstoff, der die Aufnahme durch die Magenschleimhaut erleichtert, und strenge Einnahmeregeln: nüchtern, mit wenig Wasser und mit Abstand vor dem Frühstück (siehe Kapitel Semaglutid und Teil I zur Frage, wie Peptide in den Körper kommen).</w:t>
      </w:r>
    </w:p>
    <w:p>
      <w:pPr>
        <w:pStyle w:val="BodyText"/>
      </w:pPr>
      <w:r>
        <w:t xml:space="preserve">Orforglipron umgeht dieses Problem grundsätzlich: Als kleines Molekül wird es wie eine herkömmliche Tablette aus dem Darm aufgenommen. Es kann laut den Studien ohne Rücksicht auf Mahlzeiten oder Wassermenge eingenommen werden (Rosenstock 2026, PMID 41765029). Orforglipron ist damit der wichtigste Vergleichsfall für die Frage, ob die Zukunft der Abnehmmedikamente überhaupt bei Peptiden liegt (siehe Teil V).</w:t>
      </w:r>
    </w:p>
    <w:bookmarkEnd w:id="327"/>
    <w:bookmarkStart w:id="328" w:name="wie-es-wirken-soll-14"/>
    <w:p>
      <w:pPr>
        <w:pStyle w:val="Heading3"/>
      </w:pPr>
      <w:r>
        <w:t xml:space="preserve">Wie es wirken soll</w:t>
      </w:r>
    </w:p>
    <w:p>
      <w:pPr>
        <w:pStyle w:val="FirstParagraph"/>
      </w:pPr>
      <w:r>
        <w:t xml:space="preserve">Orforglipron bindet an den GLP-1-Rezeptor und löst ähnliche Effekte aus wie die Peptid-Agonisten: weniger Appetit, verzögerte Magenentleerung, blutzuckerabhängig mehr Insulin. Es aktiviert nur den GLP-1-Rezeptor, nicht GIP- oder Glukagon-Rezeptoren. Untersuchungen bei Menschen mit Typ-2-Diabetes zeigten Verbesserungen von Markern der Betazellfunktion und der Insulinempfindlichkeit (Rosenstock 2025, PMID 40808573).</w:t>
      </w:r>
    </w:p>
    <w:bookmarkEnd w:id="328"/>
    <w:bookmarkStart w:id="331" w:name="studien-am-menschen-14"/>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20 Humanstudien. Auf ClinicalTrials.gov waren 53 Studien registriert. Die Zulassungsprogramme heißen</w:t>
      </w:r>
      <w:r>
        <w:t xml:space="preserve"> </w:t>
      </w:r>
      <w:r>
        <w:rPr>
          <w:bCs/>
          <w:b/>
        </w:rPr>
        <w:t xml:space="preserve">ATTAIN</w:t>
      </w:r>
      <w:r>
        <w:t xml:space="preserve"> </w:t>
      </w:r>
      <w:r>
        <w:t xml:space="preserve">(Adipositas) und</w:t>
      </w:r>
      <w:r>
        <w:t xml:space="preserve"> </w:t>
      </w:r>
      <w:r>
        <w:rPr>
          <w:bCs/>
          <w:b/>
        </w:rPr>
        <w:t xml:space="preserve">ACHIEVE</w:t>
      </w:r>
      <w:r>
        <w:t xml:space="preserve"> </w:t>
      </w:r>
      <w:r>
        <w:t xml:space="preserve">(Typ-2-Diabetes).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2 Adipositas (Wharton 2023), PMID 37351564</w:t>
            </w:r>
          </w:p>
        </w:tc>
        <w:tc>
          <w:tcPr/>
          <w:p>
            <w:pPr>
              <w:pStyle w:val="Compact"/>
              <w:jc w:val="left"/>
            </w:pPr>
            <w:r>
              <w:t xml:space="preserve">272 Erwachsene ohne Diabetes, gegen Placebo</w:t>
            </w:r>
          </w:p>
        </w:tc>
        <w:tc>
          <w:tcPr/>
          <w:p>
            <w:pPr>
              <w:pStyle w:val="Compact"/>
              <w:jc w:val="left"/>
            </w:pPr>
            <w:r>
              <w:t xml:space="preserve">36 Wochen</w:t>
            </w:r>
          </w:p>
        </w:tc>
        <w:tc>
          <w:tcPr/>
          <w:p>
            <w:pPr>
              <w:pStyle w:val="Compact"/>
              <w:jc w:val="left"/>
            </w:pPr>
            <w:r>
              <w:t xml:space="preserve">−9,4 bis −14,7 % Gewicht vs. −2,3 %</w:t>
            </w:r>
          </w:p>
        </w:tc>
      </w:tr>
      <w:tr>
        <w:tc>
          <w:tcPr/>
          <w:p>
            <w:pPr>
              <w:pStyle w:val="Compact"/>
              <w:jc w:val="left"/>
            </w:pPr>
            <w:r>
              <w:t xml:space="preserve">ATTAIN-1 (Wharton 2025), PMID 40960239</w:t>
            </w:r>
          </w:p>
        </w:tc>
        <w:tc>
          <w:tcPr/>
          <w:p>
            <w:pPr>
              <w:pStyle w:val="Compact"/>
              <w:jc w:val="left"/>
            </w:pPr>
            <w:r>
              <w:t xml:space="preserve">3.127 Erwachsene mit Adipositas ohne Diabetes, gegen Placebo</w:t>
            </w:r>
          </w:p>
        </w:tc>
        <w:tc>
          <w:tcPr/>
          <w:p>
            <w:pPr>
              <w:pStyle w:val="Compact"/>
              <w:jc w:val="left"/>
            </w:pPr>
            <w:r>
              <w:t xml:space="preserve">72 Wochen</w:t>
            </w:r>
          </w:p>
        </w:tc>
        <w:tc>
          <w:tcPr/>
          <w:p>
            <w:pPr>
              <w:pStyle w:val="Compact"/>
              <w:jc w:val="left"/>
            </w:pPr>
            <w:r>
              <w:t xml:space="preserve">−7,5 / −8,4 / −11,2 % vs. −2,1 %</w:t>
            </w:r>
          </w:p>
        </w:tc>
      </w:tr>
      <w:tr>
        <w:tc>
          <w:tcPr/>
          <w:p>
            <w:pPr>
              <w:pStyle w:val="Compact"/>
              <w:jc w:val="left"/>
            </w:pPr>
            <w:r>
              <w:t xml:space="preserve">ATTAIN-2 (Horn 2026), PMID 41275875</w:t>
            </w:r>
          </w:p>
        </w:tc>
        <w:tc>
          <w:tcPr/>
          <w:p>
            <w:pPr>
              <w:pStyle w:val="Compact"/>
              <w:jc w:val="left"/>
            </w:pPr>
            <w:r>
              <w:t xml:space="preserve">1.613 Erwachsene mit Adipositas und Typ-2-Diabetes</w:t>
            </w:r>
          </w:p>
        </w:tc>
        <w:tc>
          <w:tcPr/>
          <w:p>
            <w:pPr>
              <w:pStyle w:val="Compact"/>
              <w:jc w:val="left"/>
            </w:pPr>
            <w:r>
              <w:t xml:space="preserve">72 Wochen</w:t>
            </w:r>
          </w:p>
        </w:tc>
        <w:tc>
          <w:tcPr/>
          <w:p>
            <w:pPr>
              <w:pStyle w:val="Compact"/>
              <w:jc w:val="left"/>
            </w:pPr>
            <w:r>
              <w:t xml:space="preserve">−5,1 / −7,0 / −9,6 % vs. −2,5 %</w:t>
            </w:r>
          </w:p>
        </w:tc>
      </w:tr>
      <w:tr>
        <w:tc>
          <w:tcPr/>
          <w:p>
            <w:pPr>
              <w:pStyle w:val="Compact"/>
              <w:jc w:val="left"/>
            </w:pPr>
            <w:r>
              <w:t xml:space="preserve">ATTAIN-MAINTAIN (Aronne 2026), PMID 42120723</w:t>
            </w:r>
          </w:p>
        </w:tc>
        <w:tc>
          <w:tcPr/>
          <w:p>
            <w:pPr>
              <w:pStyle w:val="Compact"/>
              <w:jc w:val="left"/>
            </w:pPr>
            <w:r>
              <w:t xml:space="preserve">376 Erwachsene nach Tirzepatid oder Semaglutid, Umstieg vs. Placebo</w:t>
            </w:r>
          </w:p>
        </w:tc>
        <w:tc>
          <w:tcPr/>
          <w:p>
            <w:pPr>
              <w:pStyle w:val="Compact"/>
              <w:jc w:val="left"/>
            </w:pPr>
            <w:r>
              <w:t xml:space="preserve">52 Wochen</w:t>
            </w:r>
          </w:p>
        </w:tc>
        <w:tc>
          <w:tcPr/>
          <w:p>
            <w:pPr>
              <w:pStyle w:val="Compact"/>
              <w:jc w:val="left"/>
            </w:pPr>
            <w:r>
              <w:t xml:space="preserve">74,7 % bzw. 79,3 % des Gewichtsverlusts gehalten (Placebo 49,2 % bzw. 37,6 %)</w:t>
            </w:r>
          </w:p>
        </w:tc>
      </w:tr>
      <w:tr>
        <w:tc>
          <w:tcPr/>
          <w:p>
            <w:pPr>
              <w:pStyle w:val="Compact"/>
              <w:jc w:val="left"/>
            </w:pPr>
            <w:r>
              <w:t xml:space="preserve">ACHIEVE-1 (Rosenstock 2025), PMID 40544435</w:t>
            </w:r>
          </w:p>
        </w:tc>
        <w:tc>
          <w:tcPr/>
          <w:p>
            <w:pPr>
              <w:pStyle w:val="Compact"/>
              <w:jc w:val="left"/>
            </w:pPr>
            <w:r>
              <w:t xml:space="preserve">559 Erwachsene mit frühem Typ-2-Diabetes</w:t>
            </w:r>
          </w:p>
        </w:tc>
        <w:tc>
          <w:tcPr/>
          <w:p>
            <w:pPr>
              <w:pStyle w:val="Compact"/>
              <w:jc w:val="left"/>
            </w:pPr>
            <w:r>
              <w:t xml:space="preserve">40 Wochen</w:t>
            </w:r>
          </w:p>
        </w:tc>
        <w:tc>
          <w:tcPr/>
          <w:p>
            <w:pPr>
              <w:pStyle w:val="Compact"/>
              <w:jc w:val="left"/>
            </w:pPr>
            <w:r>
              <w:t xml:space="preserve">HbA1c −1,24 bis −1,48 vs. −0,41</w:t>
            </w:r>
          </w:p>
        </w:tc>
      </w:tr>
      <w:tr>
        <w:tc>
          <w:tcPr/>
          <w:p>
            <w:pPr>
              <w:pStyle w:val="Compact"/>
              <w:jc w:val="left"/>
            </w:pPr>
            <w:r>
              <w:t xml:space="preserve">ACHIEVE-3 (Rosenstock 2026), PMID 41765029</w:t>
            </w:r>
          </w:p>
        </w:tc>
        <w:tc>
          <w:tcPr/>
          <w:p>
            <w:pPr>
              <w:pStyle w:val="Compact"/>
              <w:jc w:val="left"/>
            </w:pPr>
            <w:r>
              <w:t xml:space="preserve">1.698 Erwachsene mit Typ-2-Diabetes, offen gegen Semaglutid-Tablette</w:t>
            </w:r>
          </w:p>
        </w:tc>
        <w:tc>
          <w:tcPr/>
          <w:p>
            <w:pPr>
              <w:pStyle w:val="Compact"/>
              <w:jc w:val="left"/>
            </w:pPr>
            <w:r>
              <w:t xml:space="preserve">52 Wochen</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2.749 Erwachsene mit Typ-2-Diabetes und hohem Herz-Kreislauf-Risiko, gegen Insulin glargin</w:t>
            </w:r>
          </w:p>
        </w:tc>
        <w:tc>
          <w:tcPr/>
          <w:p>
            <w:pPr>
              <w:pStyle w:val="Compact"/>
              <w:jc w:val="left"/>
            </w:pPr>
            <w:r>
              <w:t xml:space="preserve">median 2 Jahre</w:t>
            </w:r>
          </w:p>
        </w:tc>
        <w:tc>
          <w:tcPr/>
          <w:p>
            <w:pPr>
              <w:pStyle w:val="Compact"/>
              <w:jc w:val="left"/>
            </w:pPr>
            <w:r>
              <w:t xml:space="preserve">MACE-4: 4,2 % vs. 5,0 % (nicht unterlegen)</w:t>
            </w:r>
          </w:p>
        </w:tc>
      </w:tr>
    </w:tbl>
    <w:bookmarkStart w:id="329" w:name="adipositas-attain"/>
    <w:p>
      <w:pPr>
        <w:pStyle w:val="Heading4"/>
      </w:pPr>
      <w:r>
        <w:t xml:space="preserve">Adipositas: ATTAIN</w:t>
      </w:r>
    </w:p>
    <w:p>
      <w:pPr>
        <w:pStyle w:val="FirstParagraph"/>
      </w:pPr>
      <w:r>
        <w:rPr>
          <w:bCs/>
          <w:b/>
        </w:rPr>
        <w:t xml:space="preserve">ATTAIN-1</w:t>
      </w:r>
      <w:r>
        <w:t xml:space="preserve"> </w:t>
      </w:r>
      <w:r>
        <w:t xml:space="preserve">(Wharton 2025, PMID 40960239) ist die Hauptstudie. Nach 72 Wochen verloren die 3.127 Teilnehmenden in der höchsten Dosis im Mittel 11,2 % ihres Gewichts, unter Placebo 2,1 %. In der höchsten Dosis erreichten 54,6 % mindestens 10 % und 18,4 % mindestens 20 % Gewichtsverlust. Wegen Nebenwirkungen brachen 5,3 bis 10,3 % ab (Placebo 2,7 %).</w:t>
      </w:r>
    </w:p>
    <w:p>
      <w:pPr>
        <w:pStyle w:val="BodyText"/>
      </w:pPr>
      <w:r>
        <w:t xml:space="preserve">Zur Einordnung: Das ist deutlich weniger als mit gespritztem Semaglutid oder Tirzepatid in deren Zulassungsstudien und weniger, als die Phase-2-Studie mit bis zu 14,7 % nach 36 Wochen hatte erwarten lassen (Wharton 2023, PMID 37351564). Quervergleiche zwischen Studien sind allerdings nur eine grobe Orientierung.</w:t>
      </w:r>
    </w:p>
    <w:p>
      <w:pPr>
        <w:pStyle w:val="BodyText"/>
      </w:pPr>
      <w:r>
        <w:rPr>
          <w:bCs/>
          <w:b/>
        </w:rPr>
        <w:t xml:space="preserve">ATTAIN-2</w:t>
      </w:r>
      <w:r>
        <w:t xml:space="preserve"> </w:t>
      </w:r>
      <w:r>
        <w:t xml:space="preserve">(Horn 2026, PMID 41275875) zeigte bei Menschen mit Typ-2-Diabetes einen Gewichtsverlust von bis zu 9,6 % gegenüber 2,5 % unter Placebo.</w:t>
      </w:r>
    </w:p>
    <w:p>
      <w:pPr>
        <w:pStyle w:val="BodyText"/>
      </w:pPr>
      <w:r>
        <w:rPr>
          <w:bCs/>
          <w:b/>
        </w:rPr>
        <w:t xml:space="preserve">ATTAIN-MAINTAIN</w:t>
      </w:r>
      <w:r>
        <w:t xml:space="preserve"> </w:t>
      </w:r>
      <w:r>
        <w:t xml:space="preserve">(Aronne 2026, PMID 42120723) ist für die Praxis besonders interessant. Teilnehmende, die zuvor in der SURMOUNT-5-Studie mit gespritztem Tirzepatid oder Semaglutid abgenommen hatten, wechselten auf Orforglipron oder Placebo. Nach 52 Wochen hielten die vormals mit Tirzepatid Behandelten mit Orforglipron 74,7 % ihres Gewichtsverlusts (Placebo 49,2 %), die vormals mit Semaglutid Behandelten 79,3 % (Placebo 37,6 %). Eine Vergleichsgruppe, die die Spritze einfach weiter erhielt, gab es nicht – die Autorinnen und Autoren nennen das selbst als Einschränkung. Das Konzept „mit der Spritze abnehmen, mit der Tablette halten“ wird damit erstmals belegt, aber noch nicht gegen die Alternative „Spritze fortsetzen“ geprüft.</w:t>
      </w:r>
    </w:p>
    <w:bookmarkEnd w:id="329"/>
    <w:bookmarkStart w:id="330" w:name="typ-2-diabetes-achieve"/>
    <w:p>
      <w:pPr>
        <w:pStyle w:val="Heading4"/>
      </w:pPr>
      <w:r>
        <w:t xml:space="preserve">Typ-2-Diabetes: ACHIEVE</w:t>
      </w:r>
    </w:p>
    <w:p>
      <w:pPr>
        <w:numPr>
          <w:ilvl w:val="0"/>
          <w:numId w:val="1110"/>
        </w:numPr>
        <w:pStyle w:val="Compact"/>
      </w:pPr>
      <w:r>
        <w:rPr>
          <w:bCs/>
          <w:b/>
        </w:rPr>
        <w:t xml:space="preserve">ACHIEVE-1</w:t>
      </w:r>
      <w:r>
        <w:t xml:space="preserve"> </w:t>
      </w:r>
      <w:r>
        <w:t xml:space="preserve">(Rosenstock 2025, PMID 40544435): Bei frühem Typ-2-Diabetes ohne andere Medikamente sank der HbA1c-Wert nach 40 Wochen um bis zu 1,48 Prozentpunkte (Placebo −0,41), das Gewicht um bis zu 7,6 %. Schwere Unterzuckerungen traten nicht auf.</w:t>
      </w:r>
    </w:p>
    <w:p>
      <w:pPr>
        <w:numPr>
          <w:ilvl w:val="0"/>
          <w:numId w:val="1110"/>
        </w:numPr>
        <w:pStyle w:val="Compact"/>
      </w:pPr>
      <w:r>
        <w:rPr>
          <w:bCs/>
          <w:b/>
        </w:rPr>
        <w:t xml:space="preserve">ACHIEVE-2</w:t>
      </w:r>
      <w:r>
        <w:t xml:space="preserve"> </w:t>
      </w:r>
      <w:r>
        <w:t xml:space="preserve">(Welch 2026, PMID 42259339): Gegen den SGLT2-Hemmer Dapagliflozin war Orforglipron beim HbA1c nicht unterlegen und in allen Dosen stärker (bis −1,56 vs. −0,81 Prozentpunkte).</w:t>
      </w:r>
    </w:p>
    <w:p>
      <w:pPr>
        <w:numPr>
          <w:ilvl w:val="0"/>
          <w:numId w:val="1110"/>
        </w:numPr>
        <w:pStyle w:val="Compact"/>
      </w:pPr>
      <w:r>
        <w:rPr>
          <w:bCs/>
          <w:b/>
        </w:rPr>
        <w:t xml:space="preserve">ACHIEVE-3</w:t>
      </w:r>
      <w:r>
        <w:t xml:space="preserve"> </w:t>
      </w:r>
      <w:r>
        <w:t xml:space="preserve">(Rosenstock 2026, PMID 41765029): Im direkten Vergleich mit der Semaglutid-Tablette senkte Orforglipron den HbA1c-Wert stärker (−1,91 vs. −1,47 Prozentpunkte in den jeweils höheren Dosen). Die Studie war offen, also nicht verblindet. Magen-Darm-Beschwerden waren unter Orforglipron häufiger (58–59 % vs. 37–45 %), ebenso Abbrüche wegen Nebenwirkungen (9–10 % vs. 4–5 %).</w:t>
      </w:r>
    </w:p>
    <w:p>
      <w:pPr>
        <w:numPr>
          <w:ilvl w:val="0"/>
          <w:numId w:val="1110"/>
        </w:numPr>
        <w:pStyle w:val="Compact"/>
      </w:pPr>
      <w:r>
        <w:rPr>
          <w:bCs/>
          <w:b/>
        </w:rPr>
        <w:t xml:space="preserve">ACHIEVE-4</w:t>
      </w:r>
      <w:r>
        <w:t xml:space="preserve"> </w:t>
      </w:r>
      <w:r>
        <w:t xml:space="preserve">(Klein 2026, PMID 42815506): die Herz-Kreislauf-Sicherheitsstudie (siehe unten).</w:t>
      </w:r>
    </w:p>
    <w:bookmarkEnd w:id="330"/>
    <w:bookmarkEnd w:id="331"/>
    <w:bookmarkStart w:id="332" w:name="tier--und-laborstudien-14"/>
    <w:p>
      <w:pPr>
        <w:pStyle w:val="Heading3"/>
      </w:pPr>
      <w:r>
        <w:t xml:space="preserve">Tier- und Laborstudien</w:t>
      </w:r>
    </w:p>
    <w:p>
      <w:pPr>
        <w:pStyle w:val="FirstParagraph"/>
      </w:pPr>
      <w:r>
        <w:t xml:space="preserve">Für dieses Vergleichskapitel werden die präklinischen Daten nicht im Einzelnen dargestellt. Wichtig ist ein pharmakologischer Unterschied: Als kleines Molekül wird Orforglipron über Leberenzyme abgebaut. Deshalb wurden zahlreiche Studien zu Wechselwirkungen mit anderen Medikamenten durchgeführt, etwa mit Clarithromycin, Ciclosporin, Carbamazepin oder Chinidin (NCT05469126, NCT05573230, NCT06370728, NCT06704763). Peptid-Agonisten werden dagegen wie Eiweiße abgebaut und haben kaum solche Wechselwirkungen.</w:t>
      </w:r>
    </w:p>
    <w:bookmarkEnd w:id="332"/>
    <w:bookmarkStart w:id="333" w:name="risiken-und-nebenwirkungen-14"/>
    <w:p>
      <w:pPr>
        <w:pStyle w:val="Heading3"/>
      </w:pPr>
      <w:r>
        <w:t xml:space="preserve">Risiken und Nebenwirkungen</w:t>
      </w:r>
    </w:p>
    <w:p>
      <w:pPr>
        <w:pStyle w:val="FirstParagraph"/>
      </w:pPr>
      <w:r>
        <w:rPr>
          <w:bCs/>
          <w:b/>
        </w:rPr>
        <w:t xml:space="preserve">Belegt aus Studien:</w:t>
      </w:r>
    </w:p>
    <w:p>
      <w:pPr>
        <w:numPr>
          <w:ilvl w:val="0"/>
          <w:numId w:val="1111"/>
        </w:numPr>
        <w:pStyle w:val="Compact"/>
      </w:pPr>
      <w:r>
        <w:rPr>
          <w:bCs/>
          <w:b/>
        </w:rPr>
        <w:t xml:space="preserve">Magen-Darm-Beschwerden</w:t>
      </w:r>
      <w:r>
        <w:t xml:space="preserve"> </w:t>
      </w:r>
      <w:r>
        <w:t xml:space="preserve">wie bei allen GLP-1-Agonisten, überwiegend leicht bis mittelschwer und während der Aufdosierung. In ACHIEVE-4 berichteten 62,1 % unter Orforglipron gegenüber 14,2 % unter Insulin glargin über Magen-Darm-Beschwerden (Klein 2026, PMID 42815506).</w:t>
      </w:r>
    </w:p>
    <w:p>
      <w:pPr>
        <w:numPr>
          <w:ilvl w:val="0"/>
          <w:numId w:val="1111"/>
        </w:numPr>
        <w:pStyle w:val="Compact"/>
      </w:pPr>
      <w:r>
        <w:rPr>
          <w:bCs/>
          <w:b/>
        </w:rPr>
        <w:t xml:space="preserve">Abbrüche wegen Nebenwirkungen:</w:t>
      </w:r>
      <w:r>
        <w:t xml:space="preserve"> </w:t>
      </w:r>
      <w:r>
        <w:t xml:space="preserve">in ATTAIN-1 bis 10,3 % (Wharton 2025, PMID 40960239), im Vergleich zur Semaglutid-Tablette etwa doppelt so häufig (Rosenstock 2026, PMID 41765029).</w:t>
      </w:r>
    </w:p>
    <w:p>
      <w:pPr>
        <w:numPr>
          <w:ilvl w:val="0"/>
          <w:numId w:val="1111"/>
        </w:numPr>
        <w:pStyle w:val="Compact"/>
      </w:pPr>
      <w:r>
        <w:rPr>
          <w:bCs/>
          <w:b/>
        </w:rPr>
        <w:t xml:space="preserve">Puls:</w:t>
      </w:r>
      <w:r>
        <w:t xml:space="preserve"> </w:t>
      </w:r>
      <w:r>
        <w:t xml:space="preserve">In ACHIEVE-3 stieg die Herzfrequenz unter Orforglipron um 3,7 bis 4,7 Schläge pro Minute, unter der Semaglutid-Tablette um 1,0 bis 1,5 (Rosenstock 2026, PMID 41765029).</w:t>
      </w:r>
    </w:p>
    <w:p>
      <w:pPr>
        <w:numPr>
          <w:ilvl w:val="0"/>
          <w:numId w:val="1111"/>
        </w:numPr>
        <w:pStyle w:val="Compact"/>
      </w:pPr>
      <w:r>
        <w:rPr>
          <w:bCs/>
          <w:b/>
        </w:rPr>
        <w:t xml:space="preserve">Herz-Kreislauf-Sicherheit:</w:t>
      </w:r>
      <w:r>
        <w:t xml:space="preserve"> </w:t>
      </w:r>
      <w:r>
        <w:t xml:space="preserve">In ACHIEVE-4 traten schwere Herz-Kreislauf-Ereignisse bei 4,2 % unter Orforglipron und 5,0 % unter Insulin glargin auf (Hazard Ratio 0,84; 95-%-KI 0,59–1,20) – Orforglipron war damit nicht unterlegen. Klinisch bedeutsame oder schwere Unterzuckerungen waren seltener (6,8 % vs. 19,2 %) (Klein 2026, PMID 42815506). Ob Orforglipron wie einige Peptid-Agonisten Herz-Kreislauf-Ereignisse</w:t>
      </w:r>
      <w:r>
        <w:t xml:space="preserve"> </w:t>
      </w:r>
      <w:r>
        <w:rPr>
          <w:iCs/>
          <w:i/>
        </w:rPr>
        <w:t xml:space="preserve">verringert</w:t>
      </w:r>
      <w:r>
        <w:t xml:space="preserve">, soll eine eigene Endpunktstudie zeigen (NCT07241390).</w:t>
      </w:r>
    </w:p>
    <w:p>
      <w:pPr>
        <w:numPr>
          <w:ilvl w:val="0"/>
          <w:numId w:val="1111"/>
        </w:numPr>
        <w:pStyle w:val="Compact"/>
      </w:pPr>
      <w:r>
        <w:rPr>
          <w:bCs/>
          <w:b/>
        </w:rPr>
        <w:t xml:space="preserve">Leber:</w:t>
      </w:r>
      <w:r>
        <w:t xml:space="preserve"> </w:t>
      </w:r>
      <w:r>
        <w:t xml:space="preserve">Bei kleinen GLP-1-Molekülen anderer Hersteller waren Leberwerterhöhungen ein Problem. Eine gepoolte Auswertung von sieben Phase-3-Studien mit 11.220 Teilnehmenden fand für Orforglipron keinen Fall eines arzneimittelbedingten Leberschadens; die Leberwerte sanken im Mittel sogar (Wharton 2026, PMID 42338042).</w:t>
      </w:r>
    </w:p>
    <w:bookmarkEnd w:id="333"/>
    <w:bookmarkStart w:id="334" w:name="rechtslage-14"/>
    <w:p>
      <w:pPr>
        <w:pStyle w:val="Heading3"/>
      </w:pPr>
      <w:r>
        <w:t xml:space="preserve">Rechtslage</w:t>
      </w:r>
    </w:p>
    <w:p>
      <w:pPr>
        <w:numPr>
          <w:ilvl w:val="0"/>
          <w:numId w:val="1112"/>
        </w:numPr>
        <w:pStyle w:val="Compact"/>
      </w:pPr>
      <w:r>
        <w:rPr>
          <w:bCs/>
          <w:b/>
        </w:rPr>
        <w:t xml:space="preserve">EU / Österreich / Deutschland:</w:t>
      </w:r>
      <w:r>
        <w:t xml:space="preserve"> </w:t>
      </w:r>
      <w:r>
        <w:t xml:space="preserve">Stand Oktober 2026 als nicht zugelassen erfasst; ein Zulassungsverfahren ist zu erwarten bzw. kann bereits laufen – bitte aktuell prüfen.</w:t>
      </w:r>
    </w:p>
    <w:p>
      <w:pPr>
        <w:numPr>
          <w:ilvl w:val="0"/>
          <w:numId w:val="1112"/>
        </w:numPr>
        <w:pStyle w:val="Compact"/>
      </w:pPr>
      <w:r>
        <w:rPr>
          <w:bCs/>
          <w:b/>
        </w:rPr>
        <w:t xml:space="preserve">USA:</w:t>
      </w:r>
      <w:r>
        <w:t xml:space="preserve"> </w:t>
      </w:r>
      <w:r>
        <w:t xml:space="preserve">Zulassungsanträge für Adipositas und Typ-2-Diabetes wurden auf Basis der ATTAIN- und ACHIEVE-Daten gestellt bzw. angekündigt; Stand der Entscheidung bitte aktuell prüfen.</w:t>
      </w:r>
    </w:p>
    <w:p>
      <w:pPr>
        <w:numPr>
          <w:ilvl w:val="0"/>
          <w:numId w:val="1112"/>
        </w:numPr>
        <w:pStyle w:val="Compact"/>
      </w:pPr>
      <w:r>
        <w:rPr>
          <w:bCs/>
          <w:b/>
        </w:rPr>
        <w:t xml:space="preserve">Sport:</w:t>
      </w:r>
      <w:r>
        <w:t xml:space="preserve"> </w:t>
      </w:r>
      <w:r>
        <w:t xml:space="preserve">solange nirgends zugelassen, WADA-Klasse S0 (Stand 2026, bitte aktuell prüfen).</w:t>
      </w:r>
    </w:p>
    <w:p>
      <w:pPr>
        <w:numPr>
          <w:ilvl w:val="0"/>
          <w:numId w:val="1112"/>
        </w:numPr>
        <w:pStyle w:val="Compact"/>
      </w:pPr>
      <w:r>
        <w:t xml:space="preserve">Nicht zugelassene „Orforglipron“-Angebote im Internet sind keine geprüften Arzneimittel.</w:t>
      </w:r>
    </w:p>
    <w:bookmarkEnd w:id="334"/>
    <w:bookmarkStart w:id="335" w:name="laufende-studien-und-ausblick-14"/>
    <w:p>
      <w:pPr>
        <w:pStyle w:val="Heading3"/>
      </w:pPr>
      <w:r>
        <w:t xml:space="preserve">Laufende Studien und Ausblick</w:t>
      </w:r>
    </w:p>
    <w:p>
      <w:pPr>
        <w:pStyle w:val="FirstParagraph"/>
      </w:pPr>
      <w:r>
        <w:rPr>
          <w:bCs/>
          <w:b/>
        </w:rPr>
        <w:t xml:space="preserve">Gesichert (registrierte Studien, Stand Oktober 2026):</w:t>
      </w:r>
    </w:p>
    <w:p>
      <w:pPr>
        <w:numPr>
          <w:ilvl w:val="0"/>
          <w:numId w:val="1113"/>
        </w:numPr>
        <w:pStyle w:val="Compact"/>
      </w:pPr>
      <w:r>
        <w:rPr>
          <w:bCs/>
          <w:b/>
        </w:rPr>
        <w:t xml:space="preserve">Herz-Kreislauf-Endpunktstudie</w:t>
      </w:r>
      <w:r>
        <w:t xml:space="preserve"> </w:t>
      </w:r>
      <w:r>
        <w:t xml:space="preserve">bei Arteriosklerose (NCT07241390, 7.140 Teilnehmende, bis 2031).</w:t>
      </w:r>
    </w:p>
    <w:p>
      <w:pPr>
        <w:numPr>
          <w:ilvl w:val="0"/>
          <w:numId w:val="1113"/>
        </w:numPr>
        <w:pStyle w:val="Compact"/>
      </w:pPr>
      <w:r>
        <w:rPr>
          <w:bCs/>
          <w:b/>
        </w:rPr>
        <w:t xml:space="preserve">Periphere arterielle Verschlusskrankheit</w:t>
      </w:r>
      <w:r>
        <w:t xml:space="preserve"> </w:t>
      </w:r>
      <w:r>
        <w:t xml:space="preserve">(NCT07223593),</w:t>
      </w:r>
      <w:r>
        <w:t xml:space="preserve"> </w:t>
      </w:r>
      <w:r>
        <w:rPr>
          <w:bCs/>
          <w:b/>
        </w:rPr>
        <w:t xml:space="preserve">Bluthochdruck</w:t>
      </w:r>
      <w:r>
        <w:t xml:space="preserve"> </w:t>
      </w:r>
      <w:r>
        <w:t xml:space="preserve">(NCT06948422, NCT06948435, NCT06952530),</w:t>
      </w:r>
      <w:r>
        <w:t xml:space="preserve"> </w:t>
      </w:r>
      <w:r>
        <w:rPr>
          <w:bCs/>
          <w:b/>
        </w:rPr>
        <w:t xml:space="preserve">Kniearthrose</w:t>
      </w:r>
      <w:r>
        <w:t xml:space="preserve"> </w:t>
      </w:r>
      <w:r>
        <w:t xml:space="preserve">(NCT07153471),</w:t>
      </w:r>
      <w:r>
        <w:t xml:space="preserve"> </w:t>
      </w:r>
      <w:r>
        <w:rPr>
          <w:bCs/>
          <w:b/>
        </w:rPr>
        <w:t xml:space="preserve">Belastungsinkontinenz</w:t>
      </w:r>
      <w:r>
        <w:t xml:space="preserve"> </w:t>
      </w:r>
      <w:r>
        <w:t xml:space="preserve">bei Frauen mit Adipositas (NCT07202884).</w:t>
      </w:r>
    </w:p>
    <w:p>
      <w:pPr>
        <w:numPr>
          <w:ilvl w:val="0"/>
          <w:numId w:val="1113"/>
        </w:numPr>
        <w:pStyle w:val="Compact"/>
      </w:pPr>
      <w:r>
        <w:rPr>
          <w:bCs/>
          <w:b/>
        </w:rPr>
        <w:t xml:space="preserve">Jugendliche</w:t>
      </w:r>
      <w:r>
        <w:t xml:space="preserve"> </w:t>
      </w:r>
      <w:r>
        <w:t xml:space="preserve">(NCT06672939) und</w:t>
      </w:r>
      <w:r>
        <w:t xml:space="preserve"> </w:t>
      </w:r>
      <w:r>
        <w:rPr>
          <w:bCs/>
          <w:b/>
        </w:rPr>
        <w:t xml:space="preserve">Kinder mit Typ-2-Diabetes</w:t>
      </w:r>
      <w:r>
        <w:t xml:space="preserve"> </w:t>
      </w:r>
      <w:r>
        <w:t xml:space="preserve">im Vergleich zu Dulaglutid (NCT07668336).</w:t>
      </w:r>
    </w:p>
    <w:p>
      <w:pPr>
        <w:numPr>
          <w:ilvl w:val="0"/>
          <w:numId w:val="1113"/>
        </w:numPr>
        <w:pStyle w:val="Compact"/>
      </w:pPr>
      <w:r>
        <w:t xml:space="preserve">Studie zur</w:t>
      </w:r>
      <w:r>
        <w:t xml:space="preserve"> </w:t>
      </w:r>
      <w:r>
        <w:rPr>
          <w:bCs/>
          <w:b/>
        </w:rPr>
        <w:t xml:space="preserve">Schlafapnoe</w:t>
      </w:r>
      <w:r>
        <w:t xml:space="preserve"> </w:t>
      </w:r>
      <w:r>
        <w:t xml:space="preserve">(NCT06649045) abgeschlossen, Veröffentlichung ausstehend.</w:t>
      </w:r>
    </w:p>
    <w:p>
      <w:pPr>
        <w:pStyle w:val="FirstParagraph"/>
      </w:pPr>
      <w:r>
        <w:rPr>
          <w:bCs/>
          <w:b/>
        </w:rPr>
        <w:t xml:space="preserve">Einschätzung:</w:t>
      </w:r>
      <w:r>
        <w:t xml:space="preserve"> </w:t>
      </w:r>
      <w:r>
        <w:t xml:space="preserve">Orforglipron wird voraussichtlich das erste breit verfügbare Nicht-Peptid-GLP-1-Medikament. Seine Stärke ist nicht die maximale Gewichtsabnahme – hier liegen die gespritzten Peptide vorn –, sondern die einfache Einnahme, die vermutlich günstigere Herstellung und die Eignung für die Dauerbehandlung nach einer Phase mit Spritzen. Für den Peptid-Markt bedeutet das eine ernsthafte Konkurrenz, besonders in der Langzeit- und Erhaltungstherapie (siehe Teil V).</w:t>
      </w:r>
    </w:p>
    <w:bookmarkEnd w:id="335"/>
    <w:bookmarkStart w:id="336" w:name="fazit-14"/>
    <w:p>
      <w:pPr>
        <w:pStyle w:val="Heading3"/>
      </w:pPr>
      <w:r>
        <w:t xml:space="preserve">Fazit</w:t>
      </w:r>
    </w:p>
    <w:p>
      <w:pPr>
        <w:pStyle w:val="FirstParagraph"/>
      </w:pPr>
      <w:r>
        <w:t xml:space="preserve">Orforglipron ist kein Peptid, sondern ein kleines Molekül, das als Tablette den GLP-1-Rezeptor aktiviert und ohne Einnahmeregeln geschluckt werden kann. In ATTAIN-1 sank das Gewicht nach 72 Wochen um bis zu 11,2 % – weniger als mit gespritztem Semaglutid oder Tirzepatid –, und nach dem Umstieg von einer Spritze hielten die Teilnehmenden rund drei Viertel ihres Gewichtsverlusts. Bei Typ-2-Diabetes senkte es den HbA1c-Wert stärker als die Semaglutid-Tablette und erwies sich gegenüber Insulin als herz-kreislauf-sicher. Magen-Darm-Beschwerden und Therapieabbrüche sind etwas häufiger als bei der Semaglutid-Tablette.</w:t>
      </w:r>
    </w:p>
    <w:bookmarkEnd w:id="336"/>
    <w:bookmarkEnd w:id="337"/>
    <w:bookmarkEnd w:id="338"/>
    <w:bookmarkStart w:id="461" w:name="Xd0b78ee9a610b1dd0d145ab5a65bb7cfa2f243d"/>
    <w:p>
      <w:pPr>
        <w:pStyle w:val="Heading1"/>
      </w:pPr>
      <w:r>
        <w:t xml:space="preserve">Teil II · B – Heilung, Regeneration und Immunsystem</w:t>
      </w:r>
    </w:p>
    <w:p>
      <w:pPr>
        <w:pStyle w:val="FirstParagraph"/>
      </w:pPr>
      <w:r>
        <w:t xml:space="preserve">Die Peptide dieser Gruppe versprechen, was sich viele wünschen: schnellere Heilung von Sehnen und Muskeln, eine dichtere Darmwand, ein stärkeres Immunsystem, weniger Entzündung. In Online-Shops, Fitnessforen und Longevity-Kliniken gehören BPC-157, TB-500 und Thymosin Alpha-1 zu den meistverkauften „Forschungspeptiden“ überhaupt.</w:t>
      </w:r>
    </w:p>
    <w:bookmarkStart w:id="339" w:name="was-diese-peptide-verbindet"/>
    <w:p>
      <w:pPr>
        <w:pStyle w:val="Heading3"/>
      </w:pPr>
      <w:r>
        <w:t xml:space="preserve">Was diese Peptide verbindet</w:t>
      </w:r>
    </w:p>
    <w:p>
      <w:pPr>
        <w:pStyle w:val="FirstParagraph"/>
      </w:pPr>
      <w:r>
        <w:t xml:space="preserve">Alle acht Wirkstoffe sollen nicht ein einzelnes, klar messbares Ziel verändern – wie den Blutzucker oder das Körpergewicht –, sondern körpereigene Reparatur- und Abwehrvorgänge „anstoßen“ oder „normalisieren“. Das hat zwei Folgen, die sich durch alle Kapitel ziehen:</w:t>
      </w:r>
    </w:p>
    <w:p>
      <w:pPr>
        <w:numPr>
          <w:ilvl w:val="0"/>
          <w:numId w:val="1114"/>
        </w:numPr>
        <w:pStyle w:val="Compact"/>
      </w:pPr>
      <w:r>
        <w:rPr>
          <w:bCs/>
          <w:b/>
        </w:rPr>
        <w:t xml:space="preserve">Die Wirkung ist schwer zu messen.</w:t>
      </w:r>
      <w:r>
        <w:t xml:space="preserve"> </w:t>
      </w:r>
      <w:r>
        <w:t xml:space="preserve">Heilung, Schmerz und Immunfunktion schwanken stark, hängen von vielen Faktoren ab und sind anfällig für Placeboeffekte. Kleine Studien ohne Kontrollgruppe sind deshalb besonders wenig aussagekräftig.</w:t>
      </w:r>
    </w:p>
    <w:p>
      <w:pPr>
        <w:numPr>
          <w:ilvl w:val="0"/>
          <w:numId w:val="1114"/>
        </w:numPr>
        <w:pStyle w:val="Compact"/>
      </w:pPr>
      <w:r>
        <w:rPr>
          <w:bCs/>
          <w:b/>
        </w:rPr>
        <w:t xml:space="preserve">Plausibilität ersetzt oft Belege.</w:t>
      </w:r>
      <w:r>
        <w:t xml:space="preserve"> </w:t>
      </w:r>
      <w:r>
        <w:t xml:space="preserve">Fast alle Peptide dieser Gruppe stammen von körpereigenen Stoffen ab: aus Magensaft (BPC-157), Thymus (Thymosin Alpha-1, Thymalin), Hautabwehr (LL-37), dem Hormon Alpha-MSH (KPV) oder Erythropoietin (ARA-290). „Körpereigen“ klingt harmlos, sagt aber nichts über Nutzen und Sicherheit einer Gabe von außen in hoher Dosis.</w:t>
      </w:r>
    </w:p>
    <w:p>
      <w:pPr>
        <w:pStyle w:val="FirstParagraph"/>
      </w:pPr>
      <w:r>
        <w:t xml:space="preserve">Auffällig ist zudem ein wiederkehrendes Muster: Kleine frühe Studien wirken vielversprechend, größere und sorgfältiger verblindete Studien bestätigen sie nicht. Das zeigt sich bei Thymosin Alpha-1 in der Sepsis, bei Thymosin Beta-4 als Augentropfen, bei LL-37 an Beingeschwüren und bei Larazotid in der Zöliakie.</w:t>
      </w:r>
    </w:p>
    <w:bookmarkEnd w:id="339"/>
    <w:bookmarkStart w:id="340" w:name="die-gruppe-im-überblick"/>
    <w:p>
      <w:pPr>
        <w:pStyle w:val="Heading3"/>
      </w:pPr>
      <w:r>
        <w:t xml:space="preserve">Die Gruppe im 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nein</w:t>
            </w:r>
          </w:p>
        </w:tc>
        <w:tc>
          <w:tcPr/>
          <w:p>
            <w:pPr>
              <w:pStyle w:val="Compact"/>
              <w:jc w:val="left"/>
            </w:pPr>
            <w:r>
              <w:t xml:space="preserve">Hunderte Tierstudien, fast alle aus einer Gruppe; am Menschen drei Mini-Pilotstudien</w:t>
            </w:r>
          </w:p>
        </w:tc>
      </w:tr>
      <w:tr>
        <w:tc>
          <w:tcPr/>
          <w:p>
            <w:pPr>
              <w:pStyle w:val="Compact"/>
              <w:jc w:val="left"/>
            </w:pPr>
            <w:r>
              <w:t xml:space="preserve">TB-500 / Thymosin Beta-4</w:t>
            </w:r>
          </w:p>
        </w:tc>
        <w:tc>
          <w:tcPr/>
          <w:p>
            <w:pPr>
              <w:pStyle w:val="Compact"/>
              <w:jc w:val="left"/>
            </w:pPr>
            <w:r>
              <w:t xml:space="preserve">B (Tβ4) · D (TB-500)</w:t>
            </w:r>
          </w:p>
        </w:tc>
        <w:tc>
          <w:tcPr/>
          <w:p>
            <w:pPr>
              <w:pStyle w:val="Compact"/>
              <w:jc w:val="left"/>
            </w:pPr>
            <w:r>
              <w:t xml:space="preserve">nein</w:t>
            </w:r>
          </w:p>
        </w:tc>
        <w:tc>
          <w:tcPr/>
          <w:p>
            <w:pPr>
              <w:pStyle w:val="Compact"/>
              <w:jc w:val="left"/>
            </w:pPr>
            <w:r>
              <w:t xml:space="preserve">Tβ4 in RCTs geprüft, große Augenstudien ohne klaren Nutzen; TB-500 nie am Menschen</w:t>
            </w:r>
          </w:p>
        </w:tc>
      </w:tr>
      <w:tr>
        <w:tc>
          <w:tcPr/>
          <w:p>
            <w:pPr>
              <w:pStyle w:val="Compact"/>
              <w:jc w:val="left"/>
            </w:pPr>
            <w:r>
              <w:t xml:space="preserve">Thymosin Alpha-1</w:t>
            </w:r>
          </w:p>
        </w:tc>
        <w:tc>
          <w:tcPr/>
          <w:p>
            <w:pPr>
              <w:pStyle w:val="Compact"/>
              <w:jc w:val="left"/>
            </w:pPr>
            <w:r>
              <w:t xml:space="preserve">B</w:t>
            </w:r>
          </w:p>
        </w:tc>
        <w:tc>
          <w:tcPr/>
          <w:p>
            <w:pPr>
              <w:pStyle w:val="Compact"/>
              <w:jc w:val="left"/>
            </w:pPr>
            <w:r>
              <w:t xml:space="preserve">China u. a., nicht EU/USA</w:t>
            </w:r>
          </w:p>
        </w:tc>
        <w:tc>
          <w:tcPr/>
          <w:p>
            <w:pPr>
              <w:pStyle w:val="Compact"/>
              <w:jc w:val="left"/>
            </w:pPr>
            <w:r>
              <w:t xml:space="preserve">viele RCTs; große Sepsis-Studie ohne Unterschied zu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nein</w:t>
            </w:r>
          </w:p>
        </w:tc>
        <w:tc>
          <w:tcPr/>
          <w:p>
            <w:pPr>
              <w:pStyle w:val="Compact"/>
              <w:jc w:val="left"/>
            </w:pPr>
            <w:r>
              <w:t xml:space="preserve">wirksam bei Mäusen mit Kolitis; keine Humanstudie</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nein</w:t>
            </w:r>
          </w:p>
        </w:tc>
        <w:tc>
          <w:tcPr/>
          <w:p>
            <w:pPr>
              <w:pStyle w:val="Compact"/>
              <w:jc w:val="left"/>
            </w:pPr>
            <w:r>
              <w:t xml:space="preserve">körpereigenes Abwehrpeptid; Wundstudie mit 148 Personen ohne Vorteil</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nein</w:t>
            </w:r>
          </w:p>
        </w:tc>
        <w:tc>
          <w:tcPr/>
          <w:p>
            <w:pPr>
              <w:pStyle w:val="Compact"/>
              <w:jc w:val="left"/>
            </w:pPr>
            <w:r>
              <w:t xml:space="preserve">kleine RCTs bei Nervenschäden durch Sarkoidose; seit 2015 keine neuen Studien</w:t>
            </w:r>
          </w:p>
        </w:tc>
      </w:tr>
      <w:tr>
        <w:tc>
          <w:tcPr/>
          <w:p>
            <w:pPr>
              <w:pStyle w:val="Compact"/>
              <w:jc w:val="left"/>
            </w:pPr>
            <w:r>
              <w:t xml:space="preserve">Larazotid</w:t>
            </w:r>
          </w:p>
        </w:tc>
        <w:tc>
          <w:tcPr/>
          <w:p>
            <w:pPr>
              <w:pStyle w:val="Compact"/>
              <w:jc w:val="left"/>
            </w:pPr>
            <w:r>
              <w:t xml:space="preserve">B</w:t>
            </w:r>
          </w:p>
        </w:tc>
        <w:tc>
          <w:tcPr/>
          <w:p>
            <w:pPr>
              <w:pStyle w:val="Compact"/>
              <w:jc w:val="left"/>
            </w:pPr>
            <w:r>
              <w:t xml:space="preserve">nein</w:t>
            </w:r>
          </w:p>
        </w:tc>
        <w:tc>
          <w:tcPr/>
          <w:p>
            <w:pPr>
              <w:pStyle w:val="Compact"/>
              <w:jc w:val="left"/>
            </w:pPr>
            <w:r>
              <w:t xml:space="preserve">Zöliakie-Kandidat; Phase 3 abgebrochen</w:t>
            </w:r>
          </w:p>
        </w:tc>
      </w:tr>
      <w:tr>
        <w:tc>
          <w:tcPr/>
          <w:p>
            <w:pPr>
              <w:pStyle w:val="Compact"/>
              <w:jc w:val="left"/>
            </w:pPr>
            <w:r>
              <w:t xml:space="preserve">Thymalin / Thymogen</w:t>
            </w:r>
          </w:p>
        </w:tc>
        <w:tc>
          <w:tcPr/>
          <w:p>
            <w:pPr>
              <w:pStyle w:val="Compact"/>
              <w:jc w:val="left"/>
            </w:pPr>
            <w:r>
              <w:t xml:space="preserve">C</w:t>
            </w:r>
          </w:p>
        </w:tc>
        <w:tc>
          <w:tcPr/>
          <w:p>
            <w:pPr>
              <w:pStyle w:val="Compact"/>
              <w:jc w:val="left"/>
            </w:pPr>
            <w:r>
              <w:t xml:space="preserve">Russland</w:t>
            </w:r>
          </w:p>
        </w:tc>
        <w:tc>
          <w:tcPr/>
          <w:p>
            <w:pPr>
              <w:pStyle w:val="Compact"/>
              <w:jc w:val="left"/>
            </w:pPr>
            <w:r>
              <w:t xml:space="preserve">fast nur russische Studien einer Schule, kaum randomisiert</w:t>
            </w:r>
          </w:p>
        </w:tc>
      </w:tr>
    </w:tbl>
    <w:p>
      <w:pPr>
        <w:pStyle w:val="BodyText"/>
      </w:pPr>
      <w:r>
        <w:t xml:space="preserve">Evidenzstufen:</w:t>
      </w:r>
      <w:r>
        <w:t xml:space="preserve"> </w:t>
      </w:r>
      <w:r>
        <w:rPr>
          <w:bCs/>
          <w:b/>
        </w:rPr>
        <w:t xml:space="preserve">A</w:t>
      </w:r>
      <w:r>
        <w:t xml:space="preserve"> </w:t>
      </w:r>
      <w:r>
        <w:t xml:space="preserve">mehrere große RCTs oder Zulassung ·</w:t>
      </w:r>
      <w:r>
        <w:t xml:space="preserve"> </w:t>
      </w:r>
      <w:r>
        <w:rPr>
          <w:bCs/>
          <w:b/>
        </w:rPr>
        <w:t xml:space="preserve">B</w:t>
      </w:r>
      <w:r>
        <w:t xml:space="preserve"> </w:t>
      </w:r>
      <w:r>
        <w:t xml:space="preserve">einzelne RCTs ·</w:t>
      </w:r>
      <w:r>
        <w:t xml:space="preserve"> </w:t>
      </w:r>
      <w:r>
        <w:rPr>
          <w:bCs/>
          <w:b/>
        </w:rPr>
        <w:t xml:space="preserve">C</w:t>
      </w:r>
      <w:r>
        <w:t xml:space="preserve"> </w:t>
      </w:r>
      <w:r>
        <w:t xml:space="preserve">nur kleine oder unkontrollierte Humanstudien ·</w:t>
      </w:r>
      <w:r>
        <w:t xml:space="preserve"> </w:t>
      </w:r>
      <w:r>
        <w:rPr>
          <w:bCs/>
          <w:b/>
        </w:rPr>
        <w:t xml:space="preserve">D</w:t>
      </w:r>
      <w:r>
        <w:t xml:space="preserve"> </w:t>
      </w:r>
      <w:r>
        <w:t xml:space="preserve">nur Tier- und Laborstudien. Zulassung bezieht sich auf die Zulassung als Arzneimittel, Stand 2026.</w:t>
      </w:r>
    </w:p>
    <w:p>
      <w:pPr>
        <w:pStyle w:val="BodyText"/>
      </w:pPr>
      <w:r>
        <w:t xml:space="preserve">Kein einziges Peptid dieser Gruppe ist in der EU oder den USA als Arzneimittel zugelassen. Die beiden Wirkstoffe mit Zulassungen außerhalb des Westens – Thymosin Alpha-1 und Thymalin – wurden auf Grundlage von Studien zugelassen, die heutigen Maßstäben nur teilweise standhalten.</w:t>
      </w:r>
    </w:p>
    <w:bookmarkEnd w:id="340"/>
    <w:bookmarkStart w:id="341" w:name="lesehinweis-1"/>
    <w:p>
      <w:pPr>
        <w:pStyle w:val="Heading3"/>
      </w:pPr>
      <w:r>
        <w:t xml:space="preserve">Lesehinweis</w:t>
      </w:r>
    </w:p>
    <w:p>
      <w:pPr>
        <w:pStyle w:val="FirstParagraph"/>
      </w:pPr>
      <w:r>
        <w:t xml:space="preserve">Die Kapitel folgen dem einheitlichen Aufbau dieses Buches. Achten Sie bei dieser Gruppe besonders auf drei Unterscheidungen:</w:t>
      </w:r>
    </w:p>
    <w:p>
      <w:pPr>
        <w:numPr>
          <w:ilvl w:val="0"/>
          <w:numId w:val="1115"/>
        </w:numPr>
        <w:pStyle w:val="Compact"/>
      </w:pPr>
      <w:r>
        <w:rPr>
          <w:bCs/>
          <w:b/>
        </w:rPr>
        <w:t xml:space="preserve">Mensch oder Tier?</w:t>
      </w:r>
      <w:r>
        <w:t xml:space="preserve"> </w:t>
      </w:r>
      <w:r>
        <w:t xml:space="preserve">Bei BPC-157, KPV und TB-500 beruht fast alles, was im Internet behauptet wird, auf Versuchen an Ratten, Mäusen oder Zellkulturen. Die Kapitel kennzeichnen das jeweils ausdrücklich.</w:t>
      </w:r>
    </w:p>
    <w:p>
      <w:pPr>
        <w:numPr>
          <w:ilvl w:val="0"/>
          <w:numId w:val="1115"/>
        </w:numPr>
        <w:pStyle w:val="Compact"/>
      </w:pPr>
      <w:r>
        <w:rPr>
          <w:bCs/>
          <w:b/>
        </w:rPr>
        <w:t xml:space="preserve">Wirkstoff oder Messwert?</w:t>
      </w:r>
      <w:r>
        <w:t xml:space="preserve"> </w:t>
      </w:r>
      <w:r>
        <w:t xml:space="preserve">Bei LL-37 gibt es viele Studien, die den Stoff im Blut</w:t>
      </w:r>
      <w:r>
        <w:t xml:space="preserve"> </w:t>
      </w:r>
      <w:r>
        <w:rPr>
          <w:iCs/>
          <w:i/>
        </w:rPr>
        <w:t xml:space="preserve">messen</w:t>
      </w:r>
      <w:r>
        <w:t xml:space="preserve">, aber nur wenige, die ihn als Medikament</w:t>
      </w:r>
      <w:r>
        <w:t xml:space="preserve"> </w:t>
      </w:r>
      <w:r>
        <w:rPr>
          <w:iCs/>
          <w:i/>
        </w:rPr>
        <w:t xml:space="preserve">geben</w:t>
      </w:r>
      <w:r>
        <w:t xml:space="preserve">. Nur Letztere sagen etwas über eine Behandlung aus.</w:t>
      </w:r>
    </w:p>
    <w:p>
      <w:pPr>
        <w:numPr>
          <w:ilvl w:val="0"/>
          <w:numId w:val="1115"/>
        </w:numPr>
        <w:pStyle w:val="Compact"/>
      </w:pPr>
      <w:r>
        <w:rPr>
          <w:bCs/>
          <w:b/>
        </w:rPr>
        <w:t xml:space="preserve">Original oder Abkömmling?</w:t>
      </w:r>
      <w:r>
        <w:t xml:space="preserve"> </w:t>
      </w:r>
      <w:r>
        <w:t xml:space="preserve">TB-500 ist nicht Thymosin Beta-4, Thymogen nicht Thymalin, und das im Internet verkaufte Produkt ist nicht die in Studien verwendete Arzneiform.</w:t>
      </w:r>
    </w:p>
    <w:p>
      <w:pPr>
        <w:pStyle w:val="FirstParagraph"/>
      </w:pPr>
      <w:r>
        <w:t xml:space="preserve">Zwei Kapitel enthalten Hinweise zu Registereinträgen, deren Echtheit fraglich ist: Ein Sponsor hat bei ClinicalTrials.gov sowohl eine Phase-2-Studie zu BPC-157 als auch eine Studie zu TB-500 eingetragen, von denen sich eine selbst als „fiktives Beispiel“ bezeichnet. Auch ein Registereintrag ist also kein Beweis dafür, dass eine Studie tatsächlich stattfindet.</w:t>
      </w:r>
    </w:p>
    <w:p>
      <w:pPr>
        <w:pStyle w:val="BodyText"/>
      </w:pPr>
      <w:r>
        <w:t xml:space="preserve">Fragen zu Graumarkt-Produkten, Verunreinigungen und dem theoretischen Krebsrisiko durch Wachstums- und Gefäßsignale werden in Kapitel I.5 und in Teil IV ausführlicher und peptidübergreifend behandelt. Für Sportlerinnen und Sportler gilt: BPC-157, TB-500 und ARA-290 sind von der WADA ausdrücklich verboten; bei den übrigen sollten Sie vor jeder Anwendung Ihre nationale Anti-Doping-Agentur fragen.</w:t>
      </w:r>
    </w:p>
    <w:bookmarkEnd w:id="341"/>
    <w:bookmarkStart w:id="359" w:name="bpc-157"/>
    <w:p>
      <w:pPr>
        <w:pStyle w:val="Heading2"/>
      </w:pPr>
      <w:r>
        <w:t xml:space="preserve">BPC-157</w:t>
      </w:r>
    </w:p>
    <w:p>
      <w:pPr>
        <w:pStyle w:val="FirstParagraph"/>
      </w:pPr>
      <w:r>
        <w:t xml:space="preserve">Kaum ein Peptid wird im Internet so häufig gesucht, empfohlen und verkauft wie BPC-157. In Foren und Videos gilt es als Wundermittel für Sehnen, Bänder, Muskeln, Darm und sogar das Gehirn. Wer die Fachliteratur liest, findet tatsächlich weit über zweihundert Veröffentlichungen. Das Bild ändert sich aber, sobald man fragt, wie viele davon Menschen untersucht haben: Es sind nur eine Handvoll – klein, unkontrolliert und aus einer einzigen Privatpraxis. Dieses Kapitel ordnet ein, was belegt ist, was nur bei Ratten gezeigt wurde und wo die Risiken liegen.</w:t>
      </w:r>
    </w:p>
    <w:bookmarkStart w:id="342" w:name="steckbrief-15"/>
    <w:p>
      <w:pPr>
        <w:pStyle w:val="Heading3"/>
      </w:pPr>
      <w:r>
        <w:t xml:space="preserve">Steckbrief</w:t>
      </w:r>
    </w:p>
    <w:p>
      <w:pPr>
        <w:numPr>
          <w:ilvl w:val="0"/>
          <w:numId w:val="1116"/>
        </w:numPr>
        <w:pStyle w:val="Compact"/>
      </w:pPr>
      <w:r>
        <w:rPr>
          <w:bCs/>
          <w:b/>
        </w:rPr>
        <w:t xml:space="preserve">Art und Struktur:</w:t>
      </w:r>
      <w:r>
        <w:t xml:space="preserve"> </w:t>
      </w:r>
      <w:r>
        <w:t xml:space="preserve">synthetisches Peptid aus 15 Aminosäuren (Pentadecapeptid) mit der Sequenz GEPPPGKPADDAGLV (Cox 2017, PMID 28035768).</w:t>
      </w:r>
    </w:p>
    <w:p>
      <w:pPr>
        <w:numPr>
          <w:ilvl w:val="0"/>
          <w:numId w:val="1116"/>
        </w:numPr>
        <w:pStyle w:val="Compact"/>
      </w:pPr>
      <w:r>
        <w:rPr>
          <w:bCs/>
          <w:b/>
        </w:rPr>
        <w:t xml:space="preserve">Herkunft:</w:t>
      </w:r>
      <w:r>
        <w:t xml:space="preserve"> </w:t>
      </w:r>
      <w:r>
        <w:t xml:space="preserve">abgeleitet von einem größeren Protein, das in den 1990er-Jahren aus menschlichem Magensaft beschrieben wurde („Body Protection Compound“, daher BPC). Das verkaufte BPC-157 ist ein Laborprodukt; ob die Sequenz in dieser Form im Körper vorkommt, ist nicht unabhängig gesichert.</w:t>
      </w:r>
    </w:p>
    <w:p>
      <w:pPr>
        <w:numPr>
          <w:ilvl w:val="0"/>
          <w:numId w:val="1116"/>
        </w:numPr>
        <w:pStyle w:val="Compact"/>
      </w:pPr>
      <w:r>
        <w:rPr>
          <w:bCs/>
          <w:b/>
        </w:rPr>
        <w:t xml:space="preserve">Frühere Entwicklungsnamen:</w:t>
      </w:r>
      <w:r>
        <w:t xml:space="preserve"> </w:t>
      </w:r>
      <w:r>
        <w:t xml:space="preserve">PL 14736, PL-10, PLD-116 (Firma Pliva, Kroatien), später „Bepecin“ bzw. PCO-02.</w:t>
      </w:r>
    </w:p>
    <w:p>
      <w:pPr>
        <w:numPr>
          <w:ilvl w:val="0"/>
          <w:numId w:val="1116"/>
        </w:numPr>
        <w:pStyle w:val="Compact"/>
      </w:pPr>
      <w:r>
        <w:rPr>
          <w:bCs/>
          <w:b/>
        </w:rPr>
        <w:t xml:space="preserve">Wirkprinzip (vermutet, aus Tierstudien):</w:t>
      </w:r>
      <w:r>
        <w:t xml:space="preserve"> </w:t>
      </w:r>
      <w:r>
        <w:t xml:space="preserve">Förderung der Gefäßneubildung (Angiogenese) über den VEGF-Rezeptor 2 und das Stickstoffmonoxid-System, Wirkung auf die Wanderung von Bindegewebszellen.</w:t>
      </w:r>
    </w:p>
    <w:p>
      <w:pPr>
        <w:numPr>
          <w:ilvl w:val="0"/>
          <w:numId w:val="1116"/>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 von der FDA 2023 als Wirkstoff mit Sicherheitsbedenken für die Rezepturherstellung eingestuft (Kategorie 2).</w:t>
      </w:r>
    </w:p>
    <w:p>
      <w:pPr>
        <w:numPr>
          <w:ilvl w:val="0"/>
          <w:numId w:val="1116"/>
        </w:numPr>
        <w:pStyle w:val="Compact"/>
      </w:pPr>
      <w:r>
        <w:rPr>
          <w:bCs/>
          <w:b/>
        </w:rPr>
        <w:t xml:space="preserve">WADA:</w:t>
      </w:r>
      <w:r>
        <w:t xml:space="preserve"> </w:t>
      </w:r>
      <w:r>
        <w:t xml:space="preserve">verboten, Gruppe S0 „nicht zugelassene Substanzen“ (ausdrücklich genannt).</w:t>
      </w:r>
    </w:p>
    <w:p>
      <w:pPr>
        <w:numPr>
          <w:ilvl w:val="0"/>
          <w:numId w:val="1116"/>
        </w:numPr>
        <w:pStyle w:val="Compact"/>
      </w:pPr>
      <w:r>
        <w:rPr>
          <w:bCs/>
          <w:b/>
        </w:rPr>
        <w:t xml:space="preserve">Evidenzstufe: C</w:t>
      </w:r>
      <w:r>
        <w:t xml:space="preserve"> </w:t>
      </w:r>
      <w:r>
        <w:t xml:space="preserve">– nur drei sehr kleine, unkontrollierte Untersuchungen am Menschen mit zusammen rund 30 Personen; keine abgeschlossene randomisierte Studie.</w:t>
      </w:r>
    </w:p>
    <w:bookmarkEnd w:id="342"/>
    <w:bookmarkStart w:id="343" w:name="wie-es-wirken-soll-15"/>
    <w:p>
      <w:pPr>
        <w:pStyle w:val="Heading3"/>
      </w:pPr>
      <w:r>
        <w:t xml:space="preserve">Wie es wirken soll</w:t>
      </w:r>
    </w:p>
    <w:p>
      <w:pPr>
        <w:pStyle w:val="FirstParagraph"/>
      </w:pPr>
      <w:r>
        <w:t xml:space="preserve">Die Grundidee stammt aus der Magenforschung. Die Magenschleimhaut ist täglich Säure, Enzymen und Medikamenten wie Schmerzmitteln ausgesetzt und repariert sich dennoch erstaunlich schnell. Forschende in Zagreb vermuteten in den 1990er-Jahren, dass Schutzstoffe im Magensaft diese Fähigkeit vermitteln, und isolierten ein Peptid, das sie „Body Protection Compound“ nannten. BPC-157 ist ein kurzer Ausschnitt daraus.</w:t>
      </w:r>
    </w:p>
    <w:p>
      <w:pPr>
        <w:pStyle w:val="BodyText"/>
      </w:pPr>
      <w:r>
        <w:t xml:space="preserve">Ungewöhnlich ist, dass BPC-157 in Magensaft stabil bleibt. Die meisten Peptide werden dort rasch zerlegt. Daraus leiten Befürworter ab, dass es auch als Tablette wirken könnte – bewiesen ist das am Menschen nicht.</w:t>
      </w:r>
    </w:p>
    <w:p>
      <w:pPr>
        <w:pStyle w:val="BodyText"/>
      </w:pPr>
      <w:r>
        <w:t xml:space="preserve">Für die behauptete Wirkung werden vor allem drei Mechanismen diskutiert, die alle aus Tier- und Zellversuchen stammen:</w:t>
      </w:r>
    </w:p>
    <w:p>
      <w:pPr>
        <w:numPr>
          <w:ilvl w:val="0"/>
          <w:numId w:val="1117"/>
        </w:numPr>
        <w:pStyle w:val="Compact"/>
      </w:pPr>
      <w:r>
        <w:rPr>
          <w:bCs/>
          <w:b/>
        </w:rPr>
        <w:t xml:space="preserve">Gefäßneubildung:</w:t>
      </w:r>
      <w:r>
        <w:t xml:space="preserve"> </w:t>
      </w:r>
      <w:r>
        <w:t xml:space="preserve">In Zellkulturen menschlicher Gefäßinnenhautzellen erhöhte BPC-157 die Menge des VEGF-Rezeptors 2 (eines zentralen Schalters für das Wachstum neuer Blutgefäße) und aktivierte den nachgeschalteten Signalweg Akt-eNOS; bei Ratten mit abgebundener Beinarterie kehrte die Durchblutung schneller zurück (Hsieh 2017, PMID 27847966). Eine Arbeit aus China beschrieb 2026 in Zellversuchen einen weiteren Weg über die Proteine FBXO22 und BACH1 (Zhang 2026, PMID 41606641).</w:t>
      </w:r>
    </w:p>
    <w:p>
      <w:pPr>
        <w:numPr>
          <w:ilvl w:val="0"/>
          <w:numId w:val="1117"/>
        </w:numPr>
        <w:pStyle w:val="Compact"/>
      </w:pPr>
      <w:r>
        <w:rPr>
          <w:bCs/>
          <w:b/>
        </w:rPr>
        <w:t xml:space="preserve">Zellwanderung und Überleben:</w:t>
      </w:r>
      <w:r>
        <w:t xml:space="preserve"> </w:t>
      </w:r>
      <w:r>
        <w:t xml:space="preserve">In Kulturen von Sehnenzellen der Ratte beschleunigte BPC-157 das Auswachsen der Zellen aus Sehnenstückchen, verbesserte ihr Überleben unter oxidativem Stress und förderte ihre Wanderung; die Zellteilung selbst wurde nicht direkt gesteigert (Chang 2011, PMID 21030672).</w:t>
      </w:r>
    </w:p>
    <w:p>
      <w:pPr>
        <w:numPr>
          <w:ilvl w:val="0"/>
          <w:numId w:val="1117"/>
        </w:numPr>
        <w:pStyle w:val="Compact"/>
      </w:pPr>
      <w:r>
        <w:rPr>
          <w:bCs/>
          <w:b/>
        </w:rPr>
        <w:t xml:space="preserve">Empfindlichkeit für Wachstumshormon:</w:t>
      </w:r>
      <w:r>
        <w:t xml:space="preserve"> </w:t>
      </w:r>
      <w:r>
        <w:t xml:space="preserve">In denselben Rattensehnenzellen erhöhte BPC-157 die Zahl der Wachstumshormon-Rezeptoren (Chang 2014, PMID 25415472).</w:t>
      </w:r>
    </w:p>
    <w:p>
      <w:pPr>
        <w:pStyle w:val="FirstParagraph"/>
      </w:pPr>
      <w:r>
        <w:t xml:space="preserve">Hinzu kommt eine Vielzahl weiterer Effekte auf Stickstoffmonoxid, Blutgerinnung und Nervenbotenstoffe, die vor allem in Übersichtsarbeiten der Zagreber Gruppe beschrieben werden (Sikiric 2025, PMID 40573323). Einen eindeutigen Rezeptor, an dem BPC-157 andockt, kennt man bis heute nicht.</w:t>
      </w:r>
    </w:p>
    <w:p>
      <w:pPr>
        <w:pStyle w:val="BodyText"/>
      </w:pPr>
      <w:r>
        <w:t xml:space="preserve">Auffällig ist ein Widerspruch, auf den eine pharmazeutische Übersicht hinweist: Im Tier hat BPC-157 eine Halbwertszeit von unter 30 Minuten, die beschriebenen Wirkungen sollen aber Stunden bis Tage anhalten (Mateescu 2026, PMID 42198317). Wie das zusammenpasst, ist ungeklärt.</w:t>
      </w:r>
    </w:p>
    <w:bookmarkEnd w:id="343"/>
    <w:bookmarkStart w:id="346" w:name="studien-am-menschen-15"/>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 in PubMed</w:t>
      </w:r>
      <w:r>
        <w:t xml:space="preserve"> </w:t>
      </w:r>
      <w:r>
        <w:rPr>
          <w:bCs/>
          <w:b/>
        </w:rPr>
        <w:t xml:space="preserve">keine</w:t>
      </w:r>
      <w:r>
        <w:t xml:space="preserve"> </w:t>
      </w:r>
      <w:r>
        <w:t xml:space="preserve">Studie, die die Filterkriterien für eine Humanstudie erfüllt (</w:t>
      </w:r>
      <w:r>
        <w:rPr>
          <w:rStyle w:val="VerbatimChar"/>
        </w:rPr>
        <w:t xml:space="preserve">humanstudien_alle</w:t>
      </w:r>
      <w:r>
        <w:t xml:space="preserve">: 0), und</w:t>
      </w:r>
      <w:r>
        <w:t xml:space="preserve"> </w:t>
      </w:r>
      <w:r>
        <w:rPr>
          <w:bCs/>
          <w:b/>
        </w:rPr>
        <w:t xml:space="preserve">4</w:t>
      </w:r>
      <w:r>
        <w:t xml:space="preserve"> </w:t>
      </w:r>
      <w:r>
        <w:t xml:space="preserve">Einträge im Studienregister ClinicalTrials.gov. Insgesamt verzeichnet PubMed für BPC-157 rund 230 Veröffentlichungen – fast ausschließlich Tierversuche, Laborarbeiten und Übersichtsartikel.</w:t>
      </w:r>
    </w:p>
    <w:p>
      <w:pPr>
        <w:pStyle w:val="BodyText"/>
      </w:pPr>
      <w:r>
        <w:t xml:space="preserve">Eine gezielte Nachsuche ergab drei kleine Untersuchungen am Menschen. Alle drei stammen von derselben Ärztin aus einer Privatpraxis in Florida und erschienen in einer Zeitschrift für Alternativmedizin. Eine im Jahr 2026 veröffentlichte systematische Übersichtsarbeit hat genau diese drei Arbeiten mit zusammen 30 Personen gefunden (Poolton 2026, PMID 42885452).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Kniegelenk (Lee 2021), PMID 34324435</w:t>
            </w:r>
          </w:p>
        </w:tc>
        <w:tc>
          <w:tcPr/>
          <w:p>
            <w:pPr>
              <w:pStyle w:val="Compact"/>
              <w:jc w:val="left"/>
            </w:pPr>
            <w:r>
              <w:t xml:space="preserve">16 Personen mit Knieschmerz verschiedener Ursache, rückblickende Aktenauswertung mit Telefonbefragung, keine Kontrollgruppe</w:t>
            </w:r>
          </w:p>
        </w:tc>
        <w:tc>
          <w:tcPr/>
          <w:p>
            <w:pPr>
              <w:pStyle w:val="Compact"/>
              <w:jc w:val="left"/>
            </w:pPr>
            <w:r>
              <w:t xml:space="preserve">Rückblick 6–12 Monate</w:t>
            </w:r>
          </w:p>
        </w:tc>
        <w:tc>
          <w:tcPr/>
          <w:p>
            <w:pPr>
              <w:pStyle w:val="Compact"/>
              <w:jc w:val="left"/>
            </w:pPr>
            <w:r>
              <w:t xml:space="preserve">14 von 16 berichteten Schmerzlinderung; 12 erhielten nur BPC-157, 4 zusätzlich Thymosin Beta-4</w:t>
            </w:r>
          </w:p>
        </w:tc>
      </w:tr>
      <w:tr>
        <w:tc>
          <w:tcPr/>
          <w:p>
            <w:pPr>
              <w:pStyle w:val="Compact"/>
              <w:jc w:val="left"/>
            </w:pPr>
            <w:r>
              <w:t xml:space="preserve">Interstitielle Zystitis (Lee 2024), PMID 39325560</w:t>
            </w:r>
          </w:p>
        </w:tc>
        <w:tc>
          <w:tcPr/>
          <w:p>
            <w:pPr>
              <w:pStyle w:val="Compact"/>
              <w:jc w:val="left"/>
            </w:pPr>
            <w:r>
              <w:t xml:space="preserve">12 Frauen mit chronischer Blasenschmerzerkrankung, eine Injektion in die Blasenwand bei Blasenspiegelung, keine Kontrollgruppe</w:t>
            </w:r>
          </w:p>
        </w:tc>
        <w:tc>
          <w:tcPr/>
          <w:p>
            <w:pPr>
              <w:pStyle w:val="Compact"/>
              <w:jc w:val="left"/>
            </w:pPr>
            <w:r>
              <w:t xml:space="preserve">eine Behandlung</w:t>
            </w:r>
          </w:p>
        </w:tc>
        <w:tc>
          <w:tcPr/>
          <w:p>
            <w:pPr>
              <w:pStyle w:val="Compact"/>
              <w:jc w:val="left"/>
            </w:pPr>
            <w:r>
              <w:t xml:space="preserve">10 von 12 gaben vollständige, 2 überwiegende Besserung an; keine Nebenwirkungen berichtet</w:t>
            </w:r>
          </w:p>
        </w:tc>
      </w:tr>
      <w:tr>
        <w:tc>
          <w:tcPr/>
          <w:p>
            <w:pPr>
              <w:pStyle w:val="Compact"/>
              <w:jc w:val="left"/>
            </w:pPr>
            <w:r>
              <w:t xml:space="preserve">Infusion in die Vene (Lee 2025), PMID 40131143</w:t>
            </w:r>
          </w:p>
        </w:tc>
        <w:tc>
          <w:tcPr/>
          <w:p>
            <w:pPr>
              <w:pStyle w:val="Compact"/>
              <w:jc w:val="left"/>
            </w:pPr>
            <w:r>
              <w:t xml:space="preserve">2 Personen, Sicherheitsprüfung an zwei Tagen</w:t>
            </w:r>
          </w:p>
        </w:tc>
        <w:tc>
          <w:tcPr/>
          <w:p>
            <w:pPr>
              <w:pStyle w:val="Compact"/>
              <w:jc w:val="left"/>
            </w:pPr>
            <w:r>
              <w:t xml:space="preserve">3 Tage</w:t>
            </w:r>
          </w:p>
        </w:tc>
        <w:tc>
          <w:tcPr/>
          <w:p>
            <w:pPr>
              <w:pStyle w:val="Compact"/>
              <w:jc w:val="left"/>
            </w:pPr>
            <w:r>
              <w:t xml:space="preserve">keine messbaren Veränderungen der untersuchten Blutwerte, keine Beschwerden</w:t>
            </w:r>
          </w:p>
        </w:tc>
      </w:tr>
    </w:tbl>
    <w:bookmarkStart w:id="344" w:name="wie-aussagekräftig-sind-diese-daten"/>
    <w:p>
      <w:pPr>
        <w:pStyle w:val="Heading4"/>
      </w:pPr>
      <w:r>
        <w:t xml:space="preserve">Wie aussagekräftig sind diese Daten?</w:t>
      </w:r>
    </w:p>
    <w:p>
      <w:pPr>
        <w:pStyle w:val="FirstParagraph"/>
      </w:pPr>
      <w:r>
        <w:t xml:space="preserve">Kaum. Die Knie-Untersuchung war keine geplante Studie, sondern eine nachträgliche Telefonumfrage unter Patientinnen und Patienten, die die Behandlung bereits bezahlt hatten. Es gab keine Vergleichsgruppe, keine Verblindung, keine Messinstrumente für Funktion oder Lebensqualität und keine Bildgebung. Die Ursachen des Knieschmerzes reichten von Arthrose bis zu Meniskusrissen. Laut Abstract wurden keine standardisierten Fragebögen zur Funktion verwendet (Lee 2021, PMID 34324435).</w:t>
      </w:r>
    </w:p>
    <w:p>
      <w:pPr>
        <w:pStyle w:val="BodyText"/>
      </w:pPr>
      <w:r>
        <w:t xml:space="preserve">Die Zystitis-Arbeit erfasste das Ergebnis mit einem einzigen globalen Fragebogen. Dass alle zwölf Frauen die bestmögliche Bewertung abgaben, ist für eine chronische, oft schwer behandelbare Erkrankung ungewöhnlich und ohne Kontrollgruppe nicht von einem Placeboeffekt oder dem natürlichen Schwanken der Beschwerden zu unterscheiden. Bemerkenswert ist zudem, dass das verwendete BPC-157 aus einer US-Rezepturapotheke stammte (Lee 2024, PMID 39325560).</w:t>
      </w:r>
    </w:p>
    <w:p>
      <w:pPr>
        <w:pStyle w:val="BodyText"/>
      </w:pPr>
      <w:r>
        <w:t xml:space="preserve">Die Infusionsstudie umfasste zwei Personen, die BPC-157 schon vorher erhalten hatten. Aus zwei Personen lässt sich keine Aussage über Sicherheit ableiten – seltene oder verzögerte Nebenwirkungen bleiben so unsichtbar (Lee 2025, PMID 40131143).</w:t>
      </w:r>
    </w:p>
    <w:p>
      <w:pPr>
        <w:pStyle w:val="BodyText"/>
      </w:pPr>
      <w:r>
        <w:t xml:space="preserve">Die systematische Übersicht bewertete die methodische Qualität aller drei Arbeiten als schlecht und die Vertrauenswürdigkeit der Evidenz nach dem GRADE-System als „sehr niedrig“. Ihr Fazit: BPC-157 sollte außerhalb ethisch genehmigter, hochwertiger klinischer Studien nicht am Menschen eingesetzt werden (Poolton 2026, PMID 42885452). Eine weitere systematische Übersicht aus der Sportorthopädie, die bis Juni 2024 suchte, fand unter 36 eingeschlossenen Arbeiten nur eine einzige klinische Studie (Vasireddi 2025, PMID 40756949). Mehrere aktuelle Übersichten aus Orthopädie und Sportmedizin kommen zum selben Schluss: Ein routinemäßiger Einsatz lässt sich derzeit nicht empfehlen (Tham 2026, PMID 42937313; Tewari 2026, PMID 42578445).</w:t>
      </w:r>
    </w:p>
    <w:bookmarkEnd w:id="344"/>
    <w:bookmarkStart w:id="345" w:name="was-aus-früheren-firmenstudien-wurde"/>
    <w:p>
      <w:pPr>
        <w:pStyle w:val="Heading4"/>
      </w:pPr>
      <w:r>
        <w:t xml:space="preserve">Was aus früheren Firmenstudien wurde</w:t>
      </w:r>
    </w:p>
    <w:p>
      <w:pPr>
        <w:pStyle w:val="FirstParagraph"/>
      </w:pPr>
      <w:r>
        <w:t xml:space="preserve">In den 2000er-Jahren entwickelte das kroatische Pharmaunternehmen Pliva BPC-157 unter dem Code PL 14736 für chronisch-entzündliche Darmerkrankungen. Tierstudien jener Zeit vermerken, dass der Stoff „derzeit in klinischen Studien“ geprüft werde (Staresinic 2003, PMID 14554208). Eine Übersichtsarbeit der Zagreber Gruppe erwähnt Studien bei Colitis ulcerosa und Multipler Sklerose (Seiwerth 2021, PMID 34267654). Vollständige Ergebnisse dieser Studien sind in PubMed nicht als Originalarbeit auffindbar. 2015 wurde zudem eine Phase-1-Studie mit Tabletten („Bepecin“, PCO-02) an 42 gesunden Freiwilligen registriert (NCT02637284); ihr Status ist seit Jahren „unbekannt“, Ergebnisse wurden nicht veröffentlicht.</w:t>
      </w:r>
    </w:p>
    <w:p>
      <w:pPr>
        <w:pStyle w:val="BodyText"/>
      </w:pPr>
      <w:r>
        <w:t xml:space="preserve">Für Leserinnen und Leser heißt das: Wenn Webseiten behaupten, BPC-157 sei „in klinischen Studien sicher“ gewesen, beziehen sie sich auf Studien, deren Daten niemand unabhängig prüfen kann.</w:t>
      </w:r>
    </w:p>
    <w:bookmarkEnd w:id="345"/>
    <w:bookmarkEnd w:id="346"/>
    <w:bookmarkStart w:id="350" w:name="tier--und-laborstudien-15"/>
    <w:p>
      <w:pPr>
        <w:pStyle w:val="Heading3"/>
      </w:pPr>
      <w:r>
        <w:t xml:space="preserve">Tier- und Laborstudien</w:t>
      </w:r>
    </w:p>
    <w:p>
      <w:pPr>
        <w:pStyle w:val="FirstParagraph"/>
      </w:pPr>
      <w:r>
        <w:t xml:space="preserve">Die Präklinik ist der Grund, warum BPC-157 so bekannt wurde. Sie ist umfangreich, aber in ihrer Herkunft ungewöhnlich einseitig.</w:t>
      </w:r>
    </w:p>
    <w:bookmarkStart w:id="347" w:name="eine-forschungsgruppe-dominiert"/>
    <w:p>
      <w:pPr>
        <w:pStyle w:val="Heading4"/>
      </w:pPr>
      <w:r>
        <w:t xml:space="preserve">Eine Forschungsgruppe dominiert</w:t>
      </w:r>
    </w:p>
    <w:p>
      <w:pPr>
        <w:pStyle w:val="FirstParagraph"/>
      </w:pPr>
      <w:r>
        <w:t xml:space="preserve">Von den rund 230 Treffern in PubMed (Abfrage Oktober 2026) nennen etwa 175 den Zagreber Pharmakologen Predrag Sikirić als Autor – also rund drei Viertel. Eine Übersicht zur Sehnen- und Muskelheilung hielt fest, dass in zwei Jahrzehnten nur eine Handvoll Forschungsgruppen BPC-157 eingehend untersucht hat (Gwyer 2019, PMID 30915550). Das ist für die Bewertung wichtig: Wissenschaftliche Ergebnisse gelten erst dann als belastbar, wenn unabhängige Gruppen sie wiederholen. Eine kritische Übersicht zu Durchblutungsstörungen bei Nagetieren aus dem Jahr 2026 bemängelt kurze Beobachtungszeiten, Einzeldosis-Versuche, unvollständig beschriebene Verzerrungsrisiken und fordert unabhängige, verblindete Wiederholungen (Demirtaş 2026, PMID 42794771). Eine kurze Stellungnahme in der Zeitschrift Inflammopharmacology setzte sich 2025 eigens mit einer langen Übersichtsarbeit dieser Gruppe auseinander (Whitehouse 2025, PMID 40759852).</w:t>
      </w:r>
    </w:p>
    <w:p>
      <w:pPr>
        <w:pStyle w:val="BodyText"/>
      </w:pPr>
      <w:r>
        <w:t xml:space="preserve">Unabhängige Arbeiten gibt es durchaus – vor allem aus Taiwan (Sehnenzellen, Gefäße), Südkorea und China –, sie sind aber deutlich seltener und überwiegend Labor- oder Zellversuche.</w:t>
      </w:r>
    </w:p>
    <w:bookmarkEnd w:id="347"/>
    <w:bookmarkStart w:id="348" w:name="überblick-nach-organsystem"/>
    <w:p>
      <w:pPr>
        <w:pStyle w:val="Heading4"/>
      </w:pPr>
      <w:r>
        <w:t xml:space="preserve">Überblick nach Organsystem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Bereich</w:t>
            </w:r>
          </w:p>
        </w:tc>
        <w:tc>
          <w:tcPr/>
          <w:p>
            <w:pPr>
              <w:pStyle w:val="Compact"/>
              <w:jc w:val="left"/>
            </w:pPr>
            <w:r>
              <w:t xml:space="preserve">Typisches Modell</w:t>
            </w:r>
          </w:p>
        </w:tc>
        <w:tc>
          <w:tcPr/>
          <w:p>
            <w:pPr>
              <w:pStyle w:val="Compact"/>
              <w:jc w:val="left"/>
            </w:pPr>
            <w:r>
              <w:t xml:space="preserve">Berichtetes Ergebnis</w:t>
            </w:r>
          </w:p>
        </w:tc>
        <w:tc>
          <w:tcPr/>
          <w:p>
            <w:pPr>
              <w:pStyle w:val="Compact"/>
              <w:jc w:val="left"/>
            </w:pPr>
            <w:r>
              <w:t xml:space="preserve">Beispiel</w:t>
            </w:r>
          </w:p>
        </w:tc>
      </w:tr>
      <w:tr>
        <w:tc>
          <w:tcPr/>
          <w:p>
            <w:pPr>
              <w:pStyle w:val="Compact"/>
              <w:jc w:val="left"/>
            </w:pPr>
            <w:r>
              <w:t xml:space="preserve">Sehne</w:t>
            </w:r>
          </w:p>
        </w:tc>
        <w:tc>
          <w:tcPr/>
          <w:p>
            <w:pPr>
              <w:pStyle w:val="Compact"/>
              <w:jc w:val="left"/>
            </w:pPr>
            <w:r>
              <w:t xml:space="preserve">durchtrennte Achillessehne bei Ratten</w:t>
            </w:r>
          </w:p>
        </w:tc>
        <w:tc>
          <w:tcPr/>
          <w:p>
            <w:pPr>
              <w:pStyle w:val="Compact"/>
              <w:jc w:val="left"/>
            </w:pPr>
            <w:r>
              <w:t xml:space="preserve">bessere Belastbarkeit, Funktion und Gewebestruktur</w:t>
            </w:r>
          </w:p>
        </w:tc>
        <w:tc>
          <w:tcPr/>
          <w:p>
            <w:pPr>
              <w:pStyle w:val="Compact"/>
              <w:jc w:val="left"/>
            </w:pPr>
            <w:r>
              <w:t xml:space="preserve">Staresinic 2003, PMID 14554208</w:t>
            </w:r>
          </w:p>
        </w:tc>
      </w:tr>
      <w:tr>
        <w:tc>
          <w:tcPr/>
          <w:p>
            <w:pPr>
              <w:pStyle w:val="Compact"/>
              <w:jc w:val="left"/>
            </w:pPr>
            <w:r>
              <w:t xml:space="preserve">Band</w:t>
            </w:r>
          </w:p>
        </w:tc>
        <w:tc>
          <w:tcPr/>
          <w:p>
            <w:pPr>
              <w:pStyle w:val="Compact"/>
              <w:jc w:val="left"/>
            </w:pPr>
            <w:r>
              <w:t xml:space="preserve">verletztes Kniebinnenband bei Ratten</w:t>
            </w:r>
          </w:p>
        </w:tc>
        <w:tc>
          <w:tcPr/>
          <w:p>
            <w:pPr>
              <w:pStyle w:val="Compact"/>
              <w:jc w:val="left"/>
            </w:pPr>
            <w:r>
              <w:t xml:space="preserve">bessere Heilung</w:t>
            </w:r>
          </w:p>
        </w:tc>
        <w:tc>
          <w:tcPr/>
          <w:p>
            <w:pPr>
              <w:pStyle w:val="Compact"/>
              <w:jc w:val="left"/>
            </w:pPr>
            <w:r>
              <w:t xml:space="preserve">Cerovecki 2010, PMID 20225319</w:t>
            </w:r>
          </w:p>
        </w:tc>
      </w:tr>
      <w:tr>
        <w:tc>
          <w:tcPr/>
          <w:p>
            <w:pPr>
              <w:pStyle w:val="Compact"/>
              <w:jc w:val="left"/>
            </w:pPr>
            <w:r>
              <w:t xml:space="preserve">Muskel</w:t>
            </w:r>
          </w:p>
        </w:tc>
        <w:tc>
          <w:tcPr/>
          <w:p>
            <w:pPr>
              <w:pStyle w:val="Compact"/>
              <w:jc w:val="left"/>
            </w:pPr>
            <w:r>
              <w:t xml:space="preserve">durchtrennter Oberschenkelmuskel bei Ratten</w:t>
            </w:r>
          </w:p>
        </w:tc>
        <w:tc>
          <w:tcPr/>
          <w:p>
            <w:pPr>
              <w:pStyle w:val="Compact"/>
              <w:jc w:val="left"/>
            </w:pPr>
            <w:r>
              <w:t xml:space="preserve">bessere Funktion</w:t>
            </w:r>
          </w:p>
        </w:tc>
        <w:tc>
          <w:tcPr/>
          <w:p>
            <w:pPr>
              <w:pStyle w:val="Compact"/>
              <w:jc w:val="left"/>
            </w:pPr>
            <w:r>
              <w:t xml:space="preserve">Staresinic 2006, PMID 16609979</w:t>
            </w:r>
          </w:p>
        </w:tc>
      </w:tr>
      <w:tr>
        <w:tc>
          <w:tcPr/>
          <w:p>
            <w:pPr>
              <w:pStyle w:val="Compact"/>
              <w:jc w:val="left"/>
            </w:pPr>
            <w:r>
              <w:t xml:space="preserve">Knochen</w:t>
            </w:r>
          </w:p>
        </w:tc>
        <w:tc>
          <w:tcPr/>
          <w:p>
            <w:pPr>
              <w:pStyle w:val="Compact"/>
              <w:jc w:val="left"/>
            </w:pPr>
            <w:r>
              <w:t xml:space="preserve">Knochendefekt bei Kaninchen</w:t>
            </w:r>
          </w:p>
        </w:tc>
        <w:tc>
          <w:tcPr/>
          <w:p>
            <w:pPr>
              <w:pStyle w:val="Compact"/>
              <w:jc w:val="left"/>
            </w:pPr>
            <w:r>
              <w:t xml:space="preserve">deutlich bessere Defektheilung im Röntgenbild und Gewebe</w:t>
            </w:r>
          </w:p>
        </w:tc>
        <w:tc>
          <w:tcPr/>
          <w:p>
            <w:pPr>
              <w:pStyle w:val="Compact"/>
              <w:jc w:val="left"/>
            </w:pPr>
            <w:r>
              <w:t xml:space="preserve">Sebecić 1999, PMID 10071911</w:t>
            </w:r>
          </w:p>
        </w:tc>
      </w:tr>
      <w:tr>
        <w:tc>
          <w:tcPr/>
          <w:p>
            <w:pPr>
              <w:pStyle w:val="Compact"/>
              <w:jc w:val="left"/>
            </w:pPr>
            <w:r>
              <w:t xml:space="preserve">Haut</w:t>
            </w:r>
          </w:p>
        </w:tc>
        <w:tc>
          <w:tcPr/>
          <w:p>
            <w:pPr>
              <w:pStyle w:val="Compact"/>
              <w:jc w:val="left"/>
            </w:pPr>
            <w:r>
              <w:t xml:space="preserve">Schnitt-, Brand- und diabetische Wunden bei Ratten</w:t>
            </w:r>
          </w:p>
        </w:tc>
        <w:tc>
          <w:tcPr/>
          <w:p>
            <w:pPr>
              <w:pStyle w:val="Compact"/>
              <w:jc w:val="left"/>
            </w:pPr>
            <w:r>
              <w:t xml:space="preserve">schnellere Wundheilung</w:t>
            </w:r>
          </w:p>
        </w:tc>
        <w:tc>
          <w:tcPr/>
          <w:p>
            <w:pPr>
              <w:pStyle w:val="Compact"/>
              <w:jc w:val="left"/>
            </w:pPr>
            <w:r>
              <w:t xml:space="preserve">Seiwerth 2021, PMID 34267654</w:t>
            </w:r>
          </w:p>
        </w:tc>
      </w:tr>
      <w:tr>
        <w:tc>
          <w:tcPr/>
          <w:p>
            <w:pPr>
              <w:pStyle w:val="Compact"/>
              <w:jc w:val="left"/>
            </w:pPr>
            <w:r>
              <w:t xml:space="preserve">Darm</w:t>
            </w:r>
          </w:p>
        </w:tc>
        <w:tc>
          <w:tcPr/>
          <w:p>
            <w:pPr>
              <w:pStyle w:val="Compact"/>
              <w:jc w:val="left"/>
            </w:pPr>
            <w:r>
              <w:t xml:space="preserve">Fisteln, Kolitis, Anastomosen bei Ratten</w:t>
            </w:r>
          </w:p>
        </w:tc>
        <w:tc>
          <w:tcPr/>
          <w:p>
            <w:pPr>
              <w:pStyle w:val="Compact"/>
              <w:jc w:val="left"/>
            </w:pPr>
            <w:r>
              <w:t xml:space="preserve">Heilung der Fisteln und Nähte</w:t>
            </w:r>
          </w:p>
        </w:tc>
        <w:tc>
          <w:tcPr/>
          <w:p>
            <w:pPr>
              <w:pStyle w:val="Compact"/>
              <w:jc w:val="left"/>
            </w:pPr>
            <w:r>
              <w:t xml:space="preserve">Sikiric 2020, PMID 32329684</w:t>
            </w:r>
          </w:p>
        </w:tc>
      </w:tr>
      <w:tr>
        <w:tc>
          <w:tcPr/>
          <w:p>
            <w:pPr>
              <w:pStyle w:val="Compact"/>
              <w:jc w:val="left"/>
            </w:pPr>
            <w:r>
              <w:t xml:space="preserve">Magen</w:t>
            </w:r>
          </w:p>
        </w:tc>
        <w:tc>
          <w:tcPr/>
          <w:p>
            <w:pPr>
              <w:pStyle w:val="Compact"/>
              <w:jc w:val="left"/>
            </w:pPr>
            <w:r>
              <w:t xml:space="preserve">Schäden durch Schmerzmittel und Alkohol</w:t>
            </w:r>
          </w:p>
        </w:tc>
        <w:tc>
          <w:tcPr/>
          <w:p>
            <w:pPr>
              <w:pStyle w:val="Compact"/>
              <w:jc w:val="left"/>
            </w:pPr>
            <w:r>
              <w:t xml:space="preserve">Schutz der Schleimhaut</w:t>
            </w:r>
          </w:p>
        </w:tc>
        <w:tc>
          <w:tcPr/>
          <w:p>
            <w:pPr>
              <w:pStyle w:val="Compact"/>
              <w:jc w:val="left"/>
            </w:pPr>
            <w:r>
              <w:t xml:space="preserve">Ilic 2011, PMID 21295044</w:t>
            </w:r>
          </w:p>
        </w:tc>
      </w:tr>
      <w:tr>
        <w:tc>
          <w:tcPr/>
          <w:p>
            <w:pPr>
              <w:pStyle w:val="Compact"/>
              <w:jc w:val="left"/>
            </w:pPr>
            <w:r>
              <w:t xml:space="preserve">Gefäße</w:t>
            </w:r>
          </w:p>
        </w:tc>
        <w:tc>
          <w:tcPr/>
          <w:p>
            <w:pPr>
              <w:pStyle w:val="Compact"/>
              <w:jc w:val="left"/>
            </w:pPr>
            <w:r>
              <w:t xml:space="preserve">abgebundene Arterien und Venen</w:t>
            </w:r>
          </w:p>
        </w:tc>
        <w:tc>
          <w:tcPr/>
          <w:p>
            <w:pPr>
              <w:pStyle w:val="Compact"/>
              <w:jc w:val="left"/>
            </w:pPr>
            <w:r>
              <w:t xml:space="preserve">Umgehungskreisläufe, bessere Durchblutung</w:t>
            </w:r>
          </w:p>
        </w:tc>
        <w:tc>
          <w:tcPr/>
          <w:p>
            <w:pPr>
              <w:pStyle w:val="Compact"/>
              <w:jc w:val="left"/>
            </w:pPr>
            <w:r>
              <w:t xml:space="preserve">Sikiric 2022, PMID 35125818</w:t>
            </w:r>
          </w:p>
        </w:tc>
      </w:tr>
    </w:tbl>
    <w:p>
      <w:pPr>
        <w:pStyle w:val="BodyText"/>
      </w:pPr>
      <w:r>
        <w:t xml:space="preserve">Hinzu kommen Arbeiten zu Gehirn, Auge, Herz, Blase, Vergiftungen und Stoffwechselentgleisungen – bei Ratten und Mäusen. Diese enorme Bandbreite wird von Befürwortern als Stärke gelesen. Aus methodischer Sicht ist sie eher ein Warnsignal: Ein Stoff, der in nahezu jedem getesteten Modell nahezu jede Störung bessert, verlangt besonders sorgfältige, unabhängige Überprüfung.</w:t>
      </w:r>
    </w:p>
    <w:bookmarkEnd w:id="348"/>
    <w:bookmarkStart w:id="349" w:name="pharmakokinetik-und-toxikologie"/>
    <w:p>
      <w:pPr>
        <w:pStyle w:val="Heading4"/>
      </w:pPr>
      <w:r>
        <w:t xml:space="preserve">Pharmakokinetik und Toxikologie</w:t>
      </w:r>
    </w:p>
    <w:p>
      <w:pPr>
        <w:pStyle w:val="FirstParagraph"/>
      </w:pPr>
      <w:r>
        <w:t xml:space="preserve">Eine chinesische Arbeitsgruppe untersuchte BPC-157 nach den üblichen Regeln der Arzneimittelentwicklung. Bei Ratten und Beagle-Hunden lag die Halbwertszeit des unveränderten Peptids unter 30 Minuten; nach Injektion in den Muskel gelangten bei Ratten etwa 14 bis 19 Prozent, bei Hunden 45 bis 51 Prozent in den Blutkreislauf. BPC-157 wurde rasch in kleine Bruchstücke und Aminosäuren zerlegt und über Urin und Galle ausgeschieden (He 2022, PMID 36588717). In Toxizitätsprüfungen an Mäusen, Ratten, Kaninchen und Hunden fanden dieselben Forschenden keine schweren Schäden, keine Erbgutschädigung und keine Schädigung von Embryonen; bei Hunden sank unter der höchsten Dosis der Kreatininwert vorübergehend (Xu 2020, PMID 32334036). Solche Tierdaten sind eine Voraussetzung für Studien am Menschen, ersetzen sie aber nicht.</w:t>
      </w:r>
    </w:p>
    <w:bookmarkEnd w:id="349"/>
    <w:bookmarkEnd w:id="350"/>
    <w:bookmarkStart w:id="355" w:name="risiken-und-nebenwirkungen-15"/>
    <w:p>
      <w:pPr>
        <w:pStyle w:val="Heading3"/>
      </w:pPr>
      <w:r>
        <w:t xml:space="preserve">Risiken und Nebenwirkungen</w:t>
      </w:r>
    </w:p>
    <w:bookmarkStart w:id="351" w:name="belegt"/>
    <w:p>
      <w:pPr>
        <w:pStyle w:val="Heading4"/>
      </w:pPr>
      <w:r>
        <w:t xml:space="preserve">Belegt</w:t>
      </w:r>
    </w:p>
    <w:p>
      <w:pPr>
        <w:pStyle w:val="FirstParagraph"/>
      </w:pPr>
      <w:r>
        <w:t xml:space="preserve">Belegte Nebenwirkungen beim Menschen gibt es praktisch nicht – aber nicht, weil BPC-157 nachweislich sicher wäre, sondern weil kaum jemand systematisch danach gesucht hat. Die drei Pilotuntersuchungen mit zusammen rund 30 Personen berichteten keine Nebenwirkungen (Poolton 2026, PMID 42885452). Mit 30 Personen lassen sich nur häufige, unmittelbar auftretende Probleme erkennen. Eine Nebenwirkung, die eine von tausend Personen betrifft, bliebe unsichtbar.</w:t>
      </w:r>
    </w:p>
    <w:bookmarkEnd w:id="351"/>
    <w:bookmarkStart w:id="352" w:name="Xaacd9de8633bde2e705cbe616a66f7383536040"/>
    <w:p>
      <w:pPr>
        <w:pStyle w:val="Heading4"/>
      </w:pPr>
      <w:r>
        <w:t xml:space="preserve">Theoretisch: Gefäßneubildung und Tumorwachstum</w:t>
      </w:r>
    </w:p>
    <w:p>
      <w:pPr>
        <w:pStyle w:val="FirstParagraph"/>
      </w:pPr>
      <w:r>
        <w:t xml:space="preserve">Das am häufigsten diskutierte theoretische Risiko folgt direkt aus dem vermuteten Wirkmechanismus. Wenn BPC-157 die Bildung neuer Blutgefäße fördert, könnte es – so die Sorge – auch die Blutversorgung bereits vorhandener, vielleicht noch unentdeckter Tumoren verbessern. Tumoren ab wenigen Millimetern Größe brauchen eigene Blutgefäße, um weiterzuwachsen. Deshalb sind Hemmstoffe des VEGF-Signalwegs etablierte Krebsmedikamente. Ein Stoff, der den VEGF-Rezeptor 2 in Zellkulturen hochreguliert (Hsieh 2017, PMID 27847966), verdient hier Vorsicht. Mehrere Übersichten nennen krankhafte Gefäßneubildung und mögliche Krebsförderung ausdrücklich als ungeklärtes Risiko (Moiz 2026, PMID 42757290).</w:t>
      </w:r>
    </w:p>
    <w:p>
      <w:pPr>
        <w:pStyle w:val="BodyText"/>
      </w:pPr>
      <w:r>
        <w:t xml:space="preserve">Die Zagreber Gruppe widerspricht dem: BPC-157 steuere die Gefäßbildung, statt sie blind anzukurbeln, verhindere etwa an der Hornhaut des Auges eine krankhafte Gefäßeinsprossung und zeige in Tier- und Zellversuchen sogar Effekte gegen Tumoren (Sikiric 2025, PMID 40573323). Diese Daten stammen wiederum überwiegend aus derselben Gruppe. Langzeitstudien zur Krebsentstehung (Karzinogenitätsstudien), wie sie für zugelassene Arzneimittel üblich sind, sind für BPC-157 nicht veröffentlicht. Die Frage ist damit offen – weder bestätigt noch widerlegt. Ausführlich behandelt Teil IV dieses Buches das Thema Wachstumssignale und Krebsrisiko.</w:t>
      </w:r>
    </w:p>
    <w:bookmarkEnd w:id="352"/>
    <w:bookmarkStart w:id="353" w:name="graumarkt-risiken"/>
    <w:p>
      <w:pPr>
        <w:pStyle w:val="Heading4"/>
      </w:pPr>
      <w:r>
        <w:t xml:space="preserve">Graumarkt-Risiken</w:t>
      </w:r>
    </w:p>
    <w:p>
      <w:pPr>
        <w:pStyle w:val="FirstParagraph"/>
      </w:pPr>
      <w:r>
        <w:t xml:space="preserve">Das größte praktische Risiko liegt vermutlich nicht im Wirkstoff selbst, sondern in den Produkten. BPC-157 wird überwiegend als „Research Chemical“ ohne Arzneimittelqualität verkauft. Übersichten nennen Verunreinigungen, falsche Konzentrationen, fehlende Sterilität und schwankende Herstellungsqualität als konkrete Gefahren (Tham 2026, PMID 42937313; Mendias 2026, PMID 41966639). Schon 2017 beschrieb ein Anti-Doping-Labor BPC-157 aus beschlagnahmten Fläschchen (Cox 2017, PMID 28035768). Bei Injektionen kommen Infektionsrisiken durch unsterile Lösungen hinzu. Kapitel I.5 und Teil IV behandeln Laboranalysen von Graumarkt-Peptiden ausführlich.</w:t>
      </w:r>
    </w:p>
    <w:bookmarkEnd w:id="353"/>
    <w:bookmarkStart w:id="354" w:name="weitere-offene-fragen"/>
    <w:p>
      <w:pPr>
        <w:pStyle w:val="Heading4"/>
      </w:pPr>
      <w:r>
        <w:t xml:space="preserve">Weitere offene Fragen</w:t>
      </w:r>
    </w:p>
    <w:p>
      <w:pPr>
        <w:numPr>
          <w:ilvl w:val="0"/>
          <w:numId w:val="1118"/>
        </w:numPr>
        <w:pStyle w:val="Compact"/>
      </w:pPr>
      <w:r>
        <w:rPr>
          <w:bCs/>
          <w:b/>
        </w:rPr>
        <w:t xml:space="preserve">Wechselwirkungen:</w:t>
      </w:r>
      <w:r>
        <w:t xml:space="preserve"> </w:t>
      </w:r>
      <w:r>
        <w:t xml:space="preserve">In Tierversuchen beeinflusste BPC-157 Blutgerinnung, Blutdruck und Botenstoffe des Nervensystems (Sikiric 2025, PMID 40573323). Ob das beim Menschen für Personen mit Gerinnungshemmern, Herz-Kreislauf-Erkrankungen oder psychiatrischen Medikamenten relevant ist, weiß niemand.</w:t>
      </w:r>
    </w:p>
    <w:p>
      <w:pPr>
        <w:numPr>
          <w:ilvl w:val="0"/>
          <w:numId w:val="1118"/>
        </w:numPr>
        <w:pStyle w:val="Compact"/>
      </w:pPr>
      <w:r>
        <w:rPr>
          <w:bCs/>
          <w:b/>
        </w:rPr>
        <w:t xml:space="preserve">Schwangerschaft und Stillzeit, Kinder und Jugendliche:</w:t>
      </w:r>
      <w:r>
        <w:t xml:space="preserve"> </w:t>
      </w:r>
      <w:r>
        <w:t xml:space="preserve">keine Daten am Menschen.</w:t>
      </w:r>
    </w:p>
    <w:p>
      <w:pPr>
        <w:numPr>
          <w:ilvl w:val="0"/>
          <w:numId w:val="1118"/>
        </w:numPr>
        <w:pStyle w:val="Compact"/>
      </w:pPr>
      <w:r>
        <w:rPr>
          <w:bCs/>
          <w:b/>
        </w:rPr>
        <w:t xml:space="preserve">Placeboeffekt:</w:t>
      </w:r>
      <w:r>
        <w:t xml:space="preserve"> </w:t>
      </w:r>
      <w:r>
        <w:t xml:space="preserve">Eine sportmedizinische Übersicht weist darauf hin, dass soziale Medien den Placeboeffekt bei solchen Peptiden verstärken können (Mendias 2026, PMID 41966639). Persönliche Erfolgsberichte sind daher kein Wirksamkeitsnachweis.</w:t>
      </w:r>
    </w:p>
    <w:bookmarkEnd w:id="354"/>
    <w:bookmarkEnd w:id="355"/>
    <w:bookmarkStart w:id="356" w:name="rechtslage-15"/>
    <w:p>
      <w:pPr>
        <w:pStyle w:val="Heading3"/>
      </w:pPr>
      <w:r>
        <w:t xml:space="preserve">Rechtslage</w:t>
      </w:r>
    </w:p>
    <w:p>
      <w:pPr>
        <w:pStyle w:val="FirstParagraph"/>
      </w:pPr>
      <w:r>
        <w:rPr>
          <w:iCs/>
          <w:i/>
        </w:rPr>
        <w:t xml:space="preserve">Stand 2026, bitte aktuell prüfen.</w:t>
      </w:r>
    </w:p>
    <w:p>
      <w:pPr>
        <w:numPr>
          <w:ilvl w:val="0"/>
          <w:numId w:val="1119"/>
        </w:numPr>
        <w:pStyle w:val="Compact"/>
      </w:pPr>
      <w:r>
        <w:rPr>
          <w:bCs/>
          <w:b/>
        </w:rPr>
        <w:t xml:space="preserve">EU:</w:t>
      </w:r>
      <w:r>
        <w:t xml:space="preserve"> </w:t>
      </w:r>
      <w:r>
        <w:t xml:space="preserve">BPC-157 ist in keinem Mitgliedstaat als Arzneimittel zugelassen. Ein Stoff, der zur Behandlung von Krankheiten beim Menschen angeboten wird, gilt rechtlich als Arzneimittel; ohne Zulassung darf er nicht in Verkehr gebracht werden. Der Hinweis „nur für Forschungszwecke“ ändert daran nichts, wenn das Produkt erkennbar für die Anwendung am Menschen bestimmt ist.</w:t>
      </w:r>
    </w:p>
    <w:p>
      <w:pPr>
        <w:numPr>
          <w:ilvl w:val="0"/>
          <w:numId w:val="1119"/>
        </w:numPr>
        <w:pStyle w:val="Compact"/>
      </w:pPr>
      <w:r>
        <w:rPr>
          <w:bCs/>
          <w:b/>
        </w:rPr>
        <w:t xml:space="preserve">Deutschland und Österreich:</w:t>
      </w:r>
      <w:r>
        <w:t xml:space="preserve"> </w:t>
      </w:r>
      <w:r>
        <w:t xml:space="preserve">keine Zulassung, auch keine Rezepturgrundlage. Die Abgabe zur Anwendung am Menschen ist nach dem jeweiligen Arzneimittelgesetz unzulässig. Im Sport greifen zusätzlich die Anti-Doping-Regeln.</w:t>
      </w:r>
    </w:p>
    <w:p>
      <w:pPr>
        <w:numPr>
          <w:ilvl w:val="0"/>
          <w:numId w:val="1119"/>
        </w:numPr>
        <w:pStyle w:val="Compact"/>
      </w:pPr>
      <w:r>
        <w:rPr>
          <w:bCs/>
          <w:b/>
        </w:rPr>
        <w:t xml:space="preserve">USA:</w:t>
      </w:r>
      <w:r>
        <w:t xml:space="preserve"> </w:t>
      </w:r>
      <w:r>
        <w:t xml:space="preserve">keine FDA-Zulassung. Im Jahr 2023 ordnete die FDA BPC-157 unter den Ausgangsstoffen für die Rezepturherstellung (sogenanntes Compounding) der Kategorie 2 zu – Stoffe, bei denen erhebliche Sicherheitsbedenken bestehen. Rezepturapotheken dürfen es damit nach Auffassung der Behörde nicht verarbeiten. Die Einstufung von Peptiden wurde seither im Beratungsgremium der FDA für Rezepturherstellung (PCAC) und in Fachkreisen kontrovers diskutiert (Willis 2026, PMID 42752426); Änderungen sind möglich.</w:t>
      </w:r>
    </w:p>
    <w:p>
      <w:pPr>
        <w:numPr>
          <w:ilvl w:val="0"/>
          <w:numId w:val="1119"/>
        </w:numPr>
        <w:pStyle w:val="Compact"/>
      </w:pPr>
      <w:r>
        <w:rPr>
          <w:bCs/>
          <w:b/>
        </w:rPr>
        <w:t xml:space="preserve">WADA:</w:t>
      </w:r>
      <w:r>
        <w:t xml:space="preserve"> </w:t>
      </w:r>
      <w:r>
        <w:t xml:space="preserve">BPC-157 steht seit 2022 namentlich in der Gruppe S0 (nicht zugelassene Substanzen) der Verbotsliste und ist damit im Wettkampf und außerhalb verboten. Eine Übersicht von 2025 gibt dazu abweichend an, BPC-157 sei derzeit nicht gelistet (Józwiak 2025, PMID 40005999) – nach Kenntnis des Autors trifft das für die aktuelle Liste nicht zu. Anti-Doping-Labore haben Nachweisverfahren im Urin entwickelt (Tian 2023, PMID 37959764).</w:t>
      </w:r>
    </w:p>
    <w:bookmarkEnd w:id="356"/>
    <w:bookmarkStart w:id="357" w:name="laufende-studien-und-ausblick-15"/>
    <w:p>
      <w:pPr>
        <w:pStyle w:val="Heading3"/>
      </w:pPr>
      <w:r>
        <w:t xml:space="preserve">Laufende Studien und Ausblick</w:t>
      </w:r>
    </w:p>
    <w:p>
      <w:pPr>
        <w:pStyle w:val="FirstParagraph"/>
      </w:pPr>
      <w:r>
        <w:t xml:space="preserve">Im Oktober 2026 sind bei ClinicalTrials.gov vier Studien mit BPC-157 eingetragen: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Status</w:t>
            </w:r>
          </w:p>
        </w:tc>
        <w:tc>
          <w:tcPr/>
          <w:p>
            <w:pPr>
              <w:pStyle w:val="Compact"/>
              <w:jc w:val="left"/>
            </w:pPr>
            <w:r>
              <w:t xml:space="preserve">Thema</w:t>
            </w:r>
          </w:p>
        </w:tc>
      </w:tr>
      <w:tr>
        <w:tc>
          <w:tcPr/>
          <w:p>
            <w:pPr>
              <w:pStyle w:val="Compact"/>
              <w:jc w:val="left"/>
            </w:pPr>
            <w:r>
              <w:t xml:space="preserve">NCT07437547</w:t>
            </w:r>
          </w:p>
        </w:tc>
        <w:tc>
          <w:tcPr/>
          <w:p>
            <w:pPr>
              <w:pStyle w:val="Compact"/>
              <w:jc w:val="left"/>
            </w:pPr>
            <w:r>
              <w:t xml:space="preserve">Phase 2, randomisiert, doppelblind, Placebo, geplant 120 Personen</w:t>
            </w:r>
          </w:p>
        </w:tc>
        <w:tc>
          <w:tcPr/>
          <w:p>
            <w:pPr>
              <w:pStyle w:val="Compact"/>
              <w:jc w:val="left"/>
            </w:pPr>
            <w:r>
              <w:t xml:space="preserve">laut Register rekrutierend seit Februar 2026; Echtheit fraglich (siehe Text)</w:t>
            </w:r>
          </w:p>
        </w:tc>
        <w:tc>
          <w:tcPr/>
          <w:p>
            <w:pPr>
              <w:pStyle w:val="Compact"/>
              <w:jc w:val="left"/>
            </w:pPr>
            <w:r>
              <w:t xml:space="preserve">akute Zerrung der hinteren Oberschenkelmuskulatur; Zeit bis zur Sportrückkehr, MRT-Befund</w:t>
            </w:r>
          </w:p>
        </w:tc>
      </w:tr>
      <w:tr>
        <w:tc>
          <w:tcPr/>
          <w:p>
            <w:pPr>
              <w:pStyle w:val="Compact"/>
              <w:jc w:val="left"/>
            </w:pPr>
            <w:r>
              <w:t xml:space="preserve">NCT07803250</w:t>
            </w:r>
          </w:p>
        </w:tc>
        <w:tc>
          <w:tcPr/>
          <w:p>
            <w:pPr>
              <w:pStyle w:val="Compact"/>
              <w:jc w:val="left"/>
            </w:pPr>
            <w:r>
              <w:t xml:space="preserve">Phase 1, randomisiert, geplant 30 Personen</w:t>
            </w:r>
          </w:p>
        </w:tc>
        <w:tc>
          <w:tcPr/>
          <w:p>
            <w:pPr>
              <w:pStyle w:val="Compact"/>
              <w:jc w:val="left"/>
            </w:pPr>
            <w:r>
              <w:t xml:space="preserve">noch nicht rekrutierend, Start geplant 2027</w:t>
            </w:r>
          </w:p>
        </w:tc>
        <w:tc>
          <w:tcPr/>
          <w:p>
            <w:pPr>
              <w:pStyle w:val="Compact"/>
              <w:jc w:val="left"/>
            </w:pPr>
            <w:r>
              <w:t xml:space="preserve">Heilung nach Rotatorenmanschetten-Operation (Schulter)</w:t>
            </w:r>
          </w:p>
        </w:tc>
      </w:tr>
      <w:tr>
        <w:tc>
          <w:tcPr/>
          <w:p>
            <w:pPr>
              <w:pStyle w:val="Compact"/>
              <w:jc w:val="left"/>
            </w:pPr>
            <w:r>
              <w:t xml:space="preserve">NCT07752381</w:t>
            </w:r>
          </w:p>
        </w:tc>
        <w:tc>
          <w:tcPr/>
          <w:p>
            <w:pPr>
              <w:pStyle w:val="Compact"/>
              <w:jc w:val="left"/>
            </w:pPr>
            <w:r>
              <w:t xml:space="preserve">eine Gruppe ohne Kontrolle, 40 Personen</w:t>
            </w:r>
          </w:p>
        </w:tc>
        <w:tc>
          <w:tcPr/>
          <w:p>
            <w:pPr>
              <w:pStyle w:val="Compact"/>
              <w:jc w:val="left"/>
            </w:pPr>
            <w:r>
              <w:t xml:space="preserve">abgeschlossen 2025, keine Ergebnisse im Register</w:t>
            </w:r>
          </w:p>
        </w:tc>
        <w:tc>
          <w:tcPr/>
          <w:p>
            <w:pPr>
              <w:pStyle w:val="Compact"/>
              <w:jc w:val="left"/>
            </w:pPr>
            <w:r>
              <w:t xml:space="preserve">Fruchtgummis eines Herstellers; Entzündungswerte und Selbsteinschätzung</w:t>
            </w:r>
          </w:p>
        </w:tc>
      </w:tr>
      <w:tr>
        <w:tc>
          <w:tcPr/>
          <w:p>
            <w:pPr>
              <w:pStyle w:val="Compact"/>
              <w:jc w:val="left"/>
            </w:pPr>
            <w:r>
              <w:t xml:space="preserve">NCT02637284</w:t>
            </w:r>
          </w:p>
        </w:tc>
        <w:tc>
          <w:tcPr/>
          <w:p>
            <w:pPr>
              <w:pStyle w:val="Compact"/>
              <w:jc w:val="left"/>
            </w:pPr>
            <w:r>
              <w:t xml:space="preserve">Phase 1, Tabletten, 42 Gesunde geplant</w:t>
            </w:r>
          </w:p>
        </w:tc>
        <w:tc>
          <w:tcPr/>
          <w:p>
            <w:pPr>
              <w:pStyle w:val="Compact"/>
              <w:jc w:val="left"/>
            </w:pPr>
            <w:r>
              <w:t xml:space="preserve">Status unbekannt seit 2016</w:t>
            </w:r>
          </w:p>
        </w:tc>
        <w:tc>
          <w:tcPr/>
          <w:p>
            <w:pPr>
              <w:pStyle w:val="Compact"/>
              <w:jc w:val="left"/>
            </w:pPr>
            <w:r>
              <w:t xml:space="preserve">Sicherheit und Pharmakokinetik</w:t>
            </w:r>
          </w:p>
        </w:tc>
      </w:tr>
    </w:tbl>
    <w:p>
      <w:pPr>
        <w:pStyle w:val="BodyText"/>
      </w:pPr>
      <w:r>
        <w:rPr>
          <w:bCs/>
          <w:b/>
        </w:rPr>
        <w:t xml:space="preserve">Gesichert</w:t>
      </w:r>
      <w:r>
        <w:t xml:space="preserve"> </w:t>
      </w:r>
      <w:r>
        <w:t xml:space="preserve">ist nur wenig. Auf dem Papier wäre die Phase-2-Studie zu Zerrungen der hinteren Oberschenkelmuskulatur (NCT07437547) die erste randomisierte, placebokontrollierte Studie mit objektivem Endpunkt (MRT) und ausreichender Größe. Bei der Prüfung für dieses Buch fiel jedoch auf: Derselbe Sponsor („Hudson Biotech“) hat mit identischem Studienzentrum und identischer Kontaktperson einen zweiten Eintrag zu TB-500 angelegt (NCT07487363), der sich in seiner eigenen Beschreibung ausdrücklich als „fiktives“ Beispiel eines Registereintrags bezeichnet. Ob die BPC-157-Studie tatsächlich durchgeführt wird, lässt sich deshalb nicht verlässlich sagen. ClinicalTrials.gov prüft Einträge nur formal, nicht inhaltlich – eine Registrierung allein beweist nicht, dass eine Studie stattfindet.</w:t>
      </w:r>
    </w:p>
    <w:p>
      <w:pPr>
        <w:pStyle w:val="BodyText"/>
      </w:pPr>
      <w:r>
        <w:t xml:space="preserve">Die Schulterstudie der University of Arkansas (NCT07803250) ist randomisiert und verblindet, aber klein und hat noch nicht begonnen. Die Fruchtgummi-Studie eines Herstellers (NCT07752381) hat keine Kontrollgruppe und misst überwiegend Selbstauskünfte; sie wird die offenen Fragen nicht beantworten.</w:t>
      </w:r>
    </w:p>
    <w:p>
      <w:pPr>
        <w:pStyle w:val="BodyText"/>
      </w:pPr>
      <w:r>
        <w:rPr>
          <w:bCs/>
          <w:b/>
        </w:rPr>
        <w:t xml:space="preserve">Einschätzung des Autors:</w:t>
      </w:r>
      <w:r>
        <w:t xml:space="preserve"> </w:t>
      </w:r>
      <w:r>
        <w:t xml:space="preserve">Vor 2028 sind keine belastbaren Wirksamkeitsdaten am Menschen zu erwarten. Selbst ein positives Ergebnis einer kleinen Pilotstudie wäre nur ein erster Hinweis – noch keine Grundlage für eine Zulassung, die mehrere größere Studien und Langzeitdaten zur Sicherheit erfordert. Ein negatives Ergebnis dürfte am Internet-Ruf des Peptids wenig ändern. Eine pharmazeutische Übersicht betont, dass es bis heute keine standardisierte, validierte Arzneiform gibt (Mateescu 2026, PMID 42198317) – auch das muss vor einer Zulassung gelöst werden.</w:t>
      </w:r>
    </w:p>
    <w:bookmarkEnd w:id="357"/>
    <w:bookmarkStart w:id="358" w:name="fazit-15"/>
    <w:p>
      <w:pPr>
        <w:pStyle w:val="Heading3"/>
      </w:pPr>
      <w:r>
        <w:t xml:space="preserve">Fazit</w:t>
      </w:r>
    </w:p>
    <w:p>
      <w:pPr>
        <w:pStyle w:val="FirstParagraph"/>
      </w:pPr>
      <w:r>
        <w:t xml:space="preserve">BPC-157 ist ein Peptid mit einer ungewöhnlich großen Zahl an Tierstudien, die fast alle positive Ergebnisse berichten – überwiegend aus einer einzigen Zagreber Forschungsgruppe und ohne ausreichende unabhängige Wiederholung. Am Menschen gibt es nur drei kleine, unkontrollierte Untersuchungen mit zusammen rund 30 Personen, deren Qualität als sehr niedrig bewertet wird (Poolton 2026, PMID 42885452). Langzeitsicherheit, insbesondere die theoretische Frage nach einer Förderung von Tumorwachstum über Gefäßneubildung, ist nicht untersucht, und Graumarkt-Produkte bringen eigene Risiken mit. Randomisierte Studien sind erst registriert oder geplant (NCT07803250); bis belastbare Ergebnisse vorliegen, bleibt BPC-157 ein Versuchsstoff, dessen Nutzen am Menschen nicht belegt ist. Für Sportlerinnen und Sportler ist es nach WADA-Regeln verboten.</w:t>
      </w:r>
    </w:p>
    <w:bookmarkEnd w:id="358"/>
    <w:bookmarkEnd w:id="359"/>
    <w:bookmarkStart w:id="375" w:name="tb-500-und-thymosin-beta-4"/>
    <w:p>
      <w:pPr>
        <w:pStyle w:val="Heading2"/>
      </w:pPr>
      <w:r>
        <w:t xml:space="preserve">TB-500 und Thymosin Beta-4</w:t>
      </w:r>
    </w:p>
    <w:p>
      <w:pPr>
        <w:pStyle w:val="FirstParagraph"/>
      </w:pPr>
      <w:r>
        <w:t xml:space="preserve">Im Internet werden „TB-500“ und „Thymosin Beta-4“ meist als dasselbe verkauft. Das ist falsch, und der Unterschied ist für die Bewertung entscheidend. Thymosin Beta-4 ist ein körpereigenes Eiweiß aus 43 Aminosäuren, das in mehreren klinischen Studien – vor allem als Augentropfen und als Infusion nach Herzinfarkt – untersucht wurde. TB-500 dagegen ist ein kurzes, künstlich verändertes Bruchstück davon, das nie in einer veröffentlichten Studie am Menschen getestet wurde. Dieses Kapitel trennt beides sauber.</w:t>
      </w:r>
    </w:p>
    <w:bookmarkStart w:id="360" w:name="steckbrief-16"/>
    <w:p>
      <w:pPr>
        <w:pStyle w:val="Heading3"/>
      </w:pPr>
      <w:r>
        <w:t xml:space="preserve">Steckbrief</w:t>
      </w:r>
    </w:p>
    <w:p>
      <w:pPr>
        <w:numPr>
          <w:ilvl w:val="0"/>
          <w:numId w:val="1120"/>
        </w:numPr>
        <w:pStyle w:val="Compact"/>
      </w:pPr>
      <w:r>
        <w:rPr>
          <w:bCs/>
          <w:b/>
        </w:rPr>
        <w:t xml:space="preserve">Thymosin Beta-4 (Tβ4):</w:t>
      </w:r>
      <w:r>
        <w:t xml:space="preserve"> </w:t>
      </w:r>
      <w:r>
        <w:t xml:space="preserve">körpereigenes Peptid aus 43 Aminosäuren, in fast allen Zellen vorhanden; Hauptfunktion: bindet das Strukturprotein Aktin und reguliert so Zellform und Zellbewegung. Für Studien synthetisch oder gentechnisch (rekombinant) hergestellt; Entwicklungsnamen RGN-259 (Augentropfen), RGN-352 (Injektion), NL005 (rekombinant, China).</w:t>
      </w:r>
    </w:p>
    <w:p>
      <w:pPr>
        <w:numPr>
          <w:ilvl w:val="0"/>
          <w:numId w:val="1120"/>
        </w:numPr>
        <w:pStyle w:val="Compact"/>
      </w:pPr>
      <w:r>
        <w:rPr>
          <w:bCs/>
          <w:b/>
        </w:rPr>
        <w:t xml:space="preserve">TB-500:</w:t>
      </w:r>
      <w:r>
        <w:t xml:space="preserve"> </w:t>
      </w:r>
      <w:r>
        <w:t xml:space="preserve">das am Anfang chemisch veränderte (acetylierte) Bruchstück der Aminosäuren 17 bis 23 von Tβ4, Sequenz Ac-LKKTETQ (Esposito 2012, PMID 22962027). Ursprünglich als Tierarzneimittel im Pferdesport aufgetaucht.</w:t>
      </w:r>
    </w:p>
    <w:p>
      <w:pPr>
        <w:numPr>
          <w:ilvl w:val="0"/>
          <w:numId w:val="1120"/>
        </w:numPr>
        <w:pStyle w:val="Compact"/>
      </w:pPr>
      <w:r>
        <w:rPr>
          <w:bCs/>
          <w:b/>
        </w:rPr>
        <w:t xml:space="preserve">Wirkprinzip (vermutet):</w:t>
      </w:r>
      <w:r>
        <w:t xml:space="preserve"> </w:t>
      </w:r>
      <w:r>
        <w:t xml:space="preserve">Förderung von Zellwanderung, Gefäßneubildung und Wundheilung, Dämpfung von Entzündung.</w:t>
      </w:r>
    </w:p>
    <w:p>
      <w:pPr>
        <w:numPr>
          <w:ilvl w:val="0"/>
          <w:numId w:val="1120"/>
        </w:numPr>
        <w:pStyle w:val="Compact"/>
      </w:pPr>
      <w:r>
        <w:rPr>
          <w:bCs/>
          <w:b/>
        </w:rPr>
        <w:t xml:space="preserve">Zulassung EU/USA:</w:t>
      </w:r>
      <w:r>
        <w:t xml:space="preserve"> </w:t>
      </w:r>
      <w:r>
        <w:t xml:space="preserve">weder Tβ4 noch TB-500 ist zugelassen.</w:t>
      </w:r>
    </w:p>
    <w:p>
      <w:pPr>
        <w:numPr>
          <w:ilvl w:val="0"/>
          <w:numId w:val="1120"/>
        </w:numPr>
        <w:pStyle w:val="Compact"/>
      </w:pPr>
      <w:r>
        <w:rPr>
          <w:bCs/>
          <w:b/>
        </w:rPr>
        <w:t xml:space="preserve">WADA:</w:t>
      </w:r>
      <w:r>
        <w:t xml:space="preserve"> </w:t>
      </w:r>
      <w:r>
        <w:t xml:space="preserve">verboten (S2, Wachstumsfaktoren; „Thymosin-β4 und seine Derivate, z. B. TB-500“ werden ausdrücklich genannt).</w:t>
      </w:r>
    </w:p>
    <w:p>
      <w:pPr>
        <w:numPr>
          <w:ilvl w:val="0"/>
          <w:numId w:val="1120"/>
        </w:numPr>
        <w:pStyle w:val="Compact"/>
      </w:pPr>
      <w:r>
        <w:rPr>
          <w:bCs/>
          <w:b/>
        </w:rPr>
        <w:t xml:space="preserve">Evidenzstufe:</w:t>
      </w:r>
      <w:r>
        <w:t xml:space="preserve"> </w:t>
      </w:r>
      <w:r>
        <w:rPr>
          <w:bCs/>
          <w:b/>
        </w:rPr>
        <w:t xml:space="preserve">B</w:t>
      </w:r>
      <w:r>
        <w:t xml:space="preserve"> </w:t>
      </w:r>
      <w:r>
        <w:t xml:space="preserve">für Thymosin Beta-4 (randomisierte Studien, überwiegend klein; große Phase-3-Studien bei trockenem Auge ohne klaren Nutzen) ·</w:t>
      </w:r>
      <w:r>
        <w:t xml:space="preserve"> </w:t>
      </w:r>
      <w:r>
        <w:rPr>
          <w:bCs/>
          <w:b/>
        </w:rPr>
        <w:t xml:space="preserve">D</w:t>
      </w:r>
      <w:r>
        <w:t xml:space="preserve"> </w:t>
      </w:r>
      <w:r>
        <w:t xml:space="preserve">für TB-500 (keine veröffentlichte Humanstudie).</w:t>
      </w:r>
    </w:p>
    <w:bookmarkEnd w:id="360"/>
    <w:bookmarkStart w:id="361" w:name="wie-es-wirken-soll-16"/>
    <w:p>
      <w:pPr>
        <w:pStyle w:val="Heading3"/>
      </w:pPr>
      <w:r>
        <w:t xml:space="preserve">Wie es wirken soll</w:t>
      </w:r>
    </w:p>
    <w:p>
      <w:pPr>
        <w:pStyle w:val="FirstParagraph"/>
      </w:pPr>
      <w:r>
        <w:t xml:space="preserve">Tβ4 ist in Zellen das wichtigste Eiweiß, das einzelne Aktin-Bausteine bindet und „parkt“. Aktin bildet das innere Gerüst der Zelle; wenn sich eine Zelle bewegen soll – etwa um eine Wunde zu schließen –, muss dieses Gerüst schnell umgebaut werden. Tβ4 stellt dafür die Bausteine bereit.</w:t>
      </w:r>
    </w:p>
    <w:p>
      <w:pPr>
        <w:pStyle w:val="BodyText"/>
      </w:pPr>
      <w:r>
        <w:t xml:space="preserve">Daneben hat Tβ4 außerhalb der Zelle offenbar eigene Signalwirkungen. Eine Übersichtsarbeit beschreibt mehrere aktive Abschnitte im Molekül: Das kurze Stück am Anfang (Ac-SDKP) wirkt in Laborversuchen entzündungshemmend und gegen Vernarbung, der Abschnitt 17 bis 23 (LKKTETQ) fördert Gefäßneubildung, Wundheilung und Zellwanderung (Sosne 2010, PMID 20179146). In Zellversuchen zeigte das sieben Aminosäuren lange Aktin-Bindungsmotiv dieselbe Wirkung auf die Wanderung von Gefäßzellen wie das ganze Molekül (Philp 2003, PMID 14500546).</w:t>
      </w:r>
    </w:p>
    <w:p>
      <w:pPr>
        <w:pStyle w:val="BodyText"/>
      </w:pPr>
      <w:r>
        <w:t xml:space="preserve">Auf diesem Laborbefund beruht die Idee von TB-500: Wenn das kurze Stück die Wirkung trägt, genügt es, nur dieses herzustellen – billiger und einfacher als das ganze Eiweiß. Allerdings wurde dabei nicht exakt die natürliche Sequenz verwendet, sondern eine am Anfang acetylierte Form. Eine Untersuchung zum Abbau fand, dass TB-500 rasch zerlegt wird und in Zellversuchen nicht das Ausgangspeptid, sondern ein Abbauprodukt (Ac-LKKTE) die Wundheilung förderte (Rahaman 2024, PMID 38382158). Dass TB-500 im Körper dasselbe leistet wie Tβ4, ist damit nicht gezeigt. Eine orthopädische Übersicht aus dem Jahr 2026 betont, dass TB-500 häufig mit Tβ4 gleichgesetzt wird, obwohl keine biologische oder klinische Gleichwertigkeit belegt ist (Tham 2026, PMID 42937313).</w:t>
      </w:r>
    </w:p>
    <w:bookmarkEnd w:id="361"/>
    <w:bookmarkStart w:id="366" w:name="studien-am-menschen-16"/>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9</w:t>
      </w:r>
      <w:r>
        <w:t xml:space="preserve"> </w:t>
      </w:r>
      <w:r>
        <w:t xml:space="preserve">Veröffentlichungen, die als Humanstudie eingeordnet wurden, und</w:t>
      </w:r>
      <w:r>
        <w:t xml:space="preserve"> </w:t>
      </w:r>
      <w:r>
        <w:rPr>
          <w:bCs/>
          <w:b/>
        </w:rPr>
        <w:t xml:space="preserve">18</w:t>
      </w:r>
      <w:r>
        <w:t xml:space="preserve"> </w:t>
      </w:r>
      <w:r>
        <w:t xml:space="preserve">Einträge bei ClinicalTrials.gov. Von den neun Veröffentlichungen untersuchen nur sechs tatsächlich Tβ4 als Wirkstoff; die übrigen messen Tβ4 im Blut oder betreffen andere Fragen.</w:t>
      </w:r>
      <w:r>
        <w:t xml:space="preserve"> </w:t>
      </w:r>
      <w:r>
        <w:rPr>
          <w:bCs/>
          <w:b/>
        </w:rPr>
        <w:t xml:space="preserve">Keine einzige</w:t>
      </w:r>
      <w:r>
        <w:t xml:space="preserve"> </w:t>
      </w:r>
      <w:r>
        <w:t xml:space="preserve">veröffentlichte Studie hat TB-500 am Menschen untersucht.</w:t>
      </w:r>
    </w:p>
    <w:bookmarkStart w:id="362" w:name="augentropfen-rgn-259"/>
    <w:p>
      <w:pPr>
        <w:pStyle w:val="Heading4"/>
      </w:pPr>
      <w:r>
        <w:t xml:space="preserve">Augentropfen (RGN-259)</w:t>
      </w:r>
    </w:p>
    <w:p>
      <w:pPr>
        <w:pStyle w:val="FirstParagraph"/>
      </w:pPr>
      <w:r>
        <w:t xml:space="preserve">Am weitesten fortgeschritten ist Tβ4 als Augentropfen. Die Firma RegeneRx und ihr Partner ReGenTree haben es bei trockenem Auge und bei der neurotrophen Keratopathie geprüft – einer seltenen Erkrankung, bei der die Hornhaut wegen geschädigter Nerven schlecht verheilt.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Schweres trockenes Auge (Sosne 2015, PMID 25826322; NCT01393132)</w:t>
            </w:r>
          </w:p>
        </w:tc>
        <w:tc>
          <w:tcPr/>
          <w:p>
            <w:pPr>
              <w:pStyle w:val="Compact"/>
              <w:jc w:val="left"/>
            </w:pPr>
            <w:r>
              <w:t xml:space="preserve">9 Personen, randomisiert gegen Trägerlösung</w:t>
            </w:r>
          </w:p>
        </w:tc>
        <w:tc>
          <w:tcPr/>
          <w:p>
            <w:pPr>
              <w:pStyle w:val="Compact"/>
              <w:jc w:val="left"/>
            </w:pPr>
            <w:r>
              <w:t xml:space="preserve">28 Tage plus 28 Tage Nachbeobachtung</w:t>
            </w:r>
          </w:p>
        </w:tc>
        <w:tc>
          <w:tcPr/>
          <w:p>
            <w:pPr>
              <w:pStyle w:val="Compact"/>
              <w:jc w:val="left"/>
            </w:pPr>
            <w:r>
              <w:t xml:space="preserve">an Tag 56 Beschwerden um 35,1 % und Hornhautanfärbung um 59,1 % geringer als unter Trägerlösung</w:t>
            </w:r>
          </w:p>
        </w:tc>
      </w:tr>
      <w:tr>
        <w:tc>
          <w:tcPr/>
          <w:p>
            <w:pPr>
              <w:pStyle w:val="Compact"/>
              <w:jc w:val="left"/>
            </w:pPr>
            <w:r>
              <w:t xml:space="preserve">Trockenes Auge, Provokationsmodell (Sosne 2015, PMID 26056426)</w:t>
            </w:r>
          </w:p>
        </w:tc>
        <w:tc>
          <w:tcPr/>
          <w:p>
            <w:pPr>
              <w:pStyle w:val="Compact"/>
              <w:jc w:val="left"/>
            </w:pPr>
            <w:r>
              <w:t xml:space="preserve">72 Personen, RCT</w:t>
            </w:r>
          </w:p>
        </w:tc>
        <w:tc>
          <w:tcPr/>
          <w:p>
            <w:pPr>
              <w:pStyle w:val="Compact"/>
              <w:jc w:val="left"/>
            </w:pPr>
            <w:r>
              <w:t xml:space="preserve">28 Tage</w:t>
            </w:r>
          </w:p>
        </w:tc>
        <w:tc>
          <w:tcPr/>
          <w:p>
            <w:pPr>
              <w:pStyle w:val="Compact"/>
              <w:jc w:val="left"/>
            </w:pPr>
            <w:r>
              <w:t xml:space="preserve">beide Hauptzielgrößen nicht signifikant; einzelne Nebenzielgrößen besser</w:t>
            </w:r>
          </w:p>
        </w:tc>
      </w:tr>
      <w:tr>
        <w:tc>
          <w:tcPr/>
          <w:p>
            <w:pPr>
              <w:pStyle w:val="Compact"/>
              <w:jc w:val="left"/>
            </w:pPr>
            <w:r>
              <w:t xml:space="preserve">ARISE-2 (NCT02974907)</w:t>
            </w:r>
          </w:p>
        </w:tc>
        <w:tc>
          <w:tcPr/>
          <w:p>
            <w:pPr>
              <w:pStyle w:val="Compact"/>
              <w:jc w:val="left"/>
            </w:pPr>
            <w:r>
              <w:t xml:space="preserve">601 Personen, Phase 3, RCT</w:t>
            </w:r>
          </w:p>
        </w:tc>
        <w:tc>
          <w:tcPr/>
          <w:p>
            <w:pPr>
              <w:pStyle w:val="Compact"/>
              <w:jc w:val="left"/>
            </w:pPr>
            <w:r>
              <w:t xml:space="preserve">28 Tage</w:t>
            </w:r>
          </w:p>
        </w:tc>
        <w:tc>
          <w:tcPr/>
          <w:p>
            <w:pPr>
              <w:pStyle w:val="Compact"/>
              <w:jc w:val="left"/>
            </w:pPr>
            <w:r>
              <w:t xml:space="preserve">Hauptzielgrößen laut Registerergebnissen in beiden Gruppen praktisch gleich</w:t>
            </w:r>
          </w:p>
        </w:tc>
      </w:tr>
      <w:tr>
        <w:tc>
          <w:tcPr/>
          <w:p>
            <w:pPr>
              <w:pStyle w:val="Compact"/>
              <w:jc w:val="left"/>
            </w:pPr>
            <w:r>
              <w:t xml:space="preserve">ARISE-3 (NCT03937882)</w:t>
            </w:r>
          </w:p>
        </w:tc>
        <w:tc>
          <w:tcPr/>
          <w:p>
            <w:pPr>
              <w:pStyle w:val="Compact"/>
              <w:jc w:val="left"/>
            </w:pPr>
            <w:r>
              <w:t xml:space="preserve">700 Personen, Phase 3, RCT</w:t>
            </w:r>
          </w:p>
        </w:tc>
        <w:tc>
          <w:tcPr/>
          <w:p>
            <w:pPr>
              <w:pStyle w:val="Compact"/>
              <w:jc w:val="left"/>
            </w:pPr>
            <w:r>
              <w:t xml:space="preserve">14 Tage</w:t>
            </w:r>
          </w:p>
        </w:tc>
        <w:tc>
          <w:tcPr/>
          <w:p>
            <w:pPr>
              <w:pStyle w:val="Compact"/>
              <w:jc w:val="left"/>
            </w:pPr>
            <w:r>
              <w:t xml:space="preserve">Hornhautanfärbung −0,41 vs. −0,46 Punkte, Beschwerden −0,4 vs. −0,4 Punkte (Tβ4 vs. Placebo)</w:t>
            </w:r>
          </w:p>
        </w:tc>
      </w:tr>
      <w:tr>
        <w:tc>
          <w:tcPr/>
          <w:p>
            <w:pPr>
              <w:pStyle w:val="Compact"/>
              <w:jc w:val="left"/>
            </w:pPr>
            <w:r>
              <w:t xml:space="preserve">SEER-1, neurotrophe Keratopathie (Sosne 2022, PMID 36613994)</w:t>
            </w:r>
          </w:p>
        </w:tc>
        <w:tc>
          <w:tcPr/>
          <w:p>
            <w:pPr>
              <w:pStyle w:val="Compact"/>
              <w:jc w:val="left"/>
            </w:pPr>
            <w:r>
              <w:t xml:space="preserve">18 Personen, Phase 3, RCT, vorzeitig beendet</w:t>
            </w:r>
          </w:p>
        </w:tc>
        <w:tc>
          <w:tcPr/>
          <w:p>
            <w:pPr>
              <w:pStyle w:val="Compact"/>
              <w:jc w:val="left"/>
            </w:pPr>
            <w:r>
              <w:t xml:space="preserve">4 Wochen plus 2 Wochen</w:t>
            </w:r>
          </w:p>
        </w:tc>
        <w:tc>
          <w:tcPr/>
          <w:p>
            <w:pPr>
              <w:pStyle w:val="Compact"/>
              <w:jc w:val="left"/>
            </w:pPr>
            <w:r>
              <w:t xml:space="preserve">vollständige Heilung bei 6 von 10 vs. 1 von 8 (p = 0,0656, nicht signifikant)</w:t>
            </w:r>
          </w:p>
        </w:tc>
      </w:tr>
    </w:tbl>
    <w:p>
      <w:pPr>
        <w:pStyle w:val="BodyText"/>
      </w:pPr>
      <w:r>
        <w:t xml:space="preserve">Das Muster ist typisch für ein Medikament mit unsicherem Nutzen: Kleine Studien zeigen günstige Signale, große Studien bestätigen sie nicht. Die kleine Studie mit neun Personen fand deutliche Verbesserungen (Sosne 2015, PMID 25826322). Schon die Studie mit 72 Personen verfehlte aber beide vorab festgelegten Hauptzielgrößen; die Autoren betonten stattdessen Verbesserungen bei Nebenzielgrößen (Sosne 2015, PMID 26056426). In den beiden großen Phase-3-Studien ARISE-2 und ARISE-3 mit zusammen rund 1.300 Teilnehmenden lagen die Werte der Hauptzielgrößen laut den im Register veröffentlichten Ergebnissen in der Tβ4- und der Placebogruppe nahezu gleichauf (NCT02974907; NCT03937882). Eine Zeitschriftenveröffentlichung dieser Ergebnisse fand sich in PubMed nicht.</w:t>
      </w:r>
    </w:p>
    <w:p>
      <w:pPr>
        <w:pStyle w:val="BodyText"/>
      </w:pPr>
      <w:r>
        <w:t xml:space="preserve">Bei der neurotrophen Keratopathie heilten in der kleinen Phase-3-Studie SEER-1 mehr Augen unter Tβ4 als unter Placebo; der Unterschied verfehlte aber knapp die statistische Signifikanz, die Studie wurde mit nur 18 Personen vorzeitig beendet (Sosne 2022, PMID 36613994). Eine Cochrane-Übersicht von 2025 wertete die Studie mit „niedriger Vertrauenswürdigkeit“ und fand keinen gesicherten Unterschied (Kruoch 2025, PMID 41347649). Eine größere Nachfolgestudie (SEER-2) läuft.</w:t>
      </w:r>
    </w:p>
    <w:bookmarkEnd w:id="362"/>
    <w:bookmarkStart w:id="363" w:name="herz"/>
    <w:p>
      <w:pPr>
        <w:pStyle w:val="Heading4"/>
      </w:pPr>
      <w:r>
        <w:t xml:space="preserve">Herz</w:t>
      </w:r>
    </w:p>
    <w:p>
      <w:pPr>
        <w:pStyle w:val="FirstParagraph"/>
      </w:pPr>
      <w:r>
        <w:t xml:space="preserve">Tβ4 wurde wegen spektakulärer Mausversuche als Herzmittel entwickelt (siehe Tier- und Laborstudien).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Sicherheit, Infusion (Ruff 2010, PMID 20536472)</w:t>
            </w:r>
          </w:p>
        </w:tc>
        <w:tc>
          <w:tcPr/>
          <w:p>
            <w:pPr>
              <w:pStyle w:val="Compact"/>
              <w:jc w:val="left"/>
            </w:pPr>
            <w:r>
              <w:t xml:space="preserve">40 Gesunde in 4 Dosisgruppen, RCT</w:t>
            </w:r>
          </w:p>
        </w:tc>
        <w:tc>
          <w:tcPr/>
          <w:p>
            <w:pPr>
              <w:pStyle w:val="Compact"/>
              <w:jc w:val="left"/>
            </w:pPr>
            <w:r>
              <w:t xml:space="preserve">einmalig, dann 14 Tage täglich</w:t>
            </w:r>
          </w:p>
        </w:tc>
        <w:tc>
          <w:tcPr/>
          <w:p>
            <w:pPr>
              <w:pStyle w:val="Compact"/>
              <w:jc w:val="left"/>
            </w:pPr>
            <w:r>
              <w:t xml:space="preserve">keine dosisbegrenzende Giftigkeit, keine schweren Nebenwirkungen</w:t>
            </w:r>
          </w:p>
        </w:tc>
      </w:tr>
      <w:tr>
        <w:tc>
          <w:tcPr/>
          <w:p>
            <w:pPr>
              <w:pStyle w:val="Compact"/>
              <w:jc w:val="left"/>
            </w:pPr>
            <w:r>
              <w:t xml:space="preserve">Rekombinantes Tβ4 NL005, Phase 1 (Wang 2021, PMID 34346165)</w:t>
            </w:r>
          </w:p>
        </w:tc>
        <w:tc>
          <w:tcPr/>
          <w:p>
            <w:pPr>
              <w:pStyle w:val="Compact"/>
              <w:jc w:val="left"/>
            </w:pPr>
            <w:r>
              <w:t xml:space="preserve">54 Gesunde (Einzeldosis) und 30 Gesunde (Mehrfachdosis), RCT</w:t>
            </w:r>
          </w:p>
        </w:tc>
        <w:tc>
          <w:tcPr/>
          <w:p>
            <w:pPr>
              <w:pStyle w:val="Compact"/>
              <w:jc w:val="left"/>
            </w:pPr>
            <w:r>
              <w:t xml:space="preserve">bis 10 Tage plus 28 Tage</w:t>
            </w:r>
          </w:p>
        </w:tc>
        <w:tc>
          <w:tcPr/>
          <w:p>
            <w:pPr>
              <w:pStyle w:val="Compact"/>
              <w:jc w:val="left"/>
            </w:pPr>
            <w:r>
              <w:t xml:space="preserve">Nebenwirkungen leicht bis mittel, keine schweren</w:t>
            </w:r>
          </w:p>
        </w:tc>
      </w:tr>
      <w:tr>
        <w:tc>
          <w:tcPr/>
          <w:p>
            <w:pPr>
              <w:pStyle w:val="Compact"/>
              <w:jc w:val="left"/>
            </w:pPr>
            <w:r>
              <w:t xml:space="preserve">NL005 bei Herzinfarkt (Zhang 2025, PMID 41229390)</w:t>
            </w:r>
          </w:p>
        </w:tc>
        <w:tc>
          <w:tcPr/>
          <w:p>
            <w:pPr>
              <w:pStyle w:val="Compact"/>
              <w:jc w:val="left"/>
            </w:pPr>
            <w:r>
              <w:t xml:space="preserve">96 Personen mit STEMI nach Katheterbehandlung, RCT gegen Placebo</w:t>
            </w:r>
          </w:p>
        </w:tc>
        <w:tc>
          <w:tcPr/>
          <w:p>
            <w:pPr>
              <w:pStyle w:val="Compact"/>
              <w:jc w:val="left"/>
            </w:pPr>
            <w:r>
              <w:t xml:space="preserve">90 Tage</w:t>
            </w:r>
          </w:p>
        </w:tc>
        <w:tc>
          <w:tcPr/>
          <w:p>
            <w:pPr>
              <w:pStyle w:val="Compact"/>
              <w:jc w:val="left"/>
            </w:pPr>
            <w:r>
              <w:t xml:space="preserve">insgesamt kein signifikanter Unterschied der Infarktgröße; Vorteil nur in der Untergruppe mit Gabe binnen 8 Stunden (n = 43)</w:t>
            </w:r>
          </w:p>
        </w:tc>
      </w:tr>
      <w:tr>
        <w:tc>
          <w:tcPr/>
          <w:p>
            <w:pPr>
              <w:pStyle w:val="Compact"/>
              <w:jc w:val="left"/>
            </w:pPr>
            <w:r>
              <w:t xml:space="preserve">Tβ4-vorbehandelte Stammzellen (Zhu 2016, PMID 27288307)</w:t>
            </w:r>
          </w:p>
        </w:tc>
        <w:tc>
          <w:tcPr/>
          <w:p>
            <w:pPr>
              <w:pStyle w:val="Compact"/>
              <w:jc w:val="left"/>
            </w:pPr>
            <w:r>
              <w:t xml:space="preserve">10 Personen mit Herzinfarkt, randomisierte Pilotstudie</w:t>
            </w:r>
          </w:p>
        </w:tc>
        <w:tc>
          <w:tcPr/>
          <w:p>
            <w:pPr>
              <w:pStyle w:val="Compact"/>
              <w:jc w:val="left"/>
            </w:pPr>
            <w:r>
              <w:t xml:space="preserve">6 Monate</w:t>
            </w:r>
          </w:p>
        </w:tc>
        <w:tc>
          <w:tcPr/>
          <w:p>
            <w:pPr>
              <w:pStyle w:val="Compact"/>
              <w:jc w:val="left"/>
            </w:pPr>
            <w:r>
              <w:t xml:space="preserve">Gehstrecke stärker verbessert; Tβ4 wurde nur den Zellen im Labor zugesetzt, nicht den Patienten gegeben</w:t>
            </w:r>
          </w:p>
        </w:tc>
      </w:tr>
    </w:tbl>
    <w:p>
      <w:pPr>
        <w:pStyle w:val="BodyText"/>
      </w:pPr>
      <w:r>
        <w:t xml:space="preserve">Die wichtigste Herzstudie ist die chinesische Studie mit 96 Infarktpatientinnen und -patienten. Über alle Teilnehmenden hinweg verringerte rekombinantes Tβ4 die Infarktgröße nach 90 Tagen nicht signifikant; ein Vorteil zeigte sich nur in der Untergruppe, die die erste Dosis innerhalb von acht Stunden erhielt (Zhang 2025, PMID 41229390). Untergruppen-Ergebnisse gelten als Hinweis, nicht als Beweis. Die Autoren fordern selbst weitere randomisierte Studien.</w:t>
      </w:r>
    </w:p>
    <w:bookmarkEnd w:id="363"/>
    <w:bookmarkStart w:id="364" w:name="haut-und-wunden"/>
    <w:p>
      <w:pPr>
        <w:pStyle w:val="Heading4"/>
      </w:pPr>
      <w:r>
        <w:t xml:space="preserve">Haut und Wunden</w:t>
      </w:r>
    </w:p>
    <w:p>
      <w:pPr>
        <w:pStyle w:val="FirstParagraph"/>
      </w:pPr>
      <w:r>
        <w:t xml:space="preserve">In den 2000er-Jahren prüfte RegeneRx ein Tβ4-Gel bei venösen Beingeschwüren, Druckgeschwüren und der erblichen Blasenbildungskrankheit Epidermolysis bullosa. Die Studie zu venösen Geschwüren randomisierte 73 Personen; die Sicherheit war mit Placebo vergleichbar, eine Wirkung ließ sich nur als Tendenz für eine mittlere Konzentration beschreiben (Guarnera 2010, PMID 20536470). Die Studie zur Epidermolysis bullosa wurde vorzeitig beendet (NCT00311766). Keine dieser Studien führte zu einer Zulassung.</w:t>
      </w:r>
    </w:p>
    <w:bookmarkEnd w:id="364"/>
    <w:bookmarkStart w:id="365" w:name="tb-500-am-menschen"/>
    <w:p>
      <w:pPr>
        <w:pStyle w:val="Heading4"/>
      </w:pPr>
      <w:r>
        <w:t xml:space="preserve">TB-500 am Menschen</w:t>
      </w:r>
    </w:p>
    <w:p>
      <w:pPr>
        <w:pStyle w:val="FirstParagraph"/>
      </w:pPr>
      <w:r>
        <w:t xml:space="preserve">Für das Fragment TB-500 gibt es keine veröffentlichte Humanstudie. Ein 2026 eingetragener Registereintrag zu TB-500 bei Herz-Kreislauf-Erkrankung (NCT07487363) bezeichnet sich in seiner eigenen Beschreibung als „fiktives“ Beispiel eines Registereintrags; er ist daher nicht als echte Studie zu werten. Die einzige Humanveröffentlichung, die Tβ4 bei Gelenkbeschwerden erwähnt, ist eine rückblickende Telefonbefragung, in der vier Personen BPC-157 zusammen mit Tβ4 ins Knie gespritzt bekamen (Lee 2021, PMID 34324435) – zu wenig für irgendeine Aussage.</w:t>
      </w:r>
    </w:p>
    <w:bookmarkEnd w:id="365"/>
    <w:bookmarkEnd w:id="366"/>
    <w:bookmarkStart w:id="367" w:name="tier--und-laborstudien-16"/>
    <w:p>
      <w:pPr>
        <w:pStyle w:val="Heading3"/>
      </w:pPr>
      <w:r>
        <w:t xml:space="preserve">Tier- und Laborstudien</w:t>
      </w:r>
    </w:p>
    <w:p>
      <w:pPr>
        <w:pStyle w:val="FirstParagraph"/>
      </w:pPr>
      <w:r>
        <w:t xml:space="preserve">Der Ruf von Tβ4 als „Reparaturpeptid“ stammt vor allem aus zwei Arbeiten in der Fachzeitschrift Nature. Bei Mäusen mit künstlich ausgelöstem Herzinfarkt verbesserte Tβ4 das Überleben von Herzmuskelzellen und die Herzfunktion (Bock-Marquette 2004, PMID 15565145). Eine Folgearbeit zeigte bei Mäusen, dass Tβ4 Vorläuferzellen der Herzaußenhaut aktiviert und die Bildung neuer Gefäße anregt (Smart 2007, PMID 17108969). Eine unabhängige Gruppe konnte allerdings nicht bestätigen, dass Tβ4 nach einem Infarkt aus diesen Zellen neue Herzmuskelzellen entstehen lässt (Kispert 2012, PMID 22019445) – ein Beispiel dafür, wie wichtig unabhängige Wiederholungen sind.</w:t>
      </w:r>
    </w:p>
    <w:p>
      <w:pPr>
        <w:pStyle w:val="BodyText"/>
      </w:pPr>
      <w:r>
        <w:t xml:space="preserve">Weitere Tier- und Laborbefunde betreffen Haut, Hornhaut, Gehirn, Niere und Leber. Bei Ratten verbesserte Tβ4 die Haltbarkeit von Hautlappen (Tao 2024, PMID 38757041), bei Mäusen die Knochenbruchheilung (Brady 2014, PMID 25042765). Für Sehnen, Bänder und Muskeln – also genau die Einsatzgebiete, für die TB-500 im Internet beworben wird – gibt es nur Zell- und Nagetierdaten (Tham 2026, PMID 42937313). Eine Rattenstudie von 2026 fand nach Durchtrennung der Achillessehne bei 32 Tieren eine höhere Reißfestigkeit und bessere Gewebestruktur in der TB-500-Gruppe als in der Kontrollgruppe (Biçer 2026, PMID 42542926). Das ist eine der wenigen Tierstudien mit dem tatsächlich verkauften Fragment.</w:t>
      </w:r>
    </w:p>
    <w:bookmarkEnd w:id="367"/>
    <w:bookmarkStart w:id="371" w:name="risiken-und-nebenwirkungen-16"/>
    <w:p>
      <w:pPr>
        <w:pStyle w:val="Heading3"/>
      </w:pPr>
      <w:r>
        <w:t xml:space="preserve">Risiken und Nebenwirkungen</w:t>
      </w:r>
    </w:p>
    <w:bookmarkStart w:id="368" w:name="belegt-thymosin-beta-4"/>
    <w:p>
      <w:pPr>
        <w:pStyle w:val="Heading4"/>
      </w:pPr>
      <w:r>
        <w:t xml:space="preserve">Belegt (Thymosin Beta-4)</w:t>
      </w:r>
    </w:p>
    <w:p>
      <w:pPr>
        <w:pStyle w:val="FirstParagraph"/>
      </w:pPr>
      <w:r>
        <w:t xml:space="preserve">In den randomisierten Studien mit Augentropfen, Gel und Infusion war Tβ4 gut verträglich. Bei 40 Gesunden traten unter Infusionen bis zu 1.260 mg täglich über 14 Tage keine dosisbegrenzenden Nebenwirkungen auf (Ruff 2010, PMID 20536472). In der chinesischen Phase-1-Studie waren die Nebenwirkungen leicht bis mittel (Wang 2021, PMID 34346165). Diese Studien sind allerdings kurz, und sie betreffen das ganze Eiweiß in Arzneimittelqualität – nicht Graumarkt-Produkte.</w:t>
      </w:r>
    </w:p>
    <w:bookmarkEnd w:id="368"/>
    <w:bookmarkStart w:id="369" w:name="theoretisch-krebs"/>
    <w:p>
      <w:pPr>
        <w:pStyle w:val="Heading4"/>
      </w:pPr>
      <w:r>
        <w:t xml:space="preserve">Theoretisch: Krebs</w:t>
      </w:r>
    </w:p>
    <w:p>
      <w:pPr>
        <w:pStyle w:val="FirstParagraph"/>
      </w:pPr>
      <w:r>
        <w:t xml:space="preserve">Tβ4 fördert Zellwanderung und Gefäßneubildung – zwei Eigenschaften, die auch Tumoren für Wachstum und Streuung nutzen. In Gewebeproben von 138 Blasenkrebs-Patientinnen und -Patienten war eine starke Tβ4-Bildung mit fortgeschrittenem Stadium, Lymphknotenbefall und kürzerem Überleben verbunden (Wang 2016, PMID 27596300). In Kulturen von Brustkrebszellen erhöhte zugesetztes Tβ4 die Zellzahl (Larsson 2007, PMID 17495241). Solche Zusammenhänge beweisen nicht, dass von außen zugeführtes Tβ4 Krebs auslöst. Sie sind aber ein Grund, warum Fachleute bei Menschen mit Krebserkrankung oder erhöhtem Krebsrisiko zur Vorsicht raten. Langzeitdaten fehlen. Teil IV behandelt das Thema ausführlich.</w:t>
      </w:r>
    </w:p>
    <w:bookmarkEnd w:id="369"/>
    <w:bookmarkStart w:id="370" w:name="graumarkt"/>
    <w:p>
      <w:pPr>
        <w:pStyle w:val="Heading4"/>
      </w:pPr>
      <w:r>
        <w:t xml:space="preserve">Graumarkt</w:t>
      </w:r>
    </w:p>
    <w:p>
      <w:pPr>
        <w:pStyle w:val="FirstParagraph"/>
      </w:pPr>
      <w:r>
        <w:t xml:space="preserve">Was als „TB-500“ verkauft wird, enthält nicht verlässlich das, was auf dem Etikett steht. Ein Pferdedoping-Labor analysierte im Internet angebotene Produkte und fand, dass der Inhalt von „TB500“ und „TB1000“ nicht durchgehend der deklarierten Zusammensetzung entsprach (Delcourt 2023, PMID 36482504). Manche Produkte enthalten das Fragment, andere womöglich das ganze Tβ4, wieder andere Verunreinigungen. Dazu kommen die bekannten Risiken unsteriler Injektionen. Dass Pferdedoping-Labore schon 2012 Nachweisverfahren für TB-500 entwickelten (Ho 2012, PMID 23084823), zeigt, aus welcher Ecke das Produkt stammt: aus dem Tierbereich, nicht aus der Humanmedizin.</w:t>
      </w:r>
    </w:p>
    <w:bookmarkEnd w:id="370"/>
    <w:bookmarkEnd w:id="371"/>
    <w:bookmarkStart w:id="372" w:name="rechtslage-16"/>
    <w:p>
      <w:pPr>
        <w:pStyle w:val="Heading3"/>
      </w:pPr>
      <w:r>
        <w:t xml:space="preserve">Rechtslage</w:t>
      </w:r>
    </w:p>
    <w:p>
      <w:pPr>
        <w:pStyle w:val="FirstParagraph"/>
      </w:pPr>
      <w:r>
        <w:rPr>
          <w:iCs/>
          <w:i/>
        </w:rPr>
        <w:t xml:space="preserve">Stand 2026, bitte aktuell prüfen.</w:t>
      </w:r>
    </w:p>
    <w:p>
      <w:pPr>
        <w:numPr>
          <w:ilvl w:val="0"/>
          <w:numId w:val="1121"/>
        </w:numPr>
        <w:pStyle w:val="Compact"/>
      </w:pPr>
      <w:r>
        <w:rPr>
          <w:bCs/>
          <w:b/>
        </w:rPr>
        <w:t xml:space="preserve">EU, Deutschland, Österreich:</w:t>
      </w:r>
      <w:r>
        <w:t xml:space="preserve"> </w:t>
      </w:r>
      <w:r>
        <w:t xml:space="preserve">weder Tβ4 noch TB-500 ist als Arzneimittel zugelassen. Die Abgabe zur Anwendung am Menschen ist nicht erlaubt; Produkte mit dem Hinweis „nur für Forschungszwecke“ ändern daran nichts.</w:t>
      </w:r>
    </w:p>
    <w:p>
      <w:pPr>
        <w:numPr>
          <w:ilvl w:val="0"/>
          <w:numId w:val="1121"/>
        </w:numPr>
        <w:pStyle w:val="Compact"/>
      </w:pPr>
      <w:r>
        <w:rPr>
          <w:bCs/>
          <w:b/>
        </w:rPr>
        <w:t xml:space="preserve">USA:</w:t>
      </w:r>
      <w:r>
        <w:t xml:space="preserve"> </w:t>
      </w:r>
      <w:r>
        <w:t xml:space="preserve">keine FDA-Zulassung. Nach Kenntnis des Autors ordnete die FDA 2023 das Tβ4-Fragment (TB-500) wie BPC-157 der Kategorie 2 der Rezeptur-Ausgangsstoffe zu, also den Stoffen mit erheblichen Sicherheitsbedenken; die Bewertung von Peptiden für die Rezepturherstellung wird derzeit kontrovers diskutiert (Willis 2026, PMID 42752426).</w:t>
      </w:r>
    </w:p>
    <w:p>
      <w:pPr>
        <w:numPr>
          <w:ilvl w:val="0"/>
          <w:numId w:val="1121"/>
        </w:numPr>
        <w:pStyle w:val="Compact"/>
      </w:pPr>
      <w:r>
        <w:rPr>
          <w:bCs/>
          <w:b/>
        </w:rPr>
        <w:t xml:space="preserve">WADA:</w:t>
      </w:r>
      <w:r>
        <w:t xml:space="preserve"> </w:t>
      </w:r>
      <w:r>
        <w:t xml:space="preserve">Tβ4 und seine Derivate wie TB-500 sind ausdrücklich in der Klasse S2 (Peptidhormone, Wachstumsfaktoren) verboten, im und außerhalb des Wettkampfs. Auch im Pferdesport ist es verboten (Delcourt 2025, PMID 39314109).</w:t>
      </w:r>
    </w:p>
    <w:bookmarkEnd w:id="372"/>
    <w:bookmarkStart w:id="373" w:name="laufende-studien-und-ausblick-16"/>
    <w:p>
      <w:pPr>
        <w:pStyle w:val="Heading3"/>
      </w:pPr>
      <w:r>
        <w:t xml:space="preserve">Laufende Studien und Ausblick</w:t>
      </w:r>
    </w:p>
    <w:p>
      <w:pPr>
        <w:pStyle w:val="FirstParagraph"/>
      </w:pPr>
      <w:r>
        <w:rPr>
          <w:bCs/>
          <w:b/>
        </w:rPr>
        <w:t xml:space="preserve">Gesichert (laut Register):</w:t>
      </w:r>
    </w:p>
    <w:p>
      <w:pPr>
        <w:numPr>
          <w:ilvl w:val="0"/>
          <w:numId w:val="1122"/>
        </w:numPr>
        <w:pStyle w:val="Compact"/>
      </w:pPr>
      <w:r>
        <w:rPr>
          <w:bCs/>
          <w:b/>
        </w:rPr>
        <w:t xml:space="preserve">SEER-2 (NCT05555589):</w:t>
      </w:r>
      <w:r>
        <w:t xml:space="preserve"> </w:t>
      </w:r>
      <w:r>
        <w:t xml:space="preserve">Phase-3-Studie mit RGN-259-Augentropfen bei neurotropher Keratopathie, geplant 70 Personen, rekrutierend, Studienende laut Register geschätzt Mai 2026. Ergebnisse waren im Oktober 2026 nicht veröffentlicht.</w:t>
      </w:r>
    </w:p>
    <w:p>
      <w:pPr>
        <w:numPr>
          <w:ilvl w:val="0"/>
          <w:numId w:val="1122"/>
        </w:numPr>
        <w:pStyle w:val="Compact"/>
      </w:pPr>
      <w:r>
        <w:rPr>
          <w:bCs/>
          <w:b/>
        </w:rPr>
        <w:t xml:space="preserve">NL005 bei Herzinfarkt (NCT07586865):</w:t>
      </w:r>
      <w:r>
        <w:t xml:space="preserve"> </w:t>
      </w:r>
      <w:r>
        <w:t xml:space="preserve">chinesische Phase-2c-Studie mit rekombinantem Tβ4, geplant 189 Personen, Hauptzielgröße Infarktgröße im Herz-MRT nach 90 Tagen; noch nicht rekrutierend, Ende geschätzt 2028. Zwei vorangegangene Phase-2-Studien desselben Herstellers mit 62 und 90 Personen sind laut Register abgeschlossen (NCT05485818; NCT05984134).</w:t>
      </w:r>
    </w:p>
    <w:p>
      <w:pPr>
        <w:numPr>
          <w:ilvl w:val="0"/>
          <w:numId w:val="1122"/>
        </w:numPr>
        <w:pStyle w:val="Compact"/>
      </w:pPr>
      <w:r>
        <w:rPr>
          <w:bCs/>
          <w:b/>
        </w:rPr>
        <w:t xml:space="preserve">TB-500:</w:t>
      </w:r>
      <w:r>
        <w:t xml:space="preserve"> </w:t>
      </w:r>
      <w:r>
        <w:t xml:space="preserve">keine glaubwürdige registrierte Humanstudie.</w:t>
      </w:r>
    </w:p>
    <w:p>
      <w:pPr>
        <w:pStyle w:val="FirstParagraph"/>
      </w:pPr>
      <w:r>
        <w:rPr>
          <w:bCs/>
          <w:b/>
        </w:rPr>
        <w:t xml:space="preserve">Einschätzung des Autors:</w:t>
      </w:r>
      <w:r>
        <w:t xml:space="preserve"> </w:t>
      </w:r>
      <w:r>
        <w:t xml:space="preserve">Die realistischste Chance auf eine Zulassung hat Tβ4 als Augentropfen bei der seltenen neurotrophen Keratopathie, wo schon kleine Studien für eine Zulassung als Arzneimittel für seltene Leiden genügen können – falls SEER-2 positiv ausfällt. Beim trockenen Auge sprechen die großen Phase-3-Daten gegen einen klinisch relevanten Nutzen. Beim Herzinfarkt hängt alles an der laufenden chinesischen Studie. Für TB-500 als Mittel zur Sehnen- und Muskelheilung ist auf absehbare Zeit keine seriöse Humanforschung in Sicht.</w:t>
      </w:r>
    </w:p>
    <w:bookmarkEnd w:id="373"/>
    <w:bookmarkStart w:id="374" w:name="fazit-16"/>
    <w:p>
      <w:pPr>
        <w:pStyle w:val="Heading3"/>
      </w:pPr>
      <w:r>
        <w:t xml:space="preserve">Fazit</w:t>
      </w:r>
    </w:p>
    <w:p>
      <w:pPr>
        <w:pStyle w:val="FirstParagraph"/>
      </w:pPr>
      <w:r>
        <w:t xml:space="preserve">Thymosin Beta-4 ist ein körpereigenes Peptid, das in randomisierten Studien als Augentropfen und Infusion gut verträglich war, dessen Nutzen sich in den großen Studien beim trockenen Auge aber nicht bestätigte und bei Herzinfarkt bisher nur in einer Untergruppe andeutete (Zhang 2025, PMID 41229390). TB-500 ist etwas anderes: ein verändertes Bruchstück, das nie in einer veröffentlichten Humanstudie geprüft wurde und dessen Graumarkt-Produkte nachweislich nicht immer enthalten, was angegeben ist. Die Werbung für TB-500 stützt sich auf Studien mit dem ganzen Eiweiß – und auch diese betreffen kaum Sehnen, Bänder oder Muskeln. Für Sportlerinnen und Sportler sind beide Stoffe verboten.</w:t>
      </w:r>
    </w:p>
    <w:bookmarkEnd w:id="374"/>
    <w:bookmarkEnd w:id="375"/>
    <w:bookmarkStart w:id="392" w:name="thymosin-alpha-1-thymalfasin"/>
    <w:p>
      <w:pPr>
        <w:pStyle w:val="Heading2"/>
      </w:pPr>
      <w:r>
        <w:t xml:space="preserve">Thymosin Alpha-1 (Thymalfasin)</w:t>
      </w:r>
    </w:p>
    <w:p>
      <w:pPr>
        <w:pStyle w:val="FirstParagraph"/>
      </w:pPr>
      <w:r>
        <w:t xml:space="preserve">Thymosin Alpha-1 ist in dieser Gruppe ein Sonderfall. Anders als BPC-157 oder TB-500 ist es in einer Reihe von Ländern ein zugelassenes Arzneimittel (Handelsname Zadaxin), es wurde in Dutzenden randomisierten Studien an tausenden Menschen geprüft, und in China gehört es in manchen Kliniken zum Alltag. Gleichzeitig zeigt gerade dieses Peptid, wie sich ein Bild verändert, wenn kleine, ältere Studien von großen, sorgfältig gemachten abgelöst werden. In Europa und den USA ist es nicht zugelassen, wird aber in der „Longevity“- und Biohacking-Szene als Immun-Booster vermarktet.</w:t>
      </w:r>
    </w:p>
    <w:bookmarkStart w:id="376" w:name="steckbrief-17"/>
    <w:p>
      <w:pPr>
        <w:pStyle w:val="Heading3"/>
      </w:pPr>
      <w:r>
        <w:t xml:space="preserve">Steckbrief</w:t>
      </w:r>
    </w:p>
    <w:p>
      <w:pPr>
        <w:numPr>
          <w:ilvl w:val="0"/>
          <w:numId w:val="1123"/>
        </w:numPr>
        <w:pStyle w:val="Compact"/>
      </w:pPr>
      <w:r>
        <w:rPr>
          <w:bCs/>
          <w:b/>
        </w:rPr>
        <w:t xml:space="preserve">Art und Struktur:</w:t>
      </w:r>
      <w:r>
        <w:t xml:space="preserve"> </w:t>
      </w:r>
      <w:r>
        <w:t xml:space="preserve">Peptid aus 28 Aminosäuren, am Anfang acetyliert (Iino 2005, PMID 15850471); Bruchstück des größeren Eiweißes Prothymosin alpha.</w:t>
      </w:r>
    </w:p>
    <w:p>
      <w:pPr>
        <w:numPr>
          <w:ilvl w:val="0"/>
          <w:numId w:val="1123"/>
        </w:numPr>
        <w:pStyle w:val="Compact"/>
      </w:pPr>
      <w:r>
        <w:rPr>
          <w:bCs/>
          <w:b/>
        </w:rPr>
        <w:t xml:space="preserve">Herkunft:</w:t>
      </w:r>
      <w:r>
        <w:t xml:space="preserve"> </w:t>
      </w:r>
      <w:r>
        <w:t xml:space="preserve">in den 1970er-Jahren aus einem Extrakt der Thymusdrüse („Thymosin-Fraktion 5“) isoliert; heute chemisch synthetisiert. Wirkstoffname Thymalfasin.</w:t>
      </w:r>
    </w:p>
    <w:p>
      <w:pPr>
        <w:numPr>
          <w:ilvl w:val="0"/>
          <w:numId w:val="1123"/>
        </w:numPr>
        <w:pStyle w:val="Compact"/>
      </w:pPr>
      <w:r>
        <w:rPr>
          <w:bCs/>
          <w:b/>
        </w:rPr>
        <w:t xml:space="preserve">Wirkprinzip:</w:t>
      </w:r>
      <w:r>
        <w:t xml:space="preserve"> </w:t>
      </w:r>
      <w:r>
        <w:t xml:space="preserve">Immunmodulator – soll die Reifung und Aktivität von T-Zellen und dendritischen Zellen fördern.</w:t>
      </w:r>
    </w:p>
    <w:p>
      <w:pPr>
        <w:numPr>
          <w:ilvl w:val="0"/>
          <w:numId w:val="1123"/>
        </w:numPr>
        <w:pStyle w:val="Compact"/>
      </w:pPr>
      <w:r>
        <w:rPr>
          <w:bCs/>
          <w:b/>
        </w:rPr>
        <w:t xml:space="preserve">Zulassung EU:</w:t>
      </w:r>
      <w:r>
        <w:t xml:space="preserve"> </w:t>
      </w:r>
      <w:r>
        <w:t xml:space="preserve">keine zentrale Zulassung.</w:t>
      </w:r>
      <w:r>
        <w:t xml:space="preserve"> </w:t>
      </w:r>
      <w:r>
        <w:rPr>
          <w:bCs/>
          <w:b/>
        </w:rPr>
        <w:t xml:space="preserve">USA:</w:t>
      </w:r>
      <w:r>
        <w:t xml:space="preserve"> </w:t>
      </w:r>
      <w:r>
        <w:t xml:space="preserve">nicht zugelassen; die FDA schränkte 2023 die Verwendung in Rezepturapotheken ein (Dinetz 2024, PMID 38308608).</w:t>
      </w:r>
      <w:r>
        <w:t xml:space="preserve"> </w:t>
      </w:r>
      <w:r>
        <w:rPr>
          <w:bCs/>
          <w:b/>
        </w:rPr>
        <w:t xml:space="preserve">Andere Länder:</w:t>
      </w:r>
      <w:r>
        <w:t xml:space="preserve"> </w:t>
      </w:r>
      <w:r>
        <w:t xml:space="preserve">als Zadaxin zugelassen, vor allem in China und weiteren asiatischen Staaten, meist für chronische Hepatitis B und als Begleittherapie zur Stärkung des Immunsystems.</w:t>
      </w:r>
    </w:p>
    <w:p>
      <w:pPr>
        <w:numPr>
          <w:ilvl w:val="0"/>
          <w:numId w:val="1123"/>
        </w:numPr>
        <w:pStyle w:val="Compact"/>
      </w:pPr>
      <w:r>
        <w:rPr>
          <w:bCs/>
          <w:b/>
        </w:rPr>
        <w:t xml:space="preserve">WADA:</w:t>
      </w:r>
      <w:r>
        <w:t xml:space="preserve"> </w:t>
      </w:r>
      <w:r>
        <w:t xml:space="preserve">nicht ausdrücklich gelistet (Stand 2026, bitte aktuell prüfen).</w:t>
      </w:r>
    </w:p>
    <w:p>
      <w:pPr>
        <w:numPr>
          <w:ilvl w:val="0"/>
          <w:numId w:val="1123"/>
        </w:numPr>
        <w:pStyle w:val="Compact"/>
      </w:pPr>
      <w:r>
        <w:rPr>
          <w:bCs/>
          <w:b/>
        </w:rPr>
        <w:t xml:space="preserve">Evidenzstufe: B</w:t>
      </w:r>
      <w:r>
        <w:t xml:space="preserve"> </w:t>
      </w:r>
      <w:r>
        <w:t xml:space="preserve">– formal liegen viele randomisierte Studien vor; die großen, methodisch besten Studien verfehlten aber ihre Hauptzielgrößen, und die positiven Ergebnisse stammen überwiegend aus kleinen Studien mit hohem Verzerrungsrisiko.</w:t>
      </w:r>
    </w:p>
    <w:bookmarkEnd w:id="376"/>
    <w:bookmarkStart w:id="377" w:name="wie-es-wirken-soll-17"/>
    <w:p>
      <w:pPr>
        <w:pStyle w:val="Heading3"/>
      </w:pPr>
      <w:r>
        <w:t xml:space="preserve">Wie es wirken soll</w:t>
      </w:r>
    </w:p>
    <w:p>
      <w:pPr>
        <w:pStyle w:val="FirstParagraph"/>
      </w:pPr>
      <w:r>
        <w:t xml:space="preserve">Die Thymusdrüse hinter dem Brustbein ist die „Schule“ der T-Zellen: Hier lernen diese weißen Blutkörperchen, Fremdes von Eigenem zu unterscheiden. Mit dem Alter schrumpft der Thymus. Schon früh vermutete man, dass Botenstoffe aus dem Thymus die Abwehr steuern, und suchte in Thymusextrakten nach ihnen. Thymosin Alpha-1 war einer der ersten so identifizierten Stoffe.</w:t>
      </w:r>
    </w:p>
    <w:p>
      <w:pPr>
        <w:pStyle w:val="BodyText"/>
      </w:pPr>
      <w:r>
        <w:t xml:space="preserve">In Labor- und Tierversuchen aktiviert Thymosin Alpha-1 dendritische Zellen – die „Späher“ des Immunsystems – über sogenannte Toll-like-Rezeptoren, erhöht die Ausprägung von Erkennungsmolekülen auf Zellen und verstärkt die Wirkung von Interferon (Garaci 2007, PMID 17600290). Daraus leiteten sich die drei großen Anwendungsideen ab:</w:t>
      </w:r>
    </w:p>
    <w:p>
      <w:pPr>
        <w:numPr>
          <w:ilvl w:val="0"/>
          <w:numId w:val="1124"/>
        </w:numPr>
        <w:pStyle w:val="Compact"/>
      </w:pPr>
      <w:r>
        <w:rPr>
          <w:bCs/>
          <w:b/>
        </w:rPr>
        <w:t xml:space="preserve">Chronische Virusinfektionen</w:t>
      </w:r>
      <w:r>
        <w:t xml:space="preserve"> </w:t>
      </w:r>
      <w:r>
        <w:t xml:space="preserve">(Hepatitis B und C), bei denen das Immunsystem das Virus nicht aus eigener Kraft beseitigt.</w:t>
      </w:r>
    </w:p>
    <w:p>
      <w:pPr>
        <w:numPr>
          <w:ilvl w:val="0"/>
          <w:numId w:val="1124"/>
        </w:numPr>
        <w:pStyle w:val="Compact"/>
      </w:pPr>
      <w:r>
        <w:rPr>
          <w:bCs/>
          <w:b/>
        </w:rPr>
        <w:t xml:space="preserve">Sepsis und schwere Infektionen</w:t>
      </w:r>
      <w:r>
        <w:t xml:space="preserve">, bei denen nach einer anfänglichen Überreaktion oft eine Phase der Immunschwäche folgt.</w:t>
      </w:r>
    </w:p>
    <w:p>
      <w:pPr>
        <w:numPr>
          <w:ilvl w:val="0"/>
          <w:numId w:val="1124"/>
        </w:numPr>
        <w:pStyle w:val="Compact"/>
      </w:pPr>
      <w:r>
        <w:rPr>
          <w:bCs/>
          <w:b/>
        </w:rPr>
        <w:t xml:space="preserve">Krebs</w:t>
      </w:r>
      <w:r>
        <w:t xml:space="preserve">, als Ergänzung zu Chemo-, Strahlen- und Immuntherapie.</w:t>
      </w:r>
    </w:p>
    <w:p>
      <w:pPr>
        <w:pStyle w:val="FirstParagraph"/>
      </w:pPr>
      <w:r>
        <w:t xml:space="preserve">Die Halbwertszeit im Blut beträgt etwa zwei Stunden, nach 24 Stunden ist der Spiegel wieder auf dem Ausgangswert (Ancell 2001, PMID 11381492).</w:t>
      </w:r>
    </w:p>
    <w:bookmarkEnd w:id="377"/>
    <w:bookmarkStart w:id="384" w:name="studien-am-menschen-17"/>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90</w:t>
      </w:r>
      <w:r>
        <w:t xml:space="preserve"> </w:t>
      </w:r>
      <w:r>
        <w:t xml:space="preserve">Humanstudien in PubMed und</w:t>
      </w:r>
      <w:r>
        <w:t xml:space="preserve"> </w:t>
      </w:r>
      <w:r>
        <w:rPr>
          <w:bCs/>
          <w:b/>
        </w:rPr>
        <w:t xml:space="preserve">66</w:t>
      </w:r>
      <w:r>
        <w:t xml:space="preserve"> </w:t>
      </w:r>
      <w:r>
        <w:t xml:space="preserve">Einträge bei ClinicalTrials.gov, dazu 15 Meta-Analysen und systematische Übersichten. Ein großer Teil der Studien stammt aus China und ist klein. Eine Übersicht von 2024, die über 30 Studien mit mehr als 11.000 Personen zusammenfasst, wurde ausdrücklich verfasst, um gegen die FDA-Einschränkung zu argumentieren (Dinetz 2024, PMID 38308608) – sie ist deshalb nicht als neutrale Bewertung zu lesen.</w:t>
      </w:r>
    </w:p>
    <w:bookmarkStart w:id="378" w:name="die-wichtigsten-großen-studien"/>
    <w:p>
      <w:pPr>
        <w:pStyle w:val="Heading4"/>
      </w:pPr>
      <w:r>
        <w:t xml:space="preserve">Die wichtigsten großen 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TESTS, Sepsis (Wu 2025, PMID 39814420)</w:t>
            </w:r>
          </w:p>
        </w:tc>
        <w:tc>
          <w:tcPr/>
          <w:p>
            <w:pPr>
              <w:pStyle w:val="Compact"/>
              <w:jc w:val="left"/>
            </w:pPr>
            <w:r>
              <w:t xml:space="preserve">1.106 Erwachsene mit Sepsis, 22 Zentren in China, doppelblinde RCT gegen Placebo</w:t>
            </w:r>
          </w:p>
        </w:tc>
        <w:tc>
          <w:tcPr/>
          <w:p>
            <w:pPr>
              <w:pStyle w:val="Compact"/>
              <w:jc w:val="left"/>
            </w:pPr>
            <w:r>
              <w:t xml:space="preserve">7 Tage Behandlung, 28 Tage Beobachtung</w:t>
            </w:r>
          </w:p>
        </w:tc>
        <w:tc>
          <w:tcPr/>
          <w:p>
            <w:pPr>
              <w:pStyle w:val="Compact"/>
              <w:jc w:val="left"/>
            </w:pPr>
            <w:r>
              <w:t xml:space="preserve">Sterblichkeit 23,4 % vs. 24,1 %; kein Unterschied</w:t>
            </w:r>
          </w:p>
        </w:tc>
      </w:tr>
      <w:tr>
        <w:tc>
          <w:tcPr/>
          <w:p>
            <w:pPr>
              <w:pStyle w:val="Compact"/>
              <w:jc w:val="left"/>
            </w:pPr>
            <w:r>
              <w:t xml:space="preserve">Nekrotisierende Pankreatitis (Ke 2022, PMID 35713670)</w:t>
            </w:r>
          </w:p>
        </w:tc>
        <w:tc>
          <w:tcPr/>
          <w:p>
            <w:pPr>
              <w:pStyle w:val="Compact"/>
              <w:jc w:val="left"/>
            </w:pPr>
            <w:r>
              <w:t xml:space="preserve">508 Personen, doppelblinde RCT gegen Placebo</w:t>
            </w:r>
          </w:p>
        </w:tc>
        <w:tc>
          <w:tcPr/>
          <w:p>
            <w:pPr>
              <w:pStyle w:val="Compact"/>
              <w:jc w:val="left"/>
            </w:pPr>
            <w:r>
              <w:t xml:space="preserve">14 Tage Behandlung</w:t>
            </w:r>
          </w:p>
        </w:tc>
        <w:tc>
          <w:tcPr/>
          <w:p>
            <w:pPr>
              <w:pStyle w:val="Compact"/>
              <w:jc w:val="left"/>
            </w:pPr>
            <w:r>
              <w:t xml:space="preserve">infizierte Nekrosen 15,7 % vs. 18,1 %; kein signifikanter Unterschied</w:t>
            </w:r>
          </w:p>
        </w:tc>
      </w:tr>
      <w:tr>
        <w:tc>
          <w:tcPr/>
          <w:p>
            <w:pPr>
              <w:pStyle w:val="Compact"/>
              <w:jc w:val="left"/>
            </w:pPr>
            <w:r>
              <w:t xml:space="preserve">Melanom (Maio 2010, PMID 20194853)</w:t>
            </w:r>
          </w:p>
        </w:tc>
        <w:tc>
          <w:tcPr/>
          <w:p>
            <w:pPr>
              <w:pStyle w:val="Compact"/>
              <w:jc w:val="left"/>
            </w:pPr>
            <w:r>
              <w:t xml:space="preserve">488 Personen mit metastasiertem Melanom, RCT mit 5 Gruppen</w:t>
            </w:r>
          </w:p>
        </w:tc>
        <w:tc>
          <w:tcPr/>
          <w:p>
            <w:pPr>
              <w:pStyle w:val="Compact"/>
              <w:jc w:val="left"/>
            </w:pPr>
            <w:r>
              <w:t xml:space="preserve">bis 24 Monate</w:t>
            </w:r>
          </w:p>
        </w:tc>
        <w:tc>
          <w:tcPr/>
          <w:p>
            <w:pPr>
              <w:pStyle w:val="Compact"/>
              <w:jc w:val="left"/>
            </w:pPr>
            <w:r>
              <w:t xml:space="preserve">mehr Tumoransprechen in zwei Tα1-Gruppen; Gesamtüberleben 9,4 vs. 6,6 Monate, nicht signifikant (p = 0,08)</w:t>
            </w:r>
          </w:p>
        </w:tc>
      </w:tr>
      <w:tr>
        <w:tc>
          <w:tcPr/>
          <w:p>
            <w:pPr>
              <w:pStyle w:val="Compact"/>
              <w:jc w:val="left"/>
            </w:pPr>
            <w:r>
              <w:t xml:space="preserve">Hepatitis-B-Zirrhose (Wu 2018, PMID 30063860)</w:t>
            </w:r>
          </w:p>
        </w:tc>
        <w:tc>
          <w:tcPr/>
          <w:p>
            <w:pPr>
              <w:pStyle w:val="Compact"/>
              <w:jc w:val="left"/>
            </w:pPr>
            <w:r>
              <w:t xml:space="preserve">690 Personen, offene RCT, Tα1 plus Entecavir vs. Entecavir allein</w:t>
            </w:r>
          </w:p>
        </w:tc>
        <w:tc>
          <w:tcPr/>
          <w:p>
            <w:pPr>
              <w:pStyle w:val="Compact"/>
              <w:jc w:val="left"/>
            </w:pPr>
            <w:r>
              <w:t xml:space="preserve">median 38,2 Monate</w:t>
            </w:r>
          </w:p>
        </w:tc>
        <w:tc>
          <w:tcPr/>
          <w:p>
            <w:pPr>
              <w:pStyle w:val="Compact"/>
              <w:jc w:val="left"/>
            </w:pPr>
            <w:r>
              <w:t xml:space="preserve">kein Unterschied bei Leberversagen, Leberkrebs oder Tod</w:t>
            </w:r>
          </w:p>
        </w:tc>
      </w:tr>
      <w:tr>
        <w:tc>
          <w:tcPr/>
          <w:p>
            <w:pPr>
              <w:pStyle w:val="Compact"/>
              <w:jc w:val="left"/>
            </w:pPr>
            <w:r>
              <w:t xml:space="preserve">Hepatitis B, Japan (Iino 2005, PMID 15850471)</w:t>
            </w:r>
          </w:p>
        </w:tc>
        <w:tc>
          <w:tcPr/>
          <w:p>
            <w:pPr>
              <w:pStyle w:val="Compact"/>
              <w:jc w:val="left"/>
            </w:pPr>
            <w:r>
              <w:t xml:space="preserve">316 Personen, Vergleich zweier Dosen, keine Placebogruppe</w:t>
            </w:r>
          </w:p>
        </w:tc>
        <w:tc>
          <w:tcPr/>
          <w:p>
            <w:pPr>
              <w:pStyle w:val="Compact"/>
              <w:jc w:val="left"/>
            </w:pPr>
            <w:r>
              <w:t xml:space="preserve">24 Wochen plus 48 Wochen</w:t>
            </w:r>
          </w:p>
        </w:tc>
        <w:tc>
          <w:tcPr/>
          <w:p>
            <w:pPr>
              <w:pStyle w:val="Compact"/>
              <w:jc w:val="left"/>
            </w:pPr>
            <w:r>
              <w:t xml:space="preserve">HBe-Antigen-Verlust bei 22,8 % in der höheren Dosis</w:t>
            </w:r>
          </w:p>
        </w:tc>
      </w:tr>
      <w:tr>
        <w:tc>
          <w:tcPr/>
          <w:p>
            <w:pPr>
              <w:pStyle w:val="Compact"/>
              <w:jc w:val="left"/>
            </w:pPr>
            <w:r>
              <w:t xml:space="preserve">Hepatitis B, Phase 3 (Mutchnick 1999, PMID 10607256)</w:t>
            </w:r>
          </w:p>
        </w:tc>
        <w:tc>
          <w:tcPr/>
          <w:p>
            <w:pPr>
              <w:pStyle w:val="Compact"/>
              <w:jc w:val="left"/>
            </w:pPr>
            <w:r>
              <w:t xml:space="preserve">97 Personen, doppelblinde RCT gegen Placebo</w:t>
            </w:r>
          </w:p>
        </w:tc>
        <w:tc>
          <w:tcPr/>
          <w:p>
            <w:pPr>
              <w:pStyle w:val="Compact"/>
              <w:jc w:val="left"/>
            </w:pPr>
            <w:r>
              <w:t xml:space="preserve">12 Monate</w:t>
            </w:r>
          </w:p>
        </w:tc>
        <w:tc>
          <w:tcPr/>
          <w:p>
            <w:pPr>
              <w:pStyle w:val="Compact"/>
              <w:jc w:val="left"/>
            </w:pPr>
            <w:r>
              <w:t xml:space="preserve">vollständiges Ansprechen 14 % vs. 4 %, nicht signifikant</w:t>
            </w:r>
          </w:p>
        </w:tc>
      </w:tr>
    </w:tbl>
    <w:bookmarkEnd w:id="378"/>
    <w:bookmarkStart w:id="379" w:name="hepatitis-b-und-c"/>
    <w:p>
      <w:pPr>
        <w:pStyle w:val="Heading4"/>
      </w:pPr>
      <w:r>
        <w:t xml:space="preserve">Hepatitis B und C</w:t>
      </w:r>
    </w:p>
    <w:p>
      <w:pPr>
        <w:pStyle w:val="FirstParagraph"/>
      </w:pPr>
      <w:r>
        <w:t xml:space="preserve">Die Zulassungen in Asien beruhen vor allem auf Studien zur chronischen Hepatitis B aus den 1990er-Jahren. Eine randomisierte Studie aus Taiwan mit 98 Personen fand 18 Monate nach Beginn ein vollständiges virologisches Ansprechen bei 40,6 Prozent nach sechsmonatiger Behandlung gegenüber 9,4 Prozent in der unbehandelten Kontrollgruppe (Chien 1998, PMID 9581695). Die doppelblinde, placebokontrollierte Phase-3-Studie aus den USA konnte das nicht bestätigen: 14 Prozent vs. 4 Prozent, statistisch nicht signifikant; die Autoren schreiben selbst, die Ergebnisse bestätigten frühere Beobachtungen nicht (Mutchnick 1999, PMID 10607256).</w:t>
      </w:r>
    </w:p>
    <w:p>
      <w:pPr>
        <w:pStyle w:val="BodyText"/>
      </w:pPr>
      <w:r>
        <w:t xml:space="preserve">Eine Meta-Analyse von vier kleinen Studien mit 199 Personen fand, dass Thymosin Alpha-1 am Behandlungsende schlechter, sechs Monate danach aber besser abschnitt als Interferon alpha (Yang 2008, PMID 18078676). Heute ist die Frage weitgehend überholt: Moderne Tabletten gegen Hepatitis B (etwa Entecavir) unterdrücken das Virus zuverlässig. In der großen Studie mit 690 Personen mit Leberzirrhose brachte die Zugabe von Thymosin Alpha-1 zu Entecavir keinen Vorteil beim Hauptendpunkt aus Leberdekompensation, Leberkrebs oder Tod (Wu 2018, PMID 30063860). Eine Meta-Analyse chinesischer Studien zur selben Kombination fand zwar bessere Ansprechraten nach 24 Wochen, nach 48 bis 52 Wochen aber keinen Unterschied mehr (Peng 2020, PMID 33076834).</w:t>
      </w:r>
    </w:p>
    <w:p>
      <w:pPr>
        <w:pStyle w:val="BodyText"/>
      </w:pPr>
      <w:r>
        <w:t xml:space="preserve">Bei einer besonders schweren Verlaufsform – dem akut-auf-chronischen Leberversagen bei Hepatitis B – lag das transplantationsfreie 90-Tage-Überleben in einer offenen chinesischen Studie mit 120 Personen unter Thymosin Alpha-1 bei 75,0 Prozent gegenüber 53,4 Prozent; neue Infektionen waren seltener (Chen 2022, PMID 35616850). Die Studie war nicht verblindet, und in einer Analyse, die konkurrierende Risiken berücksichtigte, war der Überlebensunterschied nicht signifikant.</w:t>
      </w:r>
    </w:p>
    <w:p>
      <w:pPr>
        <w:pStyle w:val="BodyText"/>
      </w:pPr>
      <w:r>
        <w:t xml:space="preserve">Bei Hepatitis C verbesserte die Kombination mit Interferon in kleineren Studien die Werte am Behandlungsende (Sherman 1998, PMID 9537454; Andreone 2004, PMID 14738560), das dauerhafte Ansprechen unterschied sich aber nicht wesentlich. Seit es direkt wirkende Tabletten gibt, die Hepatitis C in den allermeisten Fällen beseitigen, spielt Thymosin Alpha-1 hier keine Rolle mehr.</w:t>
      </w:r>
    </w:p>
    <w:bookmarkEnd w:id="379"/>
    <w:bookmarkStart w:id="380" w:name="sepsis"/>
    <w:p>
      <w:pPr>
        <w:pStyle w:val="Heading4"/>
      </w:pPr>
      <w:r>
        <w:t xml:space="preserve">Sepsis</w:t>
      </w:r>
    </w:p>
    <w:p>
      <w:pPr>
        <w:pStyle w:val="FirstParagraph"/>
      </w:pPr>
      <w:r>
        <w:t xml:space="preserve">An der Sepsis lässt sich die Entwicklung der Evidenz besonders gut zeigen. Frühe Meta-Analysen überwiegend kleiner chinesischer Studien fanden eine deutlich geringere Sterblichkeit (Li 2015, PMID 25532482: relatives Risiko 0,68 in 12 Studien mit 1.480 Personen), wiesen aber selbst auf die schlechte Qualität der Studien hin. Die erste größere randomisierte Studie (ETASS) mit 361 Personen fand eine 28-Tage-Sterblichkeit von 26,0 vs. 35,0 Prozent – knapp an der Grenze der statistischen Signifikanz, einfach verblindet (Wu 2013, PMID 23327199).</w:t>
      </w:r>
    </w:p>
    <w:p>
      <w:pPr>
        <w:pStyle w:val="BodyText"/>
      </w:pPr>
      <w:r>
        <w:t xml:space="preserve">Daraufhin plante dieselbe Arbeitsgruppe die bisher größte und beste Studie: TESTS, doppelblind, placebokontrolliert, 1.106 Erwachsene in 22 Zentren. Ergebnis: Die 28-Tage-Sterblichkeit betrug 23,4 Prozent unter Thymosin Alpha-1 und 24,1 Prozent unter Placebo – kein Unterschied. Auch keine Nebenzielgröße unterschied sich (Wu 2025, PMID 39814420). In Untergruppen deuteten sich bei über 60-Jährigen und Menschen mit Diabetes Vorteile, bei unter 60-Jährigen aber sogar Nachteile an – solche Untergruppenbefunde sind unsicher.</w:t>
      </w:r>
    </w:p>
    <w:p>
      <w:pPr>
        <w:pStyle w:val="BodyText"/>
      </w:pPr>
      <w:r>
        <w:t xml:space="preserve">Eine Meta-Analyse von 2025 mit 11 randomisierten Studien fand insgesamt eine niedrigere Sterblichkeit, aber nicht, wenn man nur die hochwertigen oder nur die Mehrzentrenstudien betrachtete; die verfügbare Datenmenge sei für eine abschließende Aussage zu klein (Gu 2025, PMID 40969554). Viele chinesische Studien kombinieren Thymosin Alpha-1 zudem mit Ulinastatin, einem weiteren in China verwendeten Mittel; Netzwerk-Meta-Analysen bewerten die Vertrauenswürdigkeit dieser Ergebnisse als überwiegend niedrig (Luo 2026, PMID 42205841).</w:t>
      </w:r>
    </w:p>
    <w:bookmarkEnd w:id="380"/>
    <w:bookmarkStart w:id="381" w:name="covid-19"/>
    <w:p>
      <w:pPr>
        <w:pStyle w:val="Heading4"/>
      </w:pPr>
      <w:r>
        <w:t xml:space="preserve">COVID-19</w:t>
      </w:r>
    </w:p>
    <w:p>
      <w:pPr>
        <w:pStyle w:val="FirstParagraph"/>
      </w:pPr>
      <w:r>
        <w:t xml:space="preserve">In der Pandemie wurde Thymosin Alpha-1 in China breit eingesetzt. Eine frühe rückblickende Auswertung von 76 schwer Erkrankten in Wuhan berichtete eine Sterblichkeit von 11,1 vs. 30,0 Prozent (Liu 2020, PMID 32442287). Eine größere rückblickende Studie in fünf Kliniken mit über 2.200 Personen fand das Gegenteil: Nach Berücksichtigung von Störfaktoren war die Behandlung mit einer höheren Rate an Nicht-Genesung verbunden (Liu 2021, PMID 34408744). Eine kleine randomisierte Pilotstudie in den USA mit 49 Personen fand schnellere Anstiege der T-Helferzellen, aber keinen signifikanten Unterschied bei der Genesung (Shehadeh 2023, PMID 36056913).</w:t>
      </w:r>
    </w:p>
    <w:p>
      <w:pPr>
        <w:pStyle w:val="BodyText"/>
      </w:pPr>
      <w:r>
        <w:t xml:space="preserve">Zwei Meta-Analysen kamen zu gegensätzlichen Schlüssen: Eine mit 9 Studien und 5.352 Personen fand keinen Effekt auf die Sterblichkeit und rät vom Einsatz bei hospitalisierten Erwachsenen ab (Shang 2023, PMID 36527881); eine andere mit 8 Studien fand eine geringere Sterblichkeit, bei allerdings sehr starker Uneinheitlichkeit der Studien (Soeroto 2023, PMID 37845598). Fast alle Daten stammen aus nicht randomisierten Beobachtungsstudien. Ein Nutzen bei COVID-19 ist damit nicht belegt.</w:t>
      </w:r>
    </w:p>
    <w:bookmarkEnd w:id="381"/>
    <w:bookmarkStart w:id="382" w:name="krebs"/>
    <w:p>
      <w:pPr>
        <w:pStyle w:val="Heading4"/>
      </w:pPr>
      <w:r>
        <w:t xml:space="preserve">Krebs</w:t>
      </w:r>
    </w:p>
    <w:p>
      <w:pPr>
        <w:pStyle w:val="FirstParagraph"/>
      </w:pPr>
      <w:r>
        <w:t xml:space="preserve">Die größte randomisierte Krebsstudie prüfte Thymosin Alpha-1 beim metastasierten Melanom zusätzlich zur Chemotherapie mit Dacarbazin. In zwei Tα1-Gruppen sprachen mehr Tumoren an als in der Kontrollgruppe (10 bzw. 12 vs. 4 Ansprechen); das mittlere Gesamtüberleben lag bei 9,4 gegenüber 6,6 Monaten, der Unterschied war aber nicht signifikant (Maio 2010, PMID 20194853). Eine Zulassung folgte nicht, und die Melanomtherapie hat sich seither durch Immun-Checkpoint-Hemmer grundlegend verändert.</w:t>
      </w:r>
    </w:p>
    <w:p>
      <w:pPr>
        <w:pStyle w:val="BodyText"/>
      </w:pPr>
      <w:r>
        <w:t xml:space="preserve">Meta-Analysen chinesischer Studien zu Lungen- und Magenkrebs berichten bessere Ansprechraten, bessere Lebensqualität und weniger Nebenwirkungen der Chemotherapie, wenn Thymuspeptide ergänzt wurden (Zeng 2019, PMID 31326719: 27 Studien, 1.925 Personen; Wang 2026, PMID 42827862: 20 Studien, 1.704 Personen). Beide Arbeiten bewerten die Qualität der eingeschlossenen Studien aber als gering bis sehr gering, und Daten zum Langzeitüberleben fehlen weitgehend. Eine Übersicht zu Krebsstudien von 2016 bis 2026 fand überwiegend rückblickende Beobachtungsstudien und Fallberichte aus China und eine uneinheitliche Erfassung von Nebenwirkungen (Kim 2026, PMID 42797537). Neuere Phase-2-Studien kombinieren Thymosin Alpha-1 mit Immun-Checkpoint-Hemmern, etwa vor der Operation von Magenkrebs mit 30 Personen (Xu 2026, PMID 41749205); ohne Kontrollgruppe lässt sich der Beitrag von Thymosin Alpha-1 daraus nicht ablesen.</w:t>
      </w:r>
    </w:p>
    <w:bookmarkEnd w:id="382"/>
    <w:bookmarkStart w:id="383" w:name="impfverstärkung"/>
    <w:p>
      <w:pPr>
        <w:pStyle w:val="Heading4"/>
      </w:pPr>
      <w:r>
        <w:t xml:space="preserve">Impfverstärkung</w:t>
      </w:r>
    </w:p>
    <w:p>
      <w:pPr>
        <w:pStyle w:val="FirstParagraph"/>
      </w:pPr>
      <w:r>
        <w:t xml:space="preserve">Schon 1989 erhielten 90 Männer zwischen 65 und 99 Jahren zusätzlich zur Grippeimpfung Thymosin Alpha-1 oder Placebo; Nebenwirkungen wurden nicht beobachtet (Gravenstein 1989, PMID 2642497). Diese Idee wird heute wieder aufgegriffen, etwa bei Dialysepatientinnen und -patienten im Zusammenhang mit COVID-19 (Tuthill 2023, PMID 36881981) und in einer laufenden Studie zur Auffrischimpfung bei älteren Menschen (NCT06821100). Belastbare Endpunktdaten – also weniger Erkrankungen oder Todesfälle – fehlen.</w:t>
      </w:r>
    </w:p>
    <w:bookmarkEnd w:id="383"/>
    <w:bookmarkEnd w:id="384"/>
    <w:bookmarkStart w:id="385" w:name="tier--und-laborstudien-17"/>
    <w:p>
      <w:pPr>
        <w:pStyle w:val="Heading3"/>
      </w:pPr>
      <w:r>
        <w:t xml:space="preserve">Tier- und Laborstudien</w:t>
      </w:r>
    </w:p>
    <w:p>
      <w:pPr>
        <w:pStyle w:val="FirstParagraph"/>
      </w:pPr>
      <w:r>
        <w:t xml:space="preserve">Da Thymosin Alpha-1 seit Jahrzehnten am Menschen untersucht wird, spielen Tierstudien für die Bewertung eine geringere Rolle. Wichtig waren sie für die Krebsidee: In Mausmodellen für Lungenkrebs, Leukämie und Melanom sowie in einem Rattenmodell für Lebermetastasen wirkte die Kombination von Thymosin Alpha-1 mit Interferon oder Interleukin-2 und Chemotherapie besser als die Einzelbehandlungen (Garaci 2007, PMID 17600290). Diese Befunde ließen sich am Menschen bisher nicht überzeugend wiederholen.</w:t>
      </w:r>
    </w:p>
    <w:bookmarkEnd w:id="385"/>
    <w:bookmarkStart w:id="388" w:name="risiken-und-nebenwirkungen-17"/>
    <w:p>
      <w:pPr>
        <w:pStyle w:val="Heading3"/>
      </w:pPr>
      <w:r>
        <w:t xml:space="preserve">Risiken und Nebenwirkungen</w:t>
      </w:r>
    </w:p>
    <w:bookmarkStart w:id="386" w:name="belegt-1"/>
    <w:p>
      <w:pPr>
        <w:pStyle w:val="Heading4"/>
      </w:pPr>
      <w:r>
        <w:t xml:space="preserve">Belegt</w:t>
      </w:r>
    </w:p>
    <w:p>
      <w:pPr>
        <w:pStyle w:val="FirstParagraph"/>
      </w:pPr>
      <w:r>
        <w:t xml:space="preserve">Thymosin Alpha-1 gilt in den Studien als gut verträglich. In den älteren Studien wurde meist nur eine örtliche Reizung an der Einstichstelle beobachtet (Ancell 2001, PMID 11381492). In der großen Sepsisstudie TESTS unterschieden sich die Sicherheitsendpunkte nicht von Placebo (Wu 2025, PMID 39814420). Bei Hepatitis B kam es teils zu Schwankungen der Leberwerte, die als Ausdruck der Immunreaktion gedeutet wurden (Iino 2005, PMID 15850471).</w:t>
      </w:r>
    </w:p>
    <w:bookmarkEnd w:id="386"/>
    <w:bookmarkStart w:id="387" w:name="zu-beachten"/>
    <w:p>
      <w:pPr>
        <w:pStyle w:val="Heading4"/>
      </w:pPr>
      <w:r>
        <w:t xml:space="preserve">Zu beachten</w:t>
      </w:r>
    </w:p>
    <w:p>
      <w:pPr>
        <w:numPr>
          <w:ilvl w:val="0"/>
          <w:numId w:val="1125"/>
        </w:numPr>
        <w:pStyle w:val="Compact"/>
      </w:pPr>
      <w:r>
        <w:rPr>
          <w:bCs/>
          <w:b/>
        </w:rPr>
        <w:t xml:space="preserve">Untergruppen mit möglichem Schaden:</w:t>
      </w:r>
      <w:r>
        <w:t xml:space="preserve"> </w:t>
      </w:r>
      <w:r>
        <w:t xml:space="preserve">In TESTS war die Sterblichkeit bei unter 60-Jährigen unter Thymosin Alpha-1 höher als unter Placebo (Hazard Ratio 1,67) (Wu 2025, PMID 39814420); bei COVID-19 war die Behandlung in einer großen Beobachtungsstudie mit schlechterem Verlauf verbunden (Liu 2021, PMID 34408744). Beides kann Zufall oder Verzerrung sein, zeigt aber, dass „harmloser Immun-Booster“ keine gesicherte Beschreibung ist.</w:t>
      </w:r>
    </w:p>
    <w:p>
      <w:pPr>
        <w:numPr>
          <w:ilvl w:val="0"/>
          <w:numId w:val="1125"/>
        </w:numPr>
        <w:pStyle w:val="Compact"/>
      </w:pPr>
      <w:r>
        <w:rPr>
          <w:bCs/>
          <w:b/>
        </w:rPr>
        <w:t xml:space="preserve">Autoimmunerkrankungen und Transplantation:</w:t>
      </w:r>
      <w:r>
        <w:t xml:space="preserve"> </w:t>
      </w:r>
      <w:r>
        <w:t xml:space="preserve">Ein Stoff, der das Immunsystem anregen soll, könnte theoretisch Autoimmunerkrankungen verstärken oder die Abstoßung transplantierter Organe begünstigen. Systematische Daten dazu fehlen.</w:t>
      </w:r>
    </w:p>
    <w:p>
      <w:pPr>
        <w:numPr>
          <w:ilvl w:val="0"/>
          <w:numId w:val="1125"/>
        </w:numPr>
        <w:pStyle w:val="Compact"/>
      </w:pPr>
      <w:r>
        <w:rPr>
          <w:bCs/>
          <w:b/>
        </w:rPr>
        <w:t xml:space="preserve">Kombination mit Immuntherapie:</w:t>
      </w:r>
      <w:r>
        <w:t xml:space="preserve"> </w:t>
      </w:r>
      <w:r>
        <w:t xml:space="preserve">Eine Übersichtsarbeit verweist auf einen Fallbericht, in dem unter einer Kombinationsbehandlung eine schwere Immunreaktion an mehreren Organen auftrat, ohne dass Thymosin Alpha-1 sicher als Ursache feststand (Kim 2026, PMID 42797537).</w:t>
      </w:r>
    </w:p>
    <w:p>
      <w:pPr>
        <w:numPr>
          <w:ilvl w:val="0"/>
          <w:numId w:val="1125"/>
        </w:numPr>
        <w:pStyle w:val="Compact"/>
      </w:pPr>
      <w:r>
        <w:rPr>
          <w:bCs/>
          <w:b/>
        </w:rPr>
        <w:t xml:space="preserve">Graumarkt:</w:t>
      </w:r>
      <w:r>
        <w:t xml:space="preserve"> </w:t>
      </w:r>
      <w:r>
        <w:t xml:space="preserve">Außerhalb der Länder mit Zulassung wird Thymosin Alpha-1 als „Forschungspeptid“ verkauft. Für diese Produkte gelten die Studien zu Zadaxin nicht – Reinheit, Gehalt und Sterilität sind unbekannt.</w:t>
      </w:r>
    </w:p>
    <w:bookmarkEnd w:id="387"/>
    <w:bookmarkEnd w:id="388"/>
    <w:bookmarkStart w:id="389" w:name="rechtslage-17"/>
    <w:p>
      <w:pPr>
        <w:pStyle w:val="Heading3"/>
      </w:pPr>
      <w:r>
        <w:t xml:space="preserve">Rechtslage</w:t>
      </w:r>
    </w:p>
    <w:p>
      <w:pPr>
        <w:pStyle w:val="FirstParagraph"/>
      </w:pPr>
      <w:r>
        <w:rPr>
          <w:iCs/>
          <w:i/>
        </w:rPr>
        <w:t xml:space="preserve">Stand 2026, bitte aktuell prüfen.</w:t>
      </w:r>
    </w:p>
    <w:p>
      <w:pPr>
        <w:numPr>
          <w:ilvl w:val="0"/>
          <w:numId w:val="1126"/>
        </w:numPr>
        <w:pStyle w:val="Compact"/>
      </w:pPr>
      <w:r>
        <w:rPr>
          <w:bCs/>
          <w:b/>
        </w:rPr>
        <w:t xml:space="preserve">EU, Deutschland, Österreich:</w:t>
      </w:r>
      <w:r>
        <w:t xml:space="preserve"> </w:t>
      </w:r>
      <w:r>
        <w:t xml:space="preserve">keine Zulassung als Arzneimittel. Eine Verordnung im Einzelfall über Einzelimport aus einem Land mit Zulassung kann nach nationalem Recht unter engen Voraussetzungen möglich sein; der Verkauf als „Research Peptide“ zur Anwendung am Menschen ist nicht erlaubt.</w:t>
      </w:r>
    </w:p>
    <w:p>
      <w:pPr>
        <w:numPr>
          <w:ilvl w:val="0"/>
          <w:numId w:val="1126"/>
        </w:numPr>
        <w:pStyle w:val="Compact"/>
      </w:pPr>
      <w:r>
        <w:rPr>
          <w:bCs/>
          <w:b/>
        </w:rPr>
        <w:t xml:space="preserve">USA:</w:t>
      </w:r>
      <w:r>
        <w:t xml:space="preserve"> </w:t>
      </w:r>
      <w:r>
        <w:t xml:space="preserve">keine FDA-Zulassung. 2023 nahm die FDA Thymosin Alpha-1 zusammen mit weiteren Peptiden in die Liste der Stoffe mit Sicherheitsbedenken für die Rezepturherstellung auf; Befürworter kritisieren das (Dinetz 2024, PMID 38308608). Die Einstufung von Peptiden wird im Beratungsgremium der FDA weiter diskutiert (Willis 2026, PMID 42752426).</w:t>
      </w:r>
    </w:p>
    <w:p>
      <w:pPr>
        <w:numPr>
          <w:ilvl w:val="0"/>
          <w:numId w:val="1126"/>
        </w:numPr>
        <w:pStyle w:val="Compact"/>
      </w:pPr>
      <w:r>
        <w:rPr>
          <w:bCs/>
          <w:b/>
        </w:rPr>
        <w:t xml:space="preserve">China und weitere Länder:</w:t>
      </w:r>
      <w:r>
        <w:t xml:space="preserve"> </w:t>
      </w:r>
      <w:r>
        <w:t xml:space="preserve">als Zadaxin bzw. Thymalfasin zugelassen; in China gibt es auch eine Reihe von Nachahmerpräparaten.</w:t>
      </w:r>
    </w:p>
    <w:p>
      <w:pPr>
        <w:numPr>
          <w:ilvl w:val="0"/>
          <w:numId w:val="1126"/>
        </w:numPr>
        <w:pStyle w:val="Compact"/>
      </w:pPr>
      <w:r>
        <w:rPr>
          <w:bCs/>
          <w:b/>
        </w:rPr>
        <w:t xml:space="preserve">WADA:</w:t>
      </w:r>
      <w:r>
        <w:t xml:space="preserve"> </w:t>
      </w:r>
      <w:r>
        <w:t xml:space="preserve">nicht ausdrücklich auf der Verbotsliste. Sportlerinnen und Sportler sollten sich dennoch vor einer Anwendung bei ihrer nationalen Anti-Doping-Agentur erkundigen.</w:t>
      </w:r>
    </w:p>
    <w:bookmarkEnd w:id="389"/>
    <w:bookmarkStart w:id="390" w:name="laufende-studien-und-ausblick-17"/>
    <w:p>
      <w:pPr>
        <w:pStyle w:val="Heading3"/>
      </w:pPr>
      <w:r>
        <w:t xml:space="preserve">Laufende Studien und Ausblick</w:t>
      </w:r>
    </w:p>
    <w:p>
      <w:pPr>
        <w:pStyle w:val="FirstParagraph"/>
      </w:pPr>
      <w:r>
        <w:rPr>
          <w:bCs/>
          <w:b/>
        </w:rPr>
        <w:t xml:space="preserve">Gesichert (laut Register):</w:t>
      </w:r>
    </w:p>
    <w:p>
      <w:pPr>
        <w:numPr>
          <w:ilvl w:val="0"/>
          <w:numId w:val="1127"/>
        </w:numPr>
        <w:pStyle w:val="Compact"/>
      </w:pPr>
      <w:r>
        <w:rPr>
          <w:bCs/>
          <w:b/>
        </w:rPr>
        <w:t xml:space="preserve">Darmkrebs nach Operation (NCT05086614):</w:t>
      </w:r>
      <w:r>
        <w:t xml:space="preserve"> </w:t>
      </w:r>
      <w:r>
        <w:t xml:space="preserve">Phase-3-Studie der Fudan-Universität in Shanghai, geplant 2.500 Personen mit Darmkrebs im Stadium II oder III, Hauptzielgröße krankheitsfreies Überleben nach drei Jahren; Ende geschätzt März 2027. Die Studie ist nur einfach verblindet.</w:t>
      </w:r>
    </w:p>
    <w:p>
      <w:pPr>
        <w:numPr>
          <w:ilvl w:val="0"/>
          <w:numId w:val="1127"/>
        </w:numPr>
        <w:pStyle w:val="Compact"/>
      </w:pPr>
      <w:r>
        <w:rPr>
          <w:bCs/>
          <w:b/>
        </w:rPr>
        <w:t xml:space="preserve">Krebs und Immuntherapie:</w:t>
      </w:r>
      <w:r>
        <w:t xml:space="preserve"> </w:t>
      </w:r>
      <w:r>
        <w:t xml:space="preserve">zahlreiche kleinere chinesische Phase-2-Studien, die Thymosin Alpha-1 mit Immun-Checkpoint-Hemmern und Chemo- oder Strahlentherapie kombinieren, zum Beispiel bei dreifach negativem Brustkrebs mit geplant 572 Personen (NCT07884201).</w:t>
      </w:r>
    </w:p>
    <w:p>
      <w:pPr>
        <w:numPr>
          <w:ilvl w:val="0"/>
          <w:numId w:val="1127"/>
        </w:numPr>
        <w:pStyle w:val="Compact"/>
      </w:pPr>
      <w:r>
        <w:rPr>
          <w:bCs/>
          <w:b/>
        </w:rPr>
        <w:t xml:space="preserve">Sepsis:</w:t>
      </w:r>
      <w:r>
        <w:t xml:space="preserve"> </w:t>
      </w:r>
      <w:r>
        <w:t xml:space="preserve">eine kleinere Studie zur Erholung der Immunfunktion bei 60 Personen (NCT07866118).</w:t>
      </w:r>
    </w:p>
    <w:p>
      <w:pPr>
        <w:numPr>
          <w:ilvl w:val="0"/>
          <w:numId w:val="1127"/>
        </w:numPr>
        <w:pStyle w:val="Compact"/>
      </w:pPr>
      <w:r>
        <w:rPr>
          <w:bCs/>
          <w:b/>
        </w:rPr>
        <w:t xml:space="preserve">Impfantwort bei Älteren (NCT06821100):</w:t>
      </w:r>
      <w:r>
        <w:t xml:space="preserve"> </w:t>
      </w:r>
      <w:r>
        <w:t xml:space="preserve">Phase 1, geplant 75 Personen.</w:t>
      </w:r>
    </w:p>
    <w:p>
      <w:pPr>
        <w:pStyle w:val="FirstParagraph"/>
      </w:pPr>
      <w:r>
        <w:rPr>
          <w:bCs/>
          <w:b/>
        </w:rPr>
        <w:t xml:space="preserve">Einschätzung des Autors:</w:t>
      </w:r>
      <w:r>
        <w:t xml:space="preserve"> </w:t>
      </w:r>
      <w:r>
        <w:t xml:space="preserve">Die große Darmkrebsstudie ist die wichtigste offene Frage. Fällt sie positiv aus, wäre das der erste große Beleg für einen Nutzen bei einer Krebserkrankung – wegen der fehlenden Doppelverblindung aber mit Vorbehalt. Bei Sepsis dürfte TESTS die Frage für die breite Anwendung vorerst beantwortet haben; künftige Studien werden sich auf Untergruppen mit nachgewiesener Immunschwäche konzentrieren. Eine Zulassung in der EU oder den USA ist in den nächsten Jahren nicht zu erwarten.</w:t>
      </w:r>
    </w:p>
    <w:bookmarkEnd w:id="390"/>
    <w:bookmarkStart w:id="391" w:name="fazit-17"/>
    <w:p>
      <w:pPr>
        <w:pStyle w:val="Heading3"/>
      </w:pPr>
      <w:r>
        <w:t xml:space="preserve">Fazit</w:t>
      </w:r>
    </w:p>
    <w:p>
      <w:pPr>
        <w:pStyle w:val="FirstParagraph"/>
      </w:pPr>
      <w:r>
        <w:t xml:space="preserve">Thymosin Alpha-1 ist das am besten untersuchte Peptid dieser Gruppe und in einigen Ländern ein zugelassenes Medikament. Die frühen, kleinen Studien wirkten vielversprechend, doch die großen, sorgfältig verblindeten Studien zeigten bei Sepsis (Wu 2025, PMID 39814420), schwerer Bauchspeicheldrüsenentzündung (Ke 2022, PMID 35713670) und Hepatitis-B-Zirrhose (Wu 2018, PMID 30063860) keinen Vorteil bei ihren Hauptzielgrößen. Bei COVID-19 und Krebs beruhen positive Aussagen überwiegend auf Beobachtungsstudien und Studien geringer Qualität. Das Peptid ist in Studien gut verträglich – ein belegter Nutzen als allgemeiner „Immun-Booster“ für Gesunde existiert aber nicht.</w:t>
      </w:r>
    </w:p>
    <w:bookmarkEnd w:id="391"/>
    <w:bookmarkEnd w:id="392"/>
    <w:bookmarkStart w:id="403" w:name="kpv"/>
    <w:p>
      <w:pPr>
        <w:pStyle w:val="Heading2"/>
      </w:pPr>
      <w:r>
        <w:t xml:space="preserve">KPV</w:t>
      </w:r>
    </w:p>
    <w:p>
      <w:pPr>
        <w:pStyle w:val="FirstParagraph"/>
      </w:pPr>
      <w:r>
        <w:t xml:space="preserve">KPV ist das kleinste Peptid dieses Buches: nur drei Aminosäuren lang. Im Internet wird es als entzündungshemmendes Mittel für Darm und Haut angeboten, oft als Kapsel oder Creme, manchmal zur Injektion. Die wissenschaftliche Grundlage dafür sind Zellversuche und Mausmodelle – Studien am Menschen gibt es nicht.</w:t>
      </w:r>
    </w:p>
    <w:bookmarkStart w:id="393" w:name="steckbrief-18"/>
    <w:p>
      <w:pPr>
        <w:pStyle w:val="Heading3"/>
      </w:pPr>
      <w:r>
        <w:t xml:space="preserve">Steckbrief</w:t>
      </w:r>
    </w:p>
    <w:p>
      <w:pPr>
        <w:numPr>
          <w:ilvl w:val="0"/>
          <w:numId w:val="1128"/>
        </w:numPr>
        <w:pStyle w:val="Compact"/>
      </w:pPr>
      <w:r>
        <w:rPr>
          <w:bCs/>
          <w:b/>
        </w:rPr>
        <w:t xml:space="preserve">Art und Struktur:</w:t>
      </w:r>
      <w:r>
        <w:t xml:space="preserve"> </w:t>
      </w:r>
      <w:r>
        <w:t xml:space="preserve">Tripeptid aus den Aminosäuren Lysin, Prolin und Valin (Lys-Pro-Val, daher KPV).</w:t>
      </w:r>
    </w:p>
    <w:p>
      <w:pPr>
        <w:numPr>
          <w:ilvl w:val="0"/>
          <w:numId w:val="1128"/>
        </w:numPr>
        <w:pStyle w:val="Compact"/>
      </w:pPr>
      <w:r>
        <w:rPr>
          <w:bCs/>
          <w:b/>
        </w:rPr>
        <w:t xml:space="preserve">Herkunft:</w:t>
      </w:r>
      <w:r>
        <w:t xml:space="preserve"> </w:t>
      </w:r>
      <w:r>
        <w:t xml:space="preserve">entspricht den letzten drei Aminosäuren (Position 11 bis 13) des körpereigenen Hormons Alpha-MSH (Alpha-Melanozyten-stimulierendes Hormon), das unter anderem an der Hautbräunung und an der Entzündungssteuerung beteiligt ist (Cutuli 2000, PMID 10670585).</w:t>
      </w:r>
    </w:p>
    <w:p>
      <w:pPr>
        <w:numPr>
          <w:ilvl w:val="0"/>
          <w:numId w:val="1128"/>
        </w:numPr>
        <w:pStyle w:val="Compact"/>
      </w:pPr>
      <w:r>
        <w:rPr>
          <w:bCs/>
          <w:b/>
        </w:rPr>
        <w:t xml:space="preserve">Wirkprinzip (vermutet, aus Labor- und Tierstudien):</w:t>
      </w:r>
      <w:r>
        <w:t xml:space="preserve"> </w:t>
      </w:r>
      <w:r>
        <w:t xml:space="preserve">Hemmung entzündungsfördernder Signalwege in Darm- und Immunzellen nach Aufnahme über den Peptidtransporter PepT1.</w:t>
      </w:r>
    </w:p>
    <w:p>
      <w:pPr>
        <w:numPr>
          <w:ilvl w:val="0"/>
          <w:numId w:val="1128"/>
        </w:numPr>
        <w:pStyle w:val="Compact"/>
      </w:pPr>
      <w:r>
        <w:rPr>
          <w:bCs/>
          <w:b/>
        </w:rPr>
        <w:t xml:space="preserve">Zulassung EU/USA:</w:t>
      </w:r>
      <w:r>
        <w:t xml:space="preserve"> </w:t>
      </w:r>
      <w:r>
        <w:t xml:space="preserve">nein.</w:t>
      </w:r>
    </w:p>
    <w:p>
      <w:pPr>
        <w:numPr>
          <w:ilvl w:val="0"/>
          <w:numId w:val="1128"/>
        </w:numPr>
        <w:pStyle w:val="Compact"/>
      </w:pPr>
      <w:r>
        <w:rPr>
          <w:bCs/>
          <w:b/>
        </w:rPr>
        <w:t xml:space="preserve">WADA:</w:t>
      </w:r>
      <w:r>
        <w:t xml:space="preserve"> </w:t>
      </w:r>
      <w:r>
        <w:t xml:space="preserve">nicht ausdrücklich gelistet; als nicht zugelassene Substanz fällt es nach Auffassung des Autors unter die Gruppe S0 (Stand 2026, bitte aktuell prüfen).</w:t>
      </w:r>
    </w:p>
    <w:p>
      <w:pPr>
        <w:numPr>
          <w:ilvl w:val="0"/>
          <w:numId w:val="1128"/>
        </w:numPr>
        <w:pStyle w:val="Compact"/>
      </w:pPr>
      <w:r>
        <w:rPr>
          <w:bCs/>
          <w:b/>
        </w:rPr>
        <w:t xml:space="preserve">Evidenzstufe: D</w:t>
      </w:r>
      <w:r>
        <w:t xml:space="preserve"> </w:t>
      </w:r>
      <w:r>
        <w:t xml:space="preserve">– keine veröffentlichte Studie am Menschen.</w:t>
      </w:r>
    </w:p>
    <w:bookmarkEnd w:id="393"/>
    <w:bookmarkStart w:id="394" w:name="wie-es-wirken-soll-18"/>
    <w:p>
      <w:pPr>
        <w:pStyle w:val="Heading3"/>
      </w:pPr>
      <w:r>
        <w:t xml:space="preserve">Wie es wirken soll</w:t>
      </w:r>
    </w:p>
    <w:p>
      <w:pPr>
        <w:pStyle w:val="FirstParagraph"/>
      </w:pPr>
      <w:r>
        <w:t xml:space="preserve">Alpha-MSH ist vor allem als Bräunungshormon bekannt, wirkt aber auch entzündungshemmend. Schon in den 1990er-Jahren fiel Forschenden auf, dass ein Teil dieser Wirkung an den letzten drei Aminosäuren hängt. In menschlichem Blut von HIV-Infizierten senkten Alpha-MSH und sein Endstück KPV im Reagenzglas die Bildung der Entzündungsbotenstoffe Interleukin-1 und TNF-alpha (Catania 1998, PMID 9700761).</w:t>
      </w:r>
    </w:p>
    <w:p>
      <w:pPr>
        <w:pStyle w:val="BodyText"/>
      </w:pPr>
      <w:r>
        <w:t xml:space="preserve">Anders als das vollständige Hormon wirkt KPV offenbar nicht über die klassischen Melanocortin-Rezeptoren. Bei Mäusen mit einer Bauchfellentzündung hemmte KPV die Einwanderung von Entzündungszellen, ohne den typischen Botenstoff cAMP zu erhöhen; die Autoren vermuten eine Hemmung der Interleukin-1-Wirkung (Getting 2003, PMID 12750433). Das hat einen praktischen Vorteil: KPV sollte, anders als Melanotan oder Alpha-MSH-Abkömmlinge, die Haut nicht bräunen.</w:t>
      </w:r>
    </w:p>
    <w:p>
      <w:pPr>
        <w:pStyle w:val="BodyText"/>
      </w:pPr>
      <w:r>
        <w:t xml:space="preserve">Ein zweiter Mechanismus betrifft den Darm. Dort sitzt der Transporter PepT1, der normalerweise kleine Eiweißbruchstücke aus der Nahrung aufnimmt. Bei chronisch-entzündlichen Darmerkrankungen wird PepT1 auch im Dickdarm vermehrt gebildet. In Zellkulturen menschlicher Darm- und Immunzellen wurde KPV über PepT1 aufgenommen und hemmte in sehr niedrigen Konzentrationen die Entzündungsschalter NF-kappaB und MAP-Kinasen (Dalmasso 2008, PMID 18061177). Daraus entstand die Idee, KPV als Tablette gegen Darmentzündungen einzusetzen.</w:t>
      </w:r>
    </w:p>
    <w:p>
      <w:pPr>
        <w:pStyle w:val="BodyText"/>
      </w:pPr>
      <w:r>
        <w:t xml:space="preserve">Zusätzlich hemmten Alpha-MSH und KPV im Labor das Wachstum des Bakteriums Staphylococcus aureus und des Hefepilzes Candida albicans (Cutuli 2000, PMID 10670585).</w:t>
      </w:r>
    </w:p>
    <w:bookmarkEnd w:id="394"/>
    <w:bookmarkStart w:id="395" w:name="studien-am-menschen-18"/>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0</w:t>
      </w:r>
      <w:r>
        <w:t xml:space="preserve"> </w:t>
      </w:r>
      <w:r>
        <w:t xml:space="preserve">Humanstudien in PubMed und</w:t>
      </w:r>
      <w:r>
        <w:t xml:space="preserve"> </w:t>
      </w:r>
      <w:r>
        <w:rPr>
          <w:bCs/>
          <w:b/>
        </w:rPr>
        <w:t xml:space="preserve">0</w:t>
      </w:r>
      <w:r>
        <w:t xml:space="preserve"> </w:t>
      </w:r>
      <w:r>
        <w:t xml:space="preserve">Einträge bei ClinicalTrials.gov. Auch eine gezielte Nachsuche nach Pilotstudien, Fallberichten oder Nebenwirkungsmeldungen ergab keine Veröffentlichung, in der Menschen KPV erhalten haben.</w:t>
      </w:r>
    </w:p>
    <w:p>
      <w:pPr>
        <w:pStyle w:val="BodyText"/>
      </w:pPr>
      <w:r>
        <w:t xml:space="preserve">Was es gibt, sind Laborversuche mit menschlichen Zellen oder Geweben, etwa:</w:t>
      </w:r>
    </w:p>
    <w:p>
      <w:pPr>
        <w:numPr>
          <w:ilvl w:val="0"/>
          <w:numId w:val="1129"/>
        </w:numPr>
        <w:pStyle w:val="Compact"/>
      </w:pPr>
      <w:r>
        <w:t xml:space="preserve">Blutproben von HIV-Infizierten, in denen KPV die Bildung von Entzündungsbotenstoffen senkte (Catania 1998, PMID 9700761),</w:t>
      </w:r>
    </w:p>
    <w:p>
      <w:pPr>
        <w:numPr>
          <w:ilvl w:val="0"/>
          <w:numId w:val="1129"/>
        </w:numPr>
        <w:pStyle w:val="Compact"/>
      </w:pPr>
      <w:r>
        <w:t xml:space="preserve">menschliche Hautzelllinien (Elliott 2004, PMID 15102092),</w:t>
      </w:r>
    </w:p>
    <w:p>
      <w:pPr>
        <w:numPr>
          <w:ilvl w:val="0"/>
          <w:numId w:val="1129"/>
        </w:numPr>
        <w:pStyle w:val="Compact"/>
      </w:pPr>
      <w:r>
        <w:t xml:space="preserve">gespendete menschliche Haut, an der getestet wurde, ob KPV mit Mikronadeln und schwachem Strom durch die Haut gelangt – ohne Hilfsmittel drang es nicht messbar ein (Pawar 2017, PMID 28343991).</w:t>
      </w:r>
    </w:p>
    <w:p>
      <w:pPr>
        <w:pStyle w:val="FirstParagraph"/>
      </w:pPr>
      <w:r>
        <w:t xml:space="preserve">Diese Arbeiten sagen etwas über Mechanismen und Arzneiformen aus, aber nichts über Wirksamkeit oder Sicherheit beim Menschen.</w:t>
      </w:r>
    </w:p>
    <w:p>
      <w:pPr>
        <w:pStyle w:val="BodyText"/>
      </w:pPr>
      <w:r>
        <w:t xml:space="preserve">Ein naher Verwandter, das künstliche Doppelmolekül (CKPV)2, wurde Mitte der 2000er-Jahre als Mittel gegen Pilzinfektionen klinisch untersucht; eine Arbeit von 2006 erwähnt, dass es sich „derzeit in klinischer Prüfung“ befinde (Gatti 2006, PMID 16413580). Ergebnisse dieser Studien sind in PubMed nicht veröffentlicht. (CKPV)2 ist zudem ein anderer Stoff als das im Internet verkaufte KPV.</w:t>
      </w:r>
    </w:p>
    <w:bookmarkEnd w:id="395"/>
    <w:bookmarkStart w:id="396" w:name="tier--und-laborstudien-18"/>
    <w:p>
      <w:pPr>
        <w:pStyle w:val="Heading3"/>
      </w:pPr>
      <w:r>
        <w:t xml:space="preserve">Tier- und Laborstudien</w:t>
      </w:r>
    </w:p>
    <w:p>
      <w:pPr>
        <w:pStyle w:val="FirstParagraph"/>
      </w:pPr>
      <w:r>
        <w:t xml:space="preserve">Der Schwerpunkt der Forschung liegt bei chronisch-entzündlichen Darmerkrankungen. Alle folgenden Ergebnisse stammen aus Mausversuchen: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Modell</w:t>
            </w:r>
          </w:p>
        </w:tc>
        <w:tc>
          <w:tcPr/>
          <w:p>
            <w:pPr>
              <w:pStyle w:val="Compact"/>
              <w:jc w:val="left"/>
            </w:pPr>
            <w:r>
              <w:t xml:space="preserve">Ergebnis</w:t>
            </w:r>
          </w:p>
        </w:tc>
      </w:tr>
      <w:tr>
        <w:tc>
          <w:tcPr/>
          <w:p>
            <w:pPr>
              <w:pStyle w:val="Compact"/>
              <w:jc w:val="left"/>
            </w:pPr>
            <w:r>
              <w:t xml:space="preserve">Dalmasso 2008, PMID 18061177</w:t>
            </w:r>
          </w:p>
        </w:tc>
        <w:tc>
          <w:tcPr/>
          <w:p>
            <w:pPr>
              <w:pStyle w:val="Compact"/>
              <w:jc w:val="left"/>
            </w:pPr>
            <w:r>
              <w:t xml:space="preserve">chemisch ausgelöste Kolitis bei Mäusen, KPV im Trinkwasser</w:t>
            </w:r>
          </w:p>
        </w:tc>
        <w:tc>
          <w:tcPr/>
          <w:p>
            <w:pPr>
              <w:pStyle w:val="Compact"/>
              <w:jc w:val="left"/>
            </w:pPr>
            <w:r>
              <w:t xml:space="preserve">weniger Entzündung, weniger Entzündungsbotenstoffe</w:t>
            </w:r>
          </w:p>
        </w:tc>
      </w:tr>
      <w:tr>
        <w:tc>
          <w:tcPr/>
          <w:p>
            <w:pPr>
              <w:pStyle w:val="Compact"/>
              <w:jc w:val="left"/>
            </w:pPr>
            <w:r>
              <w:t xml:space="preserve">Kannengiesser 2008, PMID 18092346</w:t>
            </w:r>
          </w:p>
        </w:tc>
        <w:tc>
          <w:tcPr/>
          <w:p>
            <w:pPr>
              <w:pStyle w:val="Compact"/>
              <w:jc w:val="left"/>
            </w:pPr>
            <w:r>
              <w:t xml:space="preserve">zwei Kolitis-Modelle bei Mäusen</w:t>
            </w:r>
          </w:p>
        </w:tc>
        <w:tc>
          <w:tcPr/>
          <w:p>
            <w:pPr>
              <w:pStyle w:val="Compact"/>
              <w:jc w:val="left"/>
            </w:pPr>
            <w:r>
              <w:t xml:space="preserve">schnellere Erholung, weniger Entzündungszellen; in einem Modell überlebten alle behandelten Tiere</w:t>
            </w:r>
          </w:p>
        </w:tc>
      </w:tr>
      <w:tr>
        <w:tc>
          <w:tcPr/>
          <w:p>
            <w:pPr>
              <w:pStyle w:val="Compact"/>
              <w:jc w:val="left"/>
            </w:pPr>
            <w:r>
              <w:t xml:space="preserve">Viennois 2016, PMID 27458604</w:t>
            </w:r>
          </w:p>
        </w:tc>
        <w:tc>
          <w:tcPr/>
          <w:p>
            <w:pPr>
              <w:pStyle w:val="Compact"/>
              <w:jc w:val="left"/>
            </w:pPr>
            <w:r>
              <w:t xml:space="preserve">entzündungsbedingter Darmkrebs bei Mäusen</w:t>
            </w:r>
          </w:p>
        </w:tc>
        <w:tc>
          <w:tcPr/>
          <w:p>
            <w:pPr>
              <w:pStyle w:val="Compact"/>
              <w:jc w:val="left"/>
            </w:pPr>
            <w:r>
              <w:t xml:space="preserve">KPV verhinderte die Tumorentstehung, aber nur bei Mäusen mit funktionierendem PepT1</w:t>
            </w:r>
          </w:p>
        </w:tc>
      </w:tr>
      <w:tr>
        <w:tc>
          <w:tcPr/>
          <w:p>
            <w:pPr>
              <w:pStyle w:val="Compact"/>
              <w:jc w:val="left"/>
            </w:pPr>
            <w:r>
              <w:t xml:space="preserve">Xiao 2017, PMID 28143741</w:t>
            </w:r>
          </w:p>
        </w:tc>
        <w:tc>
          <w:tcPr/>
          <w:p>
            <w:pPr>
              <w:pStyle w:val="Compact"/>
              <w:jc w:val="left"/>
            </w:pPr>
            <w:r>
              <w:t xml:space="preserve">Kolitis bei Mäusen, KPV in Nanopartikeln</w:t>
            </w:r>
          </w:p>
        </w:tc>
        <w:tc>
          <w:tcPr/>
          <w:p>
            <w:pPr>
              <w:pStyle w:val="Compact"/>
              <w:jc w:val="left"/>
            </w:pPr>
            <w:r>
              <w:t xml:space="preserve">stärkere Wirkung als ungebundenes KPV</w:t>
            </w:r>
          </w:p>
        </w:tc>
      </w:tr>
    </w:tbl>
    <w:p>
      <w:pPr>
        <w:pStyle w:val="BodyText"/>
      </w:pPr>
      <w:r>
        <w:t xml:space="preserve">Weitere Arbeiten untersuchen KPV in Hydrogelen für Wunden und Schleimhaut, in Nanopartikeln gegen Gefäßverkalkung oder im Stoffwechsel von Fettzellen – fast ausschließlich in Zellkultur oder an Nagetieren. Auffällig ist, dass ein großer Teil der neueren Literatur Arzneiformen entwickelt (Nanopartikel, Gele, Pflaster). Das zeigt, dass KPV allein als Tablette oder Creme offenbar nicht gut genug an den Wirkort gelangt – ein Punkt, der für die frei verkauften Produkte relevant ist.</w:t>
      </w:r>
    </w:p>
    <w:bookmarkEnd w:id="396"/>
    <w:bookmarkStart w:id="399" w:name="risiken-und-nebenwirkungen-18"/>
    <w:p>
      <w:pPr>
        <w:pStyle w:val="Heading3"/>
      </w:pPr>
      <w:r>
        <w:t xml:space="preserve">Risiken und Nebenwirkungen</w:t>
      </w:r>
    </w:p>
    <w:bookmarkStart w:id="397" w:name="belegt-2"/>
    <w:p>
      <w:pPr>
        <w:pStyle w:val="Heading4"/>
      </w:pPr>
      <w:r>
        <w:t xml:space="preserve">Belegt</w:t>
      </w:r>
    </w:p>
    <w:p>
      <w:pPr>
        <w:pStyle w:val="FirstParagraph"/>
      </w:pPr>
      <w:r>
        <w:t xml:space="preserve">Keine – weil es keine Humanstudien gibt. Das Fehlen gemeldeter Nebenwirkungen ist hier kein Hinweis auf Sicherheit.</w:t>
      </w:r>
    </w:p>
    <w:bookmarkEnd w:id="397"/>
    <w:bookmarkStart w:id="398" w:name="theoretisch"/>
    <w:p>
      <w:pPr>
        <w:pStyle w:val="Heading4"/>
      </w:pPr>
      <w:r>
        <w:t xml:space="preserve">Theoretisch</w:t>
      </w:r>
    </w:p>
    <w:p>
      <w:pPr>
        <w:numPr>
          <w:ilvl w:val="0"/>
          <w:numId w:val="1130"/>
        </w:numPr>
        <w:pStyle w:val="Compact"/>
      </w:pPr>
      <w:r>
        <w:rPr>
          <w:bCs/>
          <w:b/>
        </w:rPr>
        <w:t xml:space="preserve">Dämpfung der Abwehr:</w:t>
      </w:r>
      <w:r>
        <w:t xml:space="preserve"> </w:t>
      </w:r>
      <w:r>
        <w:t xml:space="preserve">Ein Stoff, der Entzündungssignale hemmt, könnte grundsätzlich auch die Infektabwehr beeinträchtigen. Die Laborbefunde deuten eher auf eine eigene antimikrobielle Wirkung hin (Cutuli 2000, PMID 10670585), Daten am Menschen fehlen aber.</w:t>
      </w:r>
    </w:p>
    <w:p>
      <w:pPr>
        <w:numPr>
          <w:ilvl w:val="0"/>
          <w:numId w:val="1130"/>
        </w:numPr>
        <w:pStyle w:val="Compact"/>
      </w:pPr>
      <w:r>
        <w:rPr>
          <w:bCs/>
          <w:b/>
        </w:rPr>
        <w:t xml:space="preserve">Unklare Aufnahme und Dosis:</w:t>
      </w:r>
      <w:r>
        <w:t xml:space="preserve"> </w:t>
      </w:r>
      <w:r>
        <w:t xml:space="preserve">Wie viel KPV aus einer Kapsel oder Creme tatsächlich wirksam wird, ist beim Menschen nicht untersucht.</w:t>
      </w:r>
    </w:p>
    <w:p>
      <w:pPr>
        <w:numPr>
          <w:ilvl w:val="0"/>
          <w:numId w:val="1130"/>
        </w:numPr>
        <w:pStyle w:val="Compact"/>
      </w:pPr>
      <w:r>
        <w:rPr>
          <w:bCs/>
          <w:b/>
        </w:rPr>
        <w:t xml:space="preserve">Graumarkt-Qualität:</w:t>
      </w:r>
      <w:r>
        <w:t xml:space="preserve"> </w:t>
      </w:r>
      <w:r>
        <w:t xml:space="preserve">KPV wird als „Forschungspeptid“ ohne Arzneimittelkontrolle verkauft. Eine sportmedizinische Übersicht nennt KPV ausdrücklich unter den Peptidfragmenten, die in Bodybuilding-Kreisen kursieren, und warnt vor falsch deklarierten oder verunreinigten Produkten (Coutinho 2026, PMID 41880199).</w:t>
      </w:r>
    </w:p>
    <w:bookmarkEnd w:id="398"/>
    <w:bookmarkEnd w:id="399"/>
    <w:bookmarkStart w:id="400" w:name="rechtslage-18"/>
    <w:p>
      <w:pPr>
        <w:pStyle w:val="Heading3"/>
      </w:pPr>
      <w:r>
        <w:t xml:space="preserve">Rechtslage</w:t>
      </w:r>
    </w:p>
    <w:p>
      <w:pPr>
        <w:pStyle w:val="FirstParagraph"/>
      </w:pPr>
      <w:r>
        <w:rPr>
          <w:iCs/>
          <w:i/>
        </w:rPr>
        <w:t xml:space="preserve">Stand 2026, bitte aktuell prüfen.</w:t>
      </w:r>
    </w:p>
    <w:p>
      <w:pPr>
        <w:numPr>
          <w:ilvl w:val="0"/>
          <w:numId w:val="1131"/>
        </w:numPr>
        <w:pStyle w:val="Compact"/>
      </w:pPr>
      <w:r>
        <w:rPr>
          <w:bCs/>
          <w:b/>
        </w:rPr>
        <w:t xml:space="preserve">EU, Deutschland, Österreich:</w:t>
      </w:r>
      <w:r>
        <w:t xml:space="preserve"> </w:t>
      </w:r>
      <w:r>
        <w:t xml:space="preserve">nicht als Arzneimittel zugelassen. Wird KPV mit Aussagen zur Linderung von Krankheiten angeboten, gilt es als nicht zugelassenes Arzneimittel. Als Bestandteil von Kosmetika gelten die Regeln der EU-Kosmetikverordnung; Heilversprechen sind dort unzulässig.</w:t>
      </w:r>
    </w:p>
    <w:p>
      <w:pPr>
        <w:numPr>
          <w:ilvl w:val="0"/>
          <w:numId w:val="1131"/>
        </w:numPr>
        <w:pStyle w:val="Compact"/>
      </w:pPr>
      <w:r>
        <w:rPr>
          <w:bCs/>
          <w:b/>
        </w:rPr>
        <w:t xml:space="preserve">USA:</w:t>
      </w:r>
      <w:r>
        <w:t xml:space="preserve"> </w:t>
      </w:r>
      <w:r>
        <w:t xml:space="preserve">keine FDA-Zulassung.</w:t>
      </w:r>
    </w:p>
    <w:p>
      <w:pPr>
        <w:numPr>
          <w:ilvl w:val="0"/>
          <w:numId w:val="1131"/>
        </w:numPr>
        <w:pStyle w:val="Compact"/>
      </w:pPr>
      <w:r>
        <w:rPr>
          <w:bCs/>
          <w:b/>
        </w:rPr>
        <w:t xml:space="preserve">WADA:</w:t>
      </w:r>
      <w:r>
        <w:t xml:space="preserve"> </w:t>
      </w:r>
      <w:r>
        <w:t xml:space="preserve">nicht namentlich gelistet. Als pharmakologisch wirksamer Stoff ohne Zulassung fällt KPV nach Auffassung des Autors unter S0 (nicht zugelassene Substanzen).</w:t>
      </w:r>
    </w:p>
    <w:bookmarkEnd w:id="400"/>
    <w:bookmarkStart w:id="401" w:name="laufende-studien-und-ausblick-18"/>
    <w:p>
      <w:pPr>
        <w:pStyle w:val="Heading3"/>
      </w:pPr>
      <w:r>
        <w:t xml:space="preserve">Laufende Studien und Ausblick</w:t>
      </w:r>
    </w:p>
    <w:p>
      <w:pPr>
        <w:pStyle w:val="FirstParagraph"/>
      </w:pPr>
      <w:r>
        <w:rPr>
          <w:bCs/>
          <w:b/>
        </w:rPr>
        <w:t xml:space="preserve">Gesichert:</w:t>
      </w:r>
      <w:r>
        <w:t xml:space="preserve"> </w:t>
      </w:r>
      <w:r>
        <w:t xml:space="preserve">Bei ClinicalTrials.gov ist im Oktober 2026 keine Studie mit KPV registriert.</w:t>
      </w:r>
    </w:p>
    <w:p>
      <w:pPr>
        <w:pStyle w:val="BodyText"/>
      </w:pPr>
      <w:r>
        <w:rPr>
          <w:bCs/>
          <w:b/>
        </w:rPr>
        <w:t xml:space="preserve">Einschätzung des Autors:</w:t>
      </w:r>
      <w:r>
        <w:t xml:space="preserve"> </w:t>
      </w:r>
      <w:r>
        <w:t xml:space="preserve">Die Mausdaten zu Darmentzündungen sind konsistent und stammen aus mehreren unabhängigen Gruppen – das ist mehr, als viele andere „Forschungspeptide“ vorweisen können. Ohne ein Unternehmen, das KPV als Arzneimittel entwickelt, ist eine Humanstudie aber nicht absehbar. Wahrscheinlicher ist, dass KPV als Baustein in neuen Arzneiformen (Nanopartikel, Gele) weiter im Labor erforscht wird.</w:t>
      </w:r>
    </w:p>
    <w:bookmarkEnd w:id="401"/>
    <w:bookmarkStart w:id="402" w:name="fazit-18"/>
    <w:p>
      <w:pPr>
        <w:pStyle w:val="Heading3"/>
      </w:pPr>
      <w:r>
        <w:t xml:space="preserve">Fazit</w:t>
      </w:r>
    </w:p>
    <w:p>
      <w:pPr>
        <w:pStyle w:val="FirstParagraph"/>
      </w:pPr>
      <w:r>
        <w:t xml:space="preserve">KPV ist ein Bruchstück aus drei Aminosäuren des körpereigenen Hormons Alpha-MSH, das in Zellkulturen und bei Mäusen Entzündungen im Darm deutlich verringerte (Dalmasso 2008, PMID 18061177; Kannengiesser 2008, PMID 18092346). Am Menschen wurde KPV nie untersucht – weder auf Wirkung noch auf Sicherheit. Alle Aussagen zu Darm- oder Hautwirkungen beim Menschen sind daher Vermutungen auf Grundlage von Tierversuchen. Wer KPV-Produkte aus dem Internet verwendet, ist Teil eines unkontrollierten Selbstversuchs mit Produkten unbekannter Qualität.</w:t>
      </w:r>
    </w:p>
    <w:bookmarkEnd w:id="402"/>
    <w:bookmarkEnd w:id="403"/>
    <w:bookmarkStart w:id="417" w:name="ll-37"/>
    <w:p>
      <w:pPr>
        <w:pStyle w:val="Heading2"/>
      </w:pPr>
      <w:r>
        <w:t xml:space="preserve">LL-37</w:t>
      </w:r>
    </w:p>
    <w:p>
      <w:pPr>
        <w:pStyle w:val="FirstParagraph"/>
      </w:pPr>
      <w:r>
        <w:t xml:space="preserve">LL-37 ist ein körpereigenes Abwehrpeptid. Haut, Schleimhäute und weiße Blutkörperchen bilden es, um Bakterien, Pilze und Viren abzutöten. In der Peptid-Szene wird es als „natürliches Antibiotikum“ und Mittel gegen chronische Infektionen, Borreliose oder „Immunschwäche“ angeboten. Bei der Studienlage muss man sorgfältig unterscheiden: Es gibt sehr viele Untersuchungen, in denen LL-37 im Blut oder Gewebe</w:t>
      </w:r>
      <w:r>
        <w:t xml:space="preserve"> </w:t>
      </w:r>
      <w:r>
        <w:rPr>
          <w:iCs/>
          <w:i/>
        </w:rPr>
        <w:t xml:space="preserve">gemessen</w:t>
      </w:r>
      <w:r>
        <w:t xml:space="preserve"> </w:t>
      </w:r>
      <w:r>
        <w:t xml:space="preserve">wurde – aber nur eine Handvoll, in denen Menschen LL-37 als Wirkstoff</w:t>
      </w:r>
      <w:r>
        <w:t xml:space="preserve"> </w:t>
      </w:r>
      <w:r>
        <w:rPr>
          <w:iCs/>
          <w:i/>
        </w:rPr>
        <w:t xml:space="preserve">erhalten</w:t>
      </w:r>
      <w:r>
        <w:t xml:space="preserve"> </w:t>
      </w:r>
      <w:r>
        <w:t xml:space="preserve">haben.</w:t>
      </w:r>
    </w:p>
    <w:bookmarkStart w:id="404" w:name="steckbrief-19"/>
    <w:p>
      <w:pPr>
        <w:pStyle w:val="Heading3"/>
      </w:pPr>
      <w:r>
        <w:t xml:space="preserve">Steckbrief</w:t>
      </w:r>
    </w:p>
    <w:p>
      <w:pPr>
        <w:numPr>
          <w:ilvl w:val="0"/>
          <w:numId w:val="1132"/>
        </w:numPr>
        <w:pStyle w:val="Compact"/>
      </w:pPr>
      <w:r>
        <w:rPr>
          <w:bCs/>
          <w:b/>
        </w:rPr>
        <w:t xml:space="preserve">Art und Struktur:</w:t>
      </w:r>
      <w:r>
        <w:t xml:space="preserve"> </w:t>
      </w:r>
      <w:r>
        <w:t xml:space="preserve">Peptid aus 37 Aminosäuren, die ersten beiden sind Leucine (daher „LL“). Einziges Cathelicidin des Menschen – so heißt eine Familie von Abwehrpeptiden.</w:t>
      </w:r>
    </w:p>
    <w:p>
      <w:pPr>
        <w:numPr>
          <w:ilvl w:val="0"/>
          <w:numId w:val="1132"/>
        </w:numPr>
        <w:pStyle w:val="Compact"/>
      </w:pPr>
      <w:r>
        <w:rPr>
          <w:bCs/>
          <w:b/>
        </w:rPr>
        <w:t xml:space="preserve">Herkunft:</w:t>
      </w:r>
      <w:r>
        <w:t xml:space="preserve"> </w:t>
      </w:r>
      <w:r>
        <w:t xml:space="preserve">wird aus dem Vorläufereiweiß hCAP18 abgespalten; das zugehörige Gen (CAMP) wird unter anderem durch Vitamin D angeschaltet (Gombart 2005, PMID 15985530).</w:t>
      </w:r>
    </w:p>
    <w:p>
      <w:pPr>
        <w:numPr>
          <w:ilvl w:val="0"/>
          <w:numId w:val="1132"/>
        </w:numPr>
        <w:pStyle w:val="Compact"/>
      </w:pPr>
      <w:r>
        <w:rPr>
          <w:bCs/>
          <w:b/>
        </w:rPr>
        <w:t xml:space="preserve">Wirkprinzip:</w:t>
      </w:r>
      <w:r>
        <w:t xml:space="preserve"> </w:t>
      </w:r>
      <w:r>
        <w:t xml:space="preserve">zerstört die Hülle von Mikroben; lockt zugleich Immunzellen an, fördert Gefäßneubildung und Wundheilung und beeinflusst Entzündungsreaktionen.</w:t>
      </w:r>
    </w:p>
    <w:p>
      <w:pPr>
        <w:numPr>
          <w:ilvl w:val="0"/>
          <w:numId w:val="1132"/>
        </w:numPr>
        <w:pStyle w:val="Compact"/>
      </w:pPr>
      <w:r>
        <w:rPr>
          <w:bCs/>
          <w:b/>
        </w:rPr>
        <w:t xml:space="preserve">Zulassung EU/USA:</w:t>
      </w:r>
      <w:r>
        <w:t xml:space="preserve"> </w:t>
      </w:r>
      <w:r>
        <w:t xml:space="preserve">nein.</w:t>
      </w:r>
    </w:p>
    <w:p>
      <w:pPr>
        <w:numPr>
          <w:ilvl w:val="0"/>
          <w:numId w:val="1132"/>
        </w:numPr>
        <w:pStyle w:val="Compact"/>
      </w:pPr>
      <w:r>
        <w:rPr>
          <w:bCs/>
          <w:b/>
        </w:rPr>
        <w:t xml:space="preserve">WADA:</w:t>
      </w:r>
      <w:r>
        <w:t xml:space="preserve"> </w:t>
      </w:r>
      <w:r>
        <w:t xml:space="preserve">nicht ausdrücklich gelistet; als nicht zugelassene Substanz nach Auffassung des Autors unter S0 fallend (Stand 2026, bitte aktuell prüfen).</w:t>
      </w:r>
    </w:p>
    <w:p>
      <w:pPr>
        <w:numPr>
          <w:ilvl w:val="0"/>
          <w:numId w:val="1132"/>
        </w:numPr>
        <w:pStyle w:val="Compact"/>
      </w:pPr>
      <w:r>
        <w:rPr>
          <w:bCs/>
          <w:b/>
        </w:rPr>
        <w:t xml:space="preserve">Evidenzstufe: B</w:t>
      </w:r>
      <w:r>
        <w:t xml:space="preserve"> </w:t>
      </w:r>
      <w:r>
        <w:t xml:space="preserve">– einzelne kleine bis mittelgroße randomisierte Studien mit örtlicher Anwendung auf Wunden; die größte davon verfehlte ihr Hauptziel.</w:t>
      </w:r>
    </w:p>
    <w:bookmarkEnd w:id="404"/>
    <w:bookmarkStart w:id="405" w:name="wie-es-wirken-soll-19"/>
    <w:p>
      <w:pPr>
        <w:pStyle w:val="Heading3"/>
      </w:pPr>
      <w:r>
        <w:t xml:space="preserve">Wie es wirken soll</w:t>
      </w:r>
    </w:p>
    <w:p>
      <w:pPr>
        <w:pStyle w:val="FirstParagraph"/>
      </w:pPr>
      <w:r>
        <w:t xml:space="preserve">LL-37 gehört zum angeborenen Immunsystem, der ersten, unspezifischen Verteidigungslinie. Das Peptid ist positiv geladen und lagert sich an die negativ geladenen Hüllen von Bakterien an, die dadurch durchlässig werden. Daneben wirkt es als Signalstoff: Es lockt weiße Blutkörperchen an und regt Hautzellen zur Wanderung an – deshalb wurde es für die Wundheilung interessant.</w:t>
      </w:r>
    </w:p>
    <w:p>
      <w:pPr>
        <w:pStyle w:val="BodyText"/>
      </w:pPr>
      <w:r>
        <w:t xml:space="preserve">Die Bildung von LL-37 hängt beim Menschen eng mit Vitamin D zusammen. Das Gen für das Vorläufereiweiß trägt einen Schalter, an den der Vitamin-D-Rezeptor bindet; dieser Schalter findet sich bei Primaten, nicht aber bei Mäusen, Ratten oder Hunden (Gombart 2005, PMID 15985530). Das erklärt, warum viele Studien Vitamin D geben und LL-37 messen – und warum Tierversuche bei LL-37 nur begrenzt auf den Menschen übertragbar sind.</w:t>
      </w:r>
    </w:p>
    <w:p>
      <w:pPr>
        <w:pStyle w:val="BodyText"/>
      </w:pPr>
      <w:r>
        <w:t xml:space="preserve">Die Kehrseite: LL-37 kann Entzündungen auch anheizen. Bei Schuppenflechte (Psoriasis) bindet LL-37 körpereigenes Erbgut aus zerfallenen Zellen und macht es für bestimmte Immunzellen „sichtbar“, die daraufhin Interferon ausschütten (Lande 2007, PMID 17873860). Bei zwei Dritteln der untersuchten Menschen mit mittelschwerer bis schwerer Psoriasis fanden sich T-Zellen, die gegen LL-37 selbst gerichtet waren (Lande 2014, PMID 25470744). Bei Rosazea bilden Betroffene ungewöhnlich viel LL-37 in der Gesichtshaut, und bei Mäusen löste das Einspritzen dieser Peptide Hautentzündungen aus (Yamasaki 2007, PMID 17676051).</w:t>
      </w:r>
    </w:p>
    <w:bookmarkEnd w:id="405"/>
    <w:bookmarkStart w:id="409" w:name="studien-am-menschen-19"/>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91</w:t>
      </w:r>
      <w:r>
        <w:t xml:space="preserve"> </w:t>
      </w:r>
      <w:r>
        <w:t xml:space="preserve">Veröffentlichungen, die als Humanstudie eingeordnet wurden, und</w:t>
      </w:r>
      <w:r>
        <w:t xml:space="preserve"> </w:t>
      </w:r>
      <w:r>
        <w:rPr>
          <w:bCs/>
          <w:b/>
        </w:rPr>
        <w:t xml:space="preserve">20</w:t>
      </w:r>
      <w:r>
        <w:t xml:space="preserve"> </w:t>
      </w:r>
      <w:r>
        <w:t xml:space="preserve">Einträge bei ClinicalTrials.gov. Der weitaus größte Teil davon gibt</w:t>
      </w:r>
      <w:r>
        <w:t xml:space="preserve"> </w:t>
      </w:r>
      <w:r>
        <w:rPr>
          <w:iCs/>
          <w:i/>
        </w:rPr>
        <w:t xml:space="preserve">nicht</w:t>
      </w:r>
      <w:r>
        <w:t xml:space="preserve"> </w:t>
      </w:r>
      <w:r>
        <w:t xml:space="preserve">LL-37 als Wirkstoff: Es handelt sich um Vitamin-D- oder Probiotika-Studien, die LL-37 als Messwert erfassen, oder um Beobachtungsstudien zu LL-37-Spiegeln bei Krankheiten. Studien, in denen LL-37 selbst verabreicht wurde, sind in PubMed nur fünf zu finden; im Register sind es zwei.</w:t>
      </w:r>
    </w:p>
    <w:bookmarkStart w:id="406" w:name="interventionsstudien-ll-37-als-wirkstoff"/>
    <w:p>
      <w:pPr>
        <w:pStyle w:val="Heading4"/>
      </w:pPr>
      <w:r>
        <w:t xml:space="preserve">Interventionsstudien: LL-37 als Wirkstoff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Venöse Beingeschwüre (Grönberg 2014, PMID 25041740)</w:t>
            </w:r>
          </w:p>
        </w:tc>
        <w:tc>
          <w:tcPr/>
          <w:p>
            <w:pPr>
              <w:pStyle w:val="Compact"/>
              <w:jc w:val="left"/>
            </w:pPr>
            <w:r>
              <w:t xml:space="preserve">34 Personen, erste Anwendung am Menschen, doppelblinde RCT mit drei Konzentrationen und Placebo</w:t>
            </w:r>
          </w:p>
        </w:tc>
        <w:tc>
          <w:tcPr/>
          <w:p>
            <w:pPr>
              <w:pStyle w:val="Compact"/>
              <w:jc w:val="left"/>
            </w:pPr>
            <w:r>
              <w:t xml:space="preserve">4 Wochen Behandlung</w:t>
            </w:r>
          </w:p>
        </w:tc>
        <w:tc>
          <w:tcPr/>
          <w:p>
            <w:pPr>
              <w:pStyle w:val="Compact"/>
              <w:jc w:val="left"/>
            </w:pPr>
            <w:r>
              <w:t xml:space="preserve">Wundfläche mit der niedrigsten Konzentration um 68 %, mit der mittleren um 50 % verkleinert; höchste Konzentration nicht besser als Placebo</w:t>
            </w:r>
          </w:p>
        </w:tc>
      </w:tr>
      <w:tr>
        <w:tc>
          <w:tcPr/>
          <w:p>
            <w:pPr>
              <w:pStyle w:val="Compact"/>
              <w:jc w:val="left"/>
            </w:pPr>
            <w:r>
              <w:t xml:space="preserve">HEAL LL-37, venöse Beingeschwüre (Mahlapuu 2021, PMID 34687253)</w:t>
            </w:r>
          </w:p>
        </w:tc>
        <w:tc>
          <w:tcPr/>
          <w:p>
            <w:pPr>
              <w:pStyle w:val="Compact"/>
              <w:jc w:val="left"/>
            </w:pPr>
            <w:r>
              <w:t xml:space="preserve">148 Personen, Phase 2b, doppelblinde RCT</w:t>
            </w:r>
          </w:p>
        </w:tc>
        <w:tc>
          <w:tcPr/>
          <w:p>
            <w:pPr>
              <w:pStyle w:val="Compact"/>
              <w:jc w:val="left"/>
            </w:pPr>
            <w:r>
              <w:t xml:space="preserve">3 Arme, zusätzlich zur Kompression</w:t>
            </w:r>
          </w:p>
        </w:tc>
        <w:tc>
          <w:tcPr/>
          <w:p>
            <w:pPr>
              <w:pStyle w:val="Compact"/>
              <w:jc w:val="left"/>
            </w:pPr>
            <w:r>
              <w:t xml:space="preserve">kein signifikanter Unterschied zu Placebo; Vorteil nur in nachträglicher Untergruppenanalyse großer Wunden</w:t>
            </w:r>
          </w:p>
        </w:tc>
      </w:tr>
      <w:tr>
        <w:tc>
          <w:tcPr/>
          <w:p>
            <w:pPr>
              <w:pStyle w:val="Compact"/>
              <w:jc w:val="left"/>
            </w:pPr>
            <w:r>
              <w:t xml:space="preserve">Diabetisches Fußgeschwür (Miranda 2023, PMID 37480520; NCT04098562)</w:t>
            </w:r>
          </w:p>
        </w:tc>
        <w:tc>
          <w:tcPr/>
          <w:p>
            <w:pPr>
              <w:pStyle w:val="Compact"/>
              <w:jc w:val="left"/>
            </w:pPr>
            <w:r>
              <w:t xml:space="preserve">Personen mit leicht infiziertem Fußgeschwür in Jakarta, doppelblinde RCT gegen Placebocreme</w:t>
            </w:r>
          </w:p>
        </w:tc>
        <w:tc>
          <w:tcPr/>
          <w:p>
            <w:pPr>
              <w:pStyle w:val="Compact"/>
              <w:jc w:val="left"/>
            </w:pPr>
            <w:r>
              <w:t xml:space="preserve">4 Wochen</w:t>
            </w:r>
          </w:p>
        </w:tc>
        <w:tc>
          <w:tcPr/>
          <w:p>
            <w:pPr>
              <w:pStyle w:val="Compact"/>
              <w:jc w:val="left"/>
            </w:pPr>
            <w:r>
              <w:t xml:space="preserve">stärkere Zunahme des Granulationsgewebes; keine Senkung von Entzündungswerten oder Bakterienzahl</w:t>
            </w:r>
          </w:p>
        </w:tc>
      </w:tr>
      <w:tr>
        <w:tc>
          <w:tcPr/>
          <w:p>
            <w:pPr>
              <w:pStyle w:val="Compact"/>
              <w:jc w:val="left"/>
            </w:pPr>
            <w:r>
              <w:t xml:space="preserve">COVID-19, orales LL-37 aus Milchsäurebakterien (Zhao 2023, PMID 37605995)</w:t>
            </w:r>
          </w:p>
        </w:tc>
        <w:tc>
          <w:tcPr/>
          <w:p>
            <w:pPr>
              <w:pStyle w:val="Compact"/>
              <w:jc w:val="left"/>
            </w:pPr>
            <w:r>
              <w:t xml:space="preserve">238 Krankenhauspatientinnen und -patienten, offene RCT, ein Zentrum</w:t>
            </w:r>
          </w:p>
        </w:tc>
        <w:tc>
          <w:tcPr/>
          <w:p>
            <w:pPr>
              <w:pStyle w:val="Compact"/>
              <w:jc w:val="left"/>
            </w:pPr>
            <w:r>
              <w:t xml:space="preserve">Krankenhausaufenthalt</w:t>
            </w:r>
          </w:p>
        </w:tc>
        <w:tc>
          <w:tcPr/>
          <w:p>
            <w:pPr>
              <w:pStyle w:val="Compact"/>
              <w:jc w:val="left"/>
            </w:pPr>
            <w:r>
              <w:t xml:space="preserve">Virus-PCR im Mittel nach 9,8 statt 14,0 Tagen negativ; keine schweren Nebenwirkungen</w:t>
            </w:r>
          </w:p>
        </w:tc>
      </w:tr>
      <w:tr>
        <w:tc>
          <w:tcPr/>
          <w:p>
            <w:pPr>
              <w:pStyle w:val="Compact"/>
              <w:jc w:val="left"/>
            </w:pPr>
            <w:r>
              <w:t xml:space="preserve">Melanom, Injektion in Tumoren (NCT02225366)</w:t>
            </w:r>
          </w:p>
        </w:tc>
        <w:tc>
          <w:tcPr/>
          <w:p>
            <w:pPr>
              <w:pStyle w:val="Compact"/>
              <w:jc w:val="left"/>
            </w:pPr>
            <w:r>
              <w:t xml:space="preserve">4 Personen, Phase 1/2 ohne Kontrollgruppe</w:t>
            </w:r>
          </w:p>
        </w:tc>
        <w:tc>
          <w:tcPr/>
          <w:p>
            <w:pPr>
              <w:pStyle w:val="Compact"/>
              <w:jc w:val="left"/>
            </w:pPr>
            <w:r>
              <w:t xml:space="preserve">bis 8 Wochen</w:t>
            </w:r>
          </w:p>
        </w:tc>
        <w:tc>
          <w:tcPr/>
          <w:p>
            <w:pPr>
              <w:pStyle w:val="Compact"/>
              <w:jc w:val="left"/>
            </w:pPr>
            <w:r>
              <w:t xml:space="preserve">Dosisfindung; kleine Fallzahl, siehe Risiken</w:t>
            </w:r>
          </w:p>
        </w:tc>
      </w:tr>
    </w:tbl>
    <w:p>
      <w:pPr>
        <w:pStyle w:val="BodyText"/>
      </w:pPr>
      <w:r>
        <w:t xml:space="preserve">Die Wundstudien zeigen das bekannte Muster: Die erste kleine Studie war ermutigend – auffälligerweise wirkten die niedrigeren Konzentrationen, die höchste nicht (Grönberg 2014, PMID 25041740). Die größere Phase-2b-Studie HEAL LL-37 mit 148 Personen fand in der Gesamtgruppe keinen Vorteil gegenüber Placebo. Ein Nutzen bei großen Wunden zeigte sich nur in einer nachträglich festgelegten Untergruppenanalyse, die die Autoren selbst als Anlass für eine weitere Studie, nicht als Beleg werten (Mahlapuu 2021, PMID 34687253).</w:t>
      </w:r>
    </w:p>
    <w:p>
      <w:pPr>
        <w:pStyle w:val="BodyText"/>
      </w:pPr>
      <w:r>
        <w:t xml:space="preserve">Die indonesische Studie zum diabetischen Fußgeschwür maß als Hauptgröße den Anteil an Granulationsgewebe, also an frischem Heilgewebe – ein Zwischenmarker, nicht die vollständige Wundheilung. Die Entzündungswerte und die Bakterienbesiedelung sanken unter LL-37 nicht stärker als unter Placebo (Miranda 2023, PMID 37480520).</w:t>
      </w:r>
    </w:p>
    <w:p>
      <w:pPr>
        <w:pStyle w:val="BodyText"/>
      </w:pPr>
      <w:r>
        <w:t xml:space="preserve">Die COVID-19-Studie verwendete kein LL-37-Peptid, sondern gentechnisch veränderte Milchsäurebakterien, die LL-37 im Darm bilden sollen. Sie war nicht verblindet und lief an einem einzigen Zentrum; gemessen wurde die Zeit bis zum negativen PCR-Test, nicht Krankheitsverlauf oder Sterblichkeit (Zhao 2023, PMID 37605995).</w:t>
      </w:r>
    </w:p>
    <w:bookmarkEnd w:id="406"/>
    <w:bookmarkStart w:id="407" w:name="beobachtungsstudien-ll-37-als-messwert"/>
    <w:p>
      <w:pPr>
        <w:pStyle w:val="Heading4"/>
      </w:pPr>
      <w:r>
        <w:t xml:space="preserve">Beobachtungsstudien: LL-37 als Messwert</w:t>
      </w:r>
    </w:p>
    <w:p>
      <w:pPr>
        <w:pStyle w:val="FirstParagraph"/>
      </w:pPr>
      <w:r>
        <w:t xml:space="preserve">Diese Studien sagen nichts darüber aus, ob zugeführtes LL-37 hilft. Sie zeigen nur, wie der Körper LL-37 bei Krankheiten bildet. Einige Beispiele:</w:t>
      </w:r>
    </w:p>
    <w:p>
      <w:pPr>
        <w:numPr>
          <w:ilvl w:val="0"/>
          <w:numId w:val="1133"/>
        </w:numPr>
        <w:pStyle w:val="Compact"/>
      </w:pPr>
      <w:r>
        <w:t xml:space="preserve">Bei 50 Personen mit Lungentuberkulose lagen die LL-37-Spiegel im Blut höher als bei Lungenentzündung durch andere Bakterien und bei Gesunden (Majewski 2017, PMID 28956425).</w:t>
      </w:r>
    </w:p>
    <w:p>
      <w:pPr>
        <w:numPr>
          <w:ilvl w:val="0"/>
          <w:numId w:val="1133"/>
        </w:numPr>
        <w:pStyle w:val="Compact"/>
      </w:pPr>
      <w:r>
        <w:t xml:space="preserve">Bei 76 Kindern mit bakterieller Hirnhautentzündung stieg LL-37 im Nervenwasser mit der Bakterienmenge; ein hohes Verhältnis von LL-37 zu Bakterien war mit weniger Hörschäden verbunden (Savonius 2018, PMID 28827496).</w:t>
      </w:r>
    </w:p>
    <w:p>
      <w:pPr>
        <w:numPr>
          <w:ilvl w:val="0"/>
          <w:numId w:val="1133"/>
        </w:numPr>
        <w:pStyle w:val="Compact"/>
      </w:pPr>
      <w:r>
        <w:t xml:space="preserve">Bei 30 Intensivpatientinnen und -patienten mit Sepsis stiegen die LL-37-Spiegel nach hochdosiertem Vitamin D an (Quraishi 2015, PMID 26086941).</w:t>
      </w:r>
    </w:p>
    <w:bookmarkEnd w:id="407"/>
    <w:bookmarkStart w:id="408" w:name="indirekt-ll-37-über-vitamin-d-anregen"/>
    <w:p>
      <w:pPr>
        <w:pStyle w:val="Heading4"/>
      </w:pPr>
      <w:r>
        <w:t xml:space="preserve">Indirekt: LL-37 über Vitamin D anregen</w:t>
      </w:r>
    </w:p>
    <w:p>
      <w:pPr>
        <w:pStyle w:val="FirstParagraph"/>
      </w:pPr>
      <w:r>
        <w:t xml:space="preserve">In einer doppelblinden Studie aus Bangladesch mit 288 Personen mit Lungentuberkulose waren nach vier Wochen mehr Teilnehmende kulturnegativ, wenn sie zusätzlich Vitamin D3 und Phenylbutyrat erhielten – zwei Stoffe, die die körpereigene LL-37-Bildung anregen (71 % vs. 42,2 % unter Placebo) (Mily 2015, PMID 26394045). Das ist eine Aussage über diese Kombination, nicht über LL-37 als Peptid. Vitamin D selbst ist kein Peptid und wird in diesem Buch nicht eigens behandelt.</w:t>
      </w:r>
    </w:p>
    <w:bookmarkEnd w:id="408"/>
    <w:bookmarkEnd w:id="409"/>
    <w:bookmarkStart w:id="410" w:name="tier--und-laborstudien-19"/>
    <w:p>
      <w:pPr>
        <w:pStyle w:val="Heading3"/>
      </w:pPr>
      <w:r>
        <w:t xml:space="preserve">Tier- und Laborstudien</w:t>
      </w:r>
    </w:p>
    <w:p>
      <w:pPr>
        <w:pStyle w:val="FirstParagraph"/>
      </w:pPr>
      <w:r>
        <w:t xml:space="preserve">Im Labor tötet LL-37 eine breite Palette von Bakterien, Pilzen und manchen Viren ab und fördert die Wanderung von Hautzellen. Eine Übersichtsarbeit zur Rolle bei Krebs fasst zusammen, dass LL-37 in Zell- und Tierversuchen bei Eierstock-, Lungen-, Brust-, Prostata- und Bauchspeicheldrüsenkrebs sowie beim Melanom das Tumorwachstum</w:t>
      </w:r>
      <w:r>
        <w:t xml:space="preserve"> </w:t>
      </w:r>
      <w:r>
        <w:rPr>
          <w:iCs/>
          <w:i/>
        </w:rPr>
        <w:t xml:space="preserve">fördert</w:t>
      </w:r>
      <w:r>
        <w:t xml:space="preserve">, bei Dickdarm-, Magen- und manchen Blutkrebsarten dagegen</w:t>
      </w:r>
      <w:r>
        <w:t xml:space="preserve"> </w:t>
      </w:r>
      <w:r>
        <w:rPr>
          <w:iCs/>
          <w:i/>
        </w:rPr>
        <w:t xml:space="preserve">hemmt</w:t>
      </w:r>
      <w:r>
        <w:t xml:space="preserve"> </w:t>
      </w:r>
      <w:r>
        <w:t xml:space="preserve">(Chen 2018, PMID 29843147). Dieselbe Substanz kann also je nach Gewebe gegensätzlich wirken.</w:t>
      </w:r>
    </w:p>
    <w:p>
      <w:pPr>
        <w:pStyle w:val="BodyText"/>
      </w:pPr>
      <w:r>
        <w:t xml:space="preserve">Für die Übertragbarkeit ist wichtig: Mäuse besitzen ein eigenes Cathelicidin, das dem menschlichen LL-37 nur ähnelt, und regulieren es anders (Gombart 2005, PMID 15985530). Mausbefunde zu LL-37 sind deshalb noch vorsichtiger zu bewerten als bei anderen Peptiden.</w:t>
      </w:r>
    </w:p>
    <w:bookmarkEnd w:id="410"/>
    <w:bookmarkStart w:id="413" w:name="risiken-und-nebenwirkungen-19"/>
    <w:p>
      <w:pPr>
        <w:pStyle w:val="Heading3"/>
      </w:pPr>
      <w:r>
        <w:t xml:space="preserve">Risiken und Nebenwirkungen</w:t>
      </w:r>
    </w:p>
    <w:bookmarkStart w:id="411" w:name="belegt-3"/>
    <w:p>
      <w:pPr>
        <w:pStyle w:val="Heading4"/>
      </w:pPr>
      <w:r>
        <w:t xml:space="preserve">Belegt</w:t>
      </w:r>
    </w:p>
    <w:p>
      <w:pPr>
        <w:pStyle w:val="FirstParagraph"/>
      </w:pPr>
      <w:r>
        <w:t xml:space="preserve">In den Wundstudien wurde örtlich aufgetragenes LL-37 gut vertragen; es gab keine Sicherheitsbedenken bei örtlichen oder allgemeinen Nebenwirkungen (Grönberg 2014, PMID 25041740; Mahlapuu 2021, PMID 34687253).</w:t>
      </w:r>
    </w:p>
    <w:p>
      <w:pPr>
        <w:pStyle w:val="BodyText"/>
      </w:pPr>
      <w:r>
        <w:t xml:space="preserve">Ein Fallbericht aus der Melanom-Studie zeigt aber, dass LL-37 in Injektionsform nicht harmlos ist: Bei einer 63-jährigen Frau, die acht wöchentliche Injektionen in Hautmetastasen erhielt, traten rund 45 Tage nach Beginn zahlreiche warzenartige Hautveränderungen und Blasen am Rumpf und an den Gliedmaßen auf, die zunächst für Hautkrebs gehalten wurden. Feingeweblich zeigten sich entzündliche Veränderungen mit atypischen Hautzellen; alle Veränderungen bildeten sich innerhalb von zwei Monaten nach Absetzen zurück (Dolkar 2018, PMID 29665030).</w:t>
      </w:r>
    </w:p>
    <w:bookmarkEnd w:id="411"/>
    <w:bookmarkStart w:id="412" w:name="X8cdc109f91e3c842215bd436920173f8f5ceb03"/>
    <w:p>
      <w:pPr>
        <w:pStyle w:val="Heading4"/>
      </w:pPr>
      <w:r>
        <w:t xml:space="preserve">Theoretisch und aus der Krankheitsforschung abgeleitet</w:t>
      </w:r>
    </w:p>
    <w:p>
      <w:pPr>
        <w:numPr>
          <w:ilvl w:val="0"/>
          <w:numId w:val="1134"/>
        </w:numPr>
        <w:pStyle w:val="Compact"/>
      </w:pPr>
      <w:r>
        <w:rPr>
          <w:bCs/>
          <w:b/>
        </w:rPr>
        <w:t xml:space="preserve">Autoimmunität und Hauterkrankungen:</w:t>
      </w:r>
      <w:r>
        <w:t xml:space="preserve"> </w:t>
      </w:r>
      <w:r>
        <w:t xml:space="preserve">LL-37 ist bei Psoriasis ein Auslöser der Entzündung und ein Ziel fehlgeleiteter T-Zellen (Lande 2007, PMID 17873860; Lande 2014, PMID 25470744) und bei Rosazea an der Hautentzündung beteiligt (Yamasaki 2007, PMID 17676051). Menschen mit diesen oder anderen Autoimmunerkrankungen (etwa Lupus) sollten besonders vorsichtig sein – Studien dazu gibt es nicht.</w:t>
      </w:r>
    </w:p>
    <w:p>
      <w:pPr>
        <w:numPr>
          <w:ilvl w:val="0"/>
          <w:numId w:val="1134"/>
        </w:numPr>
        <w:pStyle w:val="Compact"/>
      </w:pPr>
      <w:r>
        <w:rPr>
          <w:bCs/>
          <w:b/>
        </w:rPr>
        <w:t xml:space="preserve">Krebs:</w:t>
      </w:r>
      <w:r>
        <w:t xml:space="preserve"> </w:t>
      </w:r>
      <w:r>
        <w:t xml:space="preserve">Weil LL-37 in Laborversuchen das Wachstum mancher Tumorarten fördert (Chen 2018, PMID 29843147), ist ein Einsatz bei Menschen mit Krebserkrankung oder Krebsvorgeschichte ohne Studien nicht abschätzbar.</w:t>
      </w:r>
    </w:p>
    <w:p>
      <w:pPr>
        <w:numPr>
          <w:ilvl w:val="0"/>
          <w:numId w:val="1134"/>
        </w:numPr>
        <w:pStyle w:val="Compact"/>
      </w:pPr>
      <w:r>
        <w:rPr>
          <w:bCs/>
          <w:b/>
        </w:rPr>
        <w:t xml:space="preserve">Zellschädigung bei hohen Konzentrationen:</w:t>
      </w:r>
      <w:r>
        <w:t xml:space="preserve"> </w:t>
      </w:r>
      <w:r>
        <w:t xml:space="preserve">Das Peptid greift Zellhüllen an; in höheren Konzentrationen kann es auch menschliche Zellen schädigen. Das könnte erklären, warum in der ersten Wundstudie die höchste Konzentration nicht wirkte.</w:t>
      </w:r>
    </w:p>
    <w:p>
      <w:pPr>
        <w:numPr>
          <w:ilvl w:val="0"/>
          <w:numId w:val="1134"/>
        </w:numPr>
        <w:pStyle w:val="Compact"/>
      </w:pPr>
      <w:r>
        <w:rPr>
          <w:bCs/>
          <w:b/>
        </w:rPr>
        <w:t xml:space="preserve">Graumarkt:</w:t>
      </w:r>
      <w:r>
        <w:t xml:space="preserve"> </w:t>
      </w:r>
      <w:r>
        <w:t xml:space="preserve">Wie bei allen „Forschungspeptiden“ sind Reinheit, Gehalt und Sterilität unbekannt. Für Injektionen gilt das in besonderem Maß.</w:t>
      </w:r>
    </w:p>
    <w:bookmarkEnd w:id="412"/>
    <w:bookmarkEnd w:id="413"/>
    <w:bookmarkStart w:id="414" w:name="rechtslage-19"/>
    <w:p>
      <w:pPr>
        <w:pStyle w:val="Heading3"/>
      </w:pPr>
      <w:r>
        <w:t xml:space="preserve">Rechtslage</w:t>
      </w:r>
    </w:p>
    <w:p>
      <w:pPr>
        <w:pStyle w:val="FirstParagraph"/>
      </w:pPr>
      <w:r>
        <w:rPr>
          <w:iCs/>
          <w:i/>
        </w:rPr>
        <w:t xml:space="preserve">Stand 2026, bitte aktuell prüfen.</w:t>
      </w:r>
    </w:p>
    <w:p>
      <w:pPr>
        <w:numPr>
          <w:ilvl w:val="0"/>
          <w:numId w:val="1135"/>
        </w:numPr>
        <w:pStyle w:val="Compact"/>
      </w:pPr>
      <w:r>
        <w:rPr>
          <w:bCs/>
          <w:b/>
        </w:rPr>
        <w:t xml:space="preserve">EU, Deutschland, Österreich:</w:t>
      </w:r>
      <w:r>
        <w:t xml:space="preserve"> </w:t>
      </w:r>
      <w:r>
        <w:t xml:space="preserve">LL-37 ist nicht als Arzneimittel zugelassen. Die Entwicklung als Wundmittel durch ein schwedisches Unternehmen (unter dem Namen Ropocamptid) ist nach Kenntnis des Autors nicht über Phase 2 hinausgekommen. Der Verkauf zur Anwendung am Menschen ist nicht erlaubt.</w:t>
      </w:r>
    </w:p>
    <w:p>
      <w:pPr>
        <w:numPr>
          <w:ilvl w:val="0"/>
          <w:numId w:val="1135"/>
        </w:numPr>
        <w:pStyle w:val="Compact"/>
      </w:pPr>
      <w:r>
        <w:rPr>
          <w:bCs/>
          <w:b/>
        </w:rPr>
        <w:t xml:space="preserve">USA:</w:t>
      </w:r>
      <w:r>
        <w:t xml:space="preserve"> </w:t>
      </w:r>
      <w:r>
        <w:t xml:space="preserve">keine FDA-Zulassung.</w:t>
      </w:r>
    </w:p>
    <w:p>
      <w:pPr>
        <w:numPr>
          <w:ilvl w:val="0"/>
          <w:numId w:val="1135"/>
        </w:numPr>
        <w:pStyle w:val="Compact"/>
      </w:pPr>
      <w:r>
        <w:rPr>
          <w:bCs/>
          <w:b/>
        </w:rPr>
        <w:t xml:space="preserve">WADA:</w:t>
      </w:r>
      <w:r>
        <w:t xml:space="preserve"> </w:t>
      </w:r>
      <w:r>
        <w:t xml:space="preserve">nicht namentlich gelistet; nach Auffassung des Autors als nicht zugelassene Substanz unter S0 einzuordnen.</w:t>
      </w:r>
    </w:p>
    <w:bookmarkEnd w:id="414"/>
    <w:bookmarkStart w:id="415" w:name="laufende-studien-und-ausblick-19"/>
    <w:p>
      <w:pPr>
        <w:pStyle w:val="Heading3"/>
      </w:pPr>
      <w:r>
        <w:t xml:space="preserve">Laufende Studien und Ausblick</w:t>
      </w:r>
    </w:p>
    <w:p>
      <w:pPr>
        <w:pStyle w:val="FirstParagraph"/>
      </w:pPr>
      <w:r>
        <w:rPr>
          <w:bCs/>
          <w:b/>
        </w:rPr>
        <w:t xml:space="preserve">Gesichert:</w:t>
      </w:r>
      <w:r>
        <w:t xml:space="preserve"> </w:t>
      </w:r>
      <w:r>
        <w:t xml:space="preserve">Im Oktober 2026 ist bei ClinicalTrials.gov keine laufende Studie registriert, in der LL-37 als Wirkstoff gegeben wird. Die beiden Einträge mit LL-37 als Wirkstoff (Melanom, NCT02225366; diabetisches Fußgeschwür, NCT04098562) sind abgeschlossen bzw. haben einen unbekannten Status. Die übrigen Registereinträge messen LL-37 nur als Biomarker, etwa im Zahnfleisch oder bei Vitamin-D-Gabe.</w:t>
      </w:r>
    </w:p>
    <w:p>
      <w:pPr>
        <w:pStyle w:val="BodyText"/>
      </w:pPr>
      <w:r>
        <w:rPr>
          <w:bCs/>
          <w:b/>
        </w:rPr>
        <w:t xml:space="preserve">Einschätzung des Autors:</w:t>
      </w:r>
      <w:r>
        <w:t xml:space="preserve"> </w:t>
      </w:r>
      <w:r>
        <w:t xml:space="preserve">LL-37 selbst dürfte als Medikament kaum eine Zukunft haben – zu instabil, in hohen Konzentrationen zellschädigend und mit Autoimmun-Risiken behaftet. Die Forschung verlagert sich auf verkürzte oder veränderte Abkömmlinge und auf Wege, die körpereigene Bildung zu steigern. Eine Wundstudie in der Untergruppe großer Beingeschwüre, wie sie die HEAL-Autoren fordern, wäre der nächste logische Schritt; registriert ist sie nicht.</w:t>
      </w:r>
    </w:p>
    <w:bookmarkEnd w:id="415"/>
    <w:bookmarkStart w:id="416" w:name="fazit-19"/>
    <w:p>
      <w:pPr>
        <w:pStyle w:val="Heading3"/>
      </w:pPr>
      <w:r>
        <w:t xml:space="preserve">Fazit</w:t>
      </w:r>
    </w:p>
    <w:p>
      <w:pPr>
        <w:pStyle w:val="FirstParagraph"/>
      </w:pPr>
      <w:r>
        <w:t xml:space="preserve">LL-37 ist ein wichtiges körpereigenes Abwehrpeptid, dessen Spiegel in vielen Studien gemessen wurde – als Wirkstoff wurde es am Menschen aber nur in wenigen kleinen Studien gegeben. Auf Wunden aufgetragen war es gut verträglich, doch die größte randomisierte Studie mit 148 Personen fand keinen Vorteil gegenüber Placebo (Mahlapuu 2021, PMID 34687253). Gleichzeitig spielt LL-37 bei Psoriasis und Rosazea eine Rolle als Entzündungstreiber, und eine Injektionsbehandlung löste in einem dokumentierten Fall ausgeprägte Hautveränderungen aus. Für die im Internet beworbenen Anwendungen – etwa gegen chronische Infektionen oder als Immun-Booster per Spritze – gibt es keine Humanstudien.</w:t>
      </w:r>
    </w:p>
    <w:bookmarkEnd w:id="416"/>
    <w:bookmarkEnd w:id="417"/>
    <w:bookmarkStart w:id="430" w:name="ara-290-cibinetid"/>
    <w:p>
      <w:pPr>
        <w:pStyle w:val="Heading2"/>
      </w:pPr>
      <w:r>
        <w:t xml:space="preserve">ARA-290 (Cibinetid)</w:t>
      </w:r>
    </w:p>
    <w:p>
      <w:pPr>
        <w:pStyle w:val="FirstParagraph"/>
      </w:pPr>
      <w:r>
        <w:t xml:space="preserve">ARA-290 ist ein künstliches Peptid, das aus dem Blutbildungshormon Erythropoietin (EPO) abgeleitet wurde – jenem Hormon, das im Radsport als Dopingmittel berühmt wurde. ARA-290 soll aber gerade nicht die Blutbildung anregen, sondern nur die gewebeschützenden Eigenschaften von EPO nutzen. In kleinen Studien bei Nervenschmerzen im Rahmen der Sarkoidose zeigte es ermutigende Signale. In der Biohacking-Szene wird es inzwischen als „Nervenregenerations-“ und „Anti-Aging“-Peptid angeboten.</w:t>
      </w:r>
    </w:p>
    <w:bookmarkStart w:id="418" w:name="steckbrief-20"/>
    <w:p>
      <w:pPr>
        <w:pStyle w:val="Heading3"/>
      </w:pPr>
      <w:r>
        <w:t xml:space="preserve">Steckbrief</w:t>
      </w:r>
    </w:p>
    <w:p>
      <w:pPr>
        <w:numPr>
          <w:ilvl w:val="0"/>
          <w:numId w:val="1136"/>
        </w:numPr>
        <w:pStyle w:val="Compact"/>
      </w:pPr>
      <w:r>
        <w:rPr>
          <w:bCs/>
          <w:b/>
        </w:rPr>
        <w:t xml:space="preserve">Art und Struktur:</w:t>
      </w:r>
      <w:r>
        <w:t xml:space="preserve"> </w:t>
      </w:r>
      <w:r>
        <w:t xml:space="preserve">synthetisches Peptid aus 11 Aminosäuren (Winicki 2022, PMID 36741836); Wirkstoffname Cibinetid.</w:t>
      </w:r>
    </w:p>
    <w:p>
      <w:pPr>
        <w:numPr>
          <w:ilvl w:val="0"/>
          <w:numId w:val="1136"/>
        </w:numPr>
        <w:pStyle w:val="Compact"/>
      </w:pPr>
      <w:r>
        <w:rPr>
          <w:bCs/>
          <w:b/>
        </w:rPr>
        <w:t xml:space="preserve">Herkunft:</w:t>
      </w:r>
      <w:r>
        <w:t xml:space="preserve"> </w:t>
      </w:r>
      <w:r>
        <w:t xml:space="preserve">nachgebaut nach einem Abschnitt der räumlichen Struktur von Erythropoietin, der für dessen Gewebeschutz verantwortlich sein soll; entwickelt von der US-Firma Araim Pharmaceuticals.</w:t>
      </w:r>
    </w:p>
    <w:p>
      <w:pPr>
        <w:numPr>
          <w:ilvl w:val="0"/>
          <w:numId w:val="1136"/>
        </w:numPr>
        <w:pStyle w:val="Compact"/>
      </w:pPr>
      <w:r>
        <w:rPr>
          <w:bCs/>
          <w:b/>
        </w:rPr>
        <w:t xml:space="preserve">Wirkprinzip:</w:t>
      </w:r>
      <w:r>
        <w:t xml:space="preserve"> </w:t>
      </w:r>
      <w:r>
        <w:t xml:space="preserve">bindet an einen sogenannten „angeborenen Reparaturrezeptor“ (eine Kombination aus EPO-Rezeptor und dem Rezeptorbaustein CD131), nicht an den klassischen EPO-Rezeptor der Blutbildung; soll Entzündungen dämpfen und Gewebereparatur anstoßen.</w:t>
      </w:r>
    </w:p>
    <w:p>
      <w:pPr>
        <w:numPr>
          <w:ilvl w:val="0"/>
          <w:numId w:val="1136"/>
        </w:numPr>
        <w:pStyle w:val="Compact"/>
      </w:pPr>
      <w:r>
        <w:rPr>
          <w:bCs/>
          <w:b/>
        </w:rPr>
        <w:t xml:space="preserve">Zulassung EU/USA:</w:t>
      </w:r>
      <w:r>
        <w:t xml:space="preserve"> </w:t>
      </w:r>
      <w:r>
        <w:t xml:space="preserve">nein.</w:t>
      </w:r>
    </w:p>
    <w:p>
      <w:pPr>
        <w:numPr>
          <w:ilvl w:val="0"/>
          <w:numId w:val="1136"/>
        </w:numPr>
        <w:pStyle w:val="Compact"/>
      </w:pPr>
      <w:r>
        <w:rPr>
          <w:bCs/>
          <w:b/>
        </w:rPr>
        <w:t xml:space="preserve">WADA:</w:t>
      </w:r>
      <w:r>
        <w:t xml:space="preserve"> </w:t>
      </w:r>
      <w:r>
        <w:t xml:space="preserve">verboten – nicht-blutbildende EPO-Rezeptor-Agonisten wie ARA-290 sind in der Klasse S2 ausdrücklich genannt; Anti-Doping-Labore haben Nachweisverfahren entwickelt (Thomas 2017, PMID 28941172). Stand 2026, bitte aktuell prüfen.</w:t>
      </w:r>
    </w:p>
    <w:p>
      <w:pPr>
        <w:numPr>
          <w:ilvl w:val="0"/>
          <w:numId w:val="1136"/>
        </w:numPr>
        <w:pStyle w:val="Compact"/>
      </w:pPr>
      <w:r>
        <w:rPr>
          <w:bCs/>
          <w:b/>
        </w:rPr>
        <w:t xml:space="preserve">Evidenzstufe: B</w:t>
      </w:r>
      <w:r>
        <w:t xml:space="preserve"> </w:t>
      </w:r>
      <w:r>
        <w:t xml:space="preserve">– mehrere kleine randomisierte, placebokontrollierte Phase-2-Studien; keine Phase-3-Studie.</w:t>
      </w:r>
    </w:p>
    <w:bookmarkEnd w:id="418"/>
    <w:bookmarkStart w:id="419" w:name="wie-es-wirken-soll-20"/>
    <w:p>
      <w:pPr>
        <w:pStyle w:val="Heading3"/>
      </w:pPr>
      <w:r>
        <w:t xml:space="preserve">Wie es wirken soll</w:t>
      </w:r>
    </w:p>
    <w:p>
      <w:pPr>
        <w:pStyle w:val="FirstParagraph"/>
      </w:pPr>
      <w:r>
        <w:t xml:space="preserve">Erythropoietin wird in der Niere gebildet und regt im Knochenmark die Bildung roter Blutkörperchen an. In den 2000er-Jahren zeigte sich in Tierversuchen, dass EPO zusätzlich Nerven, Herz und Nieren vor Schäden schützen kann. Als Medikament ist EPO dafür aber ungeeignet: Es erhöht die Zahl der roten Blutkörperchen, verdickt das Blut und steigert das Risiko für Thrombosen.</w:t>
      </w:r>
    </w:p>
    <w:p>
      <w:pPr>
        <w:pStyle w:val="BodyText"/>
      </w:pPr>
      <w:r>
        <w:t xml:space="preserve">Die Entwickler von ARA-290 vermuteten, dass die Schutzwirkung über einen anderen Rezeptor läuft als die Blutbildung. Dieser „Reparaturrezeptor“ wird erst bei Gewebeschäden oder Entzündung vermehrt gebildet. ARA-290 soll gezielt nur ihn aktivieren. Bei Ratten mit Nervenverletzung verringerte es dosisabhängig die Überempfindlichkeit gegen Berührung und Kälte bis zu 20 Wochen lang und dämpfte die Aktivierung von Immunzellen im Rückenmark (Swartjes 2014, PMID 24529189).</w:t>
      </w:r>
    </w:p>
    <w:p>
      <w:pPr>
        <w:pStyle w:val="BodyText"/>
      </w:pPr>
      <w:r>
        <w:t xml:space="preserve">ARA-290 wird im Blut rasch abgebaut; ein Anti-Doping-Labor beschrieb einen ausgeprägten Abbau durch Enzyme mit einem Hauptabbauprodukt (Thomas 2017, PMID 28941172).</w:t>
      </w:r>
    </w:p>
    <w:bookmarkEnd w:id="419"/>
    <w:bookmarkStart w:id="422" w:name="studien-am-menschen-20"/>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5</w:t>
      </w:r>
      <w:r>
        <w:t xml:space="preserve"> </w:t>
      </w:r>
      <w:r>
        <w:t xml:space="preserve">Humanstudien in PubMed und</w:t>
      </w:r>
      <w:r>
        <w:t xml:space="preserve"> </w:t>
      </w:r>
      <w:r>
        <w:rPr>
          <w:bCs/>
          <w:b/>
        </w:rPr>
        <w:t xml:space="preserve">5</w:t>
      </w:r>
      <w:r>
        <w:t xml:space="preserve"> </w:t>
      </w:r>
      <w:r>
        <w:t xml:space="preserve">Einträge bei ClinicalTrials.gov. Eine weitere Studie (diabetisches Makulaödem) wurde gezielt nachgesucht. Alle Studien sind klein und dauerten vier bis zwölf Wochen.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Sarkoidose, Pilotstudie (Heij 2012, PMID 23168581)</w:t>
            </w:r>
          </w:p>
        </w:tc>
        <w:tc>
          <w:tcPr/>
          <w:p>
            <w:pPr>
              <w:pStyle w:val="Compact"/>
              <w:jc w:val="left"/>
            </w:pPr>
            <w:r>
              <w:t xml:space="preserve">22 Personen mit Nervenschmerzen bei Sarkoidose, doppelblinde RCT, Infusion</w:t>
            </w:r>
          </w:p>
        </w:tc>
        <w:tc>
          <w:tcPr/>
          <w:p>
            <w:pPr>
              <w:pStyle w:val="Compact"/>
              <w:jc w:val="left"/>
            </w:pPr>
            <w:r>
              <w:t xml:space="preserve">4 Wochen</w:t>
            </w:r>
          </w:p>
        </w:tc>
        <w:tc>
          <w:tcPr/>
          <w:p>
            <w:pPr>
              <w:pStyle w:val="Compact"/>
              <w:jc w:val="left"/>
            </w:pPr>
            <w:r>
              <w:t xml:space="preserve">Neuropathie-Fragebogen −11,5 vs. −2,9 Punkte; Schmerz-Hauptskala in beiden Gruppen gleich stark verbessert</w:t>
            </w:r>
          </w:p>
        </w:tc>
      </w:tr>
      <w:tr>
        <w:tc>
          <w:tcPr/>
          <w:p>
            <w:pPr>
              <w:pStyle w:val="Compact"/>
              <w:jc w:val="left"/>
            </w:pPr>
            <w:r>
              <w:t xml:space="preserve">Sarkoidose, Injektion unter die Haut (Dahan 2013, PMID 24136731)</w:t>
            </w:r>
          </w:p>
        </w:tc>
        <w:tc>
          <w:tcPr/>
          <w:p>
            <w:pPr>
              <w:pStyle w:val="Compact"/>
              <w:jc w:val="left"/>
            </w:pPr>
            <w:r>
              <w:t xml:space="preserve">Personen mit Nervenfaserverlust bei Sarkoidose, verblindete RCT gegen Placebo</w:t>
            </w:r>
          </w:p>
        </w:tc>
        <w:tc>
          <w:tcPr/>
          <w:p>
            <w:pPr>
              <w:pStyle w:val="Compact"/>
              <w:jc w:val="left"/>
            </w:pPr>
            <w:r>
              <w:t xml:space="preserve">28 Tage</w:t>
            </w:r>
          </w:p>
        </w:tc>
        <w:tc>
          <w:tcPr/>
          <w:p>
            <w:pPr>
              <w:pStyle w:val="Compact"/>
              <w:jc w:val="left"/>
            </w:pPr>
            <w:r>
              <w:t xml:space="preserve">Besserung der Beschwerden, mehr Nervenfasern in der Hornhaut, längere Gehstrecke</w:t>
            </w:r>
          </w:p>
        </w:tc>
      </w:tr>
      <w:tr>
        <w:tc>
          <w:tcPr/>
          <w:p>
            <w:pPr>
              <w:pStyle w:val="Compact"/>
              <w:jc w:val="left"/>
            </w:pPr>
            <w:r>
              <w:t xml:space="preserve">Sarkoidose, Phase 2b (Culver 2017, PMID 28475703; NCT02039687)</w:t>
            </w:r>
          </w:p>
        </w:tc>
        <w:tc>
          <w:tcPr/>
          <w:p>
            <w:pPr>
              <w:pStyle w:val="Compact"/>
              <w:jc w:val="left"/>
            </w:pPr>
            <w:r>
              <w:t xml:space="preserve">64 Personen, RCT mit drei Dosen und Placebo</w:t>
            </w:r>
          </w:p>
        </w:tc>
        <w:tc>
          <w:tcPr/>
          <w:p>
            <w:pPr>
              <w:pStyle w:val="Compact"/>
              <w:jc w:val="left"/>
            </w:pPr>
            <w:r>
              <w:t xml:space="preserve">28 Tage</w:t>
            </w:r>
          </w:p>
        </w:tc>
        <w:tc>
          <w:tcPr/>
          <w:p>
            <w:pPr>
              <w:pStyle w:val="Compact"/>
              <w:jc w:val="left"/>
            </w:pPr>
            <w:r>
              <w:t xml:space="preserve">Nervenfaserfläche der Hornhaut nur in der mittleren Dosis signifikant erhöht; Schmerz in allen Gruppen inklusive Placebo gebessert</w:t>
            </w:r>
          </w:p>
        </w:tc>
      </w:tr>
      <w:tr>
        <w:tc>
          <w:tcPr/>
          <w:p>
            <w:pPr>
              <w:pStyle w:val="Compact"/>
              <w:jc w:val="left"/>
            </w:pPr>
            <w:r>
              <w:t xml:space="preserve">Typ-2-Diabetes mit Neuropathie (Brines 2015, PMID 25387363)</w:t>
            </w:r>
          </w:p>
        </w:tc>
        <w:tc>
          <w:tcPr/>
          <w:p>
            <w:pPr>
              <w:pStyle w:val="Compact"/>
              <w:jc w:val="left"/>
            </w:pPr>
            <w:r>
              <w:t xml:space="preserve">Personen mit Typ-2-Diabetes und Nervenschmerzen, Phase 2, RCT gegen Placebo</w:t>
            </w:r>
          </w:p>
        </w:tc>
        <w:tc>
          <w:tcPr/>
          <w:p>
            <w:pPr>
              <w:pStyle w:val="Compact"/>
              <w:jc w:val="left"/>
            </w:pPr>
            <w:r>
              <w:t xml:space="preserve">28 Tage plus 28 Tage</w:t>
            </w:r>
          </w:p>
        </w:tc>
        <w:tc>
          <w:tcPr/>
          <w:p>
            <w:pPr>
              <w:pStyle w:val="Compact"/>
              <w:jc w:val="left"/>
            </w:pPr>
            <w:r>
              <w:t xml:space="preserve">HbA1c und Blutfette verbessert, Neuropathie-Fragebogen besser</w:t>
            </w:r>
          </w:p>
        </w:tc>
      </w:tr>
      <w:tr>
        <w:tc>
          <w:tcPr/>
          <w:p>
            <w:pPr>
              <w:pStyle w:val="Compact"/>
              <w:jc w:val="left"/>
            </w:pPr>
            <w:r>
              <w:t xml:space="preserve">Diabetisches Makulaödem (Lois 2020, PMID 32674280)</w:t>
            </w:r>
          </w:p>
        </w:tc>
        <w:tc>
          <w:tcPr/>
          <w:p>
            <w:pPr>
              <w:pStyle w:val="Compact"/>
              <w:jc w:val="left"/>
            </w:pPr>
            <w:r>
              <w:t xml:space="preserve">9 Personen, Phase 2 ohne Kontrollgruppe</w:t>
            </w:r>
          </w:p>
        </w:tc>
        <w:tc>
          <w:tcPr/>
          <w:p>
            <w:pPr>
              <w:pStyle w:val="Compact"/>
              <w:jc w:val="left"/>
            </w:pPr>
            <w:r>
              <w:t xml:space="preserve">12 Wochen</w:t>
            </w:r>
          </w:p>
        </w:tc>
        <w:tc>
          <w:tcPr/>
          <w:p>
            <w:pPr>
              <w:pStyle w:val="Compact"/>
              <w:jc w:val="left"/>
            </w:pPr>
            <w:r>
              <w:t xml:space="preserve">keine Verbesserung von Sehschärfe oder Netzhautdicke; keine Antikörper gegen den Wirkstoff</w:t>
            </w:r>
          </w:p>
        </w:tc>
      </w:tr>
      <w:tr>
        <w:tc>
          <w:tcPr/>
          <w:p>
            <w:pPr>
              <w:pStyle w:val="Compact"/>
              <w:jc w:val="left"/>
            </w:pPr>
            <w:r>
              <w:t xml:space="preserve">Gesunde, Stimmung (Cerit 2015, PMID 26431906)</w:t>
            </w:r>
          </w:p>
        </w:tc>
        <w:tc>
          <w:tcPr/>
          <w:p>
            <w:pPr>
              <w:pStyle w:val="Compact"/>
              <w:jc w:val="left"/>
            </w:pPr>
            <w:r>
              <w:t xml:space="preserve">36 Gesunde, doppelblinde RCT, Einzeldosis</w:t>
            </w:r>
          </w:p>
        </w:tc>
        <w:tc>
          <w:tcPr/>
          <w:p>
            <w:pPr>
              <w:pStyle w:val="Compact"/>
              <w:jc w:val="left"/>
            </w:pPr>
            <w:r>
              <w:t xml:space="preserve">1 Woche</w:t>
            </w:r>
          </w:p>
        </w:tc>
        <w:tc>
          <w:tcPr/>
          <w:p>
            <w:pPr>
              <w:pStyle w:val="Compact"/>
              <w:jc w:val="left"/>
            </w:pPr>
            <w:r>
              <w:t xml:space="preserve">keine Wirkung auf Stimmung; Befunde sprechen nicht eindeutig für antidepressive Wirkung</w:t>
            </w:r>
          </w:p>
        </w:tc>
      </w:tr>
    </w:tbl>
    <w:bookmarkStart w:id="420" w:name="sarkoidose-das-hauptanwendungsgebiet"/>
    <w:p>
      <w:pPr>
        <w:pStyle w:val="Heading4"/>
      </w:pPr>
      <w:r>
        <w:t xml:space="preserve">Sarkoidose – das Hauptanwendungsgebiet</w:t>
      </w:r>
    </w:p>
    <w:p>
      <w:pPr>
        <w:pStyle w:val="FirstParagraph"/>
      </w:pPr>
      <w:r>
        <w:t xml:space="preserve">Sarkoidose ist eine Entzündungskrankheit, bei der sich in Lunge, Haut, Augen und anderen Organen kleine Knötchen bilden. Viele Betroffene leiden an brennenden Schmerzen und Missempfindungen durch geschädigte feine Nervenfasern (Small-Fiber-Neuropathie). Wirksame Behandlungen gibt es kaum.</w:t>
      </w:r>
    </w:p>
    <w:p>
      <w:pPr>
        <w:pStyle w:val="BodyText"/>
      </w:pPr>
      <w:r>
        <w:t xml:space="preserve">In der ersten Pilotstudie mit 22 Personen verbesserte sich ein Fragebogen zu Neuropathie-Beschwerden unter ARA-290 deutlich stärker als unter Placebo. Die Werte des Schmerz-Hauptfragebogens und der Erschöpfung besserten sich jedoch in beiden Gruppen gleich stark – ein Hinweis auf einen erheblichen Placeboeffekt (Heij 2012, PMID 23168581).</w:t>
      </w:r>
    </w:p>
    <w:p>
      <w:pPr>
        <w:pStyle w:val="BodyText"/>
      </w:pPr>
      <w:r>
        <w:t xml:space="preserve">Die größte Studie, eine Phase-2b-Studie mit 64 Personen, wählte als Hauptzielgröße die Fläche der feinen Nervenfasern in der Hornhaut des Auges, die sich mit einem speziellen Mikroskop messen lässt. Nur in der mittleren von drei Dosen nahm diese Fläche gegenüber Placebo signifikant zu; die niedrige und die hohe Dosis zeigten keinen signifikanten Effekt. Die Schmerzen besserten sich in allen Gruppen, auch unter Placebo (Culver 2017, PMID 28475703). Die Hornhaut-Nervenfasern sind ein Ersatzmarker (Surrogatendpunkt): Ob mehr Nervenfasern in der Hornhaut auch dauerhaft weniger Schmerzen bedeuten, ist nicht nachgewiesen.</w:t>
      </w:r>
    </w:p>
    <w:p>
      <w:pPr>
        <w:pStyle w:val="BodyText"/>
      </w:pPr>
      <w:r>
        <w:t xml:space="preserve">Eine Übersicht von Mitgliedern der Leidener Forschungsgruppe bewertete die Aussichten als vielversprechend (van Velzen 2014, PMID 24555851). Dabei ist zu beachten, dass ein großer Teil der Studien von der Entwicklerfirma und eng mit ihr verbundenen Forschenden stammt.</w:t>
      </w:r>
    </w:p>
    <w:bookmarkEnd w:id="420"/>
    <w:bookmarkStart w:id="421" w:name="diabetes"/>
    <w:p>
      <w:pPr>
        <w:pStyle w:val="Heading4"/>
      </w:pPr>
      <w:r>
        <w:t xml:space="preserve">Diabetes</w:t>
      </w:r>
    </w:p>
    <w:p>
      <w:pPr>
        <w:pStyle w:val="FirstParagraph"/>
      </w:pPr>
      <w:r>
        <w:t xml:space="preserve">Bei Menschen mit Typ-2-Diabetes und schmerzhafter Neuropathie verbesserten sich unter ARA-290 über 28 Tage der Langzeitblutzucker HbA1c, die Blutfette und Neuropathie-Beschwerden (Brines 2015, PMID 25387363). Die Teilnehmerzahl ist im Abstract nicht angegeben; die Studie war kurz. Eine separat registrierte schwedische Studie zur Blutzuckerwirkung bei Prädiabetes mit geplant 24 Personen hat einen unbekannten Status (NCT01933529). Bei neun Personen mit diabetischem Makulaödem – einer Schwellung der Netzhautmitte – verbesserten sich Sehschärfe und Netzhautdicke nicht (Lois 2020, PMID 32674280).</w:t>
      </w:r>
    </w:p>
    <w:bookmarkEnd w:id="421"/>
    <w:bookmarkEnd w:id="422"/>
    <w:bookmarkStart w:id="423" w:name="tier--und-laborstudien-20"/>
    <w:p>
      <w:pPr>
        <w:pStyle w:val="Heading3"/>
      </w:pPr>
      <w:r>
        <w:t xml:space="preserve">Tier- und Laborstudien</w:t>
      </w:r>
    </w:p>
    <w:p>
      <w:pPr>
        <w:pStyle w:val="FirstParagraph"/>
      </w:pPr>
      <w:r>
        <w:t xml:space="preserve">Die Tierforschung zu ARA-290 ist breit. Bei Ratten, Mäusen und Schweinen wurden schützende Wirkungen bei Nervenschmerzen (Swartjes 2014, PMID 24529189; Pulman 2013, PMID 23262243), Nierenschäden nach Durchblutungsstörung bei Schweinen (van Rijt 2013, PMID 23302512), Diabetes bei Ratten (Muller 2016, PMID 26736179) und Alzheimer-ähnlichen Veränderungen (Al-Onaizi 2022, PMID 34343617) beschrieben. In einer Langzeitstudie an alternden Ratten über 15 Monate verringerte ARA-290 Entzündungszeichen im Herzen und milderte altersbedingte Verschlechterungen der Herzfunktion (Winicki 2022, PMID 36741836) – auf diese Arbeit stützt sich die Vermarktung als „Anti-Aging-Peptid“. Alle diese Ergebnisse stammen aus Tierversuchen.</w:t>
      </w:r>
    </w:p>
    <w:bookmarkEnd w:id="423"/>
    <w:bookmarkStart w:id="426" w:name="risiken-und-nebenwirkungen-20"/>
    <w:p>
      <w:pPr>
        <w:pStyle w:val="Heading3"/>
      </w:pPr>
      <w:r>
        <w:t xml:space="preserve">Risiken und Nebenwirkungen</w:t>
      </w:r>
    </w:p>
    <w:bookmarkStart w:id="424" w:name="belegt-4"/>
    <w:p>
      <w:pPr>
        <w:pStyle w:val="Heading4"/>
      </w:pPr>
      <w:r>
        <w:t xml:space="preserve">Belegt</w:t>
      </w:r>
    </w:p>
    <w:p>
      <w:pPr>
        <w:pStyle w:val="FirstParagraph"/>
      </w:pPr>
      <w:r>
        <w:t xml:space="preserve">In allen veröffentlichten Studien wurden keine Sicherheitsprobleme berichtet (Heij 2012, PMID 23168581; Brines 2015, PMID 25387363). In der Makulaödem-Studie über zwölf Wochen traten keine schweren Nebenwirkungen und keine Antikörper gegen ARA-290 auf (Lois 2020, PMID 32674280). Die Datenbasis ist mit insgesamt deutlich weniger als 200 behandelten Personen und Behandlungszeiten von höchstens zwölf Wochen aber klein.</w:t>
      </w:r>
    </w:p>
    <w:bookmarkEnd w:id="424"/>
    <w:bookmarkStart w:id="425" w:name="theoretisch-1"/>
    <w:p>
      <w:pPr>
        <w:pStyle w:val="Heading4"/>
      </w:pPr>
      <w:r>
        <w:t xml:space="preserve">Theoretisch</w:t>
      </w:r>
    </w:p>
    <w:p>
      <w:pPr>
        <w:numPr>
          <w:ilvl w:val="0"/>
          <w:numId w:val="1137"/>
        </w:numPr>
        <w:pStyle w:val="Compact"/>
      </w:pPr>
      <w:r>
        <w:rPr>
          <w:bCs/>
          <w:b/>
        </w:rPr>
        <w:t xml:space="preserve">EPO-ähnliche Effekte:</w:t>
      </w:r>
      <w:r>
        <w:t xml:space="preserve"> </w:t>
      </w:r>
      <w:r>
        <w:t xml:space="preserve">ARA-290 wurde so entworfen, dass es die Blutbildung nicht anregt. Ob bei längerer Anwendung oder höheren Dosen, wie sie im Graumarkt kursieren, dennoch EPO-ähnliche Wirkungen auftreten, ist am Menschen nicht untersucht.</w:t>
      </w:r>
    </w:p>
    <w:p>
      <w:pPr>
        <w:numPr>
          <w:ilvl w:val="0"/>
          <w:numId w:val="1137"/>
        </w:numPr>
        <w:pStyle w:val="Compact"/>
      </w:pPr>
      <w:r>
        <w:rPr>
          <w:bCs/>
          <w:b/>
        </w:rPr>
        <w:t xml:space="preserve">Tumorwachstum:</w:t>
      </w:r>
      <w:r>
        <w:t xml:space="preserve"> </w:t>
      </w:r>
      <w:r>
        <w:t xml:space="preserve">EPO selbst steht im Verdacht, bei manchen Krebserkrankungen das Tumorwachstum zu fördern. Ob das für ARA-290 eine Rolle spielt, ist unbekannt; Langzeitdaten fehlen.</w:t>
      </w:r>
    </w:p>
    <w:p>
      <w:pPr>
        <w:numPr>
          <w:ilvl w:val="0"/>
          <w:numId w:val="1137"/>
        </w:numPr>
        <w:pStyle w:val="Compact"/>
      </w:pPr>
      <w:r>
        <w:rPr>
          <w:bCs/>
          <w:b/>
        </w:rPr>
        <w:t xml:space="preserve">Graumarkt:</w:t>
      </w:r>
      <w:r>
        <w:t xml:space="preserve"> </w:t>
      </w:r>
      <w:r>
        <w:t xml:space="preserve">Die Studien wurden mit Arzneimittelqualität durchgeführt. Für frei verkaufte Produkte sind Reinheit und Gehalt unbekannt.</w:t>
      </w:r>
    </w:p>
    <w:bookmarkEnd w:id="425"/>
    <w:bookmarkEnd w:id="426"/>
    <w:bookmarkStart w:id="427" w:name="rechtslage-20"/>
    <w:p>
      <w:pPr>
        <w:pStyle w:val="Heading3"/>
      </w:pPr>
      <w:r>
        <w:t xml:space="preserve">Rechtslage</w:t>
      </w:r>
    </w:p>
    <w:p>
      <w:pPr>
        <w:pStyle w:val="FirstParagraph"/>
      </w:pPr>
      <w:r>
        <w:rPr>
          <w:iCs/>
          <w:i/>
        </w:rPr>
        <w:t xml:space="preserve">Stand 2026, bitte aktuell prüfen.</w:t>
      </w:r>
    </w:p>
    <w:p>
      <w:pPr>
        <w:numPr>
          <w:ilvl w:val="0"/>
          <w:numId w:val="1138"/>
        </w:numPr>
        <w:pStyle w:val="Compact"/>
      </w:pPr>
      <w:r>
        <w:rPr>
          <w:bCs/>
          <w:b/>
        </w:rPr>
        <w:t xml:space="preserve">EU, Deutschland, Österreich:</w:t>
      </w:r>
      <w:r>
        <w:t xml:space="preserve"> </w:t>
      </w:r>
      <w:r>
        <w:t xml:space="preserve">nicht zugelassen. Die Abgabe zur Anwendung am Menschen ist nicht erlaubt.</w:t>
      </w:r>
    </w:p>
    <w:p>
      <w:pPr>
        <w:numPr>
          <w:ilvl w:val="0"/>
          <w:numId w:val="1138"/>
        </w:numPr>
        <w:pStyle w:val="Compact"/>
      </w:pPr>
      <w:r>
        <w:rPr>
          <w:bCs/>
          <w:b/>
        </w:rPr>
        <w:t xml:space="preserve">USA:</w:t>
      </w:r>
      <w:r>
        <w:t xml:space="preserve"> </w:t>
      </w:r>
      <w:r>
        <w:t xml:space="preserve">keine FDA-Zulassung.</w:t>
      </w:r>
    </w:p>
    <w:p>
      <w:pPr>
        <w:numPr>
          <w:ilvl w:val="0"/>
          <w:numId w:val="1138"/>
        </w:numPr>
        <w:pStyle w:val="Compact"/>
      </w:pPr>
      <w:r>
        <w:rPr>
          <w:bCs/>
          <w:b/>
        </w:rPr>
        <w:t xml:space="preserve">WADA:</w:t>
      </w:r>
      <w:r>
        <w:t xml:space="preserve"> </w:t>
      </w:r>
      <w:r>
        <w:t xml:space="preserve">im und außerhalb des Wettkampfs verboten (S2, Peptidhormone und verwandte Substanzen; ARA-290 wird als Beispiel für nicht-blutbildende EPO-Rezeptor-Agonisten genannt).</w:t>
      </w:r>
    </w:p>
    <w:bookmarkEnd w:id="427"/>
    <w:bookmarkStart w:id="428" w:name="laufende-studien-und-ausblick-20"/>
    <w:p>
      <w:pPr>
        <w:pStyle w:val="Heading3"/>
      </w:pPr>
      <w:r>
        <w:t xml:space="preserve">Laufende Studien und Ausblick</w:t>
      </w:r>
    </w:p>
    <w:p>
      <w:pPr>
        <w:pStyle w:val="FirstParagraph"/>
      </w:pPr>
      <w:r>
        <w:rPr>
          <w:bCs/>
          <w:b/>
        </w:rPr>
        <w:t xml:space="preserve">Gesichert:</w:t>
      </w:r>
      <w:r>
        <w:t xml:space="preserve"> </w:t>
      </w:r>
      <w:r>
        <w:t xml:space="preserve">Im Oktober 2026 ist bei ClinicalTrials.gov keine laufende Studie mit ARA-290 bzw. Cibinetid registriert. Die bisher größte Studie (NCT02039687) wurde 2015 abgeschlossen; seither ist keine Phase-3-Studie begonnen worden. Die Studie zum Makulaödem wurde mit neun Personen beendet (NCT06626971).</w:t>
      </w:r>
    </w:p>
    <w:p>
      <w:pPr>
        <w:pStyle w:val="BodyText"/>
      </w:pPr>
      <w:r>
        <w:rPr>
          <w:bCs/>
          <w:b/>
        </w:rPr>
        <w:t xml:space="preserve">Einschätzung des Autors:</w:t>
      </w:r>
      <w:r>
        <w:t xml:space="preserve"> </w:t>
      </w:r>
      <w:r>
        <w:t xml:space="preserve">Die Ergebnisse bei Sarkoidose-Neuropathie waren interessant genug für eine Phase-3-Studie, die aber über zehn Jahre nach der Phase-2b-Studie nicht erkennbar begonnen wurde. Ohne neuen Entwickler oder Geldgeber ist eine Zulassung unwahrscheinlich. Die Vermarktung im Graumarkt als Anti-Aging-Mittel stützt sich auf Rattenstudien und hat mit den untersuchten Anwendungen am Menschen wenig zu tun.</w:t>
      </w:r>
    </w:p>
    <w:bookmarkEnd w:id="428"/>
    <w:bookmarkStart w:id="429" w:name="fazit-20"/>
    <w:p>
      <w:pPr>
        <w:pStyle w:val="Heading3"/>
      </w:pPr>
      <w:r>
        <w:t xml:space="preserve">Fazit</w:t>
      </w:r>
    </w:p>
    <w:p>
      <w:pPr>
        <w:pStyle w:val="FirstParagraph"/>
      </w:pPr>
      <w:r>
        <w:t xml:space="preserve">ARA-290 ist ein aus Erythropoietin abgeleitetes Peptid, das Gewebe schützen soll, ohne die Blutbildung anzuregen. In kleinen randomisierten Studien bei Sarkoidose-bedingter Nervenschädigung nahmen Nervenfasern in der Hornhaut zu, allerdings nur in einer von drei Dosen, und die Schmerzen besserten sich auch unter Placebo deutlich (Culver 2017, PMID 28475703). Die Verträglichkeit war in den kurzen Studien gut, Langzeitdaten fehlen. Seit 2015 gibt es keine neuen registrierten Studien; im Sport ist ARA-290 verboten.</w:t>
      </w:r>
    </w:p>
    <w:bookmarkEnd w:id="429"/>
    <w:bookmarkEnd w:id="430"/>
    <w:bookmarkStart w:id="444" w:name="larazotid"/>
    <w:p>
      <w:pPr>
        <w:pStyle w:val="Heading2"/>
      </w:pPr>
      <w:r>
        <w:t xml:space="preserve">Larazotid</w:t>
      </w:r>
    </w:p>
    <w:p>
      <w:pPr>
        <w:pStyle w:val="FirstParagraph"/>
      </w:pPr>
      <w:r>
        <w:t xml:space="preserve">Larazotid ist das einzige Peptid dieser Gruppe, das es bis in eine Phase-3-Zulassungsstudie geschafft hat, ohne vorher irgendwo zugelassen zu sein. Es sollte das erste Medikament gegen Zöliakie werden – eine Erkrankung, bei der bis heute nur die lebenslange glutenfreie Ernährung hilft. Das Konzept dahinter, die Abdichtung einer „durchlässigen“ Darmwand, macht Larazotid auch für die Szene rund um den „Leaky Gut“ interessant. Die Geschichte des Wirkstoffs zeigt, wie schwer es ist, aus einer plausiblen Idee ein wirksames Medikament zu machen.</w:t>
      </w:r>
    </w:p>
    <w:bookmarkStart w:id="431" w:name="steckbrief-21"/>
    <w:p>
      <w:pPr>
        <w:pStyle w:val="Heading3"/>
      </w:pPr>
      <w:r>
        <w:t xml:space="preserve">Steckbrief</w:t>
      </w:r>
    </w:p>
    <w:p>
      <w:pPr>
        <w:numPr>
          <w:ilvl w:val="0"/>
          <w:numId w:val="1139"/>
        </w:numPr>
        <w:pStyle w:val="Compact"/>
      </w:pPr>
      <w:r>
        <w:rPr>
          <w:bCs/>
          <w:b/>
        </w:rPr>
        <w:t xml:space="preserve">Art und Struktur:</w:t>
      </w:r>
      <w:r>
        <w:t xml:space="preserve"> </w:t>
      </w:r>
      <w:r>
        <w:t xml:space="preserve">synthetisches Peptid aus 8 Aminosäuren (Gopalakrishnan 2012, PMID 22401908), als Acetat-Salz (Larazotidacetat); Entwicklungscode AT-1001.</w:t>
      </w:r>
    </w:p>
    <w:p>
      <w:pPr>
        <w:numPr>
          <w:ilvl w:val="0"/>
          <w:numId w:val="1139"/>
        </w:numPr>
        <w:pStyle w:val="Compact"/>
      </w:pPr>
      <w:r>
        <w:rPr>
          <w:bCs/>
          <w:b/>
        </w:rPr>
        <w:t xml:space="preserve">Herkunft:</w:t>
      </w:r>
      <w:r>
        <w:t xml:space="preserve"> </w:t>
      </w:r>
      <w:r>
        <w:t xml:space="preserve">abgeleitet aus der Forschung zum Zonula-occludens-Toxin des Cholera-Bakteriums, das die Verbindungen zwischen Darmzellen öffnet; Larazotid soll umgekehrt wirken.</w:t>
      </w:r>
    </w:p>
    <w:p>
      <w:pPr>
        <w:numPr>
          <w:ilvl w:val="0"/>
          <w:numId w:val="1139"/>
        </w:numPr>
        <w:pStyle w:val="Compact"/>
      </w:pPr>
      <w:r>
        <w:rPr>
          <w:bCs/>
          <w:b/>
        </w:rPr>
        <w:t xml:space="preserve">Wirkprinzip:</w:t>
      </w:r>
      <w:r>
        <w:t xml:space="preserve"> </w:t>
      </w:r>
      <w:r>
        <w:t xml:space="preserve">Regulator der „Tight Junctions“ (Schlussleisten zwischen Darmzellen); gilt als Gegenspieler des körpereigenen Signalstoffs Zonulin. Wirkt örtlich im Darm und wird kaum ins Blut aufgenommen.</w:t>
      </w:r>
    </w:p>
    <w:p>
      <w:pPr>
        <w:numPr>
          <w:ilvl w:val="0"/>
          <w:numId w:val="1139"/>
        </w:numPr>
        <w:pStyle w:val="Compact"/>
      </w:pPr>
      <w:r>
        <w:rPr>
          <w:bCs/>
          <w:b/>
        </w:rPr>
        <w:t xml:space="preserve">Zulassung EU/USA:</w:t>
      </w:r>
      <w:r>
        <w:t xml:space="preserve"> </w:t>
      </w:r>
      <w:r>
        <w:t xml:space="preserve">nein.</w:t>
      </w:r>
    </w:p>
    <w:p>
      <w:pPr>
        <w:numPr>
          <w:ilvl w:val="0"/>
          <w:numId w:val="1139"/>
        </w:numPr>
        <w:pStyle w:val="Compact"/>
      </w:pPr>
      <w:r>
        <w:rPr>
          <w:bCs/>
          <w:b/>
        </w:rPr>
        <w:t xml:space="preserve">WADA:</w:t>
      </w:r>
      <w:r>
        <w:t xml:space="preserve"> </w:t>
      </w:r>
      <w:r>
        <w:t xml:space="preserve">nicht gelistet; ohne erkennbare leistungssteigernde Wirkung (Stand 2026, bitte aktuell prüfen).</w:t>
      </w:r>
    </w:p>
    <w:p>
      <w:pPr>
        <w:numPr>
          <w:ilvl w:val="0"/>
          <w:numId w:val="1139"/>
        </w:numPr>
        <w:pStyle w:val="Compact"/>
      </w:pPr>
      <w:r>
        <w:rPr>
          <w:bCs/>
          <w:b/>
        </w:rPr>
        <w:t xml:space="preserve">Evidenzstufe: B</w:t>
      </w:r>
      <w:r>
        <w:t xml:space="preserve"> </w:t>
      </w:r>
      <w:r>
        <w:t xml:space="preserve">– mehrere randomisierte Phase-2-Studien mit gemischten Ergebnissen; die Phase-3-Studie wurde abgebrochen, ohne veröffentlichte Ergebnisse.</w:t>
      </w:r>
    </w:p>
    <w:bookmarkEnd w:id="431"/>
    <w:bookmarkStart w:id="432" w:name="wie-es-wirken-soll-21"/>
    <w:p>
      <w:pPr>
        <w:pStyle w:val="Heading3"/>
      </w:pPr>
      <w:r>
        <w:t xml:space="preserve">Wie es wirken soll</w:t>
      </w:r>
    </w:p>
    <w:p>
      <w:pPr>
        <w:pStyle w:val="FirstParagraph"/>
      </w:pPr>
      <w:r>
        <w:t xml:space="preserve">Bei Zöliakie reagiert das Immunsystem genetisch veranlagter Menschen auf Gluten, ein Eiweiß in Weizen, Roggen und Gerste. Bruchstücke des Glutens gelangen durch die Darmschleimhaut und lösen dort eine Entzündung aus, die die Darmzotten zerstört. Ein Teil dieser Bruchstücke wandert vermutlich durch die Lücken zwischen den Darmzellen. Diese Lücken werden durch die Tight Junctions verschlossen – eine Art molekularer Reißverschluss.</w:t>
      </w:r>
    </w:p>
    <w:p>
      <w:pPr>
        <w:pStyle w:val="BodyText"/>
      </w:pPr>
      <w:r>
        <w:t xml:space="preserve">Der Signalstoff Zonulin kann diesen Reißverschluss öffnen; Gliadin, ein Bestandteil des Glutens, setzt Zonulin frei. Larazotid soll diesen Weg blockieren. In Zellkulturen menschlicher Darmzellen verhinderte Larazotid die Umlagerung der Verschlussproteine und verringerte den Durchtritt eines Gliadin-Bruchstücks durch die Zellschicht; bei genetisch veränderten Mäusen mit Gluten-Empfindlichkeit blieb die Struktur der Schlussleisten erhalten (Gopalakrishnan 2012, PMID 22401908). Neuere Arbeiten vermuten zusätzlich eine Hemmung des Enzyms Myosin-Leichtketten-Kinase, das die Zellverbindungen unter Spannung setzt (Slifer 2021, PMID 33881350).</w:t>
      </w:r>
    </w:p>
    <w:p>
      <w:pPr>
        <w:pStyle w:val="BodyText"/>
      </w:pPr>
      <w:r>
        <w:t xml:space="preserve">Larazotid war nie als Ersatz für die glutenfreie Ernährung gedacht. Ziel war ein Zusatzmittel für Betroffene, die trotz Diät Beschwerden haben – etwa durch unbemerkte Spuren von Gluten.</w:t>
      </w:r>
    </w:p>
    <w:bookmarkEnd w:id="432"/>
    <w:bookmarkStart w:id="436" w:name="studien-am-menschen-21"/>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4</w:t>
      </w:r>
      <w:r>
        <w:t xml:space="preserve"> </w:t>
      </w:r>
      <w:r>
        <w:t xml:space="preserve">Humanstudien in PubMed und</w:t>
      </w:r>
      <w:r>
        <w:t xml:space="preserve"> </w:t>
      </w:r>
      <w:r>
        <w:rPr>
          <w:bCs/>
          <w:b/>
        </w:rPr>
        <w:t xml:space="preserve">29</w:t>
      </w:r>
      <w:r>
        <w:t xml:space="preserve"> </w:t>
      </w:r>
      <w:r>
        <w:t xml:space="preserve">Einträge bei ClinicalTrials.gov. Von diesen 29 Einträgen betreffen allerdings 19 ein völlig anderes Medikament: Migalastat gegen die Fabry-Krankheit trug früher denselben Entwicklungscode AT1001. Tatsächlich zu Larazotid gehören</w:t>
      </w:r>
      <w:r>
        <w:t xml:space="preserve"> </w:t>
      </w:r>
      <w:r>
        <w:rPr>
          <w:bCs/>
          <w:b/>
        </w:rPr>
        <w:t xml:space="preserve">10</w:t>
      </w:r>
      <w:r>
        <w:t xml:space="preserve"> </w:t>
      </w:r>
      <w:r>
        <w:t xml:space="preserve">Registereinträge. Eine Meta-Analyse von 2022 fasste vier randomisierte Studien mit 626 Personen zusammen (Hoilat 2022, PMID 34339872).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Glutenbelastung (Leffler 2012, PMID 22825365)</w:t>
            </w:r>
          </w:p>
        </w:tc>
        <w:tc>
          <w:tcPr/>
          <w:p>
            <w:pPr>
              <w:pStyle w:val="Compact"/>
              <w:jc w:val="left"/>
            </w:pPr>
            <w:r>
              <w:t xml:space="preserve">86 Personen mit Zöliakie, RCT mit 4 Dosen und Placebo</w:t>
            </w:r>
          </w:p>
        </w:tc>
        <w:tc>
          <w:tcPr/>
          <w:p>
            <w:pPr>
              <w:pStyle w:val="Compact"/>
              <w:jc w:val="left"/>
            </w:pPr>
            <w:r>
              <w:t xml:space="preserve">14 Tage</w:t>
            </w:r>
          </w:p>
        </w:tc>
        <w:tc>
          <w:tcPr/>
          <w:p>
            <w:pPr>
              <w:pStyle w:val="Compact"/>
              <w:jc w:val="left"/>
            </w:pPr>
            <w:r>
              <w:t xml:space="preserve">Durchlässigkeitstest ohne signifikanten Unterschied; weniger Beschwerden bei einigen niedrigen Dosen</w:t>
            </w:r>
          </w:p>
        </w:tc>
      </w:tr>
      <w:tr>
        <w:tc>
          <w:tcPr/>
          <w:p>
            <w:pPr>
              <w:pStyle w:val="Compact"/>
              <w:jc w:val="left"/>
            </w:pPr>
            <w:r>
              <w:t xml:space="preserve">Glutenbelastung (Kelly 2013, PMID 23163616)</w:t>
            </w:r>
          </w:p>
        </w:tc>
        <w:tc>
          <w:tcPr/>
          <w:p>
            <w:pPr>
              <w:pStyle w:val="Compact"/>
              <w:jc w:val="left"/>
            </w:pPr>
            <w:r>
              <w:t xml:space="preserve">184 Personen, RCT mit 3 Dosen und Placebo, täglich 2,7 g Gluten</w:t>
            </w:r>
          </w:p>
        </w:tc>
        <w:tc>
          <w:tcPr/>
          <w:p>
            <w:pPr>
              <w:pStyle w:val="Compact"/>
              <w:jc w:val="left"/>
            </w:pPr>
            <w:r>
              <w:t xml:space="preserve">6 Wochen</w:t>
            </w:r>
          </w:p>
        </w:tc>
        <w:tc>
          <w:tcPr/>
          <w:p>
            <w:pPr>
              <w:pStyle w:val="Compact"/>
              <w:jc w:val="left"/>
            </w:pPr>
            <w:r>
              <w:t xml:space="preserve">Durchlässigkeit unverändert; weniger Beschwerden nur mit 1 mg; geringerer Anstieg der Zöliakie-Antikörper</w:t>
            </w:r>
          </w:p>
        </w:tc>
      </w:tr>
      <w:tr>
        <w:tc>
          <w:tcPr/>
          <w:p>
            <w:pPr>
              <w:pStyle w:val="Compact"/>
              <w:jc w:val="left"/>
            </w:pPr>
            <w:r>
              <w:t xml:space="preserve">Beschwerden trotz Diät (Leffler 2015, PMID 25683116; NCT01396213)</w:t>
            </w:r>
          </w:p>
        </w:tc>
        <w:tc>
          <w:tcPr/>
          <w:p>
            <w:pPr>
              <w:pStyle w:val="Compact"/>
              <w:jc w:val="left"/>
            </w:pPr>
            <w:r>
              <w:t xml:space="preserve">342 Personen, RCT mit 3 Dosen und Placebo</w:t>
            </w:r>
          </w:p>
        </w:tc>
        <w:tc>
          <w:tcPr/>
          <w:p>
            <w:pPr>
              <w:pStyle w:val="Compact"/>
              <w:jc w:val="left"/>
            </w:pPr>
            <w:r>
              <w:t xml:space="preserve">12 Wochen</w:t>
            </w:r>
          </w:p>
        </w:tc>
        <w:tc>
          <w:tcPr/>
          <w:p>
            <w:pPr>
              <w:pStyle w:val="Compact"/>
              <w:jc w:val="left"/>
            </w:pPr>
            <w:r>
              <w:t xml:space="preserve">Hauptziel nur mit der niedrigsten Dosis (0,5 mg) erreicht; 1 mg und 2 mg nicht besser als Placebo</w:t>
            </w:r>
          </w:p>
        </w:tc>
      </w:tr>
      <w:tr>
        <w:tc>
          <w:tcPr/>
          <w:p>
            <w:pPr>
              <w:pStyle w:val="Compact"/>
              <w:jc w:val="left"/>
            </w:pPr>
            <w:r>
              <w:t xml:space="preserve">CeDLara, Phase 3 (NCT03569007)</w:t>
            </w:r>
          </w:p>
        </w:tc>
        <w:tc>
          <w:tcPr/>
          <w:p>
            <w:pPr>
              <w:pStyle w:val="Compact"/>
              <w:jc w:val="left"/>
            </w:pPr>
            <w:r>
              <w:t xml:space="preserve">307 Personen, randomisiert, verblindet</w:t>
            </w:r>
          </w:p>
        </w:tc>
        <w:tc>
          <w:tcPr/>
          <w:p>
            <w:pPr>
              <w:pStyle w:val="Compact"/>
              <w:jc w:val="left"/>
            </w:pPr>
            <w:r>
              <w:t xml:space="preserve">geplant 12 Wochen</w:t>
            </w:r>
          </w:p>
        </w:tc>
        <w:tc>
          <w:tcPr/>
          <w:p>
            <w:pPr>
              <w:pStyle w:val="Compact"/>
              <w:jc w:val="left"/>
            </w:pPr>
            <w:r>
              <w:t xml:space="preserve">2022 vom Sponsor abgebrochen; keine Ergebnisse veröffentlicht</w:t>
            </w:r>
          </w:p>
        </w:tc>
      </w:tr>
      <w:tr>
        <w:tc>
          <w:tcPr/>
          <w:p>
            <w:pPr>
              <w:pStyle w:val="Compact"/>
              <w:jc w:val="left"/>
            </w:pPr>
            <w:r>
              <w:t xml:space="preserve">MIS-C bei Kindern (Yonker 2025, PMID 40737433)</w:t>
            </w:r>
          </w:p>
        </w:tc>
        <w:tc>
          <w:tcPr/>
          <w:p>
            <w:pPr>
              <w:pStyle w:val="Compact"/>
              <w:jc w:val="left"/>
            </w:pPr>
            <w:r>
              <w:t xml:space="preserve">12 Kinder mit Entzündungssyndrom nach COVID-19, Phase 2a, RCT</w:t>
            </w:r>
          </w:p>
        </w:tc>
        <w:tc>
          <w:tcPr/>
          <w:p>
            <w:pPr>
              <w:pStyle w:val="Compact"/>
              <w:jc w:val="left"/>
            </w:pPr>
            <w:r>
              <w:t xml:space="preserve">3 Wochen</w:t>
            </w:r>
          </w:p>
        </w:tc>
        <w:tc>
          <w:tcPr/>
          <w:p>
            <w:pPr>
              <w:pStyle w:val="Compact"/>
              <w:jc w:val="left"/>
            </w:pPr>
            <w:r>
              <w:t xml:space="preserve">schnelleres Abklingen der Magen-Darm-Beschwerden; keine Nebenwirkungen durch Larazotid</w:t>
            </w:r>
          </w:p>
        </w:tc>
      </w:tr>
    </w:tbl>
    <w:bookmarkStart w:id="433" w:name="zöliakie-phase-2"/>
    <w:p>
      <w:pPr>
        <w:pStyle w:val="Heading4"/>
      </w:pPr>
      <w:r>
        <w:t xml:space="preserve">Zöliakie: Phase 2</w:t>
      </w:r>
    </w:p>
    <w:p>
      <w:pPr>
        <w:pStyle w:val="FirstParagraph"/>
      </w:pPr>
      <w:r>
        <w:t xml:space="preserve">In den beiden Studien mit gezielter Glutenbelastung sollte Larazotid den Anstieg der Darmdurchlässigkeit verhindern. Gemessen wurde sie mit einem Zuckertest im Urin (Laktulose-Mannit-Verhältnis). Dieser Test war im Alltag so schwankend, dass sich kein Effekt nachweisen ließ (Leffler 2012, PMID 22825365; Kelly 2013, PMID 23163616). Bei den Beschwerden zeigte sich ein ungewöhnliches Muster: Niedrige Dosen wirkten teils besser als hohe. In der Studie mit 184 Personen begrenzte nur die 1-mg-Dosis die durch Gluten ausgelösten Beschwerden signifikant; gleichzeitig stiegen die Zöliakie-Antikörper unter allen Larazotid-Dosen deutlich weniger an als unter Placebo (Kelly 2013, PMID 23163616).</w:t>
      </w:r>
    </w:p>
    <w:p>
      <w:pPr>
        <w:pStyle w:val="BodyText"/>
      </w:pPr>
      <w:r>
        <w:t xml:space="preserve">Die größte Phase-2-Studie mit 342 Personen, die trotz glutenfreier Diät Beschwerden hatten, erreichte ihr Hauptziel nur mit der niedrigsten Dosis von 0,5 mg. Unter dieser Dosis gab es 26 Prozent weniger Tage mit Zöliakie-Beschwerden. Die höheren Dosen waren in keinem Endpunkt besser als Placebo; die Autoren bezeichnen die Ergebnisse selbst als „gemischt“ (Leffler 2015, PMID 25683116). Ein Medikament, bei dem nur die niedrigste Dosis wirkt, ist pharmakologisch ungewöhnlich und lässt Zweifel offen, ob es sich um einen echten Effekt oder um Zufall handelt.</w:t>
      </w:r>
    </w:p>
    <w:p>
      <w:pPr>
        <w:pStyle w:val="BodyText"/>
      </w:pPr>
      <w:r>
        <w:t xml:space="preserve">Die Meta-Analyse fand keinen Effekt auf die Darmdurchlässigkeit, eine Besserung der Beschwerden nur bei Glutenbelastung, nicht aber bei Personen unter glutenfreier Diät – also gerade nicht in der Gruppe, für die Larazotid gedacht war (Hoilat 2022, PMID 34339872).</w:t>
      </w:r>
    </w:p>
    <w:bookmarkEnd w:id="433"/>
    <w:bookmarkStart w:id="434" w:name="zöliakie-die-phase-3-studie-cedlara"/>
    <w:p>
      <w:pPr>
        <w:pStyle w:val="Heading4"/>
      </w:pPr>
      <w:r>
        <w:t xml:space="preserve">Zöliakie: die Phase-3-Studie CeDLara</w:t>
      </w:r>
    </w:p>
    <w:p>
      <w:pPr>
        <w:pStyle w:val="FirstParagraph"/>
      </w:pPr>
      <w:r>
        <w:t xml:space="preserve">Auf Grundlage der 0,5-mg-Ergebnisse startete 2019 die Phase-3-Studie CeDLara mit Larazotid in magensaftresistenten Kügelchen (NCT03569007). Laut Register wurden 307 Personen aufgenommen; die Studie wurde im Juli 2022 „vom Sponsor beendet“. Nach Kenntnis des Autors begründete der damalige Hersteller 9 Meters Biopharma den Abbruch damit, eine Zwischenauswertung habe ergeben, dass deutlich mehr Teilnehmende nötig gewesen wären, um einen Unterschied zu Placebo nachzuweisen. Eine Fachveröffentlichung der Ergebnisse gibt es in PubMed nicht. Übersichtsarbeiten halten fest, dass bis heute kein Zöliakie-Medikament eine Phase-3-Studie erfolgreich abgeschlossen hat (D’heedene 2024, PMID 38648685) und keine Behandlung als wirksame Alternative zur glutenfreien Ernährung belegt ist (Girbal-González 2025, PMID 41010485).</w:t>
      </w:r>
    </w:p>
    <w:bookmarkEnd w:id="434"/>
    <w:bookmarkStart w:id="435" w:name="X0f7fd7312fc083d9900445ba1f4f4ccf9445b6c"/>
    <w:p>
      <w:pPr>
        <w:pStyle w:val="Heading4"/>
      </w:pPr>
      <w:r>
        <w:t xml:space="preserve">Neue Anwendung: Entzündungssyndrom nach COVID-19</w:t>
      </w:r>
    </w:p>
    <w:p>
      <w:pPr>
        <w:pStyle w:val="FirstParagraph"/>
      </w:pPr>
      <w:r>
        <w:t xml:space="preserve">Eine Gruppe am Massachusetts General Hospital vermutet, dass beim Multisystem-Entzündungssyndrom bei Kindern (MIS-C) nach COVID-19 Virusbestandteile aus dem Darm ins Blut gelangen. In einer ersten Fallserie mit vier Kindern verschwand das Virus-Eiweiß unter Larazotid aus dem Blut, und die Magen-Darm-Beschwerden klangen schneller ab als bei 22 Vergleichskindern (Yonker 2022, PMID 35211683). Eine randomisierte Phase-2a-Studie mit nur 12 Kindern bestätigte schnellere Besserungen der Beschwerden; Nebenwirkungen durch Larazotid wurden nicht beobachtet (Yonker 2025, PMID 40737433). Die Studie wurde wegen sinkender Fallzahlen abgebrochen (NCT05022303). Eine Studie bei Long COVID mit 107 Kindern und Erwachsenen ist laut Register seit Juni 2026 abgeschlossen (NCT05747534); Ergebnisse waren im Oktober 2026 nicht veröffentlicht.</w:t>
      </w:r>
    </w:p>
    <w:bookmarkEnd w:id="435"/>
    <w:bookmarkEnd w:id="436"/>
    <w:bookmarkStart w:id="437" w:name="tier--und-laborstudien-21"/>
    <w:p>
      <w:pPr>
        <w:pStyle w:val="Heading3"/>
      </w:pPr>
      <w:r>
        <w:t xml:space="preserve">Tier- und Laborstudien</w:t>
      </w:r>
    </w:p>
    <w:p>
      <w:pPr>
        <w:pStyle w:val="FirstParagraph"/>
      </w:pPr>
      <w:r>
        <w:t xml:space="preserve">Neben der Zöliakie wurde Larazotid in Tiermodellen für andere Erkrankungen mit gestörter Darmbarriere geprüft. Bei Mäusen, die zu einer Gelenkentzündung neigen, verringerte Larazotid den Ausbruch der Arthritis (Tajik 2020, PMID 32332732). Bei Schweinen förderte es die Erholung von Dünndarmgewebe nach einer Durchblutungsstörung (Slifer 2021, PMID 33881350). Bei Ratten wurden Effekte bei akuter Bauchspeicheldrüsenentzündung und akutem Leberversagen beschrieben (Karahan 2024, PMID 38441784; Caliskan 2021, PMID 34791921). Das sind Tierversuche; Aussagen über Rheuma, Bauchspeicheldrüse oder Leber beim Menschen lassen sich daraus nicht ableiten.</w:t>
      </w:r>
    </w:p>
    <w:bookmarkEnd w:id="437"/>
    <w:bookmarkStart w:id="440" w:name="risiken-und-nebenwirkungen-21"/>
    <w:p>
      <w:pPr>
        <w:pStyle w:val="Heading3"/>
      </w:pPr>
      <w:r>
        <w:t xml:space="preserve">Risiken und Nebenwirkungen</w:t>
      </w:r>
    </w:p>
    <w:bookmarkStart w:id="438" w:name="belegt-5"/>
    <w:p>
      <w:pPr>
        <w:pStyle w:val="Heading4"/>
      </w:pPr>
      <w:r>
        <w:t xml:space="preserve">Belegt</w:t>
      </w:r>
    </w:p>
    <w:p>
      <w:pPr>
        <w:pStyle w:val="FirstParagraph"/>
      </w:pPr>
      <w:r>
        <w:t xml:space="preserve">Larazotid war in allen Studien gut verträglich. In der Studie mit 86 Personen traten keine schweren Nebenwirkungen auf; am häufigsten waren Kopfschmerzen und Harnwegsinfekte (Leffler 2012, PMID 22825365). In der größten Phase-2-Studie war die Sicherheit mit Placebo vergleichbar (Leffler 2015, PMID 25683116). Die Meta-Analyse fand insgesamt keine Häufung von Nebenwirkungen gegenüber Placebo (Hoilat 2022, PMID 34339872). Weil Larazotid kaum ins Blut gelangt, ist ein günstiges Sicherheitsprofil plausibel.</w:t>
      </w:r>
    </w:p>
    <w:bookmarkEnd w:id="438"/>
    <w:bookmarkStart w:id="439" w:name="zu-beachten-1"/>
    <w:p>
      <w:pPr>
        <w:pStyle w:val="Heading4"/>
      </w:pPr>
      <w:r>
        <w:t xml:space="preserve">Zu beachten</w:t>
      </w:r>
    </w:p>
    <w:p>
      <w:pPr>
        <w:numPr>
          <w:ilvl w:val="0"/>
          <w:numId w:val="1140"/>
        </w:numPr>
        <w:pStyle w:val="Compact"/>
      </w:pPr>
      <w:r>
        <w:rPr>
          <w:bCs/>
          <w:b/>
        </w:rPr>
        <w:t xml:space="preserve">Keine Alternative zur Diät:</w:t>
      </w:r>
      <w:r>
        <w:t xml:space="preserve"> </w:t>
      </w:r>
      <w:r>
        <w:t xml:space="preserve">Auch in den positiven Studien schützte Larazotid nicht vor der Schädigung durch größere Glutenmengen. Wer wegen eines solchen Mittels die glutenfreie Ernährung lockert, riskiert Darmschäden.</w:t>
      </w:r>
    </w:p>
    <w:p>
      <w:pPr>
        <w:numPr>
          <w:ilvl w:val="0"/>
          <w:numId w:val="1140"/>
        </w:numPr>
        <w:pStyle w:val="Compact"/>
      </w:pPr>
      <w:r>
        <w:rPr>
          <w:bCs/>
          <w:b/>
        </w:rPr>
        <w:t xml:space="preserve">Graumarkt:</w:t>
      </w:r>
      <w:r>
        <w:t xml:space="preserve"> </w:t>
      </w:r>
      <w:r>
        <w:t xml:space="preserve">Larazotid wird vereinzelt als „Leaky-Gut-Peptid“ angeboten. Die Studien verwendeten eine spezielle magensaftresistente Arzneiform; ob frei verkaufte Produkte den Wirkstoff überhaupt an den Wirkort bringen, ist unbekannt. Für das Konzept „Leaky Gut“ ohne Zöliakie gibt es keine Studien mit Larazotid.</w:t>
      </w:r>
    </w:p>
    <w:bookmarkEnd w:id="439"/>
    <w:bookmarkEnd w:id="440"/>
    <w:bookmarkStart w:id="441" w:name="rechtslage-21"/>
    <w:p>
      <w:pPr>
        <w:pStyle w:val="Heading3"/>
      </w:pPr>
      <w:r>
        <w:t xml:space="preserve">Rechtslage</w:t>
      </w:r>
    </w:p>
    <w:p>
      <w:pPr>
        <w:pStyle w:val="FirstParagraph"/>
      </w:pPr>
      <w:r>
        <w:rPr>
          <w:iCs/>
          <w:i/>
        </w:rPr>
        <w:t xml:space="preserve">Stand 2026, bitte aktuell prüfen.</w:t>
      </w:r>
    </w:p>
    <w:p>
      <w:pPr>
        <w:numPr>
          <w:ilvl w:val="0"/>
          <w:numId w:val="1141"/>
        </w:numPr>
        <w:pStyle w:val="Compact"/>
      </w:pPr>
      <w:r>
        <w:rPr>
          <w:bCs/>
          <w:b/>
        </w:rPr>
        <w:t xml:space="preserve">EU, Deutschland, Österreich:</w:t>
      </w:r>
      <w:r>
        <w:t xml:space="preserve"> </w:t>
      </w:r>
      <w:r>
        <w:t xml:space="preserve">nicht zugelassen.</w:t>
      </w:r>
    </w:p>
    <w:p>
      <w:pPr>
        <w:numPr>
          <w:ilvl w:val="0"/>
          <w:numId w:val="1141"/>
        </w:numPr>
        <w:pStyle w:val="Compact"/>
      </w:pPr>
      <w:r>
        <w:rPr>
          <w:bCs/>
          <w:b/>
        </w:rPr>
        <w:t xml:space="preserve">USA:</w:t>
      </w:r>
      <w:r>
        <w:t xml:space="preserve"> </w:t>
      </w:r>
      <w:r>
        <w:t xml:space="preserve">nicht zugelassen. Der Entwickler hatte nach Kenntnis des Autors von der FDA eine beschleunigte Prüfung („Fast Track“) für Zöliakie erhalten; nach dem Abbruch der Phase-3-Studie wurde kein Zulassungsantrag gestellt.</w:t>
      </w:r>
    </w:p>
    <w:p>
      <w:pPr>
        <w:numPr>
          <w:ilvl w:val="0"/>
          <w:numId w:val="1141"/>
        </w:numPr>
        <w:pStyle w:val="Compact"/>
      </w:pPr>
      <w:r>
        <w:rPr>
          <w:bCs/>
          <w:b/>
        </w:rPr>
        <w:t xml:space="preserve">WADA:</w:t>
      </w:r>
      <w:r>
        <w:t xml:space="preserve"> </w:t>
      </w:r>
      <w:r>
        <w:t xml:space="preserve">nicht gelistet.</w:t>
      </w:r>
    </w:p>
    <w:bookmarkEnd w:id="441"/>
    <w:bookmarkStart w:id="442" w:name="laufende-studien-und-ausblick-21"/>
    <w:p>
      <w:pPr>
        <w:pStyle w:val="Heading3"/>
      </w:pPr>
      <w:r>
        <w:t xml:space="preserve">Laufende Studien und Ausblick</w:t>
      </w:r>
    </w:p>
    <w:p>
      <w:pPr>
        <w:pStyle w:val="FirstParagraph"/>
      </w:pPr>
      <w:r>
        <w:rPr>
          <w:bCs/>
          <w:b/>
        </w:rPr>
        <w:t xml:space="preserve">Gesichert:</w:t>
      </w:r>
      <w:r>
        <w:t xml:space="preserve"> </w:t>
      </w:r>
      <w:r>
        <w:t xml:space="preserve">Im Oktober 2026 ist bei ClinicalTrials.gov keine laufende Studie mit Larazotid registriert. Die Long-COVID-Studie (NCT05747534) ist abgeschlossen, Ergebnisse stehen aus.</w:t>
      </w:r>
    </w:p>
    <w:p>
      <w:pPr>
        <w:pStyle w:val="BodyText"/>
      </w:pPr>
      <w:r>
        <w:rPr>
          <w:bCs/>
          <w:b/>
        </w:rPr>
        <w:t xml:space="preserve">Einschätzung des Autors:</w:t>
      </w:r>
      <w:r>
        <w:t xml:space="preserve"> </w:t>
      </w:r>
      <w:r>
        <w:t xml:space="preserve">Für die Zöliakie dürfte Larazotid nach dem Abbruch von CeDLara keine Zukunft haben, sofern nicht ein neuer Entwickler die Rechte übernimmt. Andere Ansätze – Gluten abbauende Enzyme, Hemmstoffe der Transglutaminase 2 oder Verfahren zur Immuntoleranz – gelten derzeit als aussichtsreicher (D’heedene 2024, PMID 38648685). Bei MIS-C und Long COVID hängt die weitere Entwicklung von den noch unveröffentlichten Ergebnissen ab.</w:t>
      </w:r>
    </w:p>
    <w:bookmarkEnd w:id="442"/>
    <w:bookmarkStart w:id="443" w:name="fazit-21"/>
    <w:p>
      <w:pPr>
        <w:pStyle w:val="Heading3"/>
      </w:pPr>
      <w:r>
        <w:t xml:space="preserve">Fazit</w:t>
      </w:r>
    </w:p>
    <w:p>
      <w:pPr>
        <w:pStyle w:val="FirstParagraph"/>
      </w:pPr>
      <w:r>
        <w:t xml:space="preserve">Larazotid ist ein Peptid aus acht Aminosäuren, das die Verbindungen zwischen Darmzellen abdichten soll, und war der erste Wirkstoff gegen Zöliakie, der eine Phase-3-Studie erreichte. In den Phase-2-Studien waren die Ergebnisse gemischt: Ein Effekt auf die Darmdurchlässigkeit ließ sich nicht nachweisen, und bei Beschwerden trotz Diät wirkte nur die niedrigste Dosis (Leffler 2015, PMID 25683116). Die Phase-3-Studie CeDLara wurde 2022 abgebrochen, Ergebnisse wurden nicht veröffentlicht. Larazotid ist gut verträglich, aber weder zugelassen noch als wirksam belegt – und kein Ersatz für die glutenfreie Ernährung.</w:t>
      </w:r>
    </w:p>
    <w:bookmarkEnd w:id="443"/>
    <w:bookmarkEnd w:id="444"/>
    <w:bookmarkStart w:id="460" w:name="thymalin-und-thymogen"/>
    <w:p>
      <w:pPr>
        <w:pStyle w:val="Heading2"/>
      </w:pPr>
      <w:r>
        <w:t xml:space="preserve">Thymalin und Thymogen</w:t>
      </w:r>
    </w:p>
    <w:p>
      <w:pPr>
        <w:pStyle w:val="FirstParagraph"/>
      </w:pPr>
      <w:r>
        <w:t xml:space="preserve">Thymalin ist ein Extrakt aus der Thymusdrüse von Kälbern, Thymogen ein daraus abgeleitetes synthetisches Dipeptid. Beide stammen aus der sowjetischen Militärmedizin der 1970er- und 1980er-Jahre und sind in Russland bis heute als Arzneimittel im Handel. In westlichen Longevity-Kreisen werden sie als „Bioregulatoren“ vermarktet, die das Immunsystem „verjüngen“ und das Leben verlängern sollen. Grundlage dieser Versprechen ist fast ausschließlich die Forschung einer einzigen Schule um den St. Petersburger Gerontologen Vladimir Khavinson. Dieses Kapitel ordnet diese Forschung ein – und erklärt, warum ihre Ergebnisse mit großer Vorsicht zu lesen sind.</w:t>
      </w:r>
    </w:p>
    <w:bookmarkStart w:id="445" w:name="steckbrief-22"/>
    <w:p>
      <w:pPr>
        <w:pStyle w:val="Heading3"/>
      </w:pPr>
      <w:r>
        <w:t xml:space="preserve">Steckbrief</w:t>
      </w:r>
    </w:p>
    <w:p>
      <w:pPr>
        <w:numPr>
          <w:ilvl w:val="0"/>
          <w:numId w:val="1142"/>
        </w:numPr>
        <w:pStyle w:val="Compact"/>
      </w:pPr>
      <w:r>
        <w:rPr>
          <w:bCs/>
          <w:b/>
        </w:rPr>
        <w:t xml:space="preserve">Thymalin:</w:t>
      </w:r>
      <w:r>
        <w:t xml:space="preserve"> </w:t>
      </w:r>
      <w:r>
        <w:t xml:space="preserve">Gemisch von Peptiden, gewonnen durch Säureextraktion aus dem Thymus von Kälbern (Morozov 1997, PMID 9637345); keine einheitlich definierte Substanz. Als wichtigste Wirkbestandteile werden die Dipeptide Lys-Glu (KE) und Glu-Trp (EW) genannt (Linkova 2023, PMID 37686182).</w:t>
      </w:r>
    </w:p>
    <w:p>
      <w:pPr>
        <w:numPr>
          <w:ilvl w:val="0"/>
          <w:numId w:val="1142"/>
        </w:numPr>
        <w:pStyle w:val="Compact"/>
      </w:pPr>
      <w:r>
        <w:rPr>
          <w:bCs/>
          <w:b/>
        </w:rPr>
        <w:t xml:space="preserve">Thymogen:</w:t>
      </w:r>
      <w:r>
        <w:t xml:space="preserve"> </w:t>
      </w:r>
      <w:r>
        <w:t xml:space="preserve">synthetisch hergestelltes Dipeptid L-Glu-L-Trp, das aus Thymalin isoliert wurde (Anisimov 2000, PMID 11707921); in Russland auch als Nasenspray erhältlich.</w:t>
      </w:r>
    </w:p>
    <w:p>
      <w:pPr>
        <w:numPr>
          <w:ilvl w:val="0"/>
          <w:numId w:val="1142"/>
        </w:numPr>
        <w:pStyle w:val="Compact"/>
      </w:pPr>
      <w:r>
        <w:rPr>
          <w:bCs/>
          <w:b/>
        </w:rPr>
        <w:t xml:space="preserve">Wirkprinzip (behauptet):</w:t>
      </w:r>
      <w:r>
        <w:t xml:space="preserve"> </w:t>
      </w:r>
      <w:r>
        <w:t xml:space="preserve">Anregung der Reifung von T-Zellen, „Normalisierung“ von Immunfunktion und Blutgerinnung; nach Khavinsons Theorie wirken kurze Peptide als „Bioregulatoren“ direkt auf die Genaktivität.</w:t>
      </w:r>
    </w:p>
    <w:p>
      <w:pPr>
        <w:numPr>
          <w:ilvl w:val="0"/>
          <w:numId w:val="1142"/>
        </w:numPr>
        <w:pStyle w:val="Compact"/>
      </w:pPr>
      <w:r>
        <w:rPr>
          <w:bCs/>
          <w:b/>
        </w:rPr>
        <w:t xml:space="preserve">Zulassung:</w:t>
      </w:r>
      <w:r>
        <w:t xml:space="preserve"> </w:t>
      </w:r>
      <w:r>
        <w:t xml:space="preserve">in Russland und einigen Nachfolgestaaten der Sowjetunion als Arzneimittel zugelassen;</w:t>
      </w:r>
      <w:r>
        <w:t xml:space="preserve"> </w:t>
      </w:r>
      <w:r>
        <w:rPr>
          <w:bCs/>
          <w:b/>
        </w:rPr>
        <w:t xml:space="preserve">EU und USA:</w:t>
      </w:r>
      <w:r>
        <w:t xml:space="preserve"> </w:t>
      </w:r>
      <w:r>
        <w:t xml:space="preserve">nein.</w:t>
      </w:r>
    </w:p>
    <w:p>
      <w:pPr>
        <w:numPr>
          <w:ilvl w:val="0"/>
          <w:numId w:val="1142"/>
        </w:numPr>
        <w:pStyle w:val="Compact"/>
      </w:pPr>
      <w:r>
        <w:rPr>
          <w:bCs/>
          <w:b/>
        </w:rPr>
        <w:t xml:space="preserve">WADA:</w:t>
      </w:r>
      <w:r>
        <w:t xml:space="preserve"> </w:t>
      </w:r>
      <w:r>
        <w:t xml:space="preserve">nicht ausdrücklich gelistet (Stand 2026, bitte aktuell prüfen).</w:t>
      </w:r>
    </w:p>
    <w:p>
      <w:pPr>
        <w:numPr>
          <w:ilvl w:val="0"/>
          <w:numId w:val="1142"/>
        </w:numPr>
        <w:pStyle w:val="Compact"/>
      </w:pPr>
      <w:r>
        <w:rPr>
          <w:bCs/>
          <w:b/>
        </w:rPr>
        <w:t xml:space="preserve">Evidenzstufe: C</w:t>
      </w:r>
      <w:r>
        <w:t xml:space="preserve"> </w:t>
      </w:r>
      <w:r>
        <w:t xml:space="preserve">– überwiegend kleine, offene oder nicht ausreichend beschriebene Studien; nur eine einzige als randomisiert und placebokontrolliert beschriebene Studie in PubMed.</w:t>
      </w:r>
    </w:p>
    <w:bookmarkEnd w:id="445"/>
    <w:bookmarkStart w:id="446" w:name="wie-es-wirken-soll-22"/>
    <w:p>
      <w:pPr>
        <w:pStyle w:val="Heading3"/>
      </w:pPr>
      <w:r>
        <w:t xml:space="preserve">Wie es wirken soll</w:t>
      </w:r>
    </w:p>
    <w:p>
      <w:pPr>
        <w:pStyle w:val="FirstParagraph"/>
      </w:pPr>
      <w:r>
        <w:t xml:space="preserve">Die Idee folgt derselben Logik wie bei Thymosin Alpha-1 (siehe dort): Der Thymus schult T-Zellen und schrumpft mit dem Alter, also sollen Thymus-Botenstoffe die Abwehr stärken. Während Thymosin Alpha-1 jedoch ein genau definiertes Peptid mit bekannter Sequenz ist, ist Thymalin ein Gemisch aus vielen Bestandteilen tierischen Ursprungs.</w:t>
      </w:r>
    </w:p>
    <w:p>
      <w:pPr>
        <w:pStyle w:val="BodyText"/>
      </w:pPr>
      <w:r>
        <w:t xml:space="preserve">Aus diesem Gemisch isolierten die Leningrader Forschenden das Dipeptid Glu-Trp und brachten es synthetisch als Thymogen auf den Markt. Es soll die Differenzierung von T-Zellen und die Erkennung von Antigenen fördern sowie Fresszellen aktivieren (Morozov 1997, PMID 9637345).</w:t>
      </w:r>
    </w:p>
    <w:p>
      <w:pPr>
        <w:pStyle w:val="BodyText"/>
      </w:pPr>
      <w:r>
        <w:t xml:space="preserve">Khavinson entwickelte daraus eine umfassendere Theorie: Kurze Peptide aus verschiedenen Organen sollen gewebespezifisch wirken und die Genaktivität „regulieren“ – Peptide aus der Zirbeldrüse für die Zirbeldrüse, aus dem Thymus für das Immunsystem und so weiter (Khavinson 2002, PMID 12374906). Auch Epitalon, das in Teil II · D behandelt wird, stammt aus dieser Schule. Diese Theorie ist außerhalb der Arbeitsgruppe kaum geprüft und entspricht nicht dem allgemeinen Verständnis, wie Peptid-Botenstoffe wirken – nämlich in der Regel über Rezeptoren an der Zelloberfläche. Neuere Arbeiten der Gruppe stützen den Mechanismus vor allem auf Computer-Simulationen der Bindung an Erbgut und auf Zellkulturen (Linkova 2023, PMID 37686182).</w:t>
      </w:r>
    </w:p>
    <w:bookmarkEnd w:id="446"/>
    <w:bookmarkStart w:id="451" w:name="studien-am-menschen-22"/>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fand</w:t>
      </w:r>
      <w:r>
        <w:t xml:space="preserve"> </w:t>
      </w:r>
      <w:r>
        <w:rPr>
          <w:bCs/>
          <w:b/>
        </w:rPr>
        <w:t xml:space="preserve">17</w:t>
      </w:r>
      <w:r>
        <w:t xml:space="preserve"> </w:t>
      </w:r>
      <w:r>
        <w:t xml:space="preserve">Humanstudien in PubMed und</w:t>
      </w:r>
      <w:r>
        <w:t xml:space="preserve"> </w:t>
      </w:r>
      <w:r>
        <w:rPr>
          <w:bCs/>
          <w:b/>
        </w:rPr>
        <w:t xml:space="preserve">0</w:t>
      </w:r>
      <w:r>
        <w:t xml:space="preserve"> </w:t>
      </w:r>
      <w:r>
        <w:t xml:space="preserve">Einträge bei ClinicalTrials.gov. Insgesamt verzeichnet PubMed rund 290 Veröffentlichungen zu Thymalin oder Thymogen; davon sind etwa 250 in russischer Sprache, und nur eine einzige erwähnt im Titel oder Abstract „randomisiert“ oder „Placebo“. Bei den meisten Humanstudien liegt in PubMed nur ein kurzer russischer oder ukrainischer Abstract vor, oft ohne Angaben zur Teilnehmerzahl, zur Kontrollgruppe oder zur Verblindung.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„Verlängerung des Lebens“ (Khavinson 2003, PMID 14523363)</w:t>
            </w:r>
          </w:p>
        </w:tc>
        <w:tc>
          <w:tcPr/>
          <w:p>
            <w:pPr>
              <w:pStyle w:val="Compact"/>
              <w:jc w:val="left"/>
            </w:pPr>
            <w:r>
              <w:t xml:space="preserve">266 ältere Menschen, Thymalin und/oder Epithalamin vs. Kontrolle; Zuteilung und Verblindung nicht beschrieben</w:t>
            </w:r>
          </w:p>
        </w:tc>
        <w:tc>
          <w:tcPr/>
          <w:p>
            <w:pPr>
              <w:pStyle w:val="Compact"/>
              <w:jc w:val="left"/>
            </w:pPr>
            <w:r>
              <w:t xml:space="preserve">6–8 Jahre Beobachtung</w:t>
            </w:r>
          </w:p>
        </w:tc>
        <w:tc>
          <w:tcPr/>
          <w:p>
            <w:pPr>
              <w:pStyle w:val="Compact"/>
              <w:jc w:val="left"/>
            </w:pPr>
            <w:r>
              <w:t xml:space="preserve">Sterblichkeit in der Thymalin-Gruppe 2,0- bis 2,1-fach niedriger als in der Kontrolle</w:t>
            </w:r>
          </w:p>
        </w:tc>
      </w:tr>
      <w:tr>
        <w:tc>
          <w:tcPr/>
          <w:p>
            <w:pPr>
              <w:pStyle w:val="Compact"/>
              <w:jc w:val="left"/>
            </w:pPr>
            <w:r>
              <w:t xml:space="preserve">Vor Bauchoperationen (Smirnov 2011, PMID 21957588)</w:t>
            </w:r>
          </w:p>
        </w:tc>
        <w:tc>
          <w:tcPr/>
          <w:p>
            <w:pPr>
              <w:pStyle w:val="Compact"/>
              <w:jc w:val="left"/>
            </w:pPr>
            <w:r>
              <w:t xml:space="preserve">ältere Personen mit Tumoren im Bauchraum, doppelblinde RCT gegen Placebo, Thymogen als Nasentropfen; Teilnehmerzahl im Abstract nicht angegeben</w:t>
            </w:r>
          </w:p>
        </w:tc>
        <w:tc>
          <w:tcPr/>
          <w:p>
            <w:pPr>
              <w:pStyle w:val="Compact"/>
              <w:jc w:val="left"/>
            </w:pPr>
            <w:r>
              <w:t xml:space="preserve">7 Tage vor der Operation</w:t>
            </w:r>
          </w:p>
        </w:tc>
        <w:tc>
          <w:tcPr/>
          <w:p>
            <w:pPr>
              <w:pStyle w:val="Compact"/>
              <w:jc w:val="left"/>
            </w:pPr>
            <w:r>
              <w:t xml:space="preserve">weniger Komplikationen nach der Operation</w:t>
            </w:r>
          </w:p>
        </w:tc>
      </w:tr>
      <w:tr>
        <w:tc>
          <w:tcPr/>
          <w:p>
            <w:pPr>
              <w:pStyle w:val="Compact"/>
              <w:jc w:val="left"/>
            </w:pPr>
            <w:r>
              <w:t xml:space="preserve">Schwere COVID-19 (Kuznik 2022, PMID 36169363)</w:t>
            </w:r>
          </w:p>
        </w:tc>
        <w:tc>
          <w:tcPr/>
          <w:p>
            <w:pPr>
              <w:pStyle w:val="Compact"/>
              <w:jc w:val="left"/>
            </w:pPr>
            <w:r>
              <w:t xml:space="preserve">drei Gruppen: Basistherapie, plus Tocilizumab, plus Thymalin; Zuteilung nicht beschrieben</w:t>
            </w:r>
          </w:p>
        </w:tc>
        <w:tc>
          <w:tcPr/>
          <w:p>
            <w:pPr>
              <w:pStyle w:val="Compact"/>
              <w:jc w:val="left"/>
            </w:pPr>
            <w:r>
              <w:t xml:space="preserve">Krankenhausaufenthalt</w:t>
            </w:r>
          </w:p>
        </w:tc>
        <w:tc>
          <w:tcPr/>
          <w:p>
            <w:pPr>
              <w:pStyle w:val="Compact"/>
              <w:jc w:val="left"/>
            </w:pPr>
            <w:r>
              <w:t xml:space="preserve">Krankenhaussterblichkeit 40,9 %, 28,4 % und 20,6 %</w:t>
            </w:r>
          </w:p>
        </w:tc>
      </w:tr>
      <w:tr>
        <w:tc>
          <w:tcPr/>
          <w:p>
            <w:pPr>
              <w:pStyle w:val="Compact"/>
              <w:jc w:val="left"/>
            </w:pPr>
            <w:r>
              <w:t xml:space="preserve">Therapieresistente Schizophrenie (Govorin 1990, PMID 2163147)</w:t>
            </w:r>
          </w:p>
        </w:tc>
        <w:tc>
          <w:tcPr/>
          <w:p>
            <w:pPr>
              <w:pStyle w:val="Compact"/>
              <w:jc w:val="left"/>
            </w:pPr>
            <w:r>
              <w:t xml:space="preserve">36 Personen, keine Kontrollgruppe</w:t>
            </w:r>
          </w:p>
        </w:tc>
        <w:tc>
          <w:tcPr/>
          <w:p>
            <w:pPr>
              <w:pStyle w:val="Compact"/>
              <w:jc w:val="left"/>
            </w:pPr>
            <w:r>
              <w:t xml:space="preserve">nicht angegeben</w:t>
            </w:r>
          </w:p>
        </w:tc>
        <w:tc>
          <w:tcPr/>
          <w:p>
            <w:pPr>
              <w:pStyle w:val="Compact"/>
              <w:jc w:val="left"/>
            </w:pPr>
            <w:r>
              <w:t xml:space="preserve">Besserung psychischer Symptome berichtet</w:t>
            </w:r>
          </w:p>
        </w:tc>
      </w:tr>
      <w:tr>
        <w:tc>
          <w:tcPr/>
          <w:p>
            <w:pPr>
              <w:pStyle w:val="Compact"/>
              <w:jc w:val="left"/>
            </w:pPr>
            <w:r>
              <w:t xml:space="preserve">Parkinson (Musienko 1999, PMID 10424021)</w:t>
            </w:r>
          </w:p>
        </w:tc>
        <w:tc>
          <w:tcPr/>
          <w:p>
            <w:pPr>
              <w:pStyle w:val="Compact"/>
              <w:jc w:val="left"/>
            </w:pPr>
            <w:r>
              <w:t xml:space="preserve">15 Personen, keine Kontrollgruppe</w:t>
            </w:r>
          </w:p>
        </w:tc>
        <w:tc>
          <w:tcPr/>
          <w:p>
            <w:pPr>
              <w:pStyle w:val="Compact"/>
              <w:jc w:val="left"/>
            </w:pPr>
            <w:r>
              <w:t xml:space="preserve">eine Behandlungsserie</w:t>
            </w:r>
          </w:p>
        </w:tc>
        <w:tc>
          <w:tcPr/>
          <w:p>
            <w:pPr>
              <w:pStyle w:val="Compact"/>
              <w:jc w:val="left"/>
            </w:pPr>
            <w:r>
              <w:t xml:space="preserve">Besserung von Wohlbefinden und Symptomen berichtet</w:t>
            </w:r>
          </w:p>
        </w:tc>
      </w:tr>
    </w:tbl>
    <w:bookmarkStart w:id="447" w:name="Xb235aa27b56a83eb943f2189db16ba7fadaec09"/>
    <w:p>
      <w:pPr>
        <w:pStyle w:val="Heading4"/>
      </w:pPr>
      <w:r>
        <w:t xml:space="preserve">Die Langzeitstudie zur Lebensverlängerung</w:t>
      </w:r>
    </w:p>
    <w:p>
      <w:pPr>
        <w:pStyle w:val="FirstParagraph"/>
      </w:pPr>
      <w:r>
        <w:t xml:space="preserve">Die bekannteste Arbeit ist zugleich die problematischste. Über sechs bis acht Jahre wurden 266 ältere Menschen in St. Petersburg und Kiew beobachtet, von denen einige in den ersten zwei bis drei Jahren Thymalin, Epithalamin oder beides erhielten. Berichtet wird eine 2,0- bis 2,1-fach niedrigere Sterblichkeit unter Thymalin und eine 4,1-fach niedrigere bei jährlicher Kombinationsbehandlung über sechs Jahre (Khavinson 2003, PMID 14523363).</w:t>
      </w:r>
    </w:p>
    <w:p>
      <w:pPr>
        <w:pStyle w:val="BodyText"/>
      </w:pPr>
      <w:r>
        <w:t xml:space="preserve">Solche Effekte wären spektakulär – größer als bei nahezu jedem etablierten Medikament. Der Abstract beschreibt aber weder, wie die Teilnehmenden den Gruppen zugeteilt wurden, noch ob es eine Verblindung gab, noch wie viele Personen in jeder Gruppe waren. Wer gesünder und aktiver ist, nimmt eher an einer jahrelangen Behandlung teil; ohne Zufallszuteilung kann ein solcher Unterschied allein dadurch entstehen. Unabhängige Wiederholungen gibt es nicht.</w:t>
      </w:r>
    </w:p>
    <w:bookmarkEnd w:id="447"/>
    <w:bookmarkStart w:id="448" w:name="covid-19-1"/>
    <w:p>
      <w:pPr>
        <w:pStyle w:val="Heading4"/>
      </w:pPr>
      <w:r>
        <w:t xml:space="preserve">COVID-19</w:t>
      </w:r>
    </w:p>
    <w:p>
      <w:pPr>
        <w:pStyle w:val="FirstParagraph"/>
      </w:pPr>
      <w:r>
        <w:t xml:space="preserve">Während der Pandemie berichtete die Arbeitsgruppe über Thymalin bei schwer an COVID-19 Erkrankten. In einer Auswertung lag die Krankenhaussterblichkeit unter Basistherapie bei 40,9 Prozent, mit zusätzlichem Tocilizumab bei 28,4 Prozent und mit zusätzlichem Thymalin bei 20,6 Prozent (Kuznik 2022, PMID 36169363). Wie die Personen den Gruppen zugeteilt wurden und wie groß die Gruppen waren, geht aus dem Abstract nicht hervor. Eine weitere Arbeit berichtet über schnellere Abnahmen von Entzündungs- und Gerinnungswerten (Khavinson 2021, PMID 33575961). Nach den Erfahrungen mit Thymosin Alpha-1, bei dem frühe günstige Beobachtungsdaten sich in größeren Studien nicht bestätigten (siehe dort), sind diese Zahlen ohne randomisierte Bestätigung nicht belastbar.</w:t>
      </w:r>
    </w:p>
    <w:bookmarkEnd w:id="448"/>
    <w:bookmarkStart w:id="449" w:name="die-einzige-placebokontrollierte-studie"/>
    <w:p>
      <w:pPr>
        <w:pStyle w:val="Heading4"/>
      </w:pPr>
      <w:r>
        <w:t xml:space="preserve">Die einzige placebokontrollierte Studie</w:t>
      </w:r>
    </w:p>
    <w:p>
      <w:pPr>
        <w:pStyle w:val="FirstParagraph"/>
      </w:pPr>
      <w:r>
        <w:t xml:space="preserve">Die einzige als doppelblind, randomisiert und placebokontrolliert beschriebene Studie untersuchte Thymogen-Nasentropfen bei älteren Menschen vor Tumoroperationen im Bauchraum. Berichtet werden weniger Komplikationen nach der Operation und ein kürzerer Heilungsverlauf (Smirnov 2011, PMID 21957588). Teilnehmerzahl und Effektgrößen nennt der russische Abstract nicht.</w:t>
      </w:r>
    </w:p>
    <w:bookmarkEnd w:id="449"/>
    <w:bookmarkStart w:id="450" w:name="weitere-studien"/>
    <w:p>
      <w:pPr>
        <w:pStyle w:val="Heading4"/>
      </w:pPr>
      <w:r>
        <w:t xml:space="preserve">Weitere Studien</w:t>
      </w:r>
    </w:p>
    <w:p>
      <w:pPr>
        <w:pStyle w:val="FirstParagraph"/>
      </w:pPr>
      <w:r>
        <w:t xml:space="preserve">Die übrigen Humanstudien stammen überwiegend aus den 1980er- und 1990er-Jahren und betreffen ein auffällig breites Spektrum: Tuberkulose, Ruhr, Wundrose, eitrige Wunden, Bauchfellentzündung bei Kindern, Bauchspeicheldrüsenentzündung, Colitis ulcerosa, Entzündungen der weiblichen Geschlechtsorgane, Schizophrenie und Parkinson. Fast immer wurde Thymalin oder Thymogen zusätzlich zur Standardbehandlung gegeben, ohne Placebo und meist ohne Zufallszuteilung. Gemessen wurden häufig Laborwerte des Immunsystems, nicht harte Endpunkte wie Heilung oder Überleben.</w:t>
      </w:r>
    </w:p>
    <w:bookmarkEnd w:id="450"/>
    <w:bookmarkEnd w:id="451"/>
    <w:bookmarkStart w:id="452" w:name="tier--und-laborstudien-22"/>
    <w:p>
      <w:pPr>
        <w:pStyle w:val="Heading3"/>
      </w:pPr>
      <w:r>
        <w:t xml:space="preserve">Tier- und Laborstudien</w:t>
      </w:r>
    </w:p>
    <w:p>
      <w:pPr>
        <w:pStyle w:val="FirstParagraph"/>
      </w:pPr>
      <w:r>
        <w:t xml:space="preserve">Die Tierstudien stammen ebenfalls überwiegend aus russischen und ukrainischen Arbeitsgruppen. Bei 76 Ratten, die zwölf Monate lang Glu-Trp (Thymogen) oder Kochsalz erhielten, war die mittlere Lebensdauer gleich; die längstlebenden zehn Prozent lebten unter Thymogen länger, und Tumoren traten seltener auf (Anisimov 2000, PMID 11707921). In Zellkulturen menschlicher Blutstammzellen beeinflusste Thymalin deren Differenzierung (Khavinson 2020, PMID 33237528). Weitere Arbeiten beschreiben Effekte auf Blutgerinnung, Krebsentstehung nach Bestrahlung oder Chemikalien und Infektionen bei Nagetieren.</w:t>
      </w:r>
    </w:p>
    <w:bookmarkEnd w:id="452"/>
    <w:bookmarkStart w:id="453" w:name="X0279097629d12306e51ebe8b7760f09e5d697ec"/>
    <w:p>
      <w:pPr>
        <w:pStyle w:val="Heading3"/>
      </w:pPr>
      <w:r>
        <w:t xml:space="preserve">Qualität der Forschung: eine kritische Einordnung</w:t>
      </w:r>
    </w:p>
    <w:p>
      <w:pPr>
        <w:pStyle w:val="FirstParagraph"/>
      </w:pPr>
      <w:r>
        <w:t xml:space="preserve">Für die Bewertung von Thymalin und Thymogen ist die Herkunft der Daten wichtiger als die einzelnen Ergebnisse:</w:t>
      </w:r>
    </w:p>
    <w:p>
      <w:pPr>
        <w:numPr>
          <w:ilvl w:val="0"/>
          <w:numId w:val="1143"/>
        </w:numPr>
        <w:pStyle w:val="Compact"/>
      </w:pPr>
      <w:r>
        <w:rPr>
          <w:bCs/>
          <w:b/>
        </w:rPr>
        <w:t xml:space="preserve">Eine Schule, kaum unabhängige Bestätigung.</w:t>
      </w:r>
      <w:r>
        <w:t xml:space="preserve"> </w:t>
      </w:r>
      <w:r>
        <w:t xml:space="preserve">Ein großer Teil der Arbeiten stammt von Khavinson, seinen Mitarbeitenden oder kooperierenden Instituten. Khavinson ist laut PubMed an über 80 der rund 290 Veröffentlichungen beteiligt; viele weitere stammen aus eng verbundenen Gruppen. Unabhängige westliche Wiederholungsstudien fehlen.</w:t>
      </w:r>
    </w:p>
    <w:p>
      <w:pPr>
        <w:numPr>
          <w:ilvl w:val="0"/>
          <w:numId w:val="1143"/>
        </w:numPr>
        <w:pStyle w:val="Compact"/>
      </w:pPr>
      <w:r>
        <w:rPr>
          <w:bCs/>
          <w:b/>
        </w:rPr>
        <w:t xml:space="preserve">Sprache und Zugänglichkeit.</w:t>
      </w:r>
      <w:r>
        <w:t xml:space="preserve"> </w:t>
      </w:r>
      <w:r>
        <w:t xml:space="preserve">Rund 250 der Arbeiten sind russischsprachig, in PubMed oft nur mit kurzem Abstract. Volltexte sind schwer zugänglich, Methoden lassen sich kaum prüfen.</w:t>
      </w:r>
    </w:p>
    <w:p>
      <w:pPr>
        <w:numPr>
          <w:ilvl w:val="0"/>
          <w:numId w:val="1143"/>
        </w:numPr>
        <w:pStyle w:val="Compact"/>
      </w:pPr>
      <w:r>
        <w:rPr>
          <w:bCs/>
          <w:b/>
        </w:rPr>
        <w:t xml:space="preserve">Studiendesign.</w:t>
      </w:r>
      <w:r>
        <w:t xml:space="preserve"> </w:t>
      </w:r>
      <w:r>
        <w:t xml:space="preserve">Fast keine Studie ist nach heutigen Standards randomisiert, verblindet und vorab registriert. Keine einzige Studie ist bei ClinicalTrials.gov eingetragen.</w:t>
      </w:r>
    </w:p>
    <w:p>
      <w:pPr>
        <w:numPr>
          <w:ilvl w:val="0"/>
          <w:numId w:val="1143"/>
        </w:numPr>
        <w:pStyle w:val="Compact"/>
      </w:pPr>
      <w:r>
        <w:rPr>
          <w:bCs/>
          <w:b/>
        </w:rPr>
        <w:t xml:space="preserve">Ungewöhnlich große Effekte bei sehr vielen Erkrankungen.</w:t>
      </w:r>
      <w:r>
        <w:t xml:space="preserve"> </w:t>
      </w:r>
      <w:r>
        <w:t xml:space="preserve">Ein Präparat, das bei Tuberkulose, Schizophrenie, Parkinson, COVID-19 und dem Altern gleichermaßen wirkt und die Sterblichkeit halbiert, ist aus methodischer Sicht ein Warnsignal, keine Empfehlung.</w:t>
      </w:r>
    </w:p>
    <w:p>
      <w:pPr>
        <w:numPr>
          <w:ilvl w:val="0"/>
          <w:numId w:val="1143"/>
        </w:numPr>
        <w:pStyle w:val="Compact"/>
      </w:pPr>
      <w:r>
        <w:rPr>
          <w:bCs/>
          <w:b/>
        </w:rPr>
        <w:t xml:space="preserve">Interessenkonflikte.</w:t>
      </w:r>
      <w:r>
        <w:t xml:space="preserve"> </w:t>
      </w:r>
      <w:r>
        <w:t xml:space="preserve">Die Arbeitsgruppe hat die Präparate selbst entwickelt; nach Kenntnis des Autors werden „Bioregulatoren“ aus dieser Schule international als Nahrungsergänzungsmittel vermarktet. Unabhängige Prüfungen durch Forschende ohne solche Verbindungen fehlen.</w:t>
      </w:r>
    </w:p>
    <w:p>
      <w:pPr>
        <w:pStyle w:val="FirstParagraph"/>
      </w:pPr>
      <w:r>
        <w:t xml:space="preserve">Das bedeutet nicht, dass alle Ergebnisse falsch sein müssen. Es bedeutet, dass sie nach den Maßstäben dieses Buches nicht als Beleg für einen Nutzen gelten können, solange sie nicht in sauber geplanten, unabhängigen Studien bestätigt werden.</w:t>
      </w:r>
    </w:p>
    <w:bookmarkEnd w:id="453"/>
    <w:bookmarkStart w:id="456" w:name="risiken-und-nebenwirkungen-22"/>
    <w:p>
      <w:pPr>
        <w:pStyle w:val="Heading3"/>
      </w:pPr>
      <w:r>
        <w:t xml:space="preserve">Risiken und Nebenwirkungen</w:t>
      </w:r>
    </w:p>
    <w:bookmarkStart w:id="454" w:name="belegt-6"/>
    <w:p>
      <w:pPr>
        <w:pStyle w:val="Heading4"/>
      </w:pPr>
      <w:r>
        <w:t xml:space="preserve">Belegt</w:t>
      </w:r>
    </w:p>
    <w:p>
      <w:pPr>
        <w:pStyle w:val="FirstParagraph"/>
      </w:pPr>
      <w:r>
        <w:t xml:space="preserve">Systematisch erhobene Sicherheitsdaten nach heutigen Standards liegen nicht vor. Die vorhandenen Studien berichten kaum über Nebenwirkungen – was bei kleinen, unverblindeten Studien wenig aussagt.</w:t>
      </w:r>
    </w:p>
    <w:bookmarkEnd w:id="454"/>
    <w:bookmarkStart w:id="455" w:name="theoretisch-2"/>
    <w:p>
      <w:pPr>
        <w:pStyle w:val="Heading4"/>
      </w:pPr>
      <w:r>
        <w:t xml:space="preserve">Theoretisch</w:t>
      </w:r>
    </w:p>
    <w:p>
      <w:pPr>
        <w:numPr>
          <w:ilvl w:val="0"/>
          <w:numId w:val="1144"/>
        </w:numPr>
        <w:pStyle w:val="Compact"/>
      </w:pPr>
      <w:r>
        <w:rPr>
          <w:bCs/>
          <w:b/>
        </w:rPr>
        <w:t xml:space="preserve">Tierisches Ausgangsmaterial:</w:t>
      </w:r>
      <w:r>
        <w:t xml:space="preserve"> </w:t>
      </w:r>
      <w:r>
        <w:t xml:space="preserve">Thymalin ist ein Extrakt aus Kälber-Thymus. Bei tierischen Extrakten bestehen grundsätzlich Risiken durch Verunreinigungen, Schwankungen zwischen Chargen und allergische Reaktionen. Auch die Übertragung von Krankheitserregern aus Rindergewebe ist ein theoretisches Risiko, das von der Herstellungsqualität abhängt.</w:t>
      </w:r>
    </w:p>
    <w:p>
      <w:pPr>
        <w:numPr>
          <w:ilvl w:val="0"/>
          <w:numId w:val="1144"/>
        </w:numPr>
        <w:pStyle w:val="Compact"/>
      </w:pPr>
      <w:r>
        <w:rPr>
          <w:bCs/>
          <w:b/>
        </w:rPr>
        <w:t xml:space="preserve">Immunstimulation:</w:t>
      </w:r>
      <w:r>
        <w:t xml:space="preserve"> </w:t>
      </w:r>
      <w:r>
        <w:t xml:space="preserve">Bei Autoimmunerkrankungen oder nach Organtransplantation könnte eine Anregung des Immunsystems schaden. Daten dazu fehlen.</w:t>
      </w:r>
    </w:p>
    <w:p>
      <w:pPr>
        <w:numPr>
          <w:ilvl w:val="0"/>
          <w:numId w:val="1144"/>
        </w:numPr>
        <w:pStyle w:val="Compact"/>
      </w:pPr>
      <w:r>
        <w:rPr>
          <w:bCs/>
          <w:b/>
        </w:rPr>
        <w:t xml:space="preserve">Graumarkt und „Bioregulatoren“:</w:t>
      </w:r>
      <w:r>
        <w:t xml:space="preserve"> </w:t>
      </w:r>
      <w:r>
        <w:t xml:space="preserve">Außerhalb Russlands werden Thymalin, Thymogen und verwandte Produkte über das Internet vertrieben, teils als Injektionslösung, teils als Kapseln mit der Bezeichnung „Bioregulator“. Herkunft, Gehalt und Qualität dieser Produkte sind nicht überprüfbar.</w:t>
      </w:r>
    </w:p>
    <w:bookmarkEnd w:id="455"/>
    <w:bookmarkEnd w:id="456"/>
    <w:bookmarkStart w:id="457" w:name="rechtslage-22"/>
    <w:p>
      <w:pPr>
        <w:pStyle w:val="Heading3"/>
      </w:pPr>
      <w:r>
        <w:t xml:space="preserve">Rechtslage</w:t>
      </w:r>
    </w:p>
    <w:p>
      <w:pPr>
        <w:pStyle w:val="FirstParagraph"/>
      </w:pPr>
      <w:r>
        <w:rPr>
          <w:iCs/>
          <w:i/>
        </w:rPr>
        <w:t xml:space="preserve">Stand 2026, bitte aktuell prüfen.</w:t>
      </w:r>
    </w:p>
    <w:p>
      <w:pPr>
        <w:numPr>
          <w:ilvl w:val="0"/>
          <w:numId w:val="1145"/>
        </w:numPr>
        <w:pStyle w:val="Compact"/>
      </w:pPr>
      <w:r>
        <w:rPr>
          <w:bCs/>
          <w:b/>
        </w:rPr>
        <w:t xml:space="preserve">Russland und einige Nachfolgestaaten der Sowjetunion:</w:t>
      </w:r>
      <w:r>
        <w:t xml:space="preserve"> </w:t>
      </w:r>
      <w:r>
        <w:t xml:space="preserve">Thymalin und Thymogen sind als Arzneimittel zugelassen.</w:t>
      </w:r>
    </w:p>
    <w:p>
      <w:pPr>
        <w:numPr>
          <w:ilvl w:val="0"/>
          <w:numId w:val="1145"/>
        </w:numPr>
        <w:pStyle w:val="Compact"/>
      </w:pPr>
      <w:r>
        <w:rPr>
          <w:bCs/>
          <w:b/>
        </w:rPr>
        <w:t xml:space="preserve">EU, Deutschland, Österreich:</w:t>
      </w:r>
      <w:r>
        <w:t xml:space="preserve"> </w:t>
      </w:r>
      <w:r>
        <w:t xml:space="preserve">keine Zulassung. Der Import und die Abgabe zur Anwendung am Menschen sind nur unter den engen Voraussetzungen des jeweiligen Arzneimittelrechts erlaubt. Kapseln mit Organextrakten, die als Nahrungsergänzungsmittel verkauft werden, dürfen keine Wirkungen auf Krankheiten versprechen; ob sie als Arzneimittel einzustufen sind, hängt vom Einzelfall ab.</w:t>
      </w:r>
    </w:p>
    <w:p>
      <w:pPr>
        <w:numPr>
          <w:ilvl w:val="0"/>
          <w:numId w:val="1145"/>
        </w:numPr>
        <w:pStyle w:val="Compact"/>
      </w:pPr>
      <w:r>
        <w:rPr>
          <w:bCs/>
          <w:b/>
        </w:rPr>
        <w:t xml:space="preserve">USA:</w:t>
      </w:r>
      <w:r>
        <w:t xml:space="preserve"> </w:t>
      </w:r>
      <w:r>
        <w:t xml:space="preserve">keine FDA-Zulassung.</w:t>
      </w:r>
    </w:p>
    <w:p>
      <w:pPr>
        <w:numPr>
          <w:ilvl w:val="0"/>
          <w:numId w:val="1145"/>
        </w:numPr>
        <w:pStyle w:val="Compact"/>
      </w:pPr>
      <w:r>
        <w:rPr>
          <w:bCs/>
          <w:b/>
        </w:rPr>
        <w:t xml:space="preserve">WADA:</w:t>
      </w:r>
      <w:r>
        <w:t xml:space="preserve"> </w:t>
      </w:r>
      <w:r>
        <w:t xml:space="preserve">nicht namentlich gelistet.</w:t>
      </w:r>
    </w:p>
    <w:bookmarkEnd w:id="457"/>
    <w:bookmarkStart w:id="458" w:name="laufende-studien-und-ausblick-22"/>
    <w:p>
      <w:pPr>
        <w:pStyle w:val="Heading3"/>
      </w:pPr>
      <w:r>
        <w:t xml:space="preserve">Laufende Studien und Ausblick</w:t>
      </w:r>
    </w:p>
    <w:p>
      <w:pPr>
        <w:pStyle w:val="FirstParagraph"/>
      </w:pPr>
      <w:r>
        <w:rPr>
          <w:bCs/>
          <w:b/>
        </w:rPr>
        <w:t xml:space="preserve">Gesichert:</w:t>
      </w:r>
      <w:r>
        <w:t xml:space="preserve"> </w:t>
      </w:r>
      <w:r>
        <w:t xml:space="preserve">Bei ClinicalTrials.gov ist im Oktober 2026 keine Studie zu Thymalin oder Thymogen registriert.</w:t>
      </w:r>
    </w:p>
    <w:p>
      <w:pPr>
        <w:pStyle w:val="BodyText"/>
      </w:pPr>
      <w:r>
        <w:rPr>
          <w:bCs/>
          <w:b/>
        </w:rPr>
        <w:t xml:space="preserve">Einschätzung des Autors:</w:t>
      </w:r>
      <w:r>
        <w:t xml:space="preserve"> </w:t>
      </w:r>
      <w:r>
        <w:t xml:space="preserve">Eine Zulassung in der EU oder den USA ist ohne neue, nach internationalen Standards durchgeführte Studien ausgeschlossen, und solche Studien sind nicht in Sicht. Thymalin und Thymogen werden daher voraussichtlich ein Phänomen des russischsprachigen Gesundheitsmarktes und der internationalen Longevity-Szene bleiben.</w:t>
      </w:r>
    </w:p>
    <w:bookmarkEnd w:id="458"/>
    <w:bookmarkStart w:id="459" w:name="fazit-22"/>
    <w:p>
      <w:pPr>
        <w:pStyle w:val="Heading3"/>
      </w:pPr>
      <w:r>
        <w:t xml:space="preserve">Fazit</w:t>
      </w:r>
    </w:p>
    <w:p>
      <w:pPr>
        <w:pStyle w:val="FirstParagraph"/>
      </w:pPr>
      <w:r>
        <w:t xml:space="preserve">Thymalin ist ein Kälber-Thymus-Extrakt, Thymogen ein daraus abgeleitetes Dipeptid; beide sind in Russland zugelassen und werden im Westen als „Bioregulatoren“ zur Lebensverlängerung beworben. Die Studienlage stammt fast vollständig aus einer einzigen russischen Forschungsschule, ist überwiegend in russischer Sprache veröffentlicht und besteht aus kleinen, meist nicht randomisierten Studien. Die viel zitierte Halbierung der Sterblichkeit bei älteren Menschen (Khavinson 2003, PMID 14523363) beruht auf einer Studie, deren Design im Abstract nicht nachvollziehbar beschrieben ist. Ein Nutzen ist nach heutigen Maßstäben nicht belegt, und die Qualität frei verkaufter Produkte ist unbekannt.</w:t>
      </w:r>
    </w:p>
    <w:bookmarkEnd w:id="459"/>
    <w:bookmarkEnd w:id="460"/>
    <w:bookmarkEnd w:id="461"/>
    <w:bookmarkStart w:id="593" w:name="teil-ii-c-wachstumshormon-achse"/>
    <w:p>
      <w:pPr>
        <w:pStyle w:val="Heading1"/>
      </w:pPr>
      <w:r>
        <w:t xml:space="preserve">Teil II · C – Wachstumshormon-Achse</w:t>
      </w:r>
    </w:p>
    <w:p>
      <w:pPr>
        <w:pStyle w:val="FirstParagraph"/>
      </w:pPr>
      <w:r>
        <w:t xml:space="preserve">Wachstumshormon (GH, nach englisch</w:t>
      </w:r>
      <w:r>
        <w:t xml:space="preserve"> </w:t>
      </w:r>
      <w:r>
        <w:rPr>
          <w:iCs/>
          <w:i/>
        </w:rPr>
        <w:t xml:space="preserve">growth hormone</w:t>
      </w:r>
      <w:r>
        <w:t xml:space="preserve">) ist eines der am stärksten mythologisierten Hormone überhaupt. Es gilt in Fitnessstudios als Muskel- und Fettverbrennungshormon und in Anti-Aging-Praxen als „Jungbrunnen“. Echtes Wachstumshormon ist ein großes, teures, verschreibungspflichtiges Protein. Die Peptide dieses Teils versprechen einen scheinbar eleganteren Weg: Sie sollen den Körper dazu bringen,</w:t>
      </w:r>
      <w:r>
        <w:t xml:space="preserve"> </w:t>
      </w:r>
      <w:r>
        <w:rPr>
          <w:iCs/>
          <w:i/>
        </w:rPr>
        <w:t xml:space="preserve">mehr eigenes</w:t>
      </w:r>
      <w:r>
        <w:t xml:space="preserve"> </w:t>
      </w:r>
      <w:r>
        <w:t xml:space="preserve">Wachstumshormon auszuschütten – oder sie liefern direkt den nachgeschalteten Botenstoff IGF-1.</w:t>
      </w:r>
    </w:p>
    <w:bookmarkStart w:id="462" w:name="die-achse-in-vier-stationen"/>
    <w:p>
      <w:pPr>
        <w:pStyle w:val="Heading3"/>
      </w:pPr>
      <w:r>
        <w:t xml:space="preserve">Die Achse in vier Stationen</w:t>
      </w:r>
    </w:p>
    <w:p>
      <w:pPr>
        <w:numPr>
          <w:ilvl w:val="0"/>
          <w:numId w:val="1146"/>
        </w:numPr>
        <w:pStyle w:val="Compact"/>
      </w:pPr>
      <w:r>
        <w:rPr>
          <w:bCs/>
          <w:b/>
        </w:rPr>
        <w:t xml:space="preserve">GHRH</w:t>
      </w:r>
      <w:r>
        <w:t xml:space="preserve"> </w:t>
      </w:r>
      <w:r>
        <w:t xml:space="preserve">(Wachstumshormon-Releasing-Hormon) aus dem Zwischenhirn gibt der Hirnanhangdrüse das Signal zur Ausschüttung. Sein Gegenspieler Somatostatin bremst.</w:t>
      </w:r>
    </w:p>
    <w:p>
      <w:pPr>
        <w:numPr>
          <w:ilvl w:val="0"/>
          <w:numId w:val="1146"/>
        </w:numPr>
        <w:pStyle w:val="Compact"/>
      </w:pPr>
      <w:r>
        <w:rPr>
          <w:bCs/>
          <w:b/>
        </w:rPr>
        <w:t xml:space="preserve">Ghrelin</w:t>
      </w:r>
      <w:r>
        <w:t xml:space="preserve">, ein Hormon aus dem Magen, verstärkt die Ausschüttung über einen eigenen Rezeptor (GHS-R1a) und macht zugleich hungrig (Kojima 1999, PMID 10604470).</w:t>
      </w:r>
    </w:p>
    <w:p>
      <w:pPr>
        <w:numPr>
          <w:ilvl w:val="0"/>
          <w:numId w:val="1146"/>
        </w:numPr>
        <w:pStyle w:val="Compact"/>
      </w:pPr>
      <w:r>
        <w:rPr>
          <w:bCs/>
          <w:b/>
        </w:rPr>
        <w:t xml:space="preserve">Wachstumshormon</w:t>
      </w:r>
      <w:r>
        <w:t xml:space="preserve"> </w:t>
      </w:r>
      <w:r>
        <w:t xml:space="preserve">wird von der Hirnanhangdrüse in Stößen abgegeben, vor allem nachts.</w:t>
      </w:r>
    </w:p>
    <w:p>
      <w:pPr>
        <w:numPr>
          <w:ilvl w:val="0"/>
          <w:numId w:val="1146"/>
        </w:numPr>
        <w:pStyle w:val="Compact"/>
      </w:pPr>
      <w:r>
        <w:rPr>
          <w:bCs/>
          <w:b/>
        </w:rPr>
        <w:t xml:space="preserve">IGF-1</w:t>
      </w:r>
      <w:r>
        <w:t xml:space="preserve"> </w:t>
      </w:r>
      <w:r>
        <w:t xml:space="preserve">(insulinähnlicher Wachstumsfaktor 1) wird vor allem in der Leber als Antwort auf Wachstumshormon gebildet und vermittelt viele seiner aufbauenden Wirkungen. Hohe IGF-1-Spiegel bremsen ihrerseits die Achse.</w:t>
      </w:r>
    </w:p>
    <w:p>
      <w:pPr>
        <w:pStyle w:val="FirstParagraph"/>
      </w:pPr>
      <w:r>
        <w:t xml:space="preserve">Die Wirkstoffe dieses Teils greifen an unterschiedlichen Stationen an:</w:t>
      </w:r>
      <w:r>
        <w:t xml:space="preserve"> </w:t>
      </w:r>
      <w:r>
        <w:rPr>
          <w:bCs/>
          <w:b/>
        </w:rPr>
        <w:t xml:space="preserve">GHRH-Analoga</w:t>
      </w:r>
      <w:r>
        <w:t xml:space="preserve"> </w:t>
      </w:r>
      <w:r>
        <w:t xml:space="preserve">(Sermorelin, Tesamorelin, CJC-1295) am GHRH-Rezeptor,</w:t>
      </w:r>
      <w:r>
        <w:t xml:space="preserve"> </w:t>
      </w:r>
      <w:r>
        <w:rPr>
          <w:bCs/>
          <w:b/>
        </w:rPr>
        <w:t xml:space="preserve">Ghrelin-Mimetika</w:t>
      </w:r>
      <w:r>
        <w:t xml:space="preserve"> </w:t>
      </w:r>
      <w:r>
        <w:t xml:space="preserve">(Ipamorelin, GHRP-2, GHRP-6, Hexarelin, Macimorelin und zum Vergleich das Nicht-Peptid Ibutamoren) am Ghrelin-Rezeptor,</w:t>
      </w:r>
      <w:r>
        <w:t xml:space="preserve"> </w:t>
      </w:r>
      <w:r>
        <w:rPr>
          <w:bCs/>
          <w:b/>
        </w:rPr>
        <w:t xml:space="preserve">IGF-1 und seine Abwandlungen</w:t>
      </w:r>
      <w:r>
        <w:t xml:space="preserve"> </w:t>
      </w:r>
      <w:r>
        <w:t xml:space="preserve">(Mecasermin, IGF-1 LR3) direkt am Ende der Kette.</w:t>
      </w:r>
    </w:p>
    <w:bookmarkEnd w:id="462"/>
    <w:bookmarkStart w:id="463" w:name="warum-diese-gruppe-so-beliebt-ist"/>
    <w:p>
      <w:pPr>
        <w:pStyle w:val="Heading3"/>
      </w:pPr>
      <w:r>
        <w:t xml:space="preserve">Warum diese Gruppe so beliebt ist</w:t>
      </w:r>
    </w:p>
    <w:p>
      <w:pPr>
        <w:pStyle w:val="FirstParagraph"/>
      </w:pPr>
      <w:r>
        <w:t xml:space="preserve">Wachstumshormon baut Fett ab und Magermasse auf – das ist gut belegt. Eine Übersicht über randomisierte Studien bei jungen, trainierten Menschen fand eine Zunahme der fettfreien Masse um 2,1 kg, aber keine Verbesserung von Kraft oder Ausdauer, dafür mehr Wassereinlagerungen und Müdigkeit (Liu 2008, PMID 18347346). Bei gesunden älteren Menschen sank die Fettmasse um 2,1 kg und die Magermasse stieg um 2,1 kg; zugleich traten häufiger Gewebeschwellungen, Gelenkschmerzen, Karpaltunnelsyndrom und Brustvergrößerung bei Männern auf (Liu 2007, PMID 17227934). Weil die Wachstumshormon-Ausschüttung mit dem Alter abnimmt, liegt die Idee nahe, sie „zurückzudrehen“. Die Freisetzer gelten als sanftere Alternative, weil die körpereigene Regulation erhalten bleibt. Hinzu kommt, dass viele davon als „Research Peptides“ billig online erhältlich sind.</w:t>
      </w:r>
    </w:p>
    <w:p>
      <w:pPr>
        <w:pStyle w:val="BodyText"/>
      </w:pPr>
      <w:r>
        <w:t xml:space="preserve">Das Muster, das sich durch fast alle Kapitel zieht: IGF-1 und Magermasse steigen, aber Kraft, Funktion oder Krankheitsverläufe verbessern sich in kontrollierten Studien kaum – während Blutzucker, Wassereinlagerungen und bei einigen Stoffen Stresshormone zunehmen.</w:t>
      </w:r>
    </w:p>
    <w:bookmarkEnd w:id="463"/>
    <w:bookmarkStart w:id="464" w:name="der-wichtigste-offene-punkt-krebs"/>
    <w:p>
      <w:pPr>
        <w:pStyle w:val="Heading3"/>
      </w:pPr>
      <w:r>
        <w:t xml:space="preserve">Der wichtigste offene Punkt: Krebs</w:t>
      </w:r>
    </w:p>
    <w:p>
      <w:pPr>
        <w:pStyle w:val="FirstParagraph"/>
      </w:pPr>
      <w:r>
        <w:t xml:space="preserve">IGF-1 fördert Zellteilung und hält Zellen am Leben. Ob eine dauerhafte Anhebung das Krebsrisiko erhöht, ist die zentrale Sicherheitsfrage der Gruppe. Die Belege, nüchtern zusammengefasst:</w:t>
      </w:r>
    </w:p>
    <w:p>
      <w:pPr>
        <w:numPr>
          <w:ilvl w:val="0"/>
          <w:numId w:val="1147"/>
        </w:numPr>
        <w:pStyle w:val="Compact"/>
      </w:pPr>
      <w:r>
        <w:rPr>
          <w:bCs/>
          <w:b/>
        </w:rPr>
        <w:t xml:space="preserve">Natürlich hohes IGF-1:</w:t>
      </w:r>
      <w:r>
        <w:t xml:space="preserve"> </w:t>
      </w:r>
      <w:r>
        <w:t xml:space="preserve">In Beobachtungsstudien ist ein höherer Spiegel mit einem mäßig erhöhten Risiko für Prostatakrebs und Brustkrebs vor den Wechseljahren verbunden (Renehan 2004, PMID 15110491). Genetische Analysen mit Hunderttausenden Teilnehmenden sprechen dafür, dass der Zusammenhang bei Brust- und Darmkrebs ursächlich sein könnte (Murphy 2020, PMID 32169310; Murphy 2020, PMID 31884074).</w:t>
      </w:r>
    </w:p>
    <w:p>
      <w:pPr>
        <w:numPr>
          <w:ilvl w:val="0"/>
          <w:numId w:val="1147"/>
        </w:numPr>
        <w:pStyle w:val="Compact"/>
      </w:pPr>
      <w:r>
        <w:rPr>
          <w:bCs/>
          <w:b/>
        </w:rPr>
        <w:t xml:space="preserve">Natürlich zu viel Wachstumshormon (Akromegalie):</w:t>
      </w:r>
      <w:r>
        <w:t xml:space="preserve"> </w:t>
      </w:r>
      <w:r>
        <w:t xml:space="preserve">Eine Meta-Analyse von 23 Studien fand eine um etwa 50 % erhöhte Krebsrate, deutet aber auch auf Verzerrungen in älteren Studien hin (Dal 2018, PMID 29590449).</w:t>
      </w:r>
    </w:p>
    <w:p>
      <w:pPr>
        <w:numPr>
          <w:ilvl w:val="0"/>
          <w:numId w:val="1147"/>
        </w:numPr>
        <w:pStyle w:val="Compact"/>
      </w:pPr>
      <w:r>
        <w:rPr>
          <w:bCs/>
          <w:b/>
        </w:rPr>
        <w:t xml:space="preserve">Lebenslanger IGF-1-Mangel (Laron-Syndrom):</w:t>
      </w:r>
      <w:r>
        <w:t xml:space="preserve"> </w:t>
      </w:r>
      <w:r>
        <w:t xml:space="preserve">Krebs trat auffällig selten auf (Guevara-Aguirre 2011, PMID 21325617).</w:t>
      </w:r>
    </w:p>
    <w:p>
      <w:pPr>
        <w:numPr>
          <w:ilvl w:val="0"/>
          <w:numId w:val="1147"/>
        </w:numPr>
        <w:pStyle w:val="Compact"/>
      </w:pPr>
      <w:r>
        <w:rPr>
          <w:bCs/>
          <w:b/>
        </w:rPr>
        <w:t xml:space="preserve">Wachstumshormon als Arzneimittel:</w:t>
      </w:r>
      <w:r>
        <w:t xml:space="preserve"> </w:t>
      </w:r>
      <w:r>
        <w:t xml:space="preserve">In einer europäischen Kohorte mit 23.984 behandelten Kindern fand sich kein allgemein erhöhtes Risiko bei Kindern ohne Vorerkrankung, aber Auffälligkeiten bei einzelnen Krebsarten und bei Kindern, die zuvor Krebs gehabt hatten (Swerdlow 2017, PMID 28187225). Bei 8.418 behandelten Erwachsenen mit Hypophysenunterfunktion war das Krebsrisiko nicht erhöht (Child 2015, PMID 25810462).</w:t>
      </w:r>
    </w:p>
    <w:p>
      <w:pPr>
        <w:pStyle w:val="FirstParagraph"/>
      </w:pPr>
      <w:r>
        <w:t xml:space="preserve">Fazit: Bei Menschen mit echtem Mangel ist eine Ersatzbehandlung nach heutigem Wissen nicht mit einem deutlich höheren Krebsrisiko verbunden. Für Gesunde, die einen normalen Spiegel über Jahre anheben, fehlen Daten – und die Biologie spricht eher für als gegen ein gewisses Risiko. Teil IV vertieft das Thema.</w:t>
      </w:r>
    </w:p>
    <w:bookmarkEnd w:id="464"/>
    <w:bookmarkStart w:id="465" w:name="überblick-1"/>
    <w:p>
      <w:pPr>
        <w:pStyle w:val="Heading3"/>
      </w:pPr>
      <w:r>
        <w:t xml:space="preserve">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Sermorelin</w:t>
            </w:r>
          </w:p>
        </w:tc>
        <w:tc>
          <w:tcPr/>
          <w:p>
            <w:pPr>
              <w:pStyle w:val="Compact"/>
              <w:jc w:val="left"/>
            </w:pPr>
            <w:r>
              <w:t xml:space="preserve">B</w:t>
            </w:r>
          </w:p>
        </w:tc>
        <w:tc>
          <w:tcPr/>
          <w:p>
            <w:pPr>
              <w:pStyle w:val="Compact"/>
              <w:jc w:val="left"/>
            </w:pPr>
            <w:r>
              <w:t xml:space="preserve">früher USA (Geref), heute keine</w:t>
            </w:r>
          </w:p>
        </w:tc>
        <w:tc>
          <w:tcPr/>
          <w:p>
            <w:pPr>
              <w:pStyle w:val="Compact"/>
              <w:jc w:val="left"/>
            </w:pPr>
            <w:r>
              <w:t xml:space="preserve">GHRH-Fragment; Kinder mit GH-Mangel</w:t>
            </w:r>
          </w:p>
        </w:tc>
      </w:tr>
      <w:tr>
        <w:tc>
          <w:tcPr/>
          <w:p>
            <w:pPr>
              <w:pStyle w:val="Compact"/>
              <w:jc w:val="left"/>
            </w:pPr>
            <w:r>
              <w:t xml:space="preserve">Tesamorelin</w:t>
            </w:r>
          </w:p>
        </w:tc>
        <w:tc>
          <w:tcPr/>
          <w:p>
            <w:pPr>
              <w:pStyle w:val="Compact"/>
              <w:jc w:val="left"/>
            </w:pPr>
            <w:r>
              <w:t xml:space="preserve">A</w:t>
            </w:r>
          </w:p>
        </w:tc>
        <w:tc>
          <w:tcPr/>
          <w:p>
            <w:pPr>
              <w:pStyle w:val="Compact"/>
              <w:jc w:val="left"/>
            </w:pPr>
            <w:r>
              <w:t xml:space="preserve">USA (Egrifta)</w:t>
            </w:r>
          </w:p>
        </w:tc>
        <w:tc>
          <w:tcPr/>
          <w:p>
            <w:pPr>
              <w:pStyle w:val="Compact"/>
              <w:jc w:val="left"/>
            </w:pPr>
            <w:r>
              <w:t xml:space="preserve">weniger Bauch- und Leberfett bei HIV</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keine</w:t>
            </w:r>
          </w:p>
        </w:tc>
        <w:tc>
          <w:tcPr/>
          <w:p>
            <w:pPr>
              <w:pStyle w:val="Compact"/>
              <w:jc w:val="left"/>
            </w:pPr>
            <w:r>
              <w:t xml:space="preserve">nur Phase-1-Daten; Variante „ohne DAC“ unerforscht</w:t>
            </w:r>
          </w:p>
        </w:tc>
      </w:tr>
      <w:tr>
        <w:tc>
          <w:tcPr/>
          <w:p>
            <w:pPr>
              <w:pStyle w:val="Compact"/>
              <w:jc w:val="left"/>
            </w:pPr>
            <w:r>
              <w:t xml:space="preserve">Ipamorelin</w:t>
            </w:r>
          </w:p>
        </w:tc>
        <w:tc>
          <w:tcPr/>
          <w:p>
            <w:pPr>
              <w:pStyle w:val="Compact"/>
              <w:jc w:val="left"/>
            </w:pPr>
            <w:r>
              <w:t xml:space="preserve">B</w:t>
            </w:r>
          </w:p>
        </w:tc>
        <w:tc>
          <w:tcPr/>
          <w:p>
            <w:pPr>
              <w:pStyle w:val="Compact"/>
              <w:jc w:val="left"/>
            </w:pPr>
            <w:r>
              <w:t xml:space="preserve">keine</w:t>
            </w:r>
          </w:p>
        </w:tc>
        <w:tc>
          <w:tcPr/>
          <w:p>
            <w:pPr>
              <w:pStyle w:val="Compact"/>
              <w:jc w:val="left"/>
            </w:pPr>
            <w:r>
              <w:t xml:space="preserve">kein Nutzen bei Darmlähmung nach OP</w:t>
            </w:r>
          </w:p>
        </w:tc>
      </w:tr>
      <w:tr>
        <w:tc>
          <w:tcPr/>
          <w:p>
            <w:pPr>
              <w:pStyle w:val="Compact"/>
              <w:jc w:val="left"/>
            </w:pPr>
            <w:r>
              <w:t xml:space="preserve">GHRP-2 (Pralmorelin)</w:t>
            </w:r>
          </w:p>
        </w:tc>
        <w:tc>
          <w:tcPr/>
          <w:p>
            <w:pPr>
              <w:pStyle w:val="Compact"/>
              <w:jc w:val="left"/>
            </w:pPr>
            <w:r>
              <w:t xml:space="preserve">B</w:t>
            </w:r>
          </w:p>
        </w:tc>
        <w:tc>
          <w:tcPr/>
          <w:p>
            <w:pPr>
              <w:pStyle w:val="Compact"/>
              <w:jc w:val="left"/>
            </w:pPr>
            <w:r>
              <w:t xml:space="preserve">Japan (Diagnostikum)</w:t>
            </w:r>
          </w:p>
        </w:tc>
        <w:tc>
          <w:tcPr/>
          <w:p>
            <w:pPr>
              <w:pStyle w:val="Compact"/>
              <w:jc w:val="left"/>
            </w:pPr>
            <w:r>
              <w:t xml:space="preserve">Test auf GH-Mangel</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keine</w:t>
            </w:r>
          </w:p>
        </w:tc>
        <w:tc>
          <w:tcPr/>
          <w:p>
            <w:pPr>
              <w:pStyle w:val="Compact"/>
              <w:jc w:val="left"/>
            </w:pPr>
            <w:r>
              <w:t xml:space="preserve">Forschungs- und Testsubstanz</w:t>
            </w:r>
          </w:p>
        </w:tc>
      </w:tr>
      <w:tr>
        <w:tc>
          <w:tcPr/>
          <w:p>
            <w:pPr>
              <w:pStyle w:val="Compact"/>
              <w:jc w:val="left"/>
            </w:pPr>
            <w:r>
              <w:t xml:space="preserve">Hexarelin</w:t>
            </w:r>
          </w:p>
        </w:tc>
        <w:tc>
          <w:tcPr/>
          <w:p>
            <w:pPr>
              <w:pStyle w:val="Compact"/>
              <w:jc w:val="left"/>
            </w:pPr>
            <w:r>
              <w:t xml:space="preserve">C</w:t>
            </w:r>
          </w:p>
        </w:tc>
        <w:tc>
          <w:tcPr/>
          <w:p>
            <w:pPr>
              <w:pStyle w:val="Compact"/>
              <w:jc w:val="left"/>
            </w:pPr>
            <w:r>
              <w:t xml:space="preserve">keine</w:t>
            </w:r>
          </w:p>
        </w:tc>
        <w:tc>
          <w:tcPr/>
          <w:p>
            <w:pPr>
              <w:pStyle w:val="Compact"/>
              <w:jc w:val="left"/>
            </w:pPr>
            <w:r>
              <w:t xml:space="preserve">akute Herzeffekte; Wirkverlust bei Dauergabe</w:t>
            </w:r>
          </w:p>
        </w:tc>
      </w:tr>
      <w:tr>
        <w:tc>
          <w:tcPr/>
          <w:p>
            <w:pPr>
              <w:pStyle w:val="Compact"/>
              <w:jc w:val="left"/>
            </w:pPr>
            <w:r>
              <w:t xml:space="preserve">Macimorelin</w:t>
            </w:r>
          </w:p>
        </w:tc>
        <w:tc>
          <w:tcPr/>
          <w:p>
            <w:pPr>
              <w:pStyle w:val="Compact"/>
              <w:jc w:val="left"/>
            </w:pPr>
            <w:r>
              <w:t xml:space="preserve">A</w:t>
            </w:r>
          </w:p>
        </w:tc>
        <w:tc>
          <w:tcPr/>
          <w:p>
            <w:pPr>
              <w:pStyle w:val="Compact"/>
              <w:jc w:val="left"/>
            </w:pPr>
            <w:r>
              <w:t xml:space="preserve">EU, USA (Diagnostikum)</w:t>
            </w:r>
          </w:p>
        </w:tc>
        <w:tc>
          <w:tcPr/>
          <w:p>
            <w:pPr>
              <w:pStyle w:val="Compact"/>
              <w:jc w:val="left"/>
            </w:pPr>
            <w:r>
              <w:t xml:space="preserve">Trinktest auf GH-Mangel</w:t>
            </w:r>
          </w:p>
        </w:tc>
      </w:tr>
      <w:tr>
        <w:tc>
          <w:tcPr/>
          <w:p>
            <w:pPr>
              <w:pStyle w:val="Compact"/>
              <w:jc w:val="left"/>
            </w:pPr>
            <w:r>
              <w:t xml:space="preserve">Mecasermin (IGF-1)</w:t>
            </w:r>
          </w:p>
        </w:tc>
        <w:tc>
          <w:tcPr/>
          <w:p>
            <w:pPr>
              <w:pStyle w:val="Compact"/>
              <w:jc w:val="left"/>
            </w:pPr>
            <w:r>
              <w:t xml:space="preserve">A</w:t>
            </w:r>
          </w:p>
        </w:tc>
        <w:tc>
          <w:tcPr/>
          <w:p>
            <w:pPr>
              <w:pStyle w:val="Compact"/>
              <w:jc w:val="left"/>
            </w:pPr>
            <w:r>
              <w:t xml:space="preserve">EU, USA (Increlex)</w:t>
            </w:r>
          </w:p>
        </w:tc>
        <w:tc>
          <w:tcPr/>
          <w:p>
            <w:pPr>
              <w:pStyle w:val="Compact"/>
              <w:jc w:val="left"/>
            </w:pPr>
            <w:r>
              <w:t xml:space="preserve">schwerer IGF-1-Mangel bei Kindern</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keine</w:t>
            </w:r>
          </w:p>
        </w:tc>
        <w:tc>
          <w:tcPr/>
          <w:p>
            <w:pPr>
              <w:pStyle w:val="Compact"/>
              <w:jc w:val="left"/>
            </w:pPr>
            <w:r>
              <w:t xml:space="preserve">Laborreagenz, nie am Menschen geprüft</w:t>
            </w:r>
          </w:p>
        </w:tc>
      </w:tr>
      <w:tr>
        <w:tc>
          <w:tcPr/>
          <w:p>
            <w:pPr>
              <w:pStyle w:val="Compact"/>
              <w:jc w:val="left"/>
            </w:pPr>
            <w:r>
              <w:t xml:space="preserve">Ibutamoren (Vergleich)</w:t>
            </w:r>
          </w:p>
        </w:tc>
        <w:tc>
          <w:tcPr/>
          <w:p>
            <w:pPr>
              <w:pStyle w:val="Compact"/>
              <w:jc w:val="left"/>
            </w:pPr>
            <w:r>
              <w:t xml:space="preserve">B</w:t>
            </w:r>
          </w:p>
        </w:tc>
        <w:tc>
          <w:tcPr/>
          <w:p>
            <w:pPr>
              <w:pStyle w:val="Compact"/>
              <w:jc w:val="left"/>
            </w:pPr>
            <w:r>
              <w:t xml:space="preserve">keine</w:t>
            </w:r>
          </w:p>
        </w:tc>
        <w:tc>
          <w:tcPr/>
          <w:p>
            <w:pPr>
              <w:pStyle w:val="Compact"/>
              <w:jc w:val="left"/>
            </w:pPr>
            <w:r>
              <w:t xml:space="preserve">Tablette; Herzinsuffizienz-Signal</w:t>
            </w:r>
          </w:p>
        </w:tc>
      </w:tr>
    </w:tbl>
    <w:bookmarkEnd w:id="465"/>
    <w:bookmarkStart w:id="466" w:name="lesehinweis-2"/>
    <w:p>
      <w:pPr>
        <w:pStyle w:val="Heading3"/>
      </w:pPr>
      <w:r>
        <w:t xml:space="preserve">Lesehinweis</w:t>
      </w:r>
    </w:p>
    <w:p>
      <w:pPr>
        <w:pStyle w:val="FirstParagraph"/>
      </w:pPr>
      <w:r>
        <w:t xml:space="preserve">Wer sich für Anwendungen mit echtem Nutzen interessiert, beginnt mit Tesamorelin, Macimorelin und Mecasermin. Wer wissen möchte, was hinter den Graumarkt-Klassikern steckt, liest CJC-1295, Ipamorelin und IGF-1 LR3. Ibutamoren ist zwar kein Peptid, zeigt aber in großen Studien besonders klar, was eine dauerhafte Anregung der Achse bewirkt. Alle Wirkstoffe dieser Gruppe stehen auf der Verbotsliste der Welt-Anti-Doping-Agentur (Gruppe S2; Stand 2026, bitte aktuell prüfen).</w:t>
      </w:r>
    </w:p>
    <w:bookmarkEnd w:id="466"/>
    <w:bookmarkStart w:id="479" w:name="sermorelin"/>
    <w:p>
      <w:pPr>
        <w:pStyle w:val="Heading2"/>
      </w:pPr>
      <w:r>
        <w:t xml:space="preserve">Sermorelin</w:t>
      </w:r>
    </w:p>
    <w:p>
      <w:pPr>
        <w:pStyle w:val="FirstParagraph"/>
      </w:pPr>
      <w:r>
        <w:t xml:space="preserve">Sermorelin ist ein Stück Arzneimittelgeschichte, das im Internet ein zweites Leben führt. In den 1990er-Jahren war es in den USA als Arzneimittel zugelassen – erst als Testsubstanz für die Diagnose eines Wachstumshormon-Mangels, dann zur Behandlung kleinwüchsiger Kinder. Seit dem Ende der 2000er-Jahre ist das Originalpräparat vom Markt verschwunden. Heute wird Sermorelin vor allem in amerikanischen „Anti-Aging“- und „Men’s Health“-Kliniken als Rezeptur verordnet und auf dem Graumarkt angeboten. Dieses Kapitel zeigt, was die alten Studien tatsächlich belegen und was nicht.</w:t>
      </w:r>
    </w:p>
    <w:bookmarkStart w:id="467" w:name="steckbrief-23"/>
    <w:p>
      <w:pPr>
        <w:pStyle w:val="Heading3"/>
      </w:pPr>
      <w:r>
        <w:t xml:space="preserve">Steckbrief</w:t>
      </w:r>
    </w:p>
    <w:p>
      <w:pPr>
        <w:numPr>
          <w:ilvl w:val="0"/>
          <w:numId w:val="1148"/>
        </w:numPr>
        <w:pStyle w:val="Compact"/>
      </w:pPr>
      <w:r>
        <w:rPr>
          <w:bCs/>
          <w:b/>
        </w:rPr>
        <w:t xml:space="preserve">Art und Struktur:</w:t>
      </w:r>
      <w:r>
        <w:t xml:space="preserve"> </w:t>
      </w:r>
      <w:r>
        <w:t xml:space="preserve">synthetisches Peptid aus 29 Aminosäuren; es entspricht dem vorderen, wirksamen Abschnitt des körpereigenen Wachstumshormon-Releasing-Hormons, GHRH(1-29)NH2. Es ist das kürzeste synthetische Peptid mit voller GHRH-Wirkung (Prakash 1999, PMID 18031173).</w:t>
      </w:r>
    </w:p>
    <w:p>
      <w:pPr>
        <w:numPr>
          <w:ilvl w:val="0"/>
          <w:numId w:val="1148"/>
        </w:numPr>
        <w:pStyle w:val="Compact"/>
      </w:pPr>
      <w:r>
        <w:rPr>
          <w:bCs/>
          <w:b/>
        </w:rPr>
        <w:t xml:space="preserve">Herkunft:</w:t>
      </w:r>
      <w:r>
        <w:t xml:space="preserve"> </w:t>
      </w:r>
      <w:r>
        <w:t xml:space="preserve">in den 1980er-Jahren aus dem natürlichen GHRH abgeleitet; vermarktet von Serono als Geref.</w:t>
      </w:r>
    </w:p>
    <w:p>
      <w:pPr>
        <w:numPr>
          <w:ilvl w:val="0"/>
          <w:numId w:val="1148"/>
        </w:numPr>
        <w:pStyle w:val="Compact"/>
      </w:pPr>
      <w:r>
        <w:rPr>
          <w:bCs/>
          <w:b/>
        </w:rPr>
        <w:t xml:space="preserve">Wirkprinzip:</w:t>
      </w:r>
      <w:r>
        <w:t xml:space="preserve"> </w:t>
      </w:r>
      <w:r>
        <w:t xml:space="preserve">bindet an den GHRH-Rezeptor der Hirnanhangdrüse und löst dort eine Ausschüttung von Wachstumshormon aus; die körpereigene Regulation (Bremse durch Somatostatin, Rückkopplung durch IGF-1) bleibt erhalten.</w:t>
      </w:r>
    </w:p>
    <w:p>
      <w:pPr>
        <w:numPr>
          <w:ilvl w:val="0"/>
          <w:numId w:val="1148"/>
        </w:numPr>
        <w:pStyle w:val="Compact"/>
      </w:pPr>
      <w:r>
        <w:rPr>
          <w:bCs/>
          <w:b/>
        </w:rPr>
        <w:t xml:space="preserve">Zulassung EU:</w:t>
      </w:r>
      <w:r>
        <w:t xml:space="preserve"> </w:t>
      </w:r>
      <w:r>
        <w:t xml:space="preserve">nein (Stand 2026).</w:t>
      </w:r>
      <w:r>
        <w:t xml:space="preserve"> </w:t>
      </w:r>
      <w:r>
        <w:rPr>
          <w:bCs/>
          <w:b/>
        </w:rPr>
        <w:t xml:space="preserve">Zulassung USA:</w:t>
      </w:r>
      <w:r>
        <w:t xml:space="preserve"> </w:t>
      </w:r>
      <w:r>
        <w:t xml:space="preserve">früher ja (Geref als Diagnostikum und zur Behandlung von Kindern mit Wachstumshormon-Mangel); das Originalpräparat ist seit Ende der 2000er-Jahre nicht mehr erhältlich.</w:t>
      </w:r>
    </w:p>
    <w:p>
      <w:pPr>
        <w:numPr>
          <w:ilvl w:val="0"/>
          <w:numId w:val="1148"/>
        </w:numPr>
        <w:pStyle w:val="Compact"/>
      </w:pPr>
      <w:r>
        <w:rPr>
          <w:bCs/>
          <w:b/>
        </w:rPr>
        <w:t xml:space="preserve">WADA:</w:t>
      </w:r>
      <w:r>
        <w:t xml:space="preserve"> </w:t>
      </w:r>
      <w:r>
        <w:t xml:space="preserve">verboten, Gruppe S2 – Sermorelin wird als GHRH-Analogon ausdrücklich genannt.</w:t>
      </w:r>
    </w:p>
    <w:p>
      <w:pPr>
        <w:numPr>
          <w:ilvl w:val="0"/>
          <w:numId w:val="1148"/>
        </w:numPr>
        <w:pStyle w:val="Compact"/>
      </w:pPr>
      <w:r>
        <w:rPr>
          <w:bCs/>
          <w:b/>
        </w:rPr>
        <w:t xml:space="preserve">Evidenzstufe: B</w:t>
      </w:r>
      <w:r>
        <w:t xml:space="preserve"> </w:t>
      </w:r>
      <w:r>
        <w:t xml:space="preserve">– einzelne kleine randomisierte bzw. kontrollierte Studien, meist offen und aus den 1980er- und 1990er-Jahren; keine moderne große Studie.</w:t>
      </w:r>
    </w:p>
    <w:bookmarkEnd w:id="467"/>
    <w:bookmarkStart w:id="468" w:name="wie-es-wirken-soll-23"/>
    <w:p>
      <w:pPr>
        <w:pStyle w:val="Heading3"/>
      </w:pPr>
      <w:r>
        <w:t xml:space="preserve">Wie es wirken soll</w:t>
      </w:r>
    </w:p>
    <w:p>
      <w:pPr>
        <w:pStyle w:val="FirstParagraph"/>
      </w:pPr>
      <w:r>
        <w:t xml:space="preserve">Die Hirnanhangdrüse gibt Wachstumshormon in Stößen ab. Den Startschuss gibt GHRH aus dem Zwischenhirn. Wird GHRH in der Natur gebildet, ist es 44 Aminosäuren lang; Forschende stellten in den 1980er-Jahren fest, dass die ersten 29 Aminosäuren für die volle Wirkung ausreichen. Daraus entstand Sermorelin.</w:t>
      </w:r>
    </w:p>
    <w:p>
      <w:pPr>
        <w:pStyle w:val="BodyText"/>
      </w:pPr>
      <w:r>
        <w:t xml:space="preserve">Der Vorteil gegenüber gespritztem Wachstumshormon soll darin liegen, dass die Hirnanhangdrüse „mitentscheidet“: Ist genug IGF-1 im Blut, bremst der Körper über Somatostatin selbst nach. Überdosierungen wie bei direkter GH-Gabe sollen dadurch weniger wahrscheinlich sein. Der Nachteil: Sermorelin wirkt nur, wenn die Hirnanhangdrüse noch Wachstumshormon bilden kann, und seine Wirkung ist kurz: Die Halbwertszeit im Blut beträgt beim Menschen nur etwa 10 bis 20 Minuten (Esposito 2003, PMID 14499707). Wirksam ist es daher vor allem bei Störungen, die im Zwischenhirn liegen, nicht in der Hypophyse selbst.</w:t>
      </w:r>
    </w:p>
    <w:bookmarkEnd w:id="468"/>
    <w:bookmarkStart w:id="473" w:name="studien-am-menschen-23"/>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unter dem Stichwort „sermorelin“ fand</w:t>
      </w:r>
      <w:r>
        <w:t xml:space="preserve"> </w:t>
      </w:r>
      <w:r>
        <w:rPr>
          <w:bCs/>
          <w:b/>
        </w:rPr>
        <w:t xml:space="preserve">keine</w:t>
      </w:r>
      <w:r>
        <w:t xml:space="preserve"> </w:t>
      </w:r>
      <w:r>
        <w:t xml:space="preserve">Humanstudie (</w:t>
      </w:r>
      <w:r>
        <w:rPr>
          <w:rStyle w:val="VerbatimChar"/>
        </w:rPr>
        <w:t xml:space="preserve">humanstudien_alle</w:t>
      </w:r>
      <w:r>
        <w:t xml:space="preserve">: 0) und</w:t>
      </w:r>
      <w:r>
        <w:t xml:space="preserve"> </w:t>
      </w:r>
      <w:r>
        <w:rPr>
          <w:bCs/>
          <w:b/>
        </w:rPr>
        <w:t xml:space="preserve">27</w:t>
      </w:r>
      <w:r>
        <w:t xml:space="preserve"> </w:t>
      </w:r>
      <w:r>
        <w:t xml:space="preserve">Einträge bei ClinicalTrials.gov. Beide Zahlen täuschen: Die meisten klinischen Arbeiten erschienen unter Bezeichnungen wie „GHRH(1-29)NH2“, „GRF 1-29“ oder „Geref“ und werden von einer reinen Namenssuche nicht erfasst. Umgekehrt betreffen viele der 27 Registereinträge gar nicht Sermorelin, sondern Tesamorelin oder GHRH-Tests allgemein. Eine gezielte Nachsuche ergab mehrere Dutzend klinische Studien, überwiegend klein und aus der Zeit vor 2000.</w:t>
      </w:r>
    </w:p>
    <w:bookmarkStart w:id="469" w:name="kinder-mit-wachstumshormon-mangel"/>
    <w:p>
      <w:pPr>
        <w:pStyle w:val="Heading4"/>
      </w:pPr>
      <w:r>
        <w:t xml:space="preserve">Kinder mit Wachstumshormon-Mangel</w:t>
      </w:r>
    </w:p>
    <w:p>
      <w:pPr>
        <w:pStyle w:val="FirstParagraph"/>
      </w:pPr>
      <w:r>
        <w:t xml:space="preserve">Das Hauptanwendungsgebiet war die Wachstumsstörung bei Kindern. In einer offenen, multizentrischen Studie der Geref-Studiengruppe erhielten 110 bisher unbehandelte Kinder vor der Pubertät ein Jahr lang einmal täglich abends Sermorelin. Die Wachstumsgeschwindigkeit stieg von 4,1 cm pro Jahr auf 8,0 cm nach sechs Monaten und 7,2 cm nach zwölf Monaten; 74 % galten nach sechs Monaten als gute Responder. Auffällige Laborveränderungen traten nicht auf (Thorner 1996, PMID 8772599).</w:t>
      </w:r>
    </w:p>
    <w:p>
      <w:pPr>
        <w:pStyle w:val="BodyText"/>
      </w:pPr>
      <w:r>
        <w:t xml:space="preserve">Eine frühe britische Studie mit 18 Kindern zeigte bereits die Grenzen: Nur bei 8 Kindern stieg die Wachstumsgeschwindigkeit in den ersten sechs Monaten um mehr als 2 cm pro Jahr; bei 14 Kindern bildeten sich Antikörper gegen das Peptid, ohne erkennbaren Einfluss auf das Wachstum (Ross 1987, PMID 2879138). In einer randomisierten Studie mit 43 Kindern wuchsen die Kinder unter niedrig dosiertem Sermorelin am langsamsten; nur unter Wachstumshormon besserte sich die Körpergröße im Verhältnis zum Knochenalter (Neyzi 1993, PMID 8329826). Eine Übersicht hielt fest, dass Sermorelin bei einem Teil der Kinder wirksam ist, aber schwächer als Wachstumshormon, und dass Daten zur Endgröße fehlen (Prakash 1999, PMID 18031173).</w:t>
      </w:r>
    </w:p>
    <w:p>
      <w:pPr>
        <w:pStyle w:val="BodyText"/>
      </w:pPr>
      <w:r>
        <w:t xml:space="preserve">Auch bei Kindern mit idiopathischem Kleinwuchs (also ohne nachweisbaren Hormonmangel) stieg die Wachstumsgeschwindigkeit unter zweimal täglichen Injektionen in einer kleinen Studie mit 18 Kindern; nach dem Absetzen fiel sie unter den Ausgangswert zurück, Nüchternzucker und Insulin stiegen während der Behandlung an (Kirk 1994, PMID 7955460).</w:t>
      </w:r>
    </w:p>
    <w:bookmarkEnd w:id="469"/>
    <w:bookmarkStart w:id="470" w:name="ältere-erwachsene"/>
    <w:p>
      <w:pPr>
        <w:pStyle w:val="Heading4"/>
      </w:pPr>
      <w:r>
        <w:t xml:space="preserve">Ältere Erwachsene</w:t>
      </w:r>
    </w:p>
    <w:p>
      <w:pPr>
        <w:pStyle w:val="FirstParagraph"/>
      </w:pPr>
      <w:r>
        <w:t xml:space="preserve">Für das heutige Marketing („Anti-Aging“) sind Studien mit älteren Menschen entscheidend. Es gibt nur wenige, und sie sind sehr klein:</w:t>
      </w:r>
    </w:p>
    <w:p>
      <w:pPr>
        <w:numPr>
          <w:ilvl w:val="0"/>
          <w:numId w:val="1149"/>
        </w:numPr>
        <w:pStyle w:val="Compact"/>
      </w:pPr>
      <w:r>
        <w:t xml:space="preserve">19 gesunde Frauen und Männer zwischen 55 und 71 Jahren erhielten nach vier Wochen Placebo 16 Wochen lang ein Sermorelin-Analogon. Wachstumshormon und IGF-1 stiegen, die Hautdicke nahm bei beiden Geschlechtern zu, die fettfreie Masse und die Insulinempfindlichkeit nur bei Männern. Männer berichteten ein besseres Wohlbefinden und eine gesteigerte Libido; die Schlafqualität änderte sich nicht. Als Nebenwirkung trat vorübergehend ein Anstieg der Blutfette auf (Khorram 1997, PMID 9141536). Dieselbe Gruppe beschrieb Veränderungen von Immunzellen (Khorram 1997, PMID 9360512). Die Studie war nur einfach verblindet und hatte keine parallele Kontrollgruppe.</w:t>
      </w:r>
    </w:p>
    <w:p>
      <w:pPr>
        <w:numPr>
          <w:ilvl w:val="0"/>
          <w:numId w:val="1149"/>
        </w:numPr>
        <w:pStyle w:val="Compact"/>
      </w:pPr>
      <w:r>
        <w:t xml:space="preserve">Bei 11 gesunden Männern zwischen 64 und 76 Jahren erhöhten sechs Wochen nächtlicher Injektionen die nächtliche GH-Ausschüttung, aber weder IGF-1 noch Muskel- oder Fettmasse veränderten sich; zwei von sechs Kraftmessungen verbesserten sich (Vittone 1997, PMID 9005976).</w:t>
      </w:r>
    </w:p>
    <w:p>
      <w:pPr>
        <w:pStyle w:val="FirstParagraph"/>
      </w:pPr>
      <w:r>
        <w:t xml:space="preserve">Zwei spätere Studien zu GHRH bei älteren Menschen wurden nach 5 bzw. 13 Teilnehmenden abgebrochen (NCT00807365, NCT01410799).</w:t>
      </w:r>
    </w:p>
    <w:bookmarkEnd w:id="470"/>
    <w:bookmarkStart w:id="471" w:name="diagnostik"/>
    <w:p>
      <w:pPr>
        <w:pStyle w:val="Heading4"/>
      </w:pPr>
      <w:r>
        <w:t xml:space="preserve">Diagnostik</w:t>
      </w:r>
    </w:p>
    <w:p>
      <w:pPr>
        <w:pStyle w:val="FirstParagraph"/>
      </w:pPr>
      <w:r>
        <w:t xml:space="preserve">Als Testsubstanz wurde Sermorelin intravenös gegeben, um zu prüfen, ob die Hirnanhangdrüse auf GHRH reagiert. Kombiniert mit der Aminosäure Arginin galt dieser Test bei Erwachsenen als Alternative zum belastenden Insulin-Hypoglykämie-Test (Prakash 1999, PMID 18031173). Nachdem das Diagnostikum in den USA nicht mehr verfügbar war, musste eine laufende Studie zu einem neuen Test (Macimorelin) ihr Design ändern (Garcia 2013, PMID 23559086).</w:t>
      </w:r>
    </w:p>
    <w:bookmarkEnd w:id="471"/>
    <w:bookmarkStart w:id="472" w:name="moderne-männermedizin"/>
    <w:p>
      <w:pPr>
        <w:pStyle w:val="Heading4"/>
      </w:pPr>
      <w:r>
        <w:t xml:space="preserve">Moderne „Männermedizin“</w:t>
      </w:r>
    </w:p>
    <w:p>
      <w:pPr>
        <w:pStyle w:val="FirstParagraph"/>
      </w:pPr>
      <w:r>
        <w:t xml:space="preserve">Eine rückblickende Aktenauswertung aus einer US-amerikanischen Männerklinik beschrieb 14 junge Männer unter Testosterontherapie, die eine Kombination aus Sermorelin, GHRP-2 und GHRP-6 verordnet bekamen. IGF-1 stieg im Mittel von 159,5 auf 239,0 ng/ml (Sigalos 2017, PMID 28830317). Von ursprünglich 105 Männern erfüllten nur 14 die Einschlusskriterien; Aussagen zu Muskelmasse, Fettabbau oder Sicherheit erlaubt die Arbeit nicht.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Geref-Studiengruppe (Thorner 1996), PMID 8772599</w:t>
            </w:r>
          </w:p>
        </w:tc>
        <w:tc>
          <w:tcPr/>
          <w:p>
            <w:pPr>
              <w:pStyle w:val="Compact"/>
              <w:jc w:val="left"/>
            </w:pPr>
            <w:r>
              <w:t xml:space="preserve">110 Kinder mit GH-Mangel, offen, ohne Kontrollgruppe</w:t>
            </w:r>
          </w:p>
        </w:tc>
        <w:tc>
          <w:tcPr/>
          <w:p>
            <w:pPr>
              <w:pStyle w:val="Compact"/>
              <w:jc w:val="left"/>
            </w:pPr>
            <w:r>
              <w:t xml:space="preserve">12 Monate</w:t>
            </w:r>
          </w:p>
        </w:tc>
        <w:tc>
          <w:tcPr/>
          <w:p>
            <w:pPr>
              <w:pStyle w:val="Compact"/>
              <w:jc w:val="left"/>
            </w:pPr>
            <w:r>
              <w:t xml:space="preserve">Wachstum 4,1 → 7,2 cm/Jahr</w:t>
            </w:r>
          </w:p>
        </w:tc>
      </w:tr>
      <w:tr>
        <w:tc>
          <w:tcPr/>
          <w:p>
            <w:pPr>
              <w:pStyle w:val="Compact"/>
              <w:jc w:val="left"/>
            </w:pPr>
            <w:r>
              <w:t xml:space="preserve">Vergleich mit GH (Neyzi 1993), PMID 8329826</w:t>
            </w:r>
          </w:p>
        </w:tc>
        <w:tc>
          <w:tcPr/>
          <w:p>
            <w:pPr>
              <w:pStyle w:val="Compact"/>
              <w:jc w:val="left"/>
            </w:pPr>
            <w:r>
              <w:t xml:space="preserve">43 Kinder, randomisiert (2 Sermorelin-Dosen vs. GH)</w:t>
            </w:r>
          </w:p>
        </w:tc>
        <w:tc>
          <w:tcPr/>
          <w:p>
            <w:pPr>
              <w:pStyle w:val="Compact"/>
              <w:jc w:val="left"/>
            </w:pPr>
            <w:r>
              <w:t xml:space="preserve">6 Monate</w:t>
            </w:r>
          </w:p>
        </w:tc>
        <w:tc>
          <w:tcPr/>
          <w:p>
            <w:pPr>
              <w:pStyle w:val="Compact"/>
              <w:jc w:val="left"/>
            </w:pPr>
            <w:r>
              <w:t xml:space="preserve">hohe Dosis ähnlich wie GH, niedrige schwächer</w:t>
            </w:r>
          </w:p>
        </w:tc>
      </w:tr>
      <w:tr>
        <w:tc>
          <w:tcPr/>
          <w:p>
            <w:pPr>
              <w:pStyle w:val="Compact"/>
              <w:jc w:val="left"/>
            </w:pPr>
            <w:r>
              <w:t xml:space="preserve">Ältere Erwachsene (Khorram 1997), PMID 9141536</w:t>
            </w:r>
          </w:p>
        </w:tc>
        <w:tc>
          <w:tcPr/>
          <w:p>
            <w:pPr>
              <w:pStyle w:val="Compact"/>
              <w:jc w:val="left"/>
            </w:pPr>
            <w:r>
              <w:t xml:space="preserve">19 Gesunde, 55–71 Jahre, einfach verblindet, Placebo-Vorphase</w:t>
            </w:r>
          </w:p>
        </w:tc>
        <w:tc>
          <w:tcPr/>
          <w:p>
            <w:pPr>
              <w:pStyle w:val="Compact"/>
              <w:jc w:val="left"/>
            </w:pPr>
            <w:r>
              <w:t xml:space="preserve">5 Monate</w:t>
            </w:r>
          </w:p>
        </w:tc>
        <w:tc>
          <w:tcPr/>
          <w:p>
            <w:pPr>
              <w:pStyle w:val="Compact"/>
              <w:jc w:val="left"/>
            </w:pPr>
            <w:r>
              <w:t xml:space="preserve">IGF-1 ↑, fettfreie Masse ↑ nur bei Männern</w:t>
            </w:r>
          </w:p>
        </w:tc>
      </w:tr>
      <w:tr>
        <w:tc>
          <w:tcPr/>
          <w:p>
            <w:pPr>
              <w:pStyle w:val="Compact"/>
              <w:jc w:val="left"/>
            </w:pPr>
            <w:r>
              <w:t xml:space="preserve">Ältere Männer (Vittone 1997), PMID 9005976</w:t>
            </w:r>
          </w:p>
        </w:tc>
        <w:tc>
          <w:tcPr/>
          <w:p>
            <w:pPr>
              <w:pStyle w:val="Compact"/>
              <w:jc w:val="left"/>
            </w:pPr>
            <w:r>
              <w:t xml:space="preserve">11 Gesunde, 64–76 Jahre, ohne Kontrollgruppe</w:t>
            </w:r>
          </w:p>
        </w:tc>
        <w:tc>
          <w:tcPr/>
          <w:p>
            <w:pPr>
              <w:pStyle w:val="Compact"/>
              <w:jc w:val="left"/>
            </w:pPr>
            <w:r>
              <w:t xml:space="preserve">6 Wochen</w:t>
            </w:r>
          </w:p>
        </w:tc>
        <w:tc>
          <w:tcPr/>
          <w:p>
            <w:pPr>
              <w:pStyle w:val="Compact"/>
              <w:jc w:val="left"/>
            </w:pPr>
            <w:r>
              <w:t xml:space="preserve">GH ↑, IGF-1 und Körperzusammensetzung unverändert</w:t>
            </w:r>
          </w:p>
        </w:tc>
      </w:tr>
      <w:tr>
        <w:tc>
          <w:tcPr/>
          <w:p>
            <w:pPr>
              <w:pStyle w:val="Compact"/>
              <w:jc w:val="left"/>
            </w:pPr>
            <w:r>
              <w:t xml:space="preserve">Männerklinik (Sigalos 2017), PMID 28830317</w:t>
            </w:r>
          </w:p>
        </w:tc>
        <w:tc>
          <w:tcPr/>
          <w:p>
            <w:pPr>
              <w:pStyle w:val="Compact"/>
              <w:jc w:val="left"/>
            </w:pPr>
            <w:r>
              <w:t xml:space="preserve">14 Männer, rückblickend, Kombination mit GHRP-2/-6</w:t>
            </w:r>
          </w:p>
        </w:tc>
        <w:tc>
          <w:tcPr/>
          <w:p>
            <w:pPr>
              <w:pStyle w:val="Compact"/>
              <w:jc w:val="left"/>
            </w:pPr>
            <w:r>
              <w:t xml:space="preserve">im Mittel 134 Tage</w:t>
            </w:r>
          </w:p>
        </w:tc>
        <w:tc>
          <w:tcPr/>
          <w:p>
            <w:pPr>
              <w:pStyle w:val="Compact"/>
              <w:jc w:val="left"/>
            </w:pPr>
            <w:r>
              <w:t xml:space="preserve">IGF-1 159,5 → 239,0 ng/ml</w:t>
            </w:r>
          </w:p>
        </w:tc>
      </w:tr>
    </w:tbl>
    <w:bookmarkEnd w:id="472"/>
    <w:bookmarkEnd w:id="473"/>
    <w:bookmarkStart w:id="474" w:name="tier--und-laborstudien-23"/>
    <w:p>
      <w:pPr>
        <w:pStyle w:val="Heading3"/>
      </w:pPr>
      <w:r>
        <w:t xml:space="preserve">Tier- und Laborstudien</w:t>
      </w:r>
    </w:p>
    <w:p>
      <w:pPr>
        <w:pStyle w:val="FirstParagraph"/>
      </w:pPr>
      <w:r>
        <w:t xml:space="preserve">Sermorelin selbst wurde im Labor vor allem im Zusammenhang mit seiner Entdeckung und mit Varianten mit längerer Wirkdauer untersucht, etwa an Polyethylenglykol gekoppelte Varianten, die bei Ratten und Schweinen länger wirkten als das unveränderte Peptid (Esposito 2003, PMID 14499707). Eine rein rechnerische Arbeit, die Genaktivitätsdaten von Gliom-Patienten mit einer Arzneimitteldatenbank abglich, nannte Sermorelin als möglichen Kandidaten gegen wiederkehrende Hirntumoren (Chang 2021, PMID 33842627). Das ist eine Computer-Hypothese ohne Labor- oder Patientenbestätigung – und steht im auffälligen Gegensatz zur Sorge, dass eine Anregung der Wachstumsachse Tumoren eher fördern könnte.</w:t>
      </w:r>
    </w:p>
    <w:bookmarkEnd w:id="474"/>
    <w:bookmarkStart w:id="475" w:name="risiken-und-nebenwirkungen-23"/>
    <w:p>
      <w:pPr>
        <w:pStyle w:val="Heading3"/>
      </w:pPr>
      <w:r>
        <w:t xml:space="preserve">Risiken und Nebenwirkungen</w:t>
      </w:r>
    </w:p>
    <w:p>
      <w:pPr>
        <w:pStyle w:val="FirstParagraph"/>
      </w:pPr>
      <w:r>
        <w:rPr>
          <w:bCs/>
          <w:b/>
        </w:rPr>
        <w:t xml:space="preserve">Belegt (aus den Zulassungs- und Studiendaten):</w:t>
      </w:r>
      <w:r>
        <w:t xml:space="preserve"> </w:t>
      </w:r>
      <w:r>
        <w:t xml:space="preserve">vorübergehende Gesichtsrötung (Flush) und Schmerzen an der Einstichstelle waren die häufigsten Nebenwirkungen (Prakash 1999, PMID 18031173). Antikörper gegen Sermorelin traten bei Kindern häufig auf, ohne erkennbare Folgen (Ross 1987, PMID 2879138). In einzelnen Studien stiegen Blutzucker, Insulin oder Blutfette vorübergehend an (Kirk 1994, PMID 7955460; Khorram 1997, PMID 9141536).</w:t>
      </w:r>
    </w:p>
    <w:p>
      <w:pPr>
        <w:pStyle w:val="BodyText"/>
      </w:pPr>
      <w:r>
        <w:rPr>
          <w:bCs/>
          <w:b/>
        </w:rPr>
        <w:t xml:space="preserve">Langzeitrisiken:</w:t>
      </w:r>
      <w:r>
        <w:t xml:space="preserve"> </w:t>
      </w:r>
      <w:r>
        <w:t xml:space="preserve">Systematische Langzeitdaten zu Sermorelin bei Erwachsenen gibt es nicht. Ein Fallbericht beschreibt einen 62-jährigen Freizeit-Bodybuilder, der rund 20 Jahre lang Wachstumshormon und GH-Freisetzer (darunter Sermorelin mit GHRP-6) verwendet hatte und durch einen großen Knochensporn an der Halswirbelsäule Schluckbeschwerden entwickelte; die Autoren halten einen Zusammenhang für möglich, aber nicht bewiesen (Perez 2026, PMID 42465868). Zur grundsätzlichen Frage, ob eine dauerhafte Anhebung von IGF-1 das Krebsrisiko erhöht, siehe die Einleitung zu dieser Gruppe und Teil IV.</w:t>
      </w:r>
    </w:p>
    <w:p>
      <w:pPr>
        <w:pStyle w:val="BodyText"/>
      </w:pPr>
      <w:r>
        <w:rPr>
          <w:bCs/>
          <w:b/>
        </w:rPr>
        <w:t xml:space="preserve">Graumarkt:</w:t>
      </w:r>
      <w:r>
        <w:t xml:space="preserve"> </w:t>
      </w:r>
      <w:r>
        <w:t xml:space="preserve">Bei einer europäischen Zollaktion wurden unter beschlagnahmten Injektionspräparaten neben Wachstumshormon und Melanotan II auch Sermorelin-Produkte gefunden – ohne Kennzeichnung und teils ohne Wirkstoff (Venhuis 2016, PMID 26456392).</w:t>
      </w:r>
    </w:p>
    <w:bookmarkEnd w:id="475"/>
    <w:bookmarkStart w:id="476" w:name="rechtslage-23"/>
    <w:p>
      <w:pPr>
        <w:pStyle w:val="Heading3"/>
      </w:pPr>
      <w:r>
        <w:t xml:space="preserve">Rechtslage</w:t>
      </w:r>
    </w:p>
    <w:p>
      <w:pPr>
        <w:pStyle w:val="FirstParagraph"/>
      </w:pPr>
      <w:r>
        <w:rPr>
          <w:iCs/>
          <w:i/>
        </w:rPr>
        <w:t xml:space="preserve">Stand 2026, bitte aktuell prüfen.</w:t>
      </w:r>
    </w:p>
    <w:p>
      <w:pPr>
        <w:numPr>
          <w:ilvl w:val="0"/>
          <w:numId w:val="1150"/>
        </w:numPr>
        <w:pStyle w:val="Compact"/>
      </w:pPr>
      <w:r>
        <w:rPr>
          <w:bCs/>
          <w:b/>
        </w:rPr>
        <w:t xml:space="preserve">Hintergrund der US-Zulassung:</w:t>
      </w:r>
      <w:r>
        <w:t xml:space="preserve"> </w:t>
      </w:r>
      <w:r>
        <w:t xml:space="preserve">Geref war in den USA zunächst als Diagnostikum und ab den 1990er-Jahren zur Behandlung von Kindern mit Wachstumshormon-Mangel zugelassen. Der Hersteller stellte den Vertrieb gegen Ende der 2000er-Jahre ein; nach den öffentlich verfügbaren Angaben aus Herstellungs- bzw. wirtschaftlichen Gründen und nicht wegen eines neu erkannten Sicherheitsproblems. Dass das Diagnostikum um diese Zeit wegfiel, ist in einer Studie dokumentiert (Garcia 2013, PMID 23559086). Ein Fertigarzneimittel mit gültiger Zulassung gibt es heute nicht.</w:t>
      </w:r>
    </w:p>
    <w:p>
      <w:pPr>
        <w:numPr>
          <w:ilvl w:val="0"/>
          <w:numId w:val="1150"/>
        </w:numPr>
        <w:pStyle w:val="Compact"/>
      </w:pPr>
      <w:r>
        <w:rPr>
          <w:bCs/>
          <w:b/>
        </w:rPr>
        <w:t xml:space="preserve">USA heute:</w:t>
      </w:r>
      <w:r>
        <w:t xml:space="preserve"> </w:t>
      </w:r>
      <w:r>
        <w:t xml:space="preserve">Sermorelin wird von Rezepturapotheken (Compounding) hergestellt und vor allem in Anti-Aging-Praxen verordnet. Ob und unter welchen Bedingungen das zulässig ist, hängt von den sich ändernden FDA-Regeln für Rezepturwirkstoffe ab, die in Fachkreisen kontrovers diskutiert werden (Willis 2026, PMID 42752426).</w:t>
      </w:r>
    </w:p>
    <w:p>
      <w:pPr>
        <w:numPr>
          <w:ilvl w:val="0"/>
          <w:numId w:val="1150"/>
        </w:numPr>
        <w:pStyle w:val="Compact"/>
      </w:pPr>
      <w:r>
        <w:rPr>
          <w:bCs/>
          <w:b/>
        </w:rPr>
        <w:t xml:space="preserve">EU, Deutschland, Österreich:</w:t>
      </w:r>
      <w:r>
        <w:t xml:space="preserve"> </w:t>
      </w:r>
      <w:r>
        <w:t xml:space="preserve">keine Zulassung, kein im Handel befindliches Fertigarzneimittel. Die Abgabe zur Anwendung am Menschen ohne Zulassung ist nach dem jeweiligen Arzneimittelgesetz unzulässig; „nur für Forschungszwecke“-Etiketten ändern daran nichts.</w:t>
      </w:r>
    </w:p>
    <w:p>
      <w:pPr>
        <w:numPr>
          <w:ilvl w:val="0"/>
          <w:numId w:val="1150"/>
        </w:numPr>
        <w:pStyle w:val="Compact"/>
      </w:pPr>
      <w:r>
        <w:rPr>
          <w:bCs/>
          <w:b/>
        </w:rPr>
        <w:t xml:space="preserve">WADA:</w:t>
      </w:r>
      <w:r>
        <w:t xml:space="preserve"> </w:t>
      </w:r>
      <w:r>
        <w:t xml:space="preserve">verboten (S2). Nachweisverfahren für Sermorelin und seine Abbauprodukte im Urin wurden entwickelt (Memdouh 2021, PMID 34665524).</w:t>
      </w:r>
    </w:p>
    <w:bookmarkEnd w:id="476"/>
    <w:bookmarkStart w:id="477" w:name="laufende-studien-und-ausblick-23"/>
    <w:p>
      <w:pPr>
        <w:pStyle w:val="Heading3"/>
      </w:pPr>
      <w:r>
        <w:t xml:space="preserve">Laufende Studien und Ausblick</w:t>
      </w:r>
    </w:p>
    <w:p>
      <w:pPr>
        <w:pStyle w:val="FirstParagraph"/>
      </w:pPr>
      <w:r>
        <w:t xml:space="preserve">Eine laufende klinische Studie mit Sermorelin selbst ist bei ClinicalTrials.gov im Oktober 2026 nicht verzeichnet; die Registereinträge unter diesem Suchbegriff betreffen abgeschlossene GHRH-Studien oder Tesamorelin.</w:t>
      </w:r>
      <w:r>
        <w:t xml:space="preserve"> </w:t>
      </w:r>
      <w:r>
        <w:rPr>
          <w:iCs/>
          <w:i/>
        </w:rPr>
        <w:t xml:space="preserve">Einschätzung des Autors:</w:t>
      </w:r>
      <w:r>
        <w:t xml:space="preserve"> </w:t>
      </w:r>
      <w:r>
        <w:t xml:space="preserve">Eine Rückkehr als zugelassenes Arzneimittel ist nicht absehbar. Die Nachfrage wird weiterhin von Kliniken und Online-Anbietern getrieben, nicht von neuen Studiendaten.</w:t>
      </w:r>
    </w:p>
    <w:bookmarkEnd w:id="477"/>
    <w:bookmarkStart w:id="478" w:name="fazit-23"/>
    <w:p>
      <w:pPr>
        <w:pStyle w:val="Heading3"/>
      </w:pPr>
      <w:r>
        <w:t xml:space="preserve">Fazit</w:t>
      </w:r>
    </w:p>
    <w:p>
      <w:pPr>
        <w:pStyle w:val="FirstParagraph"/>
      </w:pPr>
      <w:r>
        <w:t xml:space="preserve">Sermorelin regt die körpereigene Ausschüttung von Wachstumshormon zuverlässig an und war in den USA für Kinder mit Wachstumshormon-Mangel zugelassen, wirkte dort aber schwächer als Wachstumshormon selbst. Die Studien an älteren Erwachsenen umfassen jeweils nur etwa zehn bis zwanzig Personen und zeigen allenfalls kleine, uneinheitliche Effekte. Belege für einen Nutzen als „Anti-Aging“-Mittel oder zur Leistungssteigerung fehlen, ebenso Langzeitdaten zur Sicherheit.</w:t>
      </w:r>
    </w:p>
    <w:bookmarkEnd w:id="478"/>
    <w:bookmarkEnd w:id="479"/>
    <w:bookmarkStart w:id="492" w:name="tesamorelin"/>
    <w:p>
      <w:pPr>
        <w:pStyle w:val="Heading2"/>
      </w:pPr>
      <w:r>
        <w:t xml:space="preserve">Tesamorelin</w:t>
      </w:r>
    </w:p>
    <w:p>
      <w:pPr>
        <w:pStyle w:val="FirstParagraph"/>
      </w:pPr>
      <w:r>
        <w:t xml:space="preserve">Tesamorelin ist das einzige Peptid dieser Gruppe, das in den USA heute als Arzneimittel zur Dauerbehandlung zugelassen ist – allerdings für eine sehr spezielle Situation: übermäßiges Bauchfett bei Menschen mit HIV. Gerade deshalb ist es lehrreich. An Tesamorelin lässt sich zeigen, was eine Steigerung der körpereigenen Wachstumshormon-Ausschüttung in sauberen, placebokontrollierten Studien tatsächlich bewirkt – und was nicht. Im Internet wird es dagegen gern als „Bauchfett-Peptid“ für alle beworben. Dieses Kapitel trennt die belegte Anwendung von den Hoffnungen.</w:t>
      </w:r>
    </w:p>
    <w:bookmarkStart w:id="480" w:name="steckbrief-24"/>
    <w:p>
      <w:pPr>
        <w:pStyle w:val="Heading3"/>
      </w:pPr>
      <w:r>
        <w:t xml:space="preserve">Steckbrief</w:t>
      </w:r>
    </w:p>
    <w:p>
      <w:pPr>
        <w:numPr>
          <w:ilvl w:val="0"/>
          <w:numId w:val="1151"/>
        </w:numPr>
        <w:pStyle w:val="Compact"/>
      </w:pPr>
      <w:r>
        <w:rPr>
          <w:bCs/>
          <w:b/>
        </w:rPr>
        <w:t xml:space="preserve">Art und Struktur:</w:t>
      </w:r>
      <w:r>
        <w:t xml:space="preserve"> </w:t>
      </w:r>
      <w:r>
        <w:t xml:space="preserve">synthetisches Peptid aus 44 Aminosäuren; es entspricht dem vollständigen menschlichen Wachstumshormon-Releasing-Hormon, GHRH(1-44) (Falutz 2010, PMID 20101189), an dessen Anfang eine zusätzliche chemische Gruppe gekoppelt ist, die den raschen Abbau im Blut verzögert.</w:t>
      </w:r>
    </w:p>
    <w:p>
      <w:pPr>
        <w:numPr>
          <w:ilvl w:val="0"/>
          <w:numId w:val="1151"/>
        </w:numPr>
        <w:pStyle w:val="Compact"/>
      </w:pPr>
      <w:r>
        <w:rPr>
          <w:bCs/>
          <w:b/>
        </w:rPr>
        <w:t xml:space="preserve">Herkunft:</w:t>
      </w:r>
      <w:r>
        <w:t xml:space="preserve"> </w:t>
      </w:r>
      <w:r>
        <w:t xml:space="preserve">entwickelt von der kanadischen Firma Theratechnologies (Entwicklungsname TH9507).</w:t>
      </w:r>
    </w:p>
    <w:p>
      <w:pPr>
        <w:numPr>
          <w:ilvl w:val="0"/>
          <w:numId w:val="1151"/>
        </w:numPr>
        <w:pStyle w:val="Compact"/>
      </w:pPr>
      <w:r>
        <w:rPr>
          <w:bCs/>
          <w:b/>
        </w:rPr>
        <w:t xml:space="preserve">Wirkprinzip:</w:t>
      </w:r>
      <w:r>
        <w:t xml:space="preserve"> </w:t>
      </w:r>
      <w:r>
        <w:t xml:space="preserve">bindet wie das körpereigene GHRH an dessen Rezeptor in der Hirnanhangdrüse und steigert so die eigene, weiterhin pulsartige Ausschüttung von Wachstumshormon (GH); in der Folge steigt der Botenstoff IGF-1.</w:t>
      </w:r>
    </w:p>
    <w:p>
      <w:pPr>
        <w:numPr>
          <w:ilvl w:val="0"/>
          <w:numId w:val="1151"/>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ja (Egrifta, seit 2010) zur Verringerung von überschüssigem Bauchfett bei Erwachsenen mit HIV und Lipodystrophie (FDA-Zulassung berichtet bei Traynor 2010, PMID 21115997).</w:t>
      </w:r>
    </w:p>
    <w:p>
      <w:pPr>
        <w:numPr>
          <w:ilvl w:val="0"/>
          <w:numId w:val="1151"/>
        </w:numPr>
        <w:pStyle w:val="Compact"/>
      </w:pPr>
      <w:r>
        <w:rPr>
          <w:bCs/>
          <w:b/>
        </w:rPr>
        <w:t xml:space="preserve">WADA:</w:t>
      </w:r>
      <w:r>
        <w:t xml:space="preserve"> </w:t>
      </w:r>
      <w:r>
        <w:t xml:space="preserve">verboten, Gruppe S2 (Peptidhormone, Wachstumsfaktoren, verwandte Substanzen) – als GHRH-Analogon ausdrücklich erfasst.</w:t>
      </w:r>
    </w:p>
    <w:p>
      <w:pPr>
        <w:numPr>
          <w:ilvl w:val="0"/>
          <w:numId w:val="1151"/>
        </w:numPr>
        <w:pStyle w:val="Compact"/>
      </w:pPr>
      <w:r>
        <w:rPr>
          <w:bCs/>
          <w:b/>
        </w:rPr>
        <w:t xml:space="preserve">Evidenzstufe: A</w:t>
      </w:r>
      <w:r>
        <w:t xml:space="preserve"> </w:t>
      </w:r>
      <w:r>
        <w:t xml:space="preserve">– zwei große Phase-3-Studien mit zusammen 806 Teilnehmenden, mehrere weitere randomisierte Studien, Zulassung in den USA.</w:t>
      </w:r>
    </w:p>
    <w:bookmarkEnd w:id="480"/>
    <w:bookmarkStart w:id="481" w:name="wie-es-wirken-soll-24"/>
    <w:p>
      <w:pPr>
        <w:pStyle w:val="Heading3"/>
      </w:pPr>
      <w:r>
        <w:t xml:space="preserve">Wie es wirken soll</w:t>
      </w:r>
    </w:p>
    <w:p>
      <w:pPr>
        <w:pStyle w:val="FirstParagraph"/>
      </w:pPr>
      <w:r>
        <w:t xml:space="preserve">Wachstumshormon wird von der Hirnanhangdrüse (Hypophyse) nicht gleichmäßig, sondern in Stößen abgegeben, vor allem nachts. Gesteuert wird das von zwei Gegenspielern aus dem Zwischenhirn: GHRH gibt Gas, Somatostatin bremst. Wachstumshormon selbst baut Fett ab – besonders das Fett zwischen den Organen im Bauchraum (viszerales Fett) – und regt die Leber zur Bildung von IGF-1 an, das viele der aufbauenden Wirkungen vermittelt.</w:t>
      </w:r>
    </w:p>
    <w:p>
      <w:pPr>
        <w:pStyle w:val="BodyText"/>
      </w:pPr>
      <w:r>
        <w:t xml:space="preserve">Unter bestimmten HIV-Therapien, vor allem den älteren, sammelt sich bei manchen Menschen auffällig viel Bauchfett an, während Arme und Beine eher dünner werden. Diese Fettumverteilung nennt man Lipodystrophie. Bei Betroffenen ist die Wachstumshormon-Ausschüttung oft vermindert. Die Idee hinter Tesamorelin: Statt Wachstumshormon von außen zu spritzen, regt man die eigene Hypophyse an. Weil die körpereigenen Rückkopplungsschleifen erhalten bleiben, sollen überhöhte Spiegel und deren Nebenwirkungen seltener sein als bei direkter GH-Gabe – eine Annahme, die die Studien teilweise, aber nicht vollständig stützen.</w:t>
      </w:r>
    </w:p>
    <w:bookmarkEnd w:id="481"/>
    <w:bookmarkStart w:id="486" w:name="studien-am-menschen-24"/>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23</w:t>
      </w:r>
      <w:r>
        <w:t xml:space="preserve"> </w:t>
      </w:r>
      <w:r>
        <w:t xml:space="preserve">Humanstudien in PubMed (</w:t>
      </w:r>
      <w:r>
        <w:rPr>
          <w:rStyle w:val="VerbatimChar"/>
        </w:rPr>
        <w:t xml:space="preserve">humanstudien_alle</w:t>
      </w:r>
      <w:r>
        <w:t xml:space="preserve">) und</w:t>
      </w:r>
      <w:r>
        <w:t xml:space="preserve"> </w:t>
      </w:r>
      <w:r>
        <w:rPr>
          <w:bCs/>
          <w:b/>
        </w:rPr>
        <w:t xml:space="preserve">24</w:t>
      </w:r>
      <w:r>
        <w:t xml:space="preserve"> </w:t>
      </w:r>
      <w:r>
        <w:t xml:space="preserve">Einträge bei ClinicalTrials.gov; einer davon (Sponsor „Hudson Biotech“, Titelzusatz „Mock Study“) ist offenbar ein fiktiver Beispieleintrag und wird hier nicht mitgezählt, sodass</w:t>
      </w:r>
      <w:r>
        <w:t xml:space="preserve"> </w:t>
      </w:r>
      <w:r>
        <w:rPr>
          <w:bCs/>
          <w:b/>
        </w:rPr>
        <w:t xml:space="preserve">23</w:t>
      </w:r>
      <w:r>
        <w:t xml:space="preserve"> </w:t>
      </w:r>
      <w:r>
        <w:t xml:space="preserve">echte Registerstudien bleiben. Dazu kommen drei systematische Übersichten mit Meta-Analysen.</w:t>
      </w:r>
    </w:p>
    <w:bookmarkStart w:id="482" w:name="die-zulassungsstudien"/>
    <w:p>
      <w:pPr>
        <w:pStyle w:val="Heading4"/>
      </w:pPr>
      <w:r>
        <w:t xml:space="preserve">Die Zulassungsstudien</w:t>
      </w:r>
    </w:p>
    <w:p>
      <w:pPr>
        <w:pStyle w:val="FirstParagraph"/>
      </w:pPr>
      <w:r>
        <w:t xml:space="preserve">Die Zulassung beruht auf zwei fast gleich aufgebauten Phase-3-Studien bei Menschen mit HIV und vermehrtem Bauchfett. In beiden erhielten die Teilnehmenden im Verhältnis 2:1 täglich Tesamorelin oder ein Scheinmedikament (Placebo) unter die Haut gespritzt; nach 26 Wochen folgte eine Verlängerungsphase, in der ein Teil der Tesamorelin-Gruppe weiterbehandelt, ein anderer auf Placebo umgestellt wurde.</w:t>
      </w:r>
    </w:p>
    <w:p>
      <w:pPr>
        <w:pStyle w:val="BodyText"/>
      </w:pPr>
      <w:r>
        <w:t xml:space="preserve">In der ersten Studie mit 412 Teilnehmenden (86 % Männer) sank das viszerale Fett, gemessen per Computertomografie, unter Tesamorelin um 15,2 %, unter Placebo stieg es um 5,0 %. Die Triglyzeride (Blutfette) fielen um 50 mg/dl gegenüber einem Anstieg um 9 mg/dl. IGF-1 stieg um 81,0 %. Die Blutzuckerwerte unterschieden sich nicht signifikant; allerdings brachen in der Tesamorelin-Gruppe mehr Teilnehmende wegen Nebenwirkungen ab (Falutz 2007, PMID 18057338). Über 52 Wochen blieb die Abnahme des Bauchfetts bei durchgehender Behandlung bei etwa −18 %; nach dem Absetzen kehrte das Fett zurück (Falutz 2008, PMID 18690162).</w:t>
      </w:r>
    </w:p>
    <w:p>
      <w:pPr>
        <w:pStyle w:val="BodyText"/>
      </w:pPr>
      <w:r>
        <w:t xml:space="preserve">Die zweite Studie mit 404 Teilnehmenden bestätigte das: −10,9 % viszerales Fett unter Tesamorelin gegenüber −0,6 % unter Placebo nach sechs Monaten, keine Veränderung des Unterhautfetts an Armen, Beinen und Bauch, und ein rascher Verlust des Effekts nach Umstellung auf Placebo (Falutz 2010, PMID 20101189).</w:t>
      </w:r>
    </w:p>
    <w:p>
      <w:pPr>
        <w:pStyle w:val="BodyText"/>
      </w:pPr>
      <w:r>
        <w:t xml:space="preserve">Die gemeinsame Auswertung beider Studien mit 806 Personen ergab nach 26 Wochen einen Behandlungseffekt von −15,4 % beim viszeralen Fett, Verbesserungen bei Triglyzeriden und beim Verhältnis von Gesamt- zu HDL-Cholesterin sowie bei der Zufriedenheit mit dem Aussehen des Bauches. Klinisch bedeutsame Unterschiede bei den Blutzuckerwerten fanden die Autoren nicht (Falutz 2010, PMID 20554713). Nicht alle profitieren gleichermaßen: Eine Folgeauswertung definierte vorab eine Abnahme des Bauchfetts um mindestens 8 % als „Ansprechen“. Nur bei diesen Respondern verbesserten sich Triglyzeride und Blutzucker; bei Nicht-Respondern stiegen Nüchternzucker und HbA1c leicht an (Stanley 2012, PMID 22495074).</w:t>
      </w:r>
    </w:p>
    <w:bookmarkEnd w:id="482"/>
    <w:bookmarkStart w:id="483" w:name="leberfett"/>
    <w:p>
      <w:pPr>
        <w:pStyle w:val="Heading4"/>
      </w:pPr>
      <w:r>
        <w:t xml:space="preserve">Leberfett</w:t>
      </w:r>
    </w:p>
    <w:p>
      <w:pPr>
        <w:pStyle w:val="FirstParagraph"/>
      </w:pPr>
      <w:r>
        <w:t xml:space="preserve">Besonders interessant ist die Wirkung auf die Fettleber. In einer kleineren Studie mit 50 Personen mit HIV sank neben dem Bauchfett auch das Leberfett; der Nüchternzucker stieg nach zwei Wochen vorübergehend an, nach sechs Monaten bestand kein signifikanter Unterschied mehr (Stanley 2014, PMID 25038357). Eine anschließende randomisierte, doppelblinde Studie untersuchte gezielt 61 Menschen mit HIV und nichtalkoholischer Fettlebererkrankung über zwölf Monate mit Leberbiopsien. Der Leberfettanteil sank absolut um 4,1 Prozentpunkte stärker als unter Placebo, relativ um 37 %; 35 % der Tesamorelin-Gruppe, aber nur 4 % der Placebo-Gruppe lagen am Ende unter der Fettleber-Grenze von 5 % (Stanley 2019, PMID 31611038). Ob das langfristig Leberzirrhose oder Leberkrebs verhindert, ist nicht untersucht.</w:t>
      </w:r>
    </w:p>
    <w:bookmarkEnd w:id="483"/>
    <w:bookmarkStart w:id="484" w:name="weitere-anwendungen"/>
    <w:p>
      <w:pPr>
        <w:pStyle w:val="Heading4"/>
      </w:pPr>
      <w:r>
        <w:t xml:space="preserve">Weitere Anwendungen</w:t>
      </w:r>
    </w:p>
    <w:p>
      <w:pPr>
        <w:pStyle w:val="FirstParagraph"/>
      </w:pPr>
      <w:r>
        <w:t xml:space="preserve">Außerhalb von HIV liegen nur kleinere Studien vor:</w:t>
      </w:r>
    </w:p>
    <w:p>
      <w:pPr>
        <w:numPr>
          <w:ilvl w:val="0"/>
          <w:numId w:val="1152"/>
        </w:numPr>
        <w:pStyle w:val="Compact"/>
      </w:pPr>
      <w:r>
        <w:t xml:space="preserve">Bei 60 Menschen mit Bauchfettleibigkeit und verminderter GH-Ausschüttung (ohne HIV) senkte Tesamorelin über zwölf Monate das viszerale Fett, die Triglyzeride, das C-reaktive Protein und die Dicke der Halsschlagaderwand, ohne die Blutzuckerwerte zu verschlechtern (Makimura 2012, PMID 23015655).</w:t>
      </w:r>
    </w:p>
    <w:p>
      <w:pPr>
        <w:numPr>
          <w:ilvl w:val="0"/>
          <w:numId w:val="1152"/>
        </w:numPr>
        <w:pStyle w:val="Compact"/>
      </w:pPr>
      <w:r>
        <w:t xml:space="preserve">Bei 53 Menschen mit Typ-2-Diabetes veränderten sich über zwölf Wochen weder Insulinantwort noch HbA1c gegenüber Placebo (Clemmons 2017, PMID 28617838).</w:t>
      </w:r>
    </w:p>
    <w:p>
      <w:pPr>
        <w:numPr>
          <w:ilvl w:val="0"/>
          <w:numId w:val="1152"/>
        </w:numPr>
        <w:pStyle w:val="Compact"/>
      </w:pPr>
      <w:r>
        <w:t xml:space="preserve">In einer Studie mit 152 älteren Erwachsenen (55 bis 87 Jahre), davon 66 mit leichter kognitiver Beeinträchtigung, zeigte sich nach 20 Wochen ein günstiger Effekt auf die Gesamtbewertung der Denkleistung, vor allem auf die exekutiven Funktionen. Nebenwirkungen – meist leicht – berichteten 68 % unter Tesamorelin gegenüber 36 % unter Placebo (Baker 2012, PMID 22869065). Eine Bestätigungsstudie fehlt.</w:t>
      </w:r>
    </w:p>
    <w:p>
      <w:pPr>
        <w:numPr>
          <w:ilvl w:val="0"/>
          <w:numId w:val="1152"/>
        </w:numPr>
        <w:pStyle w:val="Compact"/>
      </w:pPr>
      <w:r>
        <w:t xml:space="preserve">Bei 73 Menschen mit HIV, Bauchfettleibigkeit und kognitiven Einschränkungen ergab eine offene Phase-2-Studie keinen signifikanten Unterschied in der Denkleistung gegenüber der Standardbehandlung (Ellis 2025, PMID 39813152).</w:t>
      </w:r>
    </w:p>
    <w:bookmarkEnd w:id="484"/>
    <w:bookmarkStart w:id="485" w:name="meta-analysen"/>
    <w:p>
      <w:pPr>
        <w:pStyle w:val="Heading4"/>
      </w:pPr>
      <w:r>
        <w:t xml:space="preserve">Meta-Analysen</w:t>
      </w:r>
    </w:p>
    <w:p>
      <w:pPr>
        <w:pStyle w:val="FirstParagraph"/>
      </w:pPr>
      <w:r>
        <w:t xml:space="preserve">Zwei Meta-Analysen aus dem Jahr 2026 fassen die randomisierten Studien bei HIV-Lipodystrophie zusammen. Die eine (vier Studien, 909 Personen) fand eine Verringerung des viszeralen Fetts, des Taillenumfangs um 1,61 cm und des Rumpffetts sowie eine Zunahme der fettfreien Masse um 1,42 kg; die Abbruchrate wegen Nebenwirkungen war tendenziell höher (Risikoverhältnis 2,25, statistisch knapp nicht signifikant) (Ditta 2026, PMID 42538058). Die andere (fünf Studien) bestätigte die Abnahme des Leberfetts um 4,28 Prozentpunkte und nannte Gelenk- und Muskelschmerzen, Missempfindungen und Hautreaktionen an der Einstichstelle als typische Nebenwirkungen (Badran 2026, PMID 41545261).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3, Studie 1 (Falutz 2007), PMID 18057338</w:t>
            </w:r>
          </w:p>
        </w:tc>
        <w:tc>
          <w:tcPr/>
          <w:p>
            <w:pPr>
              <w:pStyle w:val="Compact"/>
              <w:jc w:val="left"/>
            </w:pPr>
            <w:r>
              <w:t xml:space="preserve">412 Personen mit HIV und Bauchfett, RCT gegen Placebo</w:t>
            </w:r>
          </w:p>
        </w:tc>
        <w:tc>
          <w:tcPr/>
          <w:p>
            <w:pPr>
              <w:pStyle w:val="Compact"/>
              <w:jc w:val="left"/>
            </w:pPr>
            <w:r>
              <w:t xml:space="preserve">26 Wochen</w:t>
            </w:r>
          </w:p>
        </w:tc>
        <w:tc>
          <w:tcPr/>
          <w:p>
            <w:pPr>
              <w:pStyle w:val="Compact"/>
              <w:jc w:val="left"/>
            </w:pPr>
            <w:r>
              <w:t xml:space="preserve">viszerales Fett −15,2 % vs. +5,0 %</w:t>
            </w:r>
          </w:p>
        </w:tc>
      </w:tr>
      <w:tr>
        <w:tc>
          <w:tcPr/>
          <w:p>
            <w:pPr>
              <w:pStyle w:val="Compact"/>
              <w:jc w:val="left"/>
            </w:pPr>
            <w:r>
              <w:t xml:space="preserve">Phase 3, Studie 2 (Falutz 2010), PMID 20101189</w:t>
            </w:r>
          </w:p>
        </w:tc>
        <w:tc>
          <w:tcPr/>
          <w:p>
            <w:pPr>
              <w:pStyle w:val="Compact"/>
              <w:jc w:val="left"/>
            </w:pPr>
            <w:r>
              <w:t xml:space="preserve">404 Personen mit HIV, RCT mit Verlängerungsphase</w:t>
            </w:r>
          </w:p>
        </w:tc>
        <w:tc>
          <w:tcPr/>
          <w:p>
            <w:pPr>
              <w:pStyle w:val="Compact"/>
              <w:jc w:val="left"/>
            </w:pPr>
            <w:r>
              <w:t xml:space="preserve">12 Monate</w:t>
            </w:r>
          </w:p>
        </w:tc>
        <w:tc>
          <w:tcPr/>
          <w:p>
            <w:pPr>
              <w:pStyle w:val="Compact"/>
              <w:jc w:val="left"/>
            </w:pPr>
            <w:r>
              <w:t xml:space="preserve">−10,9 % vs. −0,6 % nach 6 Monaten; Effekt geht nach Absetzen verloren</w:t>
            </w:r>
          </w:p>
        </w:tc>
      </w:tr>
      <w:tr>
        <w:tc>
          <w:tcPr/>
          <w:p>
            <w:pPr>
              <w:pStyle w:val="Compact"/>
              <w:jc w:val="left"/>
            </w:pPr>
            <w:r>
              <w:t xml:space="preserve">Gepoolte Analyse (Falutz 2010), PMID 20554713</w:t>
            </w:r>
          </w:p>
        </w:tc>
        <w:tc>
          <w:tcPr/>
          <w:p>
            <w:pPr>
              <w:pStyle w:val="Compact"/>
              <w:jc w:val="left"/>
            </w:pPr>
            <w:r>
              <w:t xml:space="preserve">806 Personen aus beiden Phase-3-Studien</w:t>
            </w:r>
          </w:p>
        </w:tc>
        <w:tc>
          <w:tcPr/>
          <w:p>
            <w:pPr>
              <w:pStyle w:val="Compact"/>
              <w:jc w:val="left"/>
            </w:pPr>
            <w:r>
              <w:t xml:space="preserve">26–52 Wochen</w:t>
            </w:r>
          </w:p>
        </w:tc>
        <w:tc>
          <w:tcPr/>
          <w:p>
            <w:pPr>
              <w:pStyle w:val="Compact"/>
              <w:jc w:val="left"/>
            </w:pPr>
            <w:r>
              <w:t xml:space="preserve">Behandlungseffekt −15,4 %; Blutzucker ohne klinisch relevante Änderung</w:t>
            </w:r>
          </w:p>
        </w:tc>
      </w:tr>
      <w:tr>
        <w:tc>
          <w:tcPr/>
          <w:p>
            <w:pPr>
              <w:pStyle w:val="Compact"/>
              <w:jc w:val="left"/>
            </w:pPr>
            <w:r>
              <w:t xml:space="preserve">Fettleber bei HIV (Stanley 2019), PMID 31611038</w:t>
            </w:r>
          </w:p>
        </w:tc>
        <w:tc>
          <w:tcPr/>
          <w:p>
            <w:pPr>
              <w:pStyle w:val="Compact"/>
              <w:jc w:val="left"/>
            </w:pPr>
            <w:r>
              <w:t xml:space="preserve">61 Personen mit HIV und Fettleber, RCT</w:t>
            </w:r>
          </w:p>
        </w:tc>
        <w:tc>
          <w:tcPr/>
          <w:p>
            <w:pPr>
              <w:pStyle w:val="Compact"/>
              <w:jc w:val="left"/>
            </w:pPr>
            <w:r>
              <w:t xml:space="preserve">12 Monate</w:t>
            </w:r>
          </w:p>
        </w:tc>
        <w:tc>
          <w:tcPr/>
          <w:p>
            <w:pPr>
              <w:pStyle w:val="Compact"/>
              <w:jc w:val="left"/>
            </w:pPr>
            <w:r>
              <w:t xml:space="preserve">Leberfettanteil −4,1 Prozentpunkte vs. Placebo</w:t>
            </w:r>
          </w:p>
        </w:tc>
      </w:tr>
      <w:tr>
        <w:tc>
          <w:tcPr/>
          <w:p>
            <w:pPr>
              <w:pStyle w:val="Compact"/>
              <w:jc w:val="left"/>
            </w:pPr>
            <w:r>
              <w:t xml:space="preserve">Ohne HIV (Makimura 2012), PMID 23015655</w:t>
            </w:r>
          </w:p>
        </w:tc>
        <w:tc>
          <w:tcPr/>
          <w:p>
            <w:pPr>
              <w:pStyle w:val="Compact"/>
              <w:jc w:val="left"/>
            </w:pPr>
            <w:r>
              <w:t xml:space="preserve">60 Erwachsene mit Bauchfettleibigkeit, RCT</w:t>
            </w:r>
          </w:p>
        </w:tc>
        <w:tc>
          <w:tcPr/>
          <w:p>
            <w:pPr>
              <w:pStyle w:val="Compact"/>
              <w:jc w:val="left"/>
            </w:pPr>
            <w:r>
              <w:t xml:space="preserve">12 Monate</w:t>
            </w:r>
          </w:p>
        </w:tc>
        <w:tc>
          <w:tcPr/>
          <w:p>
            <w:pPr>
              <w:pStyle w:val="Compact"/>
              <w:jc w:val="left"/>
            </w:pPr>
            <w:r>
              <w:t xml:space="preserve">viszerales Fett −35 cm² gegenüber Placebo</w:t>
            </w:r>
          </w:p>
        </w:tc>
      </w:tr>
      <w:tr>
        <w:tc>
          <w:tcPr/>
          <w:p>
            <w:pPr>
              <w:pStyle w:val="Compact"/>
              <w:jc w:val="left"/>
            </w:pPr>
            <w:r>
              <w:t xml:space="preserve">Kognition im Alter (Baker 2012), PMID 22869065</w:t>
            </w:r>
          </w:p>
        </w:tc>
        <w:tc>
          <w:tcPr/>
          <w:p>
            <w:pPr>
              <w:pStyle w:val="Compact"/>
              <w:jc w:val="left"/>
            </w:pPr>
            <w:r>
              <w:t xml:space="preserve">152 Ältere, davon 66 mit leichter kognitiver Störung, RCT</w:t>
            </w:r>
          </w:p>
        </w:tc>
        <w:tc>
          <w:tcPr/>
          <w:p>
            <w:pPr>
              <w:pStyle w:val="Compact"/>
              <w:jc w:val="left"/>
            </w:pPr>
            <w:r>
              <w:t xml:space="preserve">20 Wochen</w:t>
            </w:r>
          </w:p>
        </w:tc>
        <w:tc>
          <w:tcPr/>
          <w:p>
            <w:pPr>
              <w:pStyle w:val="Compact"/>
              <w:jc w:val="left"/>
            </w:pPr>
            <w:r>
              <w:t xml:space="preserve">günstiger Effekt auf Denkleistung; mehr Nebenwirkungen</w:t>
            </w:r>
          </w:p>
        </w:tc>
      </w:tr>
      <w:tr>
        <w:tc>
          <w:tcPr/>
          <w:p>
            <w:pPr>
              <w:pStyle w:val="Compact"/>
              <w:jc w:val="left"/>
            </w:pPr>
            <w:r>
              <w:t xml:space="preserve">Meta-Analyse (Ditta 2026), PMID 42538058</w:t>
            </w:r>
          </w:p>
        </w:tc>
        <w:tc>
          <w:tcPr/>
          <w:p>
            <w:pPr>
              <w:pStyle w:val="Compact"/>
              <w:jc w:val="left"/>
            </w:pPr>
            <w:r>
              <w:t xml:space="preserve">4 RCTs, 909 Personen mit HIV</w:t>
            </w:r>
          </w:p>
        </w:tc>
        <w:tc>
          <w:tcPr/>
          <w:p>
            <w:pPr>
              <w:pStyle w:val="Compact"/>
              <w:jc w:val="left"/>
            </w:pPr>
            <w:r>
              <w:t xml:space="preserve">–</w:t>
            </w:r>
          </w:p>
        </w:tc>
        <w:tc>
          <w:tcPr/>
          <w:p>
            <w:pPr>
              <w:pStyle w:val="Compact"/>
              <w:jc w:val="left"/>
            </w:pPr>
            <w:r>
              <w:t xml:space="preserve">weniger viszerales Fett, +1,42 kg fettfreie Masse</w:t>
            </w:r>
          </w:p>
        </w:tc>
      </w:tr>
    </w:tbl>
    <w:bookmarkEnd w:id="485"/>
    <w:bookmarkEnd w:id="486"/>
    <w:bookmarkStart w:id="487" w:name="tier--und-laborstudien-24"/>
    <w:p>
      <w:pPr>
        <w:pStyle w:val="Heading3"/>
      </w:pPr>
      <w:r>
        <w:t xml:space="preserve">Tier- und Laborstudien</w:t>
      </w:r>
    </w:p>
    <w:p>
      <w:pPr>
        <w:pStyle w:val="FirstParagraph"/>
      </w:pPr>
      <w:r>
        <w:t xml:space="preserve">Für Tesamorelin selbst gibt es vergleichsweise wenig eigenständige Tierforschung; die Entwicklung baute auf dem gut untersuchten körpereigenen GHRH auf. Eine Übersichtsarbeit diskutiert, ob eine Anregung der Wachstumshormon-Achse die Regeneration verletzter Nerven fördern könnte, und stützt sich dabei überwiegend auf Tier- und Mechanismusstudien (Tuffaha 2016, PMID 27192539). Eine kleine Phase-2-Studie dazu am Menschen ist registriert (NCT03150511).</w:t>
      </w:r>
    </w:p>
    <w:p>
      <w:pPr>
        <w:pStyle w:val="BodyText"/>
      </w:pPr>
      <w:r>
        <w:t xml:space="preserve">Eine Gewebeanalyse der Leberbiopsien aus der Fettleberstudie ergab, dass unter Tesamorelin Gengruppen der Energiegewinnung in den Mitochondrien aktiver und Gengruppen für Entzündung, Gewebeumbau und Zellteilung weniger aktiv waren als unter Placebo (Fourman 2020, PMID 32701508). Das sind Befunde aus Gewebeproben von Menschen, aber keine klinischen Endpunkte.</w:t>
      </w:r>
    </w:p>
    <w:bookmarkEnd w:id="487"/>
    <w:bookmarkStart w:id="488" w:name="risiken-und-nebenwirkungen-24"/>
    <w:p>
      <w:pPr>
        <w:pStyle w:val="Heading3"/>
      </w:pPr>
      <w:r>
        <w:t xml:space="preserve">Risiken und Nebenwirkungen</w:t>
      </w:r>
    </w:p>
    <w:p>
      <w:pPr>
        <w:pStyle w:val="FirstParagraph"/>
      </w:pPr>
      <w:r>
        <w:rPr>
          <w:bCs/>
          <w:b/>
        </w:rPr>
        <w:t xml:space="preserve">Belegt aus den Studien:</w:t>
      </w:r>
    </w:p>
    <w:p>
      <w:pPr>
        <w:numPr>
          <w:ilvl w:val="0"/>
          <w:numId w:val="1153"/>
        </w:numPr>
        <w:pStyle w:val="Compact"/>
      </w:pPr>
      <w:r>
        <w:t xml:space="preserve">Reaktionen an der Einstichstelle (Rötung, Juckreiz) – in der Fettleberstudie häufiger als unter Placebo, aber nicht schwerwiegend (Stanley 2019, PMID 31611038).</w:t>
      </w:r>
    </w:p>
    <w:p>
      <w:pPr>
        <w:numPr>
          <w:ilvl w:val="0"/>
          <w:numId w:val="1153"/>
        </w:numPr>
        <w:pStyle w:val="Compact"/>
      </w:pPr>
      <w:r>
        <w:t xml:space="preserve">Typische Wachstumshormon-Effekte wie Gelenk- und Muskelschmerzen, Missempfindungen und Wassereinlagerungen (Badran 2026, PMID 41545261).</w:t>
      </w:r>
    </w:p>
    <w:p>
      <w:pPr>
        <w:numPr>
          <w:ilvl w:val="0"/>
          <w:numId w:val="1153"/>
        </w:numPr>
        <w:pStyle w:val="Compact"/>
      </w:pPr>
      <w:r>
        <w:t xml:space="preserve">Blutzucker: In den großen Studien keine klinisch relevante Verschlechterung im Mittel, aber ein vorübergehender Anstieg des Nüchternzuckers in den ersten Wochen (Stanley 2014, PMID 25038357) und ein leichter Anstieg bei Menschen, deren Bauchfett nicht ansprach (Stanley 2012, PMID 22495074). Menschen mit Diabetes sollten ärztlich überwacht werden.</w:t>
      </w:r>
    </w:p>
    <w:p>
      <w:pPr>
        <w:numPr>
          <w:ilvl w:val="0"/>
          <w:numId w:val="1153"/>
        </w:numPr>
        <w:pStyle w:val="Compact"/>
      </w:pPr>
      <w:r>
        <w:t xml:space="preserve">Mehr Therapieabbrüche wegen Nebenwirkungen als unter Placebo (Falutz 2007, PMID 18057338).</w:t>
      </w:r>
    </w:p>
    <w:p>
      <w:pPr>
        <w:numPr>
          <w:ilvl w:val="0"/>
          <w:numId w:val="1153"/>
        </w:numPr>
        <w:pStyle w:val="Compact"/>
      </w:pPr>
      <w:r>
        <w:t xml:space="preserve">Der Effekt ist nicht dauerhaft: Nach dem Absetzen kehrt das Bauchfett zurück (Falutz 2008, PMID 18690162).</w:t>
      </w:r>
    </w:p>
    <w:p>
      <w:pPr>
        <w:pStyle w:val="FirstParagraph"/>
      </w:pPr>
      <w:r>
        <w:rPr>
          <w:bCs/>
          <w:b/>
        </w:rPr>
        <w:t xml:space="preserve">Offen bzw. theoretisch:</w:t>
      </w:r>
      <w:r>
        <w:t xml:space="preserve"> </w:t>
      </w:r>
      <w:r>
        <w:t xml:space="preserve">Tesamorelin erhöht IGF-1 deutlich – in der ersten Phase-3-Studie um 81 %. Hohe IGF-1-Spiegel sind in Beobachtungsstudien mit einem etwas höheren Risiko für einige Krebsarten verbunden (Details in der Einleitung zu dieser Gruppe und in Teil IV). Aus den Tesamorelin-Studien selbst lässt sich kein erhöhtes Krebsrisiko ablesen, sie waren dafür aber zu kurz. Eine Langzeit-Beobachtungsstudie des Herstellers mit 391 Teilnehmenden (NCT01579695) und eine Studie zur diabetischen Netzhauterkrankung (NCT01591902) wurden vorzeitig beendet; veröffentlichte Ergebnisse dazu habe ich in PubMed nicht gefunden. Laut Fachinformation soll Tesamorelin bei aktiver Krebserkrankung nicht angewendet werden; Einzelheiten regelt die Fachinformation, die Anwendung gehört in ärztliche Hände.</w:t>
      </w:r>
    </w:p>
    <w:bookmarkEnd w:id="488"/>
    <w:bookmarkStart w:id="489" w:name="rechtslage-24"/>
    <w:p>
      <w:pPr>
        <w:pStyle w:val="Heading3"/>
      </w:pPr>
      <w:r>
        <w:t xml:space="preserve">Rechtslage</w:t>
      </w:r>
    </w:p>
    <w:p>
      <w:pPr>
        <w:pStyle w:val="FirstParagraph"/>
      </w:pPr>
      <w:r>
        <w:rPr>
          <w:iCs/>
          <w:i/>
        </w:rPr>
        <w:t xml:space="preserve">Stand 2026, bitte aktuell prüfen.</w:t>
      </w:r>
    </w:p>
    <w:p>
      <w:pPr>
        <w:numPr>
          <w:ilvl w:val="0"/>
          <w:numId w:val="1154"/>
        </w:numPr>
        <w:pStyle w:val="Compact"/>
      </w:pPr>
      <w:r>
        <w:rPr>
          <w:bCs/>
          <w:b/>
        </w:rPr>
        <w:t xml:space="preserve">EU:</w:t>
      </w:r>
      <w:r>
        <w:t xml:space="preserve"> </w:t>
      </w:r>
      <w:r>
        <w:t xml:space="preserve">nicht zugelassen. Tesamorelin ist in keinem EU-Staat als Fertigarzneimittel im Handel.</w:t>
      </w:r>
    </w:p>
    <w:p>
      <w:pPr>
        <w:numPr>
          <w:ilvl w:val="0"/>
          <w:numId w:val="1154"/>
        </w:numPr>
        <w:pStyle w:val="Compact"/>
      </w:pPr>
      <w:r>
        <w:rPr>
          <w:bCs/>
          <w:b/>
        </w:rPr>
        <w:t xml:space="preserve">Deutschland und Österreich:</w:t>
      </w:r>
      <w:r>
        <w:t xml:space="preserve"> </w:t>
      </w:r>
      <w:r>
        <w:t xml:space="preserve">keine Zulassung. Ein Bezug wäre allenfalls über eine ärztlich verantwortete Einzeleinfuhr eines im Ausland zugelassenen Arzneimittels denkbar; die Abgabe von Graumarkt-Produkten zur Anwendung am Menschen ist unzulässig.</w:t>
      </w:r>
    </w:p>
    <w:p>
      <w:pPr>
        <w:numPr>
          <w:ilvl w:val="0"/>
          <w:numId w:val="1154"/>
        </w:numPr>
        <w:pStyle w:val="Compact"/>
      </w:pPr>
      <w:r>
        <w:rPr>
          <w:bCs/>
          <w:b/>
        </w:rPr>
        <w:t xml:space="preserve">USA:</w:t>
      </w:r>
      <w:r>
        <w:t xml:space="preserve"> </w:t>
      </w:r>
      <w:r>
        <w:t xml:space="preserve">zugelassen als Egrifta (verschreibungspflichtig) ausschließlich zur Verringerung von überschüssigem Bauchfett bei HIV-assoziierter Lipodystrophie. Jede andere Anwendung – etwa „zum Abnehmen“ oder „gegen das Altern“ – ist Off-Label.</w:t>
      </w:r>
    </w:p>
    <w:p>
      <w:pPr>
        <w:numPr>
          <w:ilvl w:val="0"/>
          <w:numId w:val="1154"/>
        </w:numPr>
        <w:pStyle w:val="Compact"/>
      </w:pPr>
      <w:r>
        <w:rPr>
          <w:bCs/>
          <w:b/>
        </w:rPr>
        <w:t xml:space="preserve">WADA:</w:t>
      </w:r>
      <w:r>
        <w:t xml:space="preserve"> </w:t>
      </w:r>
      <w:r>
        <w:t xml:space="preserve">verboten (S2), im Wettkampf und außerhalb. Anti-Doping-Labore haben Nachweisverfahren für Tesamorelin und andere GHRH-Analoga im Urin entwickelt (Memdouh 2021, PMID 34665524).</w:t>
      </w:r>
    </w:p>
    <w:bookmarkEnd w:id="489"/>
    <w:bookmarkStart w:id="490" w:name="laufende-studien-und-ausblick-24"/>
    <w:p>
      <w:pPr>
        <w:pStyle w:val="Heading3"/>
      </w:pPr>
      <w:r>
        <w:t xml:space="preserve">Laufende Studien und Ausblick</w:t>
      </w:r>
    </w:p>
    <w:p>
      <w:pPr>
        <w:pStyle w:val="FirstParagraph"/>
      </w:pPr>
      <w:r>
        <w:t xml:space="preserve">Bei ClinicalTrials.gov sind im Oktober 2026 unter anderem folgende offene Studien eingetragen: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Status</w:t>
            </w:r>
          </w:p>
        </w:tc>
        <w:tc>
          <w:tcPr/>
          <w:p>
            <w:pPr>
              <w:pStyle w:val="Compact"/>
              <w:jc w:val="left"/>
            </w:pPr>
            <w:r>
              <w:t xml:space="preserve">Thema</w:t>
            </w:r>
          </w:p>
        </w:tc>
      </w:tr>
      <w:tr>
        <w:tc>
          <w:tcPr/>
          <w:p>
            <w:pPr>
              <w:pStyle w:val="Compact"/>
              <w:jc w:val="left"/>
            </w:pPr>
            <w:r>
              <w:t xml:space="preserve">NCT06554717</w:t>
            </w:r>
          </w:p>
        </w:tc>
        <w:tc>
          <w:tcPr/>
          <w:p>
            <w:pPr>
              <w:pStyle w:val="Compact"/>
              <w:jc w:val="left"/>
            </w:pPr>
            <w:r>
              <w:t xml:space="preserve">Phase 2, 100 Personen</w:t>
            </w:r>
          </w:p>
        </w:tc>
        <w:tc>
          <w:tcPr/>
          <w:p>
            <w:pPr>
              <w:pStyle w:val="Compact"/>
              <w:jc w:val="left"/>
            </w:pPr>
            <w:r>
              <w:t xml:space="preserve">rekrutierend (Start 2025)</w:t>
            </w:r>
          </w:p>
        </w:tc>
        <w:tc>
          <w:tcPr/>
          <w:p>
            <w:pPr>
              <w:pStyle w:val="Compact"/>
              <w:jc w:val="left"/>
            </w:pPr>
            <w:r>
              <w:t xml:space="preserve">Tesamorelin zusätzlich zu Training bei HIV – körperliche Leistungsfähigkeit</w:t>
            </w:r>
          </w:p>
        </w:tc>
      </w:tr>
      <w:tr>
        <w:tc>
          <w:tcPr/>
          <w:p>
            <w:pPr>
              <w:pStyle w:val="Compact"/>
              <w:jc w:val="left"/>
            </w:pPr>
            <w:r>
              <w:t xml:space="preserve">NCT03150511</w:t>
            </w:r>
          </w:p>
        </w:tc>
        <w:tc>
          <w:tcPr/>
          <w:p>
            <w:pPr>
              <w:pStyle w:val="Compact"/>
              <w:jc w:val="left"/>
            </w:pPr>
            <w:r>
              <w:t xml:space="preserve">Phase 2, 36 Personen</w:t>
            </w:r>
          </w:p>
        </w:tc>
        <w:tc>
          <w:tcPr/>
          <w:p>
            <w:pPr>
              <w:pStyle w:val="Compact"/>
              <w:jc w:val="left"/>
            </w:pPr>
            <w:r>
              <w:t xml:space="preserve">rekrutierend (seit 2018)</w:t>
            </w:r>
          </w:p>
        </w:tc>
        <w:tc>
          <w:tcPr/>
          <w:p>
            <w:pPr>
              <w:pStyle w:val="Compact"/>
              <w:jc w:val="left"/>
            </w:pPr>
            <w:r>
              <w:t xml:space="preserve">Erholung nach Verletzung peripherer Nerven</w:t>
            </w:r>
          </w:p>
        </w:tc>
      </w:tr>
    </w:tbl>
    <w:p>
      <w:pPr>
        <w:pStyle w:val="BodyText"/>
      </w:pPr>
      <w:r>
        <w:rPr>
          <w:iCs/>
          <w:i/>
        </w:rPr>
        <w:t xml:space="preserve">Gesichert</w:t>
      </w:r>
      <w:r>
        <w:t xml:space="preserve"> </w:t>
      </w:r>
      <w:r>
        <w:t xml:space="preserve">ist damit nur, dass weiter in kleinen Phase-2-Studien geforscht wird.</w:t>
      </w:r>
      <w:r>
        <w:t xml:space="preserve"> </w:t>
      </w:r>
      <w:r>
        <w:rPr>
          <w:iCs/>
          <w:i/>
        </w:rPr>
        <w:t xml:space="preserve">Einschätzung des Autors:</w:t>
      </w:r>
      <w:r>
        <w:t xml:space="preserve"> </w:t>
      </w:r>
      <w:r>
        <w:t xml:space="preserve">Die Fettleber außerhalb von HIV wäre das naheliegendste neue Anwendungsgebiet, doch dort konkurrieren inzwischen andere Wirkstoffe mit deutlich größeren Studienprogrammen. Eine Zulassung in der EU ist in absehbarer Zeit nicht erkennbar.</w:t>
      </w:r>
    </w:p>
    <w:bookmarkEnd w:id="490"/>
    <w:bookmarkStart w:id="491" w:name="fazit-24"/>
    <w:p>
      <w:pPr>
        <w:pStyle w:val="Heading3"/>
      </w:pPr>
      <w:r>
        <w:t xml:space="preserve">Fazit</w:t>
      </w:r>
    </w:p>
    <w:p>
      <w:pPr>
        <w:pStyle w:val="FirstParagraph"/>
      </w:pPr>
      <w:r>
        <w:t xml:space="preserve">Tesamorelin ist das am besten untersuchte Peptid der Wachstumshormon-Achse: Zwei große Phase-3-Studien zeigen, dass es bei Menschen mit HIV das viszerale Bauchfett um etwa 15 bis 18 % senkt und auch das Leberfett verringert. Der Effekt hält nur so lange an wie die Behandlung, und nicht alle sprechen an. Für Gesunde, Sportlerinnen und Sportler oder als „Anti-Aging“-Mittel gibt es keine belastbaren Daten. Die Langzeitsicherheit, insbesondere im Hinblick auf das erhöhte IGF-1, ist nicht abschließend geklärt.</w:t>
      </w:r>
    </w:p>
    <w:bookmarkEnd w:id="491"/>
    <w:bookmarkEnd w:id="492"/>
    <w:bookmarkStart w:id="502" w:name="cjc-1295"/>
    <w:p>
      <w:pPr>
        <w:pStyle w:val="Heading2"/>
      </w:pPr>
      <w:r>
        <w:t xml:space="preserve">CJC-1295</w:t>
      </w:r>
    </w:p>
    <w:p>
      <w:pPr>
        <w:pStyle w:val="FirstParagraph"/>
      </w:pPr>
      <w:r>
        <w:t xml:space="preserve">Unter dem Namen CJC-1295 werden im Internet zwei verschiedene Stoffe verkauft – und das ist der wichtigste Punkt dieses Kapitels. Das ursprüngliche CJC-1295 der Firma ConjuChem ist ein Wachstumshormon-Releasing-Hormon mit einem chemischen „Anker“, der sich im Blut an das Eiweiß Albumin heftet und die Wirkung auf rund eine Woche verlängert. Graumarkt-Händler bieten daneben „CJC-1295 ohne DAC“ an, das in der Fachliteratur meist „modifiziertes GRF (1-29)“ heißt. Für das erste gibt es zwei kleine Studien an gesunden Menschen, für das zweite keine einzige.</w:t>
      </w:r>
    </w:p>
    <w:bookmarkStart w:id="493" w:name="steckbrief-25"/>
    <w:p>
      <w:pPr>
        <w:pStyle w:val="Heading3"/>
      </w:pPr>
      <w:r>
        <w:t xml:space="preserve">Steckbrief</w:t>
      </w:r>
    </w:p>
    <w:p>
      <w:pPr>
        <w:numPr>
          <w:ilvl w:val="0"/>
          <w:numId w:val="1155"/>
        </w:numPr>
        <w:pStyle w:val="Compact"/>
      </w:pPr>
      <w:r>
        <w:rPr>
          <w:bCs/>
          <w:b/>
        </w:rPr>
        <w:t xml:space="preserve">Art und Struktur:</w:t>
      </w:r>
      <w:r>
        <w:t xml:space="preserve"> </w:t>
      </w:r>
      <w:r>
        <w:t xml:space="preserve">synthetisches Analogon des Wachstumshormon-Releasing-Hormons, aufgebaut auf dessen ersten 29 Aminosäuren mit vier ausgetauschten Bausteinen, die den Abbau erschweren.</w:t>
      </w:r>
    </w:p>
    <w:p>
      <w:pPr>
        <w:numPr>
          <w:ilvl w:val="1"/>
          <w:numId w:val="1156"/>
        </w:numPr>
        <w:pStyle w:val="Compact"/>
      </w:pPr>
      <w:r>
        <w:rPr>
          <w:iCs/>
          <w:i/>
        </w:rPr>
        <w:t xml:space="preserve">CJC-1295 mit DAC</w:t>
      </w:r>
      <w:r>
        <w:t xml:space="preserve"> </w:t>
      </w:r>
      <w:r>
        <w:t xml:space="preserve">(Drug Affinity Complex): zusätzlich ein reaktiver Anker am Ende der Kette, der sich nach der Injektion fest an Albumin bindet (Jetté 2005, PMID 15817669).</w:t>
      </w:r>
    </w:p>
    <w:p>
      <w:pPr>
        <w:numPr>
          <w:ilvl w:val="1"/>
          <w:numId w:val="1156"/>
        </w:numPr>
        <w:pStyle w:val="Compact"/>
      </w:pPr>
      <w:r>
        <w:rPr>
          <w:iCs/>
          <w:i/>
        </w:rPr>
        <w:t xml:space="preserve">CJC-1295 ohne DAC</w:t>
      </w:r>
      <w:r>
        <w:t xml:space="preserve"> </w:t>
      </w:r>
      <w:r>
        <w:t xml:space="preserve">(„Mod GRF 1-29“): dieselbe Kette ohne Anker; kurze Wirkdauer.</w:t>
      </w:r>
    </w:p>
    <w:p>
      <w:pPr>
        <w:numPr>
          <w:ilvl w:val="0"/>
          <w:numId w:val="1155"/>
        </w:numPr>
        <w:pStyle w:val="Compact"/>
      </w:pPr>
      <w:r>
        <w:rPr>
          <w:bCs/>
          <w:b/>
        </w:rPr>
        <w:t xml:space="preserve">Herkunft:</w:t>
      </w:r>
      <w:r>
        <w:t xml:space="preserve"> </w:t>
      </w:r>
      <w:r>
        <w:t xml:space="preserve">entwickelt von ConjuChem (Kanada) in den 2000er-Jahren; die klinische Entwicklung wurde nicht fortgeführt.</w:t>
      </w:r>
    </w:p>
    <w:p>
      <w:pPr>
        <w:numPr>
          <w:ilvl w:val="0"/>
          <w:numId w:val="1155"/>
        </w:numPr>
        <w:pStyle w:val="Compact"/>
      </w:pPr>
      <w:r>
        <w:rPr>
          <w:bCs/>
          <w:b/>
        </w:rPr>
        <w:t xml:space="preserve">Wirkprinzip:</w:t>
      </w:r>
      <w:r>
        <w:t xml:space="preserve"> </w:t>
      </w:r>
      <w:r>
        <w:t xml:space="preserve">Bindung an den GHRH-Rezeptor der Hirnanhangdrüse; Anstieg von Wachstumshormon und IGF-1.</w:t>
      </w:r>
    </w:p>
    <w:p>
      <w:pPr>
        <w:numPr>
          <w:ilvl w:val="0"/>
          <w:numId w:val="1155"/>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w:t>
      </w:r>
    </w:p>
    <w:p>
      <w:pPr>
        <w:numPr>
          <w:ilvl w:val="0"/>
          <w:numId w:val="1155"/>
        </w:numPr>
        <w:pStyle w:val="Compact"/>
      </w:pPr>
      <w:r>
        <w:rPr>
          <w:bCs/>
          <w:b/>
        </w:rPr>
        <w:t xml:space="preserve">WADA:</w:t>
      </w:r>
      <w:r>
        <w:t xml:space="preserve"> </w:t>
      </w:r>
      <w:r>
        <w:t xml:space="preserve">verboten, Gruppe S2 – CJC-1295 wird als GHRH-Analogon ausdrücklich genannt.</w:t>
      </w:r>
    </w:p>
    <w:p>
      <w:pPr>
        <w:numPr>
          <w:ilvl w:val="0"/>
          <w:numId w:val="1155"/>
        </w:numPr>
        <w:pStyle w:val="Compact"/>
      </w:pPr>
      <w:r>
        <w:rPr>
          <w:bCs/>
          <w:b/>
        </w:rPr>
        <w:t xml:space="preserve">Evidenzstufe: C</w:t>
      </w:r>
      <w:r>
        <w:t xml:space="preserve"> </w:t>
      </w:r>
      <w:r>
        <w:t xml:space="preserve">– zwei kleine Phase-1-Studien an Gesunden (mit DAC); keine Studie zu einem klinischen Nutzen; für die Variante ohne DAC keine Humanstudie.</w:t>
      </w:r>
    </w:p>
    <w:bookmarkEnd w:id="493"/>
    <w:bookmarkStart w:id="494" w:name="wie-es-wirken-soll-25"/>
    <w:p>
      <w:pPr>
        <w:pStyle w:val="Heading3"/>
      </w:pPr>
      <w:r>
        <w:t xml:space="preserve">Wie es wirken soll</w:t>
      </w:r>
    </w:p>
    <w:p>
      <w:pPr>
        <w:pStyle w:val="FirstParagraph"/>
      </w:pPr>
      <w:r>
        <w:t xml:space="preserve">Natürliches GHRH wird im Blut innerhalb von Minuten durch das Enzym Dipeptidylpeptidase-4 und über die Nieren beseitigt. Der DAC-Anker sollte dieses Problem lösen: Nach der Injektion reagiert er mit einer freien Schwefelgruppe des Albumins. Das Peptid „reitet“ dann auf dem Albumin, das eine Lebensdauer von Wochen hat, und wird langsam abgegeben. Bei Ratten blieb CJC-1295 so über 72 Stunden im Blut nachweisbar (Jetté 2005, PMID 15817669).</w:t>
      </w:r>
    </w:p>
    <w:p>
      <w:pPr>
        <w:pStyle w:val="BodyText"/>
      </w:pPr>
      <w:r>
        <w:t xml:space="preserve">Damit unterscheidet sich CJC-1295 mit DAC grundlegend von allen anderen GH-Freisetzern: Statt kurzer Impulse erzeugt es eine Dauerstimulation der Hirnanhangdrüse. Ob das physiologisch günstig ist, war eine der offenen Fragen der Entwicklung. Die Variante ohne DAC wirkt dagegen ähnlich kurz wie Sermorelin und wird auf dem Graumarkt oft mit GH-Freisetzern aus der Ghrelin-Gruppe (etwa Ipamorelin) kombiniert angeboten – eine Praxis, für die es keine Studien gibt.</w:t>
      </w:r>
    </w:p>
    <w:bookmarkEnd w:id="494"/>
    <w:bookmarkStart w:id="496" w:name="studien-am-menschen-25"/>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2</w:t>
      </w:r>
      <w:r>
        <w:t xml:space="preserve"> </w:t>
      </w:r>
      <w:r>
        <w:t xml:space="preserve">Humanstudien in PubMed (</w:t>
      </w:r>
      <w:r>
        <w:rPr>
          <w:rStyle w:val="VerbatimChar"/>
        </w:rPr>
        <w:t xml:space="preserve">humanstudien_alle</w:t>
      </w:r>
      <w:r>
        <w:t xml:space="preserve">) und</w:t>
      </w:r>
      <w:r>
        <w:t xml:space="preserve"> </w:t>
      </w:r>
      <w:r>
        <w:rPr>
          <w:bCs/>
          <w:b/>
        </w:rPr>
        <w:t xml:space="preserve">1</w:t>
      </w:r>
      <w:r>
        <w:t xml:space="preserve"> </w:t>
      </w:r>
      <w:r>
        <w:t xml:space="preserve">Eintrag bei ClinicalTrials.gov. Eine gezielte Nachsuche ergab zusätzlich eine Folgeauswertung von Blutproben aus einer der beiden Studien. Alle Arbeiten betreffen CJC-1295</w:t>
      </w:r>
      <w:r>
        <w:t xml:space="preserve"> </w:t>
      </w:r>
      <w:r>
        <w:rPr>
          <w:iCs/>
          <w:i/>
        </w:rPr>
        <w:t xml:space="preserve">mit</w:t>
      </w:r>
      <w:r>
        <w:t xml:space="preserve"> </w:t>
      </w:r>
      <w:r>
        <w:t xml:space="preserve">DAC.</w:t>
      </w:r>
    </w:p>
    <w:p>
      <w:pPr>
        <w:pStyle w:val="BodyText"/>
      </w:pPr>
      <w:r>
        <w:rPr>
          <w:bCs/>
          <w:b/>
        </w:rPr>
        <w:t xml:space="preserve">Dosisfindung bei Gesunden:</w:t>
      </w:r>
      <w:r>
        <w:t xml:space="preserve"> </w:t>
      </w:r>
      <w:r>
        <w:t xml:space="preserve">In zwei randomisierten, placebokontrollierten, doppelblinden Studien mit aufsteigenden Dosen erhielten gesunde Erwachsene zwischen 21 und 61 Jahren eine einzelne bzw. zwei bis drei wöchentliche oder zweiwöchentliche Injektionen. Nach einer einzigen Injektion stieg Wachstumshormon im Mittel auf das 2- bis 10-Fache für sechs Tage oder länger, IGF-1 auf das 1,5- bis 3-Fache für 9 bis 11 Tage. Die Halbwertszeit lag bei 5,8 bis 8,1 Tagen. Nach mehreren Dosen blieb IGF-1 bis zu 28 Tage über dem Ausgangswert. Schwere Nebenwirkungen wurden nicht berichtet (Teichman 2006, PMID 16352683).</w:t>
      </w:r>
    </w:p>
    <w:p>
      <w:pPr>
        <w:pStyle w:val="BodyText"/>
      </w:pPr>
      <w:r>
        <w:rPr>
          <w:bCs/>
          <w:b/>
        </w:rPr>
        <w:t xml:space="preserve">Pulsatilität:</w:t>
      </w:r>
      <w:r>
        <w:t xml:space="preserve"> </w:t>
      </w:r>
      <w:r>
        <w:t xml:space="preserve">Eine zweite Studie untersuchte bei gesunden Männern zwischen 20 und 40 Jahren, ob die natürliche Stoßweise der GH-Ausschüttung erhalten bleibt. Eine Woche nach der Injektion waren Frequenz und Höhe der GH-Stöße unverändert, der Grundspiegel zwischen den Stößen aber 7,5-fach erhöht; mittleres GH stieg um 46 %, IGF-1 um 45 % (Ionescu 2006, PMID 17018654).</w:t>
      </w:r>
    </w:p>
    <w:p>
      <w:pPr>
        <w:pStyle w:val="BodyText"/>
      </w:pPr>
      <w:r>
        <w:rPr>
          <w:bCs/>
          <w:b/>
        </w:rPr>
        <w:t xml:space="preserve">Blutproteine:</w:t>
      </w:r>
      <w:r>
        <w:t xml:space="preserve"> </w:t>
      </w:r>
      <w:r>
        <w:t xml:space="preserve">Eine Folgeauswertung von Serumproben von 11 jungen Männern aus dieser Studie suchte nach neuen Markern für die Wirkung von Wachstumshormon und fand Veränderungen einzelner Bluteiweiße (Sackmann-Sala 2009, PMID 19386527). Das ist Grundlagenforschung ohne klinische Aussage.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Dosisfindung (Teichman 2006), PMID 16352683</w:t>
            </w:r>
          </w:p>
        </w:tc>
        <w:tc>
          <w:tcPr/>
          <w:p>
            <w:pPr>
              <w:pStyle w:val="Compact"/>
              <w:jc w:val="left"/>
            </w:pPr>
            <w:r>
              <w:t xml:space="preserve">gesunde Erwachsene 21–61 Jahre, zwei RCTs gegen Placebo, aufsteigende Dosen</w:t>
            </w:r>
          </w:p>
        </w:tc>
        <w:tc>
          <w:tcPr/>
          <w:p>
            <w:pPr>
              <w:pStyle w:val="Compact"/>
              <w:jc w:val="left"/>
            </w:pPr>
            <w:r>
              <w:t xml:space="preserve">28 bzw. 49 Tage</w:t>
            </w:r>
          </w:p>
        </w:tc>
        <w:tc>
          <w:tcPr/>
          <w:p>
            <w:pPr>
              <w:pStyle w:val="Compact"/>
              <w:jc w:val="left"/>
            </w:pPr>
            <w:r>
              <w:t xml:space="preserve">GH 2- bis 10-fach, IGF-1 1,5- bis 3-fach erhöht; Halbwertszeit 5,8–8,1 Tage</w:t>
            </w:r>
          </w:p>
        </w:tc>
      </w:tr>
      <w:tr>
        <w:tc>
          <w:tcPr/>
          <w:p>
            <w:pPr>
              <w:pStyle w:val="Compact"/>
              <w:jc w:val="left"/>
            </w:pPr>
            <w:r>
              <w:t xml:space="preserve">GH-Pulsatilität (Ionescu 2006), PMID 17018654</w:t>
            </w:r>
          </w:p>
        </w:tc>
        <w:tc>
          <w:tcPr/>
          <w:p>
            <w:pPr>
              <w:pStyle w:val="Compact"/>
              <w:jc w:val="left"/>
            </w:pPr>
            <w:r>
              <w:t xml:space="preserve">gesunde Männer 20–40 Jahre, Vorher-nachher-Vergleich</w:t>
            </w:r>
          </w:p>
        </w:tc>
        <w:tc>
          <w:tcPr/>
          <w:p>
            <w:pPr>
              <w:pStyle w:val="Compact"/>
              <w:jc w:val="left"/>
            </w:pPr>
            <w:r>
              <w:t xml:space="preserve">1 Woche nach Einzeldosis</w:t>
            </w:r>
          </w:p>
        </w:tc>
        <w:tc>
          <w:tcPr/>
          <w:p>
            <w:pPr>
              <w:pStyle w:val="Compact"/>
              <w:jc w:val="left"/>
            </w:pPr>
            <w:r>
              <w:t xml:space="preserve">Pulse erhalten, Grund-GH 7,5-fach, IGF-1 +45 %</w:t>
            </w:r>
          </w:p>
        </w:tc>
      </w:tr>
      <w:tr>
        <w:tc>
          <w:tcPr/>
          <w:p>
            <w:pPr>
              <w:pStyle w:val="Compact"/>
              <w:jc w:val="left"/>
            </w:pPr>
            <w:r>
              <w:t xml:space="preserve">HIV-Bauchfett, NCT00267527</w:t>
            </w:r>
          </w:p>
        </w:tc>
        <w:tc>
          <w:tcPr/>
          <w:p>
            <w:pPr>
              <w:pStyle w:val="Compact"/>
              <w:jc w:val="left"/>
            </w:pPr>
            <w:r>
              <w:t xml:space="preserve">geplant 120 Personen, Phase 2, RCT</w:t>
            </w:r>
          </w:p>
        </w:tc>
        <w:tc>
          <w:tcPr/>
          <w:p>
            <w:pPr>
              <w:pStyle w:val="Compact"/>
              <w:jc w:val="left"/>
            </w:pPr>
            <w:r>
              <w:t xml:space="preserve">geplant 12 Wochen</w:t>
            </w:r>
          </w:p>
        </w:tc>
        <w:tc>
          <w:tcPr/>
          <w:p>
            <w:pPr>
              <w:pStyle w:val="Compact"/>
              <w:jc w:val="left"/>
            </w:pPr>
            <w:r>
              <w:t xml:space="preserve">2006 abgebrochen; keine Ergebnisse veröffentlicht</w:t>
            </w:r>
          </w:p>
        </w:tc>
      </w:tr>
    </w:tbl>
    <w:bookmarkStart w:id="495" w:name="Xf9c70d5c8bdd50898bb6f168b4ac0b61157cb10"/>
    <w:p>
      <w:pPr>
        <w:pStyle w:val="Heading4"/>
      </w:pPr>
      <w:r>
        <w:t xml:space="preserve">Die abgebrochene Phase-2-Studie und der berichtete Todesfall</w:t>
      </w:r>
    </w:p>
    <w:p>
      <w:pPr>
        <w:pStyle w:val="FirstParagraph"/>
      </w:pPr>
      <w:r>
        <w:t xml:space="preserve">ConjuChem startete Ende 2005 eine randomisierte, placebokontrollierte Phase-2-Studie mit zwei Dosen CJC-1295 bei Menschen mit HIV und vermehrtem Bauchfett – also im selben Anwendungsgebiet, in dem später Tesamorelin zugelassen wurde (NCT00267527). Der Registereintrag nennt den Status „abgebrochen“ (letzte Aktualisierung Oktober 2006), aber keinen Abbruchgrund und keine Ergebnisse.</w:t>
      </w:r>
    </w:p>
    <w:p>
      <w:pPr>
        <w:pStyle w:val="BodyText"/>
      </w:pPr>
      <w:r>
        <w:t xml:space="preserve">In Online-Foren und manchen Übersichten heißt es, die Studie sei nach dem Tod eines Teilnehmenden gestoppt worden.</w:t>
      </w:r>
      <w:r>
        <w:t xml:space="preserve"> </w:t>
      </w:r>
      <w:r>
        <w:rPr>
          <w:bCs/>
          <w:b/>
        </w:rPr>
        <w:t xml:space="preserve">Dieser Todesfall ist in den für dieses Buch geprüften Quellen nicht belegt:</w:t>
      </w:r>
      <w:r>
        <w:t xml:space="preserve"> </w:t>
      </w:r>
      <w:r>
        <w:t xml:space="preserve">Weder der Registereintrag noch eine PubMed-Veröffentlichung dokumentieren ihn. Es lässt sich daher weder bestätigen, dass er sich ereignet hat, noch beurteilen, ob er mit dem Wirkstoff zusammenhing. Belegt ist nur, dass die Studie vorzeitig endete und dass CJC-1295 danach nicht weiterentwickelt wurde.</w:t>
      </w:r>
    </w:p>
    <w:bookmarkEnd w:id="495"/>
    <w:bookmarkEnd w:id="496"/>
    <w:bookmarkStart w:id="497" w:name="tier--und-laborstudien-25"/>
    <w:p>
      <w:pPr>
        <w:pStyle w:val="Heading3"/>
      </w:pPr>
      <w:r>
        <w:t xml:space="preserve">Tier- und Laborstudien</w:t>
      </w:r>
    </w:p>
    <w:p>
      <w:pPr>
        <w:numPr>
          <w:ilvl w:val="0"/>
          <w:numId w:val="1157"/>
        </w:numPr>
        <w:pStyle w:val="Compact"/>
      </w:pPr>
      <w:r>
        <w:rPr>
          <w:bCs/>
          <w:b/>
        </w:rPr>
        <w:t xml:space="preserve">Ratten:</w:t>
      </w:r>
      <w:r>
        <w:t xml:space="preserve"> </w:t>
      </w:r>
      <w:r>
        <w:t xml:space="preserve">Von drei getesteten Albumin-Ankervarianten setzte CJC-1295 am meisten Wachstumshormon frei – über zwei Stunden rund viermal so viel wie unverändertes GRF(1-29) – und blieb über 72 Stunden im Blut (Jetté 2005, PMID 15817669).</w:t>
      </w:r>
    </w:p>
    <w:p>
      <w:pPr>
        <w:numPr>
          <w:ilvl w:val="0"/>
          <w:numId w:val="1157"/>
        </w:numPr>
        <w:pStyle w:val="Compact"/>
      </w:pPr>
      <w:r>
        <w:rPr>
          <w:bCs/>
          <w:b/>
        </w:rPr>
        <w:t xml:space="preserve">Mäuse:</w:t>
      </w:r>
      <w:r>
        <w:t xml:space="preserve"> </w:t>
      </w:r>
      <w:r>
        <w:t xml:space="preserve">Bei Mäusen ohne eigenes GHRH normalisierte die tägliche Gabe Gewicht und Länge; die Gabe alle 48 oder 72 Stunden reichte dafür nicht vollständig. In der Hirnanhangdrüse nahm die Zahl der GH-bildenden Zellen zu (Alba 2006, PMID 16822960). Eine Vermehrung von Hypophysenzellen ist erwünscht, wenn ein Mangel ausgeglichen werden soll – bei Gesunden ist ihre Langzeitbedeutung unbekannt.</w:t>
      </w:r>
    </w:p>
    <w:bookmarkEnd w:id="497"/>
    <w:bookmarkStart w:id="498" w:name="risiken-und-nebenwirkungen-25"/>
    <w:p>
      <w:pPr>
        <w:pStyle w:val="Heading3"/>
      </w:pPr>
      <w:r>
        <w:t xml:space="preserve">Risiken und Nebenwirkungen</w:t>
      </w:r>
    </w:p>
    <w:p>
      <w:pPr>
        <w:pStyle w:val="FirstParagraph"/>
      </w:pPr>
      <w:r>
        <w:rPr>
          <w:bCs/>
          <w:b/>
        </w:rPr>
        <w:t xml:space="preserve">Belegt aus den Phase-1-Studien:</w:t>
      </w:r>
      <w:r>
        <w:t xml:space="preserve"> </w:t>
      </w:r>
      <w:r>
        <w:t xml:space="preserve">keine schweren Nebenwirkungen bei wenigen, kurz behandelten Gesunden; die Verträglichkeit wurde als relativ gut, besonders bei den niedrigeren Dosen, beschrieben (Teichman 2006, PMID 16352683). Diese Datenbasis ist zu klein, um seltene oder langfristige Risiken zu erkennen.</w:t>
      </w:r>
    </w:p>
    <w:p>
      <w:pPr>
        <w:pStyle w:val="BodyText"/>
      </w:pPr>
      <w:r>
        <w:rPr>
          <w:bCs/>
          <w:b/>
        </w:rPr>
        <w:t xml:space="preserve">Plausibel, aber nicht untersucht:</w:t>
      </w:r>
      <w:r>
        <w:t xml:space="preserve"> </w:t>
      </w:r>
      <w:r>
        <w:t xml:space="preserve">Die DAC-Variante hält Wachstumshormon und IGF-1 über Tage dauerhaft erhöht. Typische Folgen erhöhter GH-Spiegel sind Wassereinlagerungen, Gelenkschmerzen, Karpaltunnelbeschwerden und eine verschlechterte Insulinempfindlichkeit. Ob ein dauerhaft erhöhtes IGF-1 langfristig das Krebsrisiko steigert, ist für CJC-1295 nicht untersucht; zur allgemeinen Datenlage siehe die Einleitung dieser Gruppe und Teil IV.</w:t>
      </w:r>
    </w:p>
    <w:p>
      <w:pPr>
        <w:pStyle w:val="BodyText"/>
      </w:pPr>
      <w:r>
        <w:rPr>
          <w:bCs/>
          <w:b/>
        </w:rPr>
        <w:t xml:space="preserve">Graumarkt:</w:t>
      </w:r>
      <w:r>
        <w:t xml:space="preserve"> </w:t>
      </w:r>
      <w:r>
        <w:t xml:space="preserve">Bereits 2009 analysierte ein norwegisches Labor im Auftrag von Polizei und Zoll ein unbekanntes Präparat und fand ein Peptid aus 29 Aminosäuren, das der als CJC-1295 verkauften Sequenz entsprach (Henninge 2010, PMID 21204297). Dänische Zollproben enthielten „modifiziertes GRF 1-29“ und Ghrelin-Mimetika mit einer zusätzlichen, nicht deklarierten Aminosäure Glycin (Gajda 2019, PMID 30136411). Käuferinnen und Käufer können also nicht wissen, ob sie die Variante mit oder ohne DAC, ein abgewandeltes Molekül oder etwas ganz anderes erhalten. Eine Auswertung von Bodybuilding-Foren zeigt, dass auch Frauen CJC-1295 zur Gewichtsabnahme, für die Haut oder den Schlaf verwenden und sich dabei auf Erfahrungsberichte statt auf Studien stützen (Van Hout 2016, PMID 26771670).</w:t>
      </w:r>
    </w:p>
    <w:bookmarkEnd w:id="498"/>
    <w:bookmarkStart w:id="499" w:name="rechtslage-25"/>
    <w:p>
      <w:pPr>
        <w:pStyle w:val="Heading3"/>
      </w:pPr>
      <w:r>
        <w:t xml:space="preserve">Rechtslage</w:t>
      </w:r>
    </w:p>
    <w:p>
      <w:pPr>
        <w:pStyle w:val="FirstParagraph"/>
      </w:pPr>
      <w:r>
        <w:rPr>
          <w:iCs/>
          <w:i/>
        </w:rPr>
        <w:t xml:space="preserve">Stand 2026, bitte aktuell prüfen.</w:t>
      </w:r>
    </w:p>
    <w:p>
      <w:pPr>
        <w:numPr>
          <w:ilvl w:val="0"/>
          <w:numId w:val="1158"/>
        </w:numPr>
        <w:pStyle w:val="Compact"/>
      </w:pPr>
      <w:r>
        <w:rPr>
          <w:bCs/>
          <w:b/>
        </w:rPr>
        <w:t xml:space="preserve">EU, Deutschland, Österreich:</w:t>
      </w:r>
      <w:r>
        <w:t xml:space="preserve"> </w:t>
      </w:r>
      <w:r>
        <w:t xml:space="preserve">keine Zulassung. CJC-1295 ist ein nicht zugelassener Arzneistoff; Abgabe und Handel zur Anwendung am Menschen sind nach den Arzneimittelgesetzen unzulässig, auch wenn Produkte als „Research Peptide“ deklariert sind.</w:t>
      </w:r>
    </w:p>
    <w:p>
      <w:pPr>
        <w:numPr>
          <w:ilvl w:val="0"/>
          <w:numId w:val="1158"/>
        </w:numPr>
        <w:pStyle w:val="Compact"/>
      </w:pPr>
      <w:r>
        <w:rPr>
          <w:bCs/>
          <w:b/>
        </w:rPr>
        <w:t xml:space="preserve">USA:</w:t>
      </w:r>
      <w:r>
        <w:t xml:space="preserve"> </w:t>
      </w:r>
      <w:r>
        <w:t xml:space="preserve">keine Zulassung. Die FDA hat CJC-1295 – wie mehrere andere Peptide dieses Buches – unter den Ausgangsstoffen für Rezepturapotheken als Stoff mit Sicherheitsbedenken eingestuft (Kategorie 2). Diese Einstufungen wurden seither im zuständigen Beratungsgremium und in Fachkreisen kontrovers diskutiert (Willis 2026, PMID 42752426); Änderungen sind möglich.</w:t>
      </w:r>
    </w:p>
    <w:p>
      <w:pPr>
        <w:numPr>
          <w:ilvl w:val="0"/>
          <w:numId w:val="1158"/>
        </w:numPr>
        <w:pStyle w:val="Compact"/>
      </w:pPr>
      <w:r>
        <w:rPr>
          <w:bCs/>
          <w:b/>
        </w:rPr>
        <w:t xml:space="preserve">WADA:</w:t>
      </w:r>
      <w:r>
        <w:t xml:space="preserve"> </w:t>
      </w:r>
      <w:r>
        <w:t xml:space="preserve">verboten (S2). Nachweisverfahren für CJC-1295 mit und ohne DAC im Urin wurden beschrieben (Memdouh 2021, PMID 34665524); auch im Pferdesport wird danach gesucht (Timms 2019, PMID 30938069).</w:t>
      </w:r>
    </w:p>
    <w:bookmarkEnd w:id="499"/>
    <w:bookmarkStart w:id="500" w:name="laufende-studien-und-ausblick-25"/>
    <w:p>
      <w:pPr>
        <w:pStyle w:val="Heading3"/>
      </w:pPr>
      <w:r>
        <w:t xml:space="preserve">Laufende Studien und Ausblick</w:t>
      </w:r>
    </w:p>
    <w:p>
      <w:pPr>
        <w:pStyle w:val="FirstParagraph"/>
      </w:pPr>
      <w:r>
        <w:t xml:space="preserve">Bei ClinicalTrials.gov ist im Oktober 2026 außer der 2006 abgebrochenen Phase-2-Studie kein Eintrag zu CJC-1295 verzeichnet.</w:t>
      </w:r>
      <w:r>
        <w:t xml:space="preserve"> </w:t>
      </w:r>
      <w:r>
        <w:rPr>
          <w:iCs/>
          <w:i/>
        </w:rPr>
        <w:t xml:space="preserve">Einschätzung des Autors:</w:t>
      </w:r>
      <w:r>
        <w:t xml:space="preserve"> </w:t>
      </w:r>
      <w:r>
        <w:t xml:space="preserve">Eine klinische Weiterentwicklung ist nicht erkennbar. Das Prinzip „Peptid mit Albumin-Anker für längere Wirkung“ lebt dagegen in anderen Wirkstoffen weiter, etwa bei lang wirksamen Wachstumshormon-Präparaten und GLP-1-Medikamenten.</w:t>
      </w:r>
    </w:p>
    <w:bookmarkEnd w:id="500"/>
    <w:bookmarkStart w:id="501" w:name="fazit-25"/>
    <w:p>
      <w:pPr>
        <w:pStyle w:val="Heading3"/>
      </w:pPr>
      <w:r>
        <w:t xml:space="preserve">Fazit</w:t>
      </w:r>
    </w:p>
    <w:p>
      <w:pPr>
        <w:pStyle w:val="FirstParagraph"/>
      </w:pPr>
      <w:r>
        <w:t xml:space="preserve">CJC-1295 mit DAC erhöht bei gesunden Menschen Wachstumshormon und IGF-1 für ein bis zwei Wochen nach einer einzigen Injektion – mehr ist am Menschen nicht untersucht. Die einzige Patientenstudie wurde 2006 ohne veröffentlichten Grund abgebrochen; ein häufig behaupteter Todesfall ist in Register und Fachliteratur nicht dokumentiert. Für die im Internet meist verkaufte Variante ohne DAC gibt es keine einzige Humanstudie, und Laboranalysen zeigen, dass der Inhalt von Graumarkt-Produkten unsicher ist.</w:t>
      </w:r>
    </w:p>
    <w:bookmarkEnd w:id="501"/>
    <w:bookmarkEnd w:id="502"/>
    <w:bookmarkStart w:id="511" w:name="ipamorelin"/>
    <w:p>
      <w:pPr>
        <w:pStyle w:val="Heading2"/>
      </w:pPr>
      <w:r>
        <w:t xml:space="preserve">Ipamorelin</w:t>
      </w:r>
    </w:p>
    <w:p>
      <w:pPr>
        <w:pStyle w:val="FirstParagraph"/>
      </w:pPr>
      <w:r>
        <w:t xml:space="preserve">Ipamorelin gilt in Fitness- und Anti-Aging-Kreisen als der „saubere“ Wachstumshormon-Freisetzer: Es soll gezielt Wachstumshormon ausschütten, ohne Stresshormone und Appetit anzutreiben. Diese Eigenschaft stammt aus Tierversuchen der 1990er-Jahre. Am Menschen wurde Ipamorelin tatsächlich klinisch geprüft – allerdings nicht für Muskelaufbau oder Verjüngung, sondern für etwas ganz anderes: die Darmlähmung nach Bauchoperationen. Dort brachte es keinen nachweisbaren Nutzen.</w:t>
      </w:r>
    </w:p>
    <w:bookmarkStart w:id="503" w:name="steckbrief-26"/>
    <w:p>
      <w:pPr>
        <w:pStyle w:val="Heading3"/>
      </w:pPr>
      <w:r>
        <w:t xml:space="preserve">Steckbrief</w:t>
      </w:r>
    </w:p>
    <w:p>
      <w:pPr>
        <w:numPr>
          <w:ilvl w:val="0"/>
          <w:numId w:val="1159"/>
        </w:numPr>
        <w:pStyle w:val="Compact"/>
      </w:pPr>
      <w:r>
        <w:rPr>
          <w:bCs/>
          <w:b/>
        </w:rPr>
        <w:t xml:space="preserve">Art und Struktur:</w:t>
      </w:r>
      <w:r>
        <w:t xml:space="preserve"> </w:t>
      </w:r>
      <w:r>
        <w:t xml:space="preserve">synthetisches Pentapeptid (5 Aminosäuren, teils nicht natürlich: Aib-His-D-2-Nal-D-Phe-Lys-NH2) (Raun 1998, PMID 9849822).</w:t>
      </w:r>
    </w:p>
    <w:p>
      <w:pPr>
        <w:numPr>
          <w:ilvl w:val="0"/>
          <w:numId w:val="1159"/>
        </w:numPr>
        <w:pStyle w:val="Compact"/>
      </w:pPr>
      <w:r>
        <w:rPr>
          <w:bCs/>
          <w:b/>
        </w:rPr>
        <w:t xml:space="preserve">Herkunft:</w:t>
      </w:r>
      <w:r>
        <w:t xml:space="preserve"> </w:t>
      </w:r>
      <w:r>
        <w:t xml:space="preserve">entwickelt von Novo Nordisk (Dänemark) aus der Familie der Wachstumshormon-freisetzenden Peptide (GHRP); später von Helsinn für den Magen-Darm-Bereich weiterentwickelt.</w:t>
      </w:r>
    </w:p>
    <w:p>
      <w:pPr>
        <w:numPr>
          <w:ilvl w:val="0"/>
          <w:numId w:val="1159"/>
        </w:numPr>
        <w:pStyle w:val="Compact"/>
      </w:pPr>
      <w:r>
        <w:rPr>
          <w:bCs/>
          <w:b/>
        </w:rPr>
        <w:t xml:space="preserve">Wirkprinzip:</w:t>
      </w:r>
      <w:r>
        <w:t xml:space="preserve"> </w:t>
      </w:r>
      <w:r>
        <w:t xml:space="preserve">bindet an den Ghrelin-Rezeptor (GHS-R1a) in Hirnanhangdrüse und Zwischenhirn sowie im Magen-Darm-Trakt; löst einen kurzen Stoß Wachstumshormon aus und soll die Darmbewegung anregen.</w:t>
      </w:r>
    </w:p>
    <w:p>
      <w:pPr>
        <w:numPr>
          <w:ilvl w:val="0"/>
          <w:numId w:val="1159"/>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w:t>
      </w:r>
    </w:p>
    <w:p>
      <w:pPr>
        <w:numPr>
          <w:ilvl w:val="0"/>
          <w:numId w:val="1159"/>
        </w:numPr>
        <w:pStyle w:val="Compact"/>
      </w:pPr>
      <w:r>
        <w:rPr>
          <w:bCs/>
          <w:b/>
        </w:rPr>
        <w:t xml:space="preserve">WADA:</w:t>
      </w:r>
      <w:r>
        <w:t xml:space="preserve"> </w:t>
      </w:r>
      <w:r>
        <w:t xml:space="preserve">verboten, Gruppe S2 (Wachstumshormon-Sekretagoga; Ipamorelin wird ausdrücklich genannt).</w:t>
      </w:r>
    </w:p>
    <w:p>
      <w:pPr>
        <w:numPr>
          <w:ilvl w:val="0"/>
          <w:numId w:val="1159"/>
        </w:numPr>
        <w:pStyle w:val="Compact"/>
      </w:pPr>
      <w:r>
        <w:rPr>
          <w:bCs/>
          <w:b/>
        </w:rPr>
        <w:t xml:space="preserve">Evidenzstufe: B</w:t>
      </w:r>
      <w:r>
        <w:t xml:space="preserve"> </w:t>
      </w:r>
      <w:r>
        <w:t xml:space="preserve">– eine randomisierte Phase-2-Studie mit 117 Personen (ohne Wirksamkeitsnachweis) und eine kleine pharmakologische Studie an Gesunden; eine zweite Phase-2-Studie ist abgeschlossen, aber unveröffentlicht.</w:t>
      </w:r>
    </w:p>
    <w:bookmarkEnd w:id="503"/>
    <w:bookmarkStart w:id="504" w:name="wie-es-wirken-soll-26"/>
    <w:p>
      <w:pPr>
        <w:pStyle w:val="Heading3"/>
      </w:pPr>
      <w:r>
        <w:t xml:space="preserve">Wie es wirken soll</w:t>
      </w:r>
    </w:p>
    <w:p>
      <w:pPr>
        <w:pStyle w:val="FirstParagraph"/>
      </w:pPr>
      <w:r>
        <w:t xml:space="preserve">Der Ghrelin-Rezeptor ist die zweite große Stellschraube für die Wachstumshormon-Ausschüttung neben dem GHRH-Rezeptor. Sein natürlicher Schlüssel ist Ghrelin, ein Hormon aus dem Magen, das 1999 entdeckt wurde (Kojima 1999, PMID 10604470). Ghrelin steigert nicht nur Wachstumshormon, sondern auch Hunger, und es regt die Bewegungen von Magen und Darm an.</w:t>
      </w:r>
    </w:p>
    <w:p>
      <w:pPr>
        <w:pStyle w:val="BodyText"/>
      </w:pPr>
      <w:r>
        <w:t xml:space="preserve">Ältere synthetische Freisetzer wie GHRP-6 oder GHRP-2 setzen neben Wachstumshormon auch das Stresshormon-System (ACTH und Cortisol) und Prolaktin frei. Ipamorelin wurde gezielt so entwickelt, dass dieser Nebeneffekt fehlt: Bei Schweinen setzte es Wachstumshormon ähnlich stark frei wie GHRP-6, ACTH und Cortisol stiegen dagegen auch bei mehr als 200-fach höheren Dosen nicht stärker an als unter GHRH (Raun 1998, PMID 9849822). Ob diese Selektivität beim Menschen in gleichem Maß gilt, ist nicht systematisch untersucht.</w:t>
      </w:r>
    </w:p>
    <w:p>
      <w:pPr>
        <w:pStyle w:val="BodyText"/>
      </w:pPr>
      <w:r>
        <w:t xml:space="preserve">Für die Klinik interessierte man sich vor allem für die Darmwirkung: Nach Bauchoperationen kommt die Darmtätigkeit oft tagelang zum Erliegen (postoperativer Ileus), was den Krankenhausaufenthalt verlängert. Ein Ghrelin-Mimetikum, das man intravenös geben kann, schien eine elegante Lösung.</w:t>
      </w:r>
    </w:p>
    <w:bookmarkEnd w:id="504"/>
    <w:bookmarkStart w:id="505" w:name="studien-am-menschen-26"/>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2</w:t>
      </w:r>
      <w:r>
        <w:t xml:space="preserve"> </w:t>
      </w:r>
      <w:r>
        <w:t xml:space="preserve">Humanstudien in PubMed (</w:t>
      </w:r>
      <w:r>
        <w:rPr>
          <w:rStyle w:val="VerbatimChar"/>
        </w:rPr>
        <w:t xml:space="preserve">humanstudien_alle</w:t>
      </w:r>
      <w:r>
        <w:t xml:space="preserve">) und</w:t>
      </w:r>
      <w:r>
        <w:t xml:space="preserve"> </w:t>
      </w:r>
      <w:r>
        <w:rPr>
          <w:bCs/>
          <w:b/>
        </w:rPr>
        <w:t xml:space="preserve">3</w:t>
      </w:r>
      <w:r>
        <w:t xml:space="preserve"> </w:t>
      </w:r>
      <w:r>
        <w:t xml:space="preserve">Einträge bei ClinicalTrials.gov. Einer dieser Registereinträge (NCT07717866) betrifft eine Beobachtungsstudie zu Psychedelika bei Veteranen und untersucht Ipamorelin nicht als Prüfmedikament; es wird dort nur als einer von mehreren Bestandteilen einer „physiologischen Supplementierung“ (neben Testosteron, Fischöl und Vitaminen) aufgezählt. Klinisch relevant sind damit zwei Studien zum postoperativen Ileus.</w:t>
      </w:r>
    </w:p>
    <w:p>
      <w:pPr>
        <w:pStyle w:val="BodyText"/>
      </w:pPr>
      <w:r>
        <w:rPr>
          <w:bCs/>
          <w:b/>
        </w:rPr>
        <w:t xml:space="preserve">Pharmakologie bei Gesunden:</w:t>
      </w:r>
      <w:r>
        <w:t xml:space="preserve"> </w:t>
      </w:r>
      <w:r>
        <w:t xml:space="preserve">In einer Studie mit aufsteigenden Dosen erhielten jeweils acht gesunde Männer pro Dosisstufe eine 15-minütige Infusion. Ipamorelin hatte eine kurze Halbwertszeit von etwa 2 Stunden und löste bei allen Dosen einen einzelnen GH-Stoß aus, der nach etwa 40 Minuten seinen Gipfel erreichte und danach rasch abfiel (Gobburu 1999, PMID 10496658).</w:t>
      </w:r>
    </w:p>
    <w:p>
      <w:pPr>
        <w:pStyle w:val="BodyText"/>
      </w:pPr>
      <w:r>
        <w:rPr>
          <w:bCs/>
          <w:b/>
        </w:rPr>
        <w:t xml:space="preserve">Postoperativer Ileus, erste Phase-2-Studie:</w:t>
      </w:r>
      <w:r>
        <w:t xml:space="preserve"> </w:t>
      </w:r>
      <w:r>
        <w:t xml:space="preserve">In einer multizentrischen, doppelblinden, placebokontrollierten Studie erhielten 117 Erwachsene nach Dünn- oder Dickdarmresektion bis zu sieben Tage lang zweimal täglich Ipamorelin oder Placebo als Infusion. Die mittlere Zeit bis zur ersten vertragenen festen Mahlzeit betrug 25,3 Stunden unter Ipamorelin und 32,6 Stunden unter Placebo – ein Unterschied, der statistisch nicht signifikant war (p = 0,15). Auch die übrigen Wirksamkeitsziele unterschieden sich nicht. Nebenwirkungen traten bei 87,5 % unter Ipamorelin und 94,8 % unter Placebo auf, was nach großen Bauchoperationen nicht ungewöhnlich ist (Beck 2014, PMID 25331030).</w:t>
      </w:r>
    </w:p>
    <w:p>
      <w:pPr>
        <w:pStyle w:val="BodyText"/>
      </w:pPr>
      <w:r>
        <w:rPr>
          <w:bCs/>
          <w:b/>
        </w:rPr>
        <w:t xml:space="preserve">Zweite Phase-2-Studie:</w:t>
      </w:r>
      <w:r>
        <w:t xml:space="preserve"> </w:t>
      </w:r>
      <w:r>
        <w:t xml:space="preserve">Eine größere Folgestudie mit 320 Teilnehmenden zur Erholung der Magen-Darm-Funktion wurde 2014 abgeschlossen (NCT01280344). Eine Veröffentlichung der Ergebnisse habe ich in PubMed nicht gefunden, und der Registereintrag enthält keine Ergebnisse. Danach wurde die Entwicklung nicht fortgesetzt.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Pharmakologie (Gobburu 1999), PMID 10496658</w:t>
            </w:r>
          </w:p>
        </w:tc>
        <w:tc>
          <w:tcPr/>
          <w:p>
            <w:pPr>
              <w:pStyle w:val="Compact"/>
              <w:jc w:val="left"/>
            </w:pPr>
            <w:r>
              <w:t xml:space="preserve">gesunde Männer, 5 Dosisstufen à 8 Personen</w:t>
            </w:r>
          </w:p>
        </w:tc>
        <w:tc>
          <w:tcPr/>
          <w:p>
            <w:pPr>
              <w:pStyle w:val="Compact"/>
              <w:jc w:val="left"/>
            </w:pPr>
            <w:r>
              <w:t xml:space="preserve">Einzelinfusion</w:t>
            </w:r>
          </w:p>
        </w:tc>
        <w:tc>
          <w:tcPr/>
          <w:p>
            <w:pPr>
              <w:pStyle w:val="Compact"/>
              <w:jc w:val="left"/>
            </w:pPr>
            <w:r>
              <w:t xml:space="preserve">Halbwertszeit ca. 2 h; ein GH-Stoß pro Gabe</w:t>
            </w:r>
          </w:p>
        </w:tc>
      </w:tr>
      <w:tr>
        <w:tc>
          <w:tcPr/>
          <w:p>
            <w:pPr>
              <w:pStyle w:val="Compact"/>
              <w:jc w:val="left"/>
            </w:pPr>
            <w:r>
              <w:t xml:space="preserve">Ileus-Studie 1 (Beck 2014), PMID 25331030</w:t>
            </w:r>
          </w:p>
        </w:tc>
        <w:tc>
          <w:tcPr/>
          <w:p>
            <w:pPr>
              <w:pStyle w:val="Compact"/>
              <w:jc w:val="left"/>
            </w:pPr>
            <w:r>
              <w:t xml:space="preserve">117 Erwachsene nach Darmresektion, RCT gegen Placebo</w:t>
            </w:r>
          </w:p>
        </w:tc>
        <w:tc>
          <w:tcPr/>
          <w:p>
            <w:pPr>
              <w:pStyle w:val="Compact"/>
              <w:jc w:val="left"/>
            </w:pPr>
            <w:r>
              <w:t xml:space="preserve">bis 7 Tage</w:t>
            </w:r>
          </w:p>
        </w:tc>
        <w:tc>
          <w:tcPr/>
          <w:p>
            <w:pPr>
              <w:pStyle w:val="Compact"/>
              <w:jc w:val="left"/>
            </w:pPr>
            <w:r>
              <w:t xml:space="preserve">25,3 vs. 32,6 h bis zur ersten Mahlzeit, nicht signifikant</w:t>
            </w:r>
          </w:p>
        </w:tc>
      </w:tr>
      <w:tr>
        <w:tc>
          <w:tcPr/>
          <w:p>
            <w:pPr>
              <w:pStyle w:val="Compact"/>
              <w:jc w:val="left"/>
            </w:pPr>
            <w:r>
              <w:t xml:space="preserve">Ileus-Studie 2, NCT01280344</w:t>
            </w:r>
          </w:p>
        </w:tc>
        <w:tc>
          <w:tcPr/>
          <w:p>
            <w:pPr>
              <w:pStyle w:val="Compact"/>
              <w:jc w:val="left"/>
            </w:pPr>
            <w:r>
              <w:t xml:space="preserve">320 Erwachsene, Phase 2 gegen Placebo</w:t>
            </w:r>
          </w:p>
        </w:tc>
        <w:tc>
          <w:tcPr/>
          <w:p>
            <w:pPr>
              <w:pStyle w:val="Compact"/>
              <w:jc w:val="left"/>
            </w:pPr>
            <w:r>
              <w:t xml:space="preserve">–</w:t>
            </w:r>
          </w:p>
        </w:tc>
        <w:tc>
          <w:tcPr/>
          <w:p>
            <w:pPr>
              <w:pStyle w:val="Compact"/>
              <w:jc w:val="left"/>
            </w:pPr>
            <w:r>
              <w:t xml:space="preserve">abgeschlossen 2014, Ergebnisse nicht veröffentlicht</w:t>
            </w:r>
          </w:p>
        </w:tc>
      </w:tr>
    </w:tbl>
    <w:p>
      <w:pPr>
        <w:pStyle w:val="BodyText"/>
      </w:pPr>
      <w:r>
        <w:t xml:space="preserve">Es gibt</w:t>
      </w:r>
      <w:r>
        <w:t xml:space="preserve"> </w:t>
      </w:r>
      <w:r>
        <w:rPr>
          <w:bCs/>
          <w:b/>
        </w:rPr>
        <w:t xml:space="preserve">keine</w:t>
      </w:r>
      <w:r>
        <w:t xml:space="preserve"> </w:t>
      </w:r>
      <w:r>
        <w:t xml:space="preserve">veröffentlichte Studie, die Ipamorelin bei gesunden Erwachsenen, Sportlerinnen und Sportlern oder älteren Menschen auf Muskelmasse, Fettabbau, Schlaf, Haut oder Leistungsfähigkeit untersucht hat.</w:t>
      </w:r>
    </w:p>
    <w:bookmarkEnd w:id="505"/>
    <w:bookmarkStart w:id="506" w:name="tier--und-laborstudien-26"/>
    <w:p>
      <w:pPr>
        <w:pStyle w:val="Heading3"/>
      </w:pPr>
      <w:r>
        <w:t xml:space="preserve">Tier- und Laborstudien</w:t>
      </w:r>
    </w:p>
    <w:p>
      <w:pPr>
        <w:numPr>
          <w:ilvl w:val="0"/>
          <w:numId w:val="1160"/>
        </w:numPr>
        <w:pStyle w:val="Compact"/>
      </w:pPr>
      <w:r>
        <w:rPr>
          <w:bCs/>
          <w:b/>
        </w:rPr>
        <w:t xml:space="preserve">Darm (Ratten):</w:t>
      </w:r>
      <w:r>
        <w:t xml:space="preserve"> </w:t>
      </w:r>
      <w:r>
        <w:t xml:space="preserve">Bei Ratten mit operativ ausgelöster Darmlähmung verkürzte eine Einzeldosis Ipamorelin die Zeit bis zum ersten Stuhlgang; wiederholte Gaben steigerten Stuhlmenge, Futteraufnahme und Gewichtszunahme (Venkova 2009, PMID 19289567). Diese Ergebnisse waren die Grundlage der Ileus-Studien am Menschen – die den Effekt nicht bestätigten.</w:t>
      </w:r>
    </w:p>
    <w:p>
      <w:pPr>
        <w:numPr>
          <w:ilvl w:val="0"/>
          <w:numId w:val="1160"/>
        </w:numPr>
        <w:pStyle w:val="Compact"/>
      </w:pPr>
      <w:r>
        <w:rPr>
          <w:bCs/>
          <w:b/>
        </w:rPr>
        <w:t xml:space="preserve">Knochen (Ratten):</w:t>
      </w:r>
      <w:r>
        <w:t xml:space="preserve"> </w:t>
      </w:r>
      <w:r>
        <w:t xml:space="preserve">Bei ausgewachsenen weiblichen Ratten steigerte Ipamorelin über 15 Tage dosisabhängig das Längenwachstum der Knochen und die Gewichtszunahme, ohne IGF-1 messbar zu erhöhen (Johansen 1999, PMID 10373343).</w:t>
      </w:r>
    </w:p>
    <w:p>
      <w:pPr>
        <w:numPr>
          <w:ilvl w:val="0"/>
          <w:numId w:val="1160"/>
        </w:numPr>
        <w:pStyle w:val="Compact"/>
      </w:pPr>
      <w:r>
        <w:rPr>
          <w:bCs/>
          <w:b/>
        </w:rPr>
        <w:t xml:space="preserve">Selektivität (Schweine, Rattenzellen):</w:t>
      </w:r>
      <w:r>
        <w:t xml:space="preserve"> </w:t>
      </w:r>
      <w:r>
        <w:t xml:space="preserve">siehe oben (Raun 1998, PMID 9849822).</w:t>
      </w:r>
    </w:p>
    <w:bookmarkEnd w:id="506"/>
    <w:bookmarkStart w:id="507" w:name="risiken-und-nebenwirkungen-26"/>
    <w:p>
      <w:pPr>
        <w:pStyle w:val="Heading3"/>
      </w:pPr>
      <w:r>
        <w:t xml:space="preserve">Risiken und Nebenwirkungen</w:t>
      </w:r>
    </w:p>
    <w:p>
      <w:pPr>
        <w:pStyle w:val="FirstParagraph"/>
      </w:pPr>
      <w:r>
        <w:rPr>
          <w:bCs/>
          <w:b/>
        </w:rPr>
        <w:t xml:space="preserve">Belegt:</w:t>
      </w:r>
      <w:r>
        <w:t xml:space="preserve"> </w:t>
      </w:r>
      <w:r>
        <w:t xml:space="preserve">In der Ileus-Studie wurde Ipamorelin über bis zu sieben Tage als gut verträglich beschrieben, ohne Häufung von Nebenwirkungen gegenüber Placebo (Beck 2014, PMID 25331030). Das ist eine kurze Anwendung im Krankenhaus mit intravenöser Gabe.</w:t>
      </w:r>
    </w:p>
    <w:p>
      <w:pPr>
        <w:pStyle w:val="BodyText"/>
      </w:pPr>
      <w:r>
        <w:rPr>
          <w:bCs/>
          <w:b/>
        </w:rPr>
        <w:t xml:space="preserve">Unbekannt:</w:t>
      </w:r>
      <w:r>
        <w:t xml:space="preserve"> </w:t>
      </w:r>
      <w:r>
        <w:t xml:space="preserve">Daten zur wiederholten Anwendung über Wochen oder Monate, wie sie im Internet beschrieben wird, gibt es nicht. Theoretisch zu erwarten sind die Wirkungen erhöhter GH-Spiegel (Wassereinlagerungen, Gelenkbeschwerden, verminderte Insulinempfindlichkeit) sowie über den Ghrelin-Rezeptor ein gesteigerter Appetit. Zur Frage eines Krebsrisikos durch dauerhaft erhöhtes IGF-1 siehe die Einleitung dieser Gruppe und Teil IV.</w:t>
      </w:r>
    </w:p>
    <w:p>
      <w:pPr>
        <w:pStyle w:val="BodyText"/>
      </w:pPr>
      <w:r>
        <w:rPr>
          <w:bCs/>
          <w:b/>
        </w:rPr>
        <w:t xml:space="preserve">Graumarkt:</w:t>
      </w:r>
      <w:r>
        <w:t xml:space="preserve"> </w:t>
      </w:r>
      <w:r>
        <w:t xml:space="preserve">Laboranalysen beschlagnahmter Produkte fanden „Gly-Ipamorelin“, also Ipamorelin mit einer zusätzlichen, nicht deklarierten Aminosäure am Anfang – vermutlich um Doping-Tests zu umgehen (Krug 2018, PMID 29864719; Gajda 2019, PMID 30136411). Wie sich solche Abwandlungen im Körper verhalten, ist unbekannt.</w:t>
      </w:r>
    </w:p>
    <w:bookmarkEnd w:id="507"/>
    <w:bookmarkStart w:id="508" w:name="rechtslage-26"/>
    <w:p>
      <w:pPr>
        <w:pStyle w:val="Heading3"/>
      </w:pPr>
      <w:r>
        <w:t xml:space="preserve">Rechtslage</w:t>
      </w:r>
    </w:p>
    <w:p>
      <w:pPr>
        <w:pStyle w:val="FirstParagraph"/>
      </w:pPr>
      <w:r>
        <w:rPr>
          <w:iCs/>
          <w:i/>
        </w:rPr>
        <w:t xml:space="preserve">Stand 2026, bitte aktuell prüfen.</w:t>
      </w:r>
    </w:p>
    <w:p>
      <w:pPr>
        <w:numPr>
          <w:ilvl w:val="0"/>
          <w:numId w:val="1161"/>
        </w:numPr>
        <w:pStyle w:val="Compact"/>
      </w:pPr>
      <w:r>
        <w:rPr>
          <w:bCs/>
          <w:b/>
        </w:rPr>
        <w:t xml:space="preserve">EU, Deutschland, Österreich:</w:t>
      </w:r>
      <w:r>
        <w:t xml:space="preserve"> </w:t>
      </w:r>
      <w:r>
        <w:t xml:space="preserve">keine Zulassung; Abgabe zur Anwendung am Menschen unzulässig.</w:t>
      </w:r>
    </w:p>
    <w:p>
      <w:pPr>
        <w:numPr>
          <w:ilvl w:val="0"/>
          <w:numId w:val="1161"/>
        </w:numPr>
        <w:pStyle w:val="Compact"/>
      </w:pPr>
      <w:r>
        <w:rPr>
          <w:bCs/>
          <w:b/>
        </w:rPr>
        <w:t xml:space="preserve">USA:</w:t>
      </w:r>
      <w:r>
        <w:t xml:space="preserve"> </w:t>
      </w:r>
      <w:r>
        <w:t xml:space="preserve">keine Zulassung. Die FDA hat Ipamorelin unter den Ausgangsstoffen für Rezepturapotheken als Stoff mit Sicherheitsbedenken eingestuft (Kategorie 2); die Einstufung von Peptiden wird seither kontrovers diskutiert (Willis 2026, PMID 42752426).</w:t>
      </w:r>
    </w:p>
    <w:p>
      <w:pPr>
        <w:numPr>
          <w:ilvl w:val="0"/>
          <w:numId w:val="1161"/>
        </w:numPr>
        <w:pStyle w:val="Compact"/>
      </w:pPr>
      <w:r>
        <w:rPr>
          <w:bCs/>
          <w:b/>
        </w:rPr>
        <w:t xml:space="preserve">WADA:</w:t>
      </w:r>
      <w:r>
        <w:t xml:space="preserve"> </w:t>
      </w:r>
      <w:r>
        <w:t xml:space="preserve">verboten (S2), im Wettkampf und außerhalb. Ipamorelin und seine Abbauprodukte lassen sich im Urin nachweisen, auch nach Anwendung als Nasenspray (Semenistaya 2015, PMID 25869809).</w:t>
      </w:r>
    </w:p>
    <w:bookmarkEnd w:id="508"/>
    <w:bookmarkStart w:id="509" w:name="laufende-studien-und-ausblick-26"/>
    <w:p>
      <w:pPr>
        <w:pStyle w:val="Heading3"/>
      </w:pPr>
      <w:r>
        <w:t xml:space="preserve">Laufende Studien und Ausblick</w:t>
      </w:r>
    </w:p>
    <w:p>
      <w:pPr>
        <w:pStyle w:val="FirstParagraph"/>
      </w:pPr>
      <w:r>
        <w:t xml:space="preserve">Bei ClinicalTrials.gov ist im Oktober 2026 keine laufende Studie verzeichnet, die Ipamorelin als Prüfmedikament untersucht.</w:t>
      </w:r>
      <w:r>
        <w:t xml:space="preserve"> </w:t>
      </w:r>
      <w:r>
        <w:rPr>
          <w:iCs/>
          <w:i/>
        </w:rPr>
        <w:t xml:space="preserve">Einschätzung des Autors:</w:t>
      </w:r>
      <w:r>
        <w:t xml:space="preserve"> </w:t>
      </w:r>
      <w:r>
        <w:t xml:space="preserve">Nach dem negativen Ergebnis beim postoperativen Ileus fehlt ein Unternehmen, das die Substanz weiterentwickelt. Neue Daten sind am ehesten aus Fallberichten über Graumarkt-Anwendungen zu erwarten.</w:t>
      </w:r>
    </w:p>
    <w:bookmarkEnd w:id="509"/>
    <w:bookmarkStart w:id="510" w:name="fazit-26"/>
    <w:p>
      <w:pPr>
        <w:pStyle w:val="Heading3"/>
      </w:pPr>
      <w:r>
        <w:t xml:space="preserve">Fazit</w:t>
      </w:r>
    </w:p>
    <w:p>
      <w:pPr>
        <w:pStyle w:val="FirstParagraph"/>
      </w:pPr>
      <w:r>
        <w:t xml:space="preserve">Ipamorelin ist ein gezielt entwickelter Ghrelin-Rezeptor-Agonist, der bei Tieren Wachstumshormon ohne nennenswerte Stresshormon-Ausschüttung freisetzt. Die einzige veröffentlichte Wirksamkeitsstudie am Menschen – 117 Patientinnen und Patienten nach Darmoperationen – fand keinen signifikanten Nutzen; eine größere Folgestudie blieb unveröffentlicht. Für die im Internet beworbenen Anwendungen (Muskelaufbau, Fettabbau, Schlaf, Anti-Aging) gibt es keine Humanstudien, und Graumarkt-Produkte enthalten nachweislich auch abgewandelte Moleküle.</w:t>
      </w:r>
    </w:p>
    <w:bookmarkEnd w:id="510"/>
    <w:bookmarkEnd w:id="511"/>
    <w:bookmarkStart w:id="523" w:name="ghrp-2-pralmorelin"/>
    <w:p>
      <w:pPr>
        <w:pStyle w:val="Heading2"/>
      </w:pPr>
      <w:r>
        <w:t xml:space="preserve">GHRP-2 (Pralmorelin)</w:t>
      </w:r>
    </w:p>
    <w:p>
      <w:pPr>
        <w:pStyle w:val="FirstParagraph"/>
      </w:pPr>
      <w:r>
        <w:t xml:space="preserve">GHRP-2 ist ein kleines Kunstpeptid aus sechs Aminosäuren, das die Hirnanhangdrüse kräftiger zur Ausschüttung von Wachstumshormon anregt als fast jeder andere bekannte Reiz. Diese Stärke hat es in Japan zu einem zugelassenen Arzneimittel gemacht – nicht als Therapie, sondern als Testsubstanz: Mit einer einzigen Injektion lässt sich prüfen, ob ein Erwachsener einen Wachstumshormon-Mangel hat. Auf dem Graumarkt wird dasselbe Peptid als „Muskel- und Anti-Aging-Peptid“ verkauft. Dafür gibt es keine Belege.</w:t>
      </w:r>
    </w:p>
    <w:bookmarkStart w:id="512" w:name="steckbrief-27"/>
    <w:p>
      <w:pPr>
        <w:pStyle w:val="Heading3"/>
      </w:pPr>
      <w:r>
        <w:t xml:space="preserve">Steckbrief</w:t>
      </w:r>
    </w:p>
    <w:p>
      <w:pPr>
        <w:numPr>
          <w:ilvl w:val="0"/>
          <w:numId w:val="1162"/>
        </w:numPr>
        <w:pStyle w:val="Compact"/>
      </w:pPr>
      <w:r>
        <w:rPr>
          <w:bCs/>
          <w:b/>
        </w:rPr>
        <w:t xml:space="preserve">Art und Struktur:</w:t>
      </w:r>
      <w:r>
        <w:t xml:space="preserve"> </w:t>
      </w:r>
      <w:r>
        <w:t xml:space="preserve">synthetisches Hexapeptid (D-Ala-D-2-Nal-Ala-Trp-D-Phe-Lys-NH2) mit mehreren nicht natürlichen Aminosäuren; Entwicklungsnamen KP-102 und GPA-748, internationaler Freiname Pralmorelin (Doi 2004, PMID 15646370).</w:t>
      </w:r>
    </w:p>
    <w:p>
      <w:pPr>
        <w:numPr>
          <w:ilvl w:val="0"/>
          <w:numId w:val="1162"/>
        </w:numPr>
        <w:pStyle w:val="Compact"/>
      </w:pPr>
      <w:r>
        <w:rPr>
          <w:bCs/>
          <w:b/>
        </w:rPr>
        <w:t xml:space="preserve">Herkunft:</w:t>
      </w:r>
      <w:r>
        <w:t xml:space="preserve"> </w:t>
      </w:r>
      <w:r>
        <w:t xml:space="preserve">entwickelt in den 1990er-Jahren aus der von Cyril Bowers (Tulane University, USA) begründeten Reihe der GH-freisetzenden Peptide; Rechte bei Kaken (Japan) (anonymes Wirkstoffprofil in Drugs R D 2004, PMID 15230633).</w:t>
      </w:r>
    </w:p>
    <w:p>
      <w:pPr>
        <w:numPr>
          <w:ilvl w:val="0"/>
          <w:numId w:val="1162"/>
        </w:numPr>
        <w:pStyle w:val="Compact"/>
      </w:pPr>
      <w:r>
        <w:rPr>
          <w:bCs/>
          <w:b/>
        </w:rPr>
        <w:t xml:space="preserve">Wirkprinzip:</w:t>
      </w:r>
      <w:r>
        <w:t xml:space="preserve"> </w:t>
      </w:r>
      <w:r>
        <w:t xml:space="preserve">Agonist am Ghrelin-Rezeptor (GHS-R1a) in Hirnanhangdrüse und Zwischenhirn; setzt Wachstumshormon frei, in geringerem Maß auch ACTH, Cortisol und Prolaktin; steigert den Appetit.</w:t>
      </w:r>
    </w:p>
    <w:p>
      <w:pPr>
        <w:numPr>
          <w:ilvl w:val="0"/>
          <w:numId w:val="1162"/>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w:t>
      </w:r>
      <w:r>
        <w:t xml:space="preserve"> </w:t>
      </w:r>
      <w:r>
        <w:rPr>
          <w:bCs/>
          <w:b/>
        </w:rPr>
        <w:t xml:space="preserve">Japan:</w:t>
      </w:r>
      <w:r>
        <w:t xml:space="preserve"> </w:t>
      </w:r>
      <w:r>
        <w:t xml:space="preserve">als Diagnostikum für die Funktion der Hirnanhangdrüse zugelassen (Stand 2026, bitte prüfen).</w:t>
      </w:r>
    </w:p>
    <w:p>
      <w:pPr>
        <w:numPr>
          <w:ilvl w:val="0"/>
          <w:numId w:val="1162"/>
        </w:numPr>
        <w:pStyle w:val="Compact"/>
      </w:pPr>
      <w:r>
        <w:rPr>
          <w:bCs/>
          <w:b/>
        </w:rPr>
        <w:t xml:space="preserve">WADA:</w:t>
      </w:r>
      <w:r>
        <w:t xml:space="preserve"> </w:t>
      </w:r>
      <w:r>
        <w:t xml:space="preserve">verboten, Gruppe S2 – GHRP-2 (Pralmorelin) wird als Wachstumshormon-freisetzendes Peptid ausdrücklich genannt.</w:t>
      </w:r>
    </w:p>
    <w:p>
      <w:pPr>
        <w:numPr>
          <w:ilvl w:val="0"/>
          <w:numId w:val="1162"/>
        </w:numPr>
        <w:pStyle w:val="Compact"/>
      </w:pPr>
      <w:r>
        <w:rPr>
          <w:bCs/>
          <w:b/>
        </w:rPr>
        <w:t xml:space="preserve">Evidenzstufe: B</w:t>
      </w:r>
      <w:r>
        <w:t xml:space="preserve"> </w:t>
      </w:r>
      <w:r>
        <w:t xml:space="preserve">– zahlreiche kleine randomisierte Studien zur Hormonphysiologie und eine Validierungsstudie als Diagnostikum; keine randomisierte Studie zu einem therapeutischen Nutzen.</w:t>
      </w:r>
    </w:p>
    <w:bookmarkEnd w:id="512"/>
    <w:bookmarkStart w:id="513" w:name="wie-es-wirken-soll-27"/>
    <w:p>
      <w:pPr>
        <w:pStyle w:val="Heading3"/>
      </w:pPr>
      <w:r>
        <w:t xml:space="preserve">Wie es wirken soll</w:t>
      </w:r>
    </w:p>
    <w:p>
      <w:pPr>
        <w:pStyle w:val="FirstParagraph"/>
      </w:pPr>
      <w:r>
        <w:t xml:space="preserve">GHRP-2 ahmt Ghrelin nach, das Hungerhormon aus dem Magen, das zugleich die Wachstumshormon-Ausschüttung steuert (Kojima 1999, PMID 10604470). Historisch war es umgekehrt: Die synthetischen GHRPs waren zuerst da, ihr Rezeptor wurde gefunden, und erst danach entdeckte man Ghrelin als dessen natürlichen Schlüssel.</w:t>
      </w:r>
    </w:p>
    <w:p>
      <w:pPr>
        <w:pStyle w:val="BodyText"/>
      </w:pPr>
      <w:r>
        <w:t xml:space="preserve">GHRP-2 wirkt auf zwei Ebenen: direkt an der Hirnanhangdrüse und indirekt über das Zwischenhirn, wo es die Bremse Somatostatin abschwächt und das körpereigene GHRH unterstützt. Für die volle Wirkung braucht es deshalb ein intaktes Zwischenhirn: Bei Ratten ohne Hirnanhangdrüse wirkte es gar nicht, bei Ratten mit zerstörter Verbindung zwischen Zwischenhirn und Hypophyse nur abgeschwächt (Doi 2004, PMID 15646370). Gibt man GHRP-2 und GHRH zusammen, ist die Ausschüttung deutlich größer als die Summe der Einzelwirkungen.</w:t>
      </w:r>
    </w:p>
    <w:bookmarkEnd w:id="513"/>
    <w:bookmarkStart w:id="517" w:name="studien-am-menschen-27"/>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55</w:t>
      </w:r>
      <w:r>
        <w:t xml:space="preserve"> </w:t>
      </w:r>
      <w:r>
        <w:t xml:space="preserve">Humanstudien in PubMed (</w:t>
      </w:r>
      <w:r>
        <w:rPr>
          <w:rStyle w:val="VerbatimChar"/>
        </w:rPr>
        <w:t xml:space="preserve">humanstudien_alle</w:t>
      </w:r>
      <w:r>
        <w:t xml:space="preserve">) und</w:t>
      </w:r>
      <w:r>
        <w:t xml:space="preserve"> </w:t>
      </w:r>
      <w:r>
        <w:rPr>
          <w:bCs/>
          <w:b/>
        </w:rPr>
        <w:t xml:space="preserve">keinen</w:t>
      </w:r>
      <w:r>
        <w:t xml:space="preserve"> </w:t>
      </w:r>
      <w:r>
        <w:t xml:space="preserve">Eintrag bei ClinicalTrials.gov. Die große Zahl täuscht: Die meisten Arbeiten (vor allem einer Forschungsgruppe der Mayo Clinic) nutzen GHRP-2 als Werkzeug, um die Steuerung der Wachstumshormon-Ausschüttung bei Frauen und Männern, unter Sexualhormonen oder im Alter zu untersuchen. Sie sagen nichts über einen Nutzen für die Gesundheit aus.</w:t>
      </w:r>
    </w:p>
    <w:bookmarkStart w:id="514" w:name="diagnostik-des-wachstumshormon-mangels"/>
    <w:p>
      <w:pPr>
        <w:pStyle w:val="Heading4"/>
      </w:pPr>
      <w:r>
        <w:t xml:space="preserve">Diagnostik des Wachstumshormon-Mangels</w:t>
      </w:r>
    </w:p>
    <w:p>
      <w:pPr>
        <w:pStyle w:val="FirstParagraph"/>
      </w:pPr>
      <w:r>
        <w:t xml:space="preserve">Die wichtigste Anwendung ist der GHRP-2-Test. In einer japanischen Validierungsstudie erhielten 77 Gesunde und 58 Patientinnen und Patienten mit gesichertem schwerem Wachstumshormon-Mangel eine intravenöse Einzeldosis. Der GH-Gipfel lag bei den Gesunden im Mittel bei 84,6 µg/l, bei den Betroffenen bei 1,36 µg/l. Der Test war gut wiederholbar und wurde durch Alter und Übergewicht nur wenig beeinflusst; ein Grenzwert von 15 µg/l entsprach dem gebräuchlichen Grenzwert des Insulin-Hypoglykämie-Tests (Chihara 2007, PMID 17609397). In einem Vergleich bei 71 Menschen mit Hypophysentumoren erreichte der GHRP-2-Test gegenüber dem Insulintest eine Sensitivität von 81,3 % und eine Spezifität von 94,5 % (Kinoshita 2013, PMID 23079545).</w:t>
      </w:r>
    </w:p>
    <w:p>
      <w:pPr>
        <w:pStyle w:val="BodyText"/>
      </w:pPr>
      <w:r>
        <w:t xml:space="preserve">Weil GHRP-2 auch ACTH freisetzt, wurde geprüft, ob der Test zusätzlich eine Unterfunktion der Nebennieren-Achse erkennt. Die Ergebnisse sind gemischt: In einer Studie mit 47 Personen erreichte er eine Sensitivität von 89,7 % (Arimura 2016, PMID 27020037); in einer größeren Auswertung von 254 Personen war er insgesamt nicht ausreichend zuverlässig (Sensitivität 64 %, Spezifität 79 %), nur bei Männern ohne hormonaktiven Tumor schnitt er gut ab (Hayakawa 2018, PMID 30324179).</w:t>
      </w:r>
    </w:p>
    <w:bookmarkEnd w:id="514"/>
    <w:bookmarkStart w:id="515" w:name="behandlungsversuche-bei-kindern"/>
    <w:p>
      <w:pPr>
        <w:pStyle w:val="Heading4"/>
      </w:pPr>
      <w:r>
        <w:t xml:space="preserve">Behandlungsversuche bei Kindern</w:t>
      </w:r>
    </w:p>
    <w:p>
      <w:pPr>
        <w:pStyle w:val="FirstParagraph"/>
      </w:pPr>
      <w:r>
        <w:t xml:space="preserve">In den 1990er-Jahren wurde GHRP-2 als Therapie für kleinwüchsige Kinder erprobt. Bei sechs Kindern mit Wachstumshormon-Mangel stieg die nächtliche GH-Ausschüttung dosisabhängig, IGF-1 aber nicht; die Wachstumsgeschwindigkeit war während der Behandlung höher (Mericq 1998, PMID 9661608). Als Nasenspray erhöhte GHRP-2 bei 15 Kindern die Wachstumsgeschwindigkeit von 3,7 auf 6,1 cm pro Jahr, wiederum ohne Anstieg von IGF-1 (Pihoker 1997, PMID 9390009). Bei zehn Kindern, die GHRP-2 zwölf Monate als Tablette erhielten, berichteten sieben über deutlich mehr Appetit in den ersten Monaten (Mericq 2003, PMID 14513874). Eine Weiterentwicklung zur Therapie wurde in den USA eingestellt (anonymes Wirkstoffprofil in Drugs R D 2004, PMID 15230633).</w:t>
      </w:r>
    </w:p>
    <w:bookmarkEnd w:id="515"/>
    <w:bookmarkStart w:id="516" w:name="appetit-und-intensivmedizin"/>
    <w:p>
      <w:pPr>
        <w:pStyle w:val="Heading4"/>
      </w:pPr>
      <w:r>
        <w:t xml:space="preserve">Appetit und Intensivmedizin</w:t>
      </w:r>
    </w:p>
    <w:p>
      <w:pPr>
        <w:pStyle w:val="FirstParagraph"/>
      </w:pPr>
      <w:r>
        <w:t xml:space="preserve">Bei 19 schlanken und übergewichtigen Erwachsenen steigerte eine Infusion von GHRP-2 die frei gewählte Essensmenge dosisabhängig um 10,2 % bzw. 33,5 % gegenüber Placebo (Laferrère 2006, PMID 16861611). Bei 14 Langzeit-Intensivpatientinnen und -patienten reaktivierte eine fünftägige Infusion von GHRP-2 zusammen mit dem Schilddrüsen-Freisetzungshormon TRH die unterdrückte GH- und Schilddrüsenachse und verschob Stoffwechselmarker in Richtung Aufbau (Van den Berghe 1999, PMID 10199772). Ob das die Überlebenschancen ändert, wurde nie in einer Endpunktstudie geprüft.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Diagnostik (Chihara 2007), PMID 17609397</w:t>
            </w:r>
          </w:p>
        </w:tc>
        <w:tc>
          <w:tcPr/>
          <w:p>
            <w:pPr>
              <w:pStyle w:val="Compact"/>
              <w:jc w:val="left"/>
            </w:pPr>
            <w:r>
              <w:t xml:space="preserve">77 Gesunde, 58 Betroffene mit GH-Mangel, kontrollierte Validierung</w:t>
            </w:r>
          </w:p>
        </w:tc>
        <w:tc>
          <w:tcPr/>
          <w:p>
            <w:pPr>
              <w:pStyle w:val="Compact"/>
              <w:jc w:val="left"/>
            </w:pPr>
            <w:r>
              <w:t xml:space="preserve">Einzeltest</w:t>
            </w:r>
          </w:p>
        </w:tc>
        <w:tc>
          <w:tcPr/>
          <w:p>
            <w:pPr>
              <w:pStyle w:val="Compact"/>
              <w:jc w:val="left"/>
            </w:pPr>
            <w:r>
              <w:t xml:space="preserve">GH-Gipfel 84,6 vs. 1,36 µg/l; Grenzwert 15 µg/l</w:t>
            </w:r>
          </w:p>
        </w:tc>
      </w:tr>
      <w:tr>
        <w:tc>
          <w:tcPr/>
          <w:p>
            <w:pPr>
              <w:pStyle w:val="Compact"/>
              <w:jc w:val="left"/>
            </w:pPr>
            <w:r>
              <w:t xml:space="preserve">Diagnostik (Kinoshita 2013), PMID 23079545</w:t>
            </w:r>
          </w:p>
        </w:tc>
        <w:tc>
          <w:tcPr/>
          <w:p>
            <w:pPr>
              <w:pStyle w:val="Compact"/>
              <w:jc w:val="left"/>
            </w:pPr>
            <w:r>
              <w:t xml:space="preserve">71 Personen mit Hypophysentumoren, Vergleich mit Insulintest</w:t>
            </w:r>
          </w:p>
        </w:tc>
        <w:tc>
          <w:tcPr/>
          <w:p>
            <w:pPr>
              <w:pStyle w:val="Compact"/>
              <w:jc w:val="left"/>
            </w:pPr>
            <w:r>
              <w:t xml:space="preserve">Einzeltest</w:t>
            </w:r>
          </w:p>
        </w:tc>
        <w:tc>
          <w:tcPr/>
          <w:p>
            <w:pPr>
              <w:pStyle w:val="Compact"/>
              <w:jc w:val="left"/>
            </w:pPr>
            <w:r>
              <w:t xml:space="preserve">Sensitivität 81,3 %, Spezifität 94,5 %</w:t>
            </w:r>
          </w:p>
        </w:tc>
      </w:tr>
      <w:tr>
        <w:tc>
          <w:tcPr/>
          <w:p>
            <w:pPr>
              <w:pStyle w:val="Compact"/>
              <w:jc w:val="left"/>
            </w:pPr>
            <w:r>
              <w:t xml:space="preserve">Kinder, Nasenspray (Pihoker 1997), PMID 9390009</w:t>
            </w:r>
          </w:p>
        </w:tc>
        <w:tc>
          <w:tcPr/>
          <w:p>
            <w:pPr>
              <w:pStyle w:val="Compact"/>
              <w:jc w:val="left"/>
            </w:pPr>
            <w:r>
              <w:t xml:space="preserve">15 kleinwüchsige Kinder, ohne Kontrollgruppe</w:t>
            </w:r>
          </w:p>
        </w:tc>
        <w:tc>
          <w:tcPr/>
          <w:p>
            <w:pPr>
              <w:pStyle w:val="Compact"/>
              <w:jc w:val="left"/>
            </w:pPr>
            <w:r>
              <w:t xml:space="preserve">6–24 Monate</w:t>
            </w:r>
          </w:p>
        </w:tc>
        <w:tc>
          <w:tcPr/>
          <w:p>
            <w:pPr>
              <w:pStyle w:val="Compact"/>
              <w:jc w:val="left"/>
            </w:pPr>
            <w:r>
              <w:t xml:space="preserve">Wachstum 3,7 → 6,1 cm/Jahr</w:t>
            </w:r>
          </w:p>
        </w:tc>
      </w:tr>
      <w:tr>
        <w:tc>
          <w:tcPr/>
          <w:p>
            <w:pPr>
              <w:pStyle w:val="Compact"/>
              <w:jc w:val="left"/>
            </w:pPr>
            <w:r>
              <w:t xml:space="preserve">Appetit (Laferrère 2006), PMID 16861611</w:t>
            </w:r>
          </w:p>
        </w:tc>
        <w:tc>
          <w:tcPr/>
          <w:p>
            <w:pPr>
              <w:pStyle w:val="Compact"/>
              <w:jc w:val="left"/>
            </w:pPr>
            <w:r>
              <w:t xml:space="preserve">19 Erwachsene, RCT-Überkreuzdesign gegen Placebo</w:t>
            </w:r>
          </w:p>
        </w:tc>
        <w:tc>
          <w:tcPr/>
          <w:p>
            <w:pPr>
              <w:pStyle w:val="Compact"/>
              <w:jc w:val="left"/>
            </w:pPr>
            <w:r>
              <w:t xml:space="preserve">3 Einzelinfusionen</w:t>
            </w:r>
          </w:p>
        </w:tc>
        <w:tc>
          <w:tcPr/>
          <w:p>
            <w:pPr>
              <w:pStyle w:val="Compact"/>
              <w:jc w:val="left"/>
            </w:pPr>
            <w:r>
              <w:t xml:space="preserve">Essensmenge +10,2 % bzw. +33,5 %</w:t>
            </w:r>
          </w:p>
        </w:tc>
      </w:tr>
      <w:tr>
        <w:tc>
          <w:tcPr/>
          <w:p>
            <w:pPr>
              <w:pStyle w:val="Compact"/>
              <w:jc w:val="left"/>
            </w:pPr>
            <w:r>
              <w:t xml:space="preserve">Intensivmedizin (Van den Berghe 1999), PMID 10199772</w:t>
            </w:r>
          </w:p>
        </w:tc>
        <w:tc>
          <w:tcPr/>
          <w:p>
            <w:pPr>
              <w:pStyle w:val="Compact"/>
              <w:jc w:val="left"/>
            </w:pPr>
            <w:r>
              <w:t xml:space="preserve">14 Langzeit-Intensivpatienten, randomisiertes Überkreuzdesign</w:t>
            </w:r>
          </w:p>
        </w:tc>
        <w:tc>
          <w:tcPr/>
          <w:p>
            <w:pPr>
              <w:pStyle w:val="Compact"/>
              <w:jc w:val="left"/>
            </w:pPr>
            <w:r>
              <w:t xml:space="preserve">5 Tage</w:t>
            </w:r>
          </w:p>
        </w:tc>
        <w:tc>
          <w:tcPr/>
          <w:p>
            <w:pPr>
              <w:pStyle w:val="Compact"/>
              <w:jc w:val="left"/>
            </w:pPr>
            <w:r>
              <w:t xml:space="preserve">GH- und Schilddrüsenachse reaktiviert</w:t>
            </w:r>
          </w:p>
        </w:tc>
      </w:tr>
    </w:tbl>
    <w:bookmarkEnd w:id="516"/>
    <w:bookmarkEnd w:id="517"/>
    <w:bookmarkStart w:id="518" w:name="tier--und-laborstudien-27"/>
    <w:p>
      <w:pPr>
        <w:pStyle w:val="Heading3"/>
      </w:pPr>
      <w:r>
        <w:t xml:space="preserve">Tier- und Laborstudien</w:t>
      </w:r>
    </w:p>
    <w:p>
      <w:pPr>
        <w:pStyle w:val="FirstParagraph"/>
      </w:pPr>
      <w:r>
        <w:t xml:space="preserve">Bei wachen Ratten setzte GHRP-2 mehr Wachstumshormon frei als GHRH und wirkte auch bei Hunden, bei denen GHRH versagte; es steigerte bei Ratten ACTH und Corticosteron, nicht aber Prolaktin, und beschleunigte über drei Wochen das Wachstum (Doi 2004, PMID 15646370). Bei Schweinen war GHRP-2 in einer Vergleichsstudie besonders potent, setzte aber anders als Ipamorelin auch ACTH und Cortisol frei (Raun 1998, PMID 9849822).</w:t>
      </w:r>
    </w:p>
    <w:bookmarkEnd w:id="518"/>
    <w:bookmarkStart w:id="519" w:name="risiken-und-nebenwirkungen-27"/>
    <w:p>
      <w:pPr>
        <w:pStyle w:val="Heading3"/>
      </w:pPr>
      <w:r>
        <w:t xml:space="preserve">Risiken und Nebenwirkungen</w:t>
      </w:r>
    </w:p>
    <w:p>
      <w:pPr>
        <w:pStyle w:val="FirstParagraph"/>
      </w:pPr>
      <w:r>
        <w:rPr>
          <w:bCs/>
          <w:b/>
        </w:rPr>
        <w:t xml:space="preserve">Belegt:</w:t>
      </w:r>
      <w:r>
        <w:t xml:space="preserve"> </w:t>
      </w:r>
      <w:r>
        <w:t xml:space="preserve">In den Studien wurde GHRP-2 kurzfristig gut vertragen. Wiederholt beschrieben sind ein gesteigerter Appetit (Mericq 2003, PMID 14513874; Laferrère 2006, PMID 16861611) sowie die Freisetzung von ACTH und Cortisol (Arimura 2016, PMID 27020037). Eine Übersicht über GH-Freisetzer nennt außerdem einen möglichen Anstieg des Blutzuckers durch verminderte Insulinempfindlichkeit und fordert Langzeitdaten zu Krebs und Sterblichkeit (Sigalos 2018, PMID 28400207).</w:t>
      </w:r>
    </w:p>
    <w:p>
      <w:pPr>
        <w:pStyle w:val="BodyText"/>
      </w:pPr>
      <w:r>
        <w:rPr>
          <w:bCs/>
          <w:b/>
        </w:rPr>
        <w:t xml:space="preserve">Unbekannt:</w:t>
      </w:r>
      <w:r>
        <w:t xml:space="preserve"> </w:t>
      </w:r>
      <w:r>
        <w:t xml:space="preserve">Daten zur Anwendung über Monate oder Jahre bei Erwachsenen gibt es nicht. Zur Frage, ob ein dauerhaft erhöhtes Wachstumshormon/IGF-1 das Krebsrisiko steigert, siehe die Einleitung dieser Gruppe und Teil IV.</w:t>
      </w:r>
    </w:p>
    <w:p>
      <w:pPr>
        <w:pStyle w:val="BodyText"/>
      </w:pPr>
      <w:r>
        <w:rPr>
          <w:bCs/>
          <w:b/>
        </w:rPr>
        <w:t xml:space="preserve">Graumarkt:</w:t>
      </w:r>
      <w:r>
        <w:t xml:space="preserve"> </w:t>
      </w:r>
      <w:r>
        <w:t xml:space="preserve">In beschlagnahmten Produkten wurde „Gly-GHRP-2“ gefunden, also GHRP-2 mit einer zusätzlichen Aminosäure, die nicht deklariert war (Krug 2018, PMID 29864719; Gajda 2019, PMID 30136411).</w:t>
      </w:r>
    </w:p>
    <w:bookmarkEnd w:id="519"/>
    <w:bookmarkStart w:id="520" w:name="rechtslage-27"/>
    <w:p>
      <w:pPr>
        <w:pStyle w:val="Heading3"/>
      </w:pPr>
      <w:r>
        <w:t xml:space="preserve">Rechtslage</w:t>
      </w:r>
    </w:p>
    <w:p>
      <w:pPr>
        <w:pStyle w:val="FirstParagraph"/>
      </w:pPr>
      <w:r>
        <w:rPr>
          <w:iCs/>
          <w:i/>
        </w:rPr>
        <w:t xml:space="preserve">Stand 2026, bitte aktuell prüfen.</w:t>
      </w:r>
    </w:p>
    <w:p>
      <w:pPr>
        <w:numPr>
          <w:ilvl w:val="0"/>
          <w:numId w:val="1163"/>
        </w:numPr>
        <w:pStyle w:val="Compact"/>
      </w:pPr>
      <w:r>
        <w:rPr>
          <w:bCs/>
          <w:b/>
        </w:rPr>
        <w:t xml:space="preserve">Japan:</w:t>
      </w:r>
      <w:r>
        <w:t xml:space="preserve"> </w:t>
      </w:r>
      <w:r>
        <w:t xml:space="preserve">als Diagnostikum zugelassen; Anwendung ausschließlich im Rahmen ärztlicher Funktionstests.</w:t>
      </w:r>
    </w:p>
    <w:p>
      <w:pPr>
        <w:numPr>
          <w:ilvl w:val="0"/>
          <w:numId w:val="1163"/>
        </w:numPr>
        <w:pStyle w:val="Compact"/>
      </w:pPr>
      <w:r>
        <w:rPr>
          <w:bCs/>
          <w:b/>
        </w:rPr>
        <w:t xml:space="preserve">EU, Deutschland, Österreich:</w:t>
      </w:r>
      <w:r>
        <w:t xml:space="preserve"> </w:t>
      </w:r>
      <w:r>
        <w:t xml:space="preserve">keine Zulassung; Abgabe zur Anwendung am Menschen unzulässig.</w:t>
      </w:r>
    </w:p>
    <w:p>
      <w:pPr>
        <w:numPr>
          <w:ilvl w:val="0"/>
          <w:numId w:val="1163"/>
        </w:numPr>
        <w:pStyle w:val="Compact"/>
      </w:pPr>
      <w:r>
        <w:rPr>
          <w:bCs/>
          <w:b/>
        </w:rPr>
        <w:t xml:space="preserve">USA:</w:t>
      </w:r>
      <w:r>
        <w:t xml:space="preserve"> </w:t>
      </w:r>
      <w:r>
        <w:t xml:space="preserve">keine Zulassung.</w:t>
      </w:r>
    </w:p>
    <w:p>
      <w:pPr>
        <w:numPr>
          <w:ilvl w:val="0"/>
          <w:numId w:val="1163"/>
        </w:numPr>
        <w:pStyle w:val="Compact"/>
      </w:pPr>
      <w:r>
        <w:rPr>
          <w:bCs/>
          <w:b/>
        </w:rPr>
        <w:t xml:space="preserve">WADA:</w:t>
      </w:r>
      <w:r>
        <w:t xml:space="preserve"> </w:t>
      </w:r>
      <w:r>
        <w:t xml:space="preserve">verboten (S2). GHRP-2 und seine Abbauprodukte sind nach Gabe als Nasenspray bei einem Freiwilligen bis zu 47 Stunden im Urin nachweisbar (Semenistaya 2015, PMID 25869809).</w:t>
      </w:r>
    </w:p>
    <w:bookmarkEnd w:id="520"/>
    <w:bookmarkStart w:id="521" w:name="laufende-studien-und-ausblick-27"/>
    <w:p>
      <w:pPr>
        <w:pStyle w:val="Heading3"/>
      </w:pPr>
      <w:r>
        <w:t xml:space="preserve">Laufende Studien und Ausblick</w:t>
      </w:r>
    </w:p>
    <w:p>
      <w:pPr>
        <w:pStyle w:val="FirstParagraph"/>
      </w:pPr>
      <w:r>
        <w:t xml:space="preserve">Bei ClinicalTrials.gov ist im Oktober 2026 keine Studie mit GHRP-2 oder Pralmorelin eingetragen.</w:t>
      </w:r>
      <w:r>
        <w:t xml:space="preserve"> </w:t>
      </w:r>
      <w:r>
        <w:rPr>
          <w:iCs/>
          <w:i/>
        </w:rPr>
        <w:t xml:space="preserve">Einschätzung des Autors:</w:t>
      </w:r>
      <w:r>
        <w:t xml:space="preserve"> </w:t>
      </w:r>
      <w:r>
        <w:t xml:space="preserve">GHRP-2 wird ein Werkzeug der Diagnostik in Japan und der Hormonforschung bleiben. In anderen Ländern konkurriert es als Testsubstanz mit dem in Tablettenform verfügbaren Macimorelin.</w:t>
      </w:r>
    </w:p>
    <w:bookmarkEnd w:id="521"/>
    <w:bookmarkStart w:id="522" w:name="fazit-27"/>
    <w:p>
      <w:pPr>
        <w:pStyle w:val="Heading3"/>
      </w:pPr>
      <w:r>
        <w:t xml:space="preserve">Fazit</w:t>
      </w:r>
    </w:p>
    <w:p>
      <w:pPr>
        <w:pStyle w:val="FirstParagraph"/>
      </w:pPr>
      <w:r>
        <w:t xml:space="preserve">GHRP-2 ist einer der stärksten bekannten Auslöser der Wachstumshormon-Ausschüttung und in Japan als Diagnostikum für den Wachstumshormon-Mangel etabliert. Behandlungsversuche bei Kindern zeigten nur bescheidene Effekte und wurden nicht weiterverfolgt. Für Muskelaufbau, Fettabbau oder „Anti-Aging“ bei Gesunden gibt es keine Studien; belegt sind dagegen Nebeneffekte wie Heißhunger und eine Aktivierung der Stresshormone.</w:t>
      </w:r>
    </w:p>
    <w:bookmarkEnd w:id="522"/>
    <w:bookmarkEnd w:id="523"/>
    <w:bookmarkStart w:id="534" w:name="ghrp-6"/>
    <w:p>
      <w:pPr>
        <w:pStyle w:val="Heading2"/>
      </w:pPr>
      <w:r>
        <w:t xml:space="preserve">GHRP-6</w:t>
      </w:r>
    </w:p>
    <w:p>
      <w:pPr>
        <w:pStyle w:val="FirstParagraph"/>
      </w:pPr>
      <w:r>
        <w:t xml:space="preserve">GHRP-6 ist der Urahn aller Wachstumshormon-freisetzenden Peptide. 1984 beschrieb der US-Endokrinologe Cyril Bowers ein künstliches Hexapeptid, das gezielt Wachstumshormon freisetzt – 15 Jahre bevor man den natürlichen Gegenspieler Ghrelin kannte. In der Forschung wurde GHRP-6 zum Standardwerkzeug, um die Wachstumshormon-Achse zu testen. In Bodybuilding-Kreisen gilt es dagegen als preiswerter GH-Booster mit dem Nebeneffekt „Heißhunger“. Ein Arzneimittel ist daraus nie geworden.</w:t>
      </w:r>
    </w:p>
    <w:bookmarkStart w:id="524" w:name="steckbrief-28"/>
    <w:p>
      <w:pPr>
        <w:pStyle w:val="Heading3"/>
      </w:pPr>
      <w:r>
        <w:t xml:space="preserve">Steckbrief</w:t>
      </w:r>
    </w:p>
    <w:p>
      <w:pPr>
        <w:numPr>
          <w:ilvl w:val="0"/>
          <w:numId w:val="1164"/>
        </w:numPr>
        <w:pStyle w:val="Compact"/>
      </w:pPr>
      <w:r>
        <w:rPr>
          <w:bCs/>
          <w:b/>
        </w:rPr>
        <w:t xml:space="preserve">Art und Struktur:</w:t>
      </w:r>
      <w:r>
        <w:t xml:space="preserve"> </w:t>
      </w:r>
      <w:r>
        <w:t xml:space="preserve">synthetisches Hexapeptid His-D-Trp-Ala-Trp-D-Phe-Lys-NH2 mit zwei nicht natürlichen D-Aminosäuren (Bowers 1984, PMID 6714155).</w:t>
      </w:r>
    </w:p>
    <w:p>
      <w:pPr>
        <w:numPr>
          <w:ilvl w:val="0"/>
          <w:numId w:val="1164"/>
        </w:numPr>
        <w:pStyle w:val="Compact"/>
      </w:pPr>
      <w:r>
        <w:rPr>
          <w:bCs/>
          <w:b/>
        </w:rPr>
        <w:t xml:space="preserve">Herkunft:</w:t>
      </w:r>
      <w:r>
        <w:t xml:space="preserve"> </w:t>
      </w:r>
      <w:r>
        <w:t xml:space="preserve">Tulane University (USA), Anfang der 1980er-Jahre.</w:t>
      </w:r>
    </w:p>
    <w:p>
      <w:pPr>
        <w:numPr>
          <w:ilvl w:val="0"/>
          <w:numId w:val="1164"/>
        </w:numPr>
        <w:pStyle w:val="Compact"/>
      </w:pPr>
      <w:r>
        <w:rPr>
          <w:bCs/>
          <w:b/>
        </w:rPr>
        <w:t xml:space="preserve">Wirkprinzip:</w:t>
      </w:r>
      <w:r>
        <w:t xml:space="preserve"> </w:t>
      </w:r>
      <w:r>
        <w:t xml:space="preserve">Agonist am Ghrelin-Rezeptor (GHS-R1a) in Hirnanhangdrüse und Zwischenhirn; setzt Wachstumshormon frei, daneben ACTH, Cortisol und Prolaktin; steigert den Appetit.</w:t>
      </w:r>
    </w:p>
    <w:p>
      <w:pPr>
        <w:numPr>
          <w:ilvl w:val="0"/>
          <w:numId w:val="1164"/>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 Auch sonst nirgends als Arzneimittel zugelassen (Stand 2026).</w:t>
      </w:r>
    </w:p>
    <w:p>
      <w:pPr>
        <w:numPr>
          <w:ilvl w:val="0"/>
          <w:numId w:val="1164"/>
        </w:numPr>
        <w:pStyle w:val="Compact"/>
      </w:pPr>
      <w:r>
        <w:rPr>
          <w:bCs/>
          <w:b/>
        </w:rPr>
        <w:t xml:space="preserve">WADA:</w:t>
      </w:r>
      <w:r>
        <w:t xml:space="preserve"> </w:t>
      </w:r>
      <w:r>
        <w:t xml:space="preserve">verboten, Gruppe S2 – GHRP-6 wird als Wachstumshormon-freisetzendes Peptid ausdrücklich genannt.</w:t>
      </w:r>
    </w:p>
    <w:p>
      <w:pPr>
        <w:numPr>
          <w:ilvl w:val="0"/>
          <w:numId w:val="1164"/>
        </w:numPr>
        <w:pStyle w:val="Compact"/>
      </w:pPr>
      <w:r>
        <w:rPr>
          <w:bCs/>
          <w:b/>
        </w:rPr>
        <w:t xml:space="preserve">Evidenzstufe: C</w:t>
      </w:r>
      <w:r>
        <w:t xml:space="preserve"> </w:t>
      </w:r>
      <w:r>
        <w:t xml:space="preserve">– viele kleine Studien zur Hormonphysiologie und Diagnostik mit jeweils 10 bis 250 Personen, aber keine einzige kontrollierte Studie zu einem therapeutischen Nutzen.</w:t>
      </w:r>
    </w:p>
    <w:bookmarkEnd w:id="524"/>
    <w:bookmarkStart w:id="525" w:name="wie-es-wirken-soll-28"/>
    <w:p>
      <w:pPr>
        <w:pStyle w:val="Heading3"/>
      </w:pPr>
      <w:r>
        <w:t xml:space="preserve">Wie es wirken soll</w:t>
      </w:r>
    </w:p>
    <w:p>
      <w:pPr>
        <w:pStyle w:val="FirstParagraph"/>
      </w:pPr>
      <w:r>
        <w:t xml:space="preserve">Bowers und Kollegen zeigten 1984, dass das Hexapeptid bei Ratten, Affen, Lämmern und Kälbern innerhalb von Minuten Wachstumshormon freisetzt, ohne andere Hypophysenhormone wie LH, FSH oder TSH zu beeinflussen; Ratten, die es wiederholt erhielten, nahmen stärker an Gewicht zu (Bowers 1984, PMID 6714155). Später stellte sich heraus, dass GHRP-6 am selben Rezeptor wirkt wie das Magenhormon Ghrelin (Kojima 1999, PMID 10604470).</w:t>
      </w:r>
    </w:p>
    <w:p>
      <w:pPr>
        <w:pStyle w:val="BodyText"/>
      </w:pPr>
      <w:r>
        <w:t xml:space="preserve">Wie GHRP-2 wirkt GHRP-6 am stärksten, wenn das körpereigene GHRH aus dem Zwischenhirn mitspielt. Kombiniert man beide, ist die Ausschüttung von Wachstumshormon größer als die Summe der Einzelwirkungen. Gerade diese Eigenschaft machte GHRP-6 als Diagnostikum interessant. Anders als Ipamorelin aktiviert GHRP-6 auch die Stresshormon-Achse (ACTH und Cortisol).</w:t>
      </w:r>
    </w:p>
    <w:bookmarkEnd w:id="525"/>
    <w:bookmarkStart w:id="528" w:name="studien-am-menschen-28"/>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40</w:t>
      </w:r>
      <w:r>
        <w:t xml:space="preserve"> </w:t>
      </w:r>
      <w:r>
        <w:t xml:space="preserve">Humanstudien in PubMed (</w:t>
      </w:r>
      <w:r>
        <w:rPr>
          <w:rStyle w:val="VerbatimChar"/>
        </w:rPr>
        <w:t xml:space="preserve">humanstudien_alle</w:t>
      </w:r>
      <w:r>
        <w:t xml:space="preserve">) und</w:t>
      </w:r>
      <w:r>
        <w:t xml:space="preserve"> </w:t>
      </w:r>
      <w:r>
        <w:rPr>
          <w:bCs/>
          <w:b/>
        </w:rPr>
        <w:t xml:space="preserve">keinen</w:t>
      </w:r>
      <w:r>
        <w:t xml:space="preserve"> </w:t>
      </w:r>
      <w:r>
        <w:t xml:space="preserve">Eintrag bei ClinicalTrials.gov. Fast alle Arbeiten verwenden GHRP-6 als einmal gegebene Testsubstanz, um die Hormonregulation bei Krankheiten wie Cushing-Syndrom, Schilddrüsenüberfunktion, Übergewicht oder im Alter zu untersuchen. Eine Studie dieser Liste wurde an Hunden durchgeführt.</w:t>
      </w:r>
    </w:p>
    <w:bookmarkStart w:id="526" w:name="diagnostik-des-wachstumshormon-mangels-1"/>
    <w:p>
      <w:pPr>
        <w:pStyle w:val="Heading4"/>
      </w:pPr>
      <w:r>
        <w:t xml:space="preserve">Diagnostik des Wachstumshormon-Mangels</w:t>
      </w:r>
    </w:p>
    <w:p>
      <w:pPr>
        <w:pStyle w:val="FirstParagraph"/>
      </w:pPr>
      <w:r>
        <w:t xml:space="preserve">Die bekannteste Studie erschien 2000 in der Fachzeitschrift Lancet: 125 Erwachsene mit Erkrankungen der Hirnanhangdrüse und 125 Gesunde erhielten GHRH plus GHRP-6 als Kombinationstest. Der mittlere GH-Gipfel lag bei den Gesunden bei 59,2 µg/l, bei den Betroffenen bei 4,1 µg/l; ein Grenzwert von 15 µg/l trennte beide Gruppen zuverlässig. Nebenwirkungen traten nicht auf, und Alter, Geschlecht und Körperfett beeinflussten das Ergebnis nicht (Popovic 2000, PMID 11030292). In einer kleineren deutschen Studie mit 20 Personen erkannte der Test alle Fälle eines Wachstumshormon-Mangels richtig; als einzige Nebenwirkung wurde ein Hitzegefühl (Flush) beobachtet (Petersenn 2002, PMID 11980622). Bei 21 Erwachsenen, bei denen zuvor mit herkömmlichen Tests ein Mangel festgestellt worden war, reagierten etwa 40 % auf die Kombination doch noch deutlich (Leal-Cerro 1995, PMID 7788011) – ein Hinweis darauf, dass verschiedene Tests unterschiedliche Fragen beantworten.</w:t>
      </w:r>
    </w:p>
    <w:p>
      <w:pPr>
        <w:pStyle w:val="BodyText"/>
      </w:pPr>
      <w:r>
        <w:t xml:space="preserve">Als Test für eine Unterfunktion der Nebennieren-Achse war GHRP-6 dagegen nur begrenzt brauchbar: Bei 49 Patientinnen und Patienten erreichte er im Vergleich mit dem Insulintest eine Sensitivität von 71,0 % und eine Spezifität von 77,8 % (Alaioubi 2010, PMID 19946832).</w:t>
      </w:r>
    </w:p>
    <w:bookmarkEnd w:id="526"/>
    <w:bookmarkStart w:id="527" w:name="pharmakologie-schlaf-alter"/>
    <w:p>
      <w:pPr>
        <w:pStyle w:val="Heading4"/>
      </w:pPr>
      <w:r>
        <w:t xml:space="preserve">Pharmakologie, Schlaf, Alter</w:t>
      </w:r>
    </w:p>
    <w:p>
      <w:pPr>
        <w:numPr>
          <w:ilvl w:val="0"/>
          <w:numId w:val="1165"/>
        </w:numPr>
        <w:pStyle w:val="Compact"/>
      </w:pPr>
      <w:r>
        <w:rPr>
          <w:bCs/>
          <w:b/>
        </w:rPr>
        <w:t xml:space="preserve">Pharmakokinetik:</w:t>
      </w:r>
      <w:r>
        <w:t xml:space="preserve"> </w:t>
      </w:r>
      <w:r>
        <w:t xml:space="preserve">Bei neun gesunden Männern betrug die Eliminations-Halbwertszeit nach intravenöser Gabe im Mittel 2,5 Stunden (Cabrales 2013, PMID 23099431).</w:t>
      </w:r>
    </w:p>
    <w:p>
      <w:pPr>
        <w:numPr>
          <w:ilvl w:val="0"/>
          <w:numId w:val="1165"/>
        </w:numPr>
        <w:pStyle w:val="Compact"/>
      </w:pPr>
      <w:r>
        <w:rPr>
          <w:bCs/>
          <w:b/>
        </w:rPr>
        <w:t xml:space="preserve">Schlaf:</w:t>
      </w:r>
      <w:r>
        <w:t xml:space="preserve"> </w:t>
      </w:r>
      <w:r>
        <w:t xml:space="preserve">Bei gesunden Männern steigerte GHRP-6 nachts Wachstumshormon, ACTH und Cortisol und verlängerte den leichten Schlaf (Stadium 2), nicht aber den Tiefschlaf (Frieboes 1995, PMID 7617137).</w:t>
      </w:r>
    </w:p>
    <w:p>
      <w:pPr>
        <w:numPr>
          <w:ilvl w:val="0"/>
          <w:numId w:val="1165"/>
        </w:numPr>
        <w:pStyle w:val="Compact"/>
      </w:pPr>
      <w:r>
        <w:rPr>
          <w:bCs/>
          <w:b/>
        </w:rPr>
        <w:t xml:space="preserve">Alter:</w:t>
      </w:r>
      <w:r>
        <w:t xml:space="preserve"> </w:t>
      </w:r>
      <w:r>
        <w:t xml:space="preserve">Bei jeweils neun jungen und älteren Erwachsenen sprach die Hirnanhangdrüse im Alter schwächer auf GHRH an, nicht aber auf GHRP-6 (Micic 1995, PMID 7734029).</w:t>
      </w:r>
    </w:p>
    <w:p>
      <w:pPr>
        <w:numPr>
          <w:ilvl w:val="0"/>
          <w:numId w:val="1165"/>
        </w:numPr>
        <w:pStyle w:val="Compact"/>
      </w:pPr>
      <w:r>
        <w:rPr>
          <w:bCs/>
          <w:b/>
        </w:rPr>
        <w:t xml:space="preserve">Kinder:</w:t>
      </w:r>
      <w:r>
        <w:t xml:space="preserve"> </w:t>
      </w:r>
      <w:r>
        <w:t xml:space="preserve">Als Tablette löste GHRP-6 bei kleinwüchsigen Kindern ohne Hormonmangel einen GH-Anstieg aus, der dem nach GHRH-Injektion ähnelte (Bellone 1995, PMID 7581965).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Diagnostik (Popovic 2000), PMID 11030292</w:t>
            </w:r>
          </w:p>
        </w:tc>
        <w:tc>
          <w:tcPr/>
          <w:p>
            <w:pPr>
              <w:pStyle w:val="Compact"/>
              <w:jc w:val="left"/>
            </w:pPr>
            <w:r>
              <w:t xml:space="preserve">125 Betroffene, 125 Gesunde; multizentrische Vergleichsstudie</w:t>
            </w:r>
          </w:p>
        </w:tc>
        <w:tc>
          <w:tcPr/>
          <w:p>
            <w:pPr>
              <w:pStyle w:val="Compact"/>
              <w:jc w:val="left"/>
            </w:pPr>
            <w:r>
              <w:t xml:space="preserve">Einzeltest</w:t>
            </w:r>
          </w:p>
        </w:tc>
        <w:tc>
          <w:tcPr/>
          <w:p>
            <w:pPr>
              <w:pStyle w:val="Compact"/>
              <w:jc w:val="left"/>
            </w:pPr>
            <w:r>
              <w:t xml:space="preserve">GH-Gipfel 59,2 vs. 4,1 µg/l; Grenzwert 15 µg/l</w:t>
            </w:r>
          </w:p>
        </w:tc>
      </w:tr>
      <w:tr>
        <w:tc>
          <w:tcPr/>
          <w:p>
            <w:pPr>
              <w:pStyle w:val="Compact"/>
              <w:jc w:val="left"/>
            </w:pPr>
            <w:r>
              <w:t xml:space="preserve">Diagnostik (Petersenn 2002), PMID 11980622</w:t>
            </w:r>
          </w:p>
        </w:tc>
        <w:tc>
          <w:tcPr/>
          <w:p>
            <w:pPr>
              <w:pStyle w:val="Compact"/>
              <w:jc w:val="left"/>
            </w:pPr>
            <w:r>
              <w:t xml:space="preserve">20 Personen, Vergleich mit Insulintest</w:t>
            </w:r>
          </w:p>
        </w:tc>
        <w:tc>
          <w:tcPr/>
          <w:p>
            <w:pPr>
              <w:pStyle w:val="Compact"/>
              <w:jc w:val="left"/>
            </w:pPr>
            <w:r>
              <w:t xml:space="preserve">Einzeltests</w:t>
            </w:r>
          </w:p>
        </w:tc>
        <w:tc>
          <w:tcPr/>
          <w:p>
            <w:pPr>
              <w:pStyle w:val="Compact"/>
              <w:jc w:val="left"/>
            </w:pPr>
            <w:r>
              <w:t xml:space="preserve">alle Fälle mit GH-Mangel erkannt</w:t>
            </w:r>
          </w:p>
        </w:tc>
      </w:tr>
      <w:tr>
        <w:tc>
          <w:tcPr/>
          <w:p>
            <w:pPr>
              <w:pStyle w:val="Compact"/>
              <w:jc w:val="left"/>
            </w:pPr>
            <w:r>
              <w:t xml:space="preserve">Nebennieren-Test (Alaioubi 2010), PMID 19946832</w:t>
            </w:r>
          </w:p>
        </w:tc>
        <w:tc>
          <w:tcPr/>
          <w:p>
            <w:pPr>
              <w:pStyle w:val="Compact"/>
              <w:jc w:val="left"/>
            </w:pPr>
            <w:r>
              <w:t xml:space="preserve">49 Betroffene, 20 Gesunde</w:t>
            </w:r>
          </w:p>
        </w:tc>
        <w:tc>
          <w:tcPr/>
          <w:p>
            <w:pPr>
              <w:pStyle w:val="Compact"/>
              <w:jc w:val="left"/>
            </w:pPr>
            <w:r>
              <w:t xml:space="preserve">Einzeltest</w:t>
            </w:r>
          </w:p>
        </w:tc>
        <w:tc>
          <w:tcPr/>
          <w:p>
            <w:pPr>
              <w:pStyle w:val="Compact"/>
              <w:jc w:val="left"/>
            </w:pPr>
            <w:r>
              <w:t xml:space="preserve">Sensitivität 71,0 %, Spezifität 77,8 %</w:t>
            </w:r>
          </w:p>
        </w:tc>
      </w:tr>
      <w:tr>
        <w:tc>
          <w:tcPr/>
          <w:p>
            <w:pPr>
              <w:pStyle w:val="Compact"/>
              <w:jc w:val="left"/>
            </w:pPr>
            <w:r>
              <w:t xml:space="preserve">Pharmakokinetik (Cabrales 2013), PMID 23099431</w:t>
            </w:r>
          </w:p>
        </w:tc>
        <w:tc>
          <w:tcPr/>
          <w:p>
            <w:pPr>
              <w:pStyle w:val="Compact"/>
              <w:jc w:val="left"/>
            </w:pPr>
            <w:r>
              <w:t xml:space="preserve">9 gesunde Männer, Phase 1</w:t>
            </w:r>
          </w:p>
        </w:tc>
        <w:tc>
          <w:tcPr/>
          <w:p>
            <w:pPr>
              <w:pStyle w:val="Compact"/>
              <w:jc w:val="left"/>
            </w:pPr>
            <w:r>
              <w:t xml:space="preserve">Einzeldosen</w:t>
            </w:r>
          </w:p>
        </w:tc>
        <w:tc>
          <w:tcPr/>
          <w:p>
            <w:pPr>
              <w:pStyle w:val="Compact"/>
              <w:jc w:val="left"/>
            </w:pPr>
            <w:r>
              <w:t xml:space="preserve">Halbwertszeit 2,5 h</w:t>
            </w:r>
          </w:p>
        </w:tc>
      </w:tr>
      <w:tr>
        <w:tc>
          <w:tcPr/>
          <w:p>
            <w:pPr>
              <w:pStyle w:val="Compact"/>
              <w:jc w:val="left"/>
            </w:pPr>
            <w:r>
              <w:t xml:space="preserve">Schlaf (Frieboes 1995), PMID 7617137</w:t>
            </w:r>
          </w:p>
        </w:tc>
        <w:tc>
          <w:tcPr/>
          <w:p>
            <w:pPr>
              <w:pStyle w:val="Compact"/>
              <w:jc w:val="left"/>
            </w:pPr>
            <w:r>
              <w:t xml:space="preserve">gesunde Männer, randomisiert gegen Placebo</w:t>
            </w:r>
          </w:p>
        </w:tc>
        <w:tc>
          <w:tcPr/>
          <w:p>
            <w:pPr>
              <w:pStyle w:val="Compact"/>
              <w:jc w:val="left"/>
            </w:pPr>
            <w:r>
              <w:t xml:space="preserve">1 Nacht</w:t>
            </w:r>
          </w:p>
        </w:tc>
        <w:tc>
          <w:tcPr/>
          <w:p>
            <w:pPr>
              <w:pStyle w:val="Compact"/>
              <w:jc w:val="left"/>
            </w:pPr>
            <w:r>
              <w:t xml:space="preserve">GH, ACTH, Cortisol ↑; Tiefschlaf unverändert</w:t>
            </w:r>
          </w:p>
        </w:tc>
      </w:tr>
    </w:tbl>
    <w:bookmarkEnd w:id="527"/>
    <w:bookmarkEnd w:id="528"/>
    <w:bookmarkStart w:id="529" w:name="tier--und-laborstudien-28"/>
    <w:p>
      <w:pPr>
        <w:pStyle w:val="Heading3"/>
      </w:pPr>
      <w:r>
        <w:t xml:space="preserve">Tier- und Laborstudien</w:t>
      </w:r>
    </w:p>
    <w:p>
      <w:pPr>
        <w:pStyle w:val="FirstParagraph"/>
      </w:pPr>
      <w:r>
        <w:t xml:space="preserve">Ein großer Teil der neueren Forschung betrifft den Schutz von Organen:</w:t>
      </w:r>
    </w:p>
    <w:p>
      <w:pPr>
        <w:numPr>
          <w:ilvl w:val="0"/>
          <w:numId w:val="1166"/>
        </w:numPr>
        <w:pStyle w:val="Compact"/>
      </w:pPr>
      <w:r>
        <w:rPr>
          <w:bCs/>
          <w:b/>
        </w:rPr>
        <w:t xml:space="preserve">Herz (Ratten):</w:t>
      </w:r>
      <w:r>
        <w:t xml:space="preserve"> </w:t>
      </w:r>
      <w:r>
        <w:t xml:space="preserve">Bei Ratten, die das herzschädigende Krebsmedikament Doxorubicin erhielten, verhinderte die gleichzeitige Gabe von GHRP-6 die Erweiterung der Herzkammern und erhielt die Pumpfunktion (Berlanga-Acosta 2024, PMID 38873418).</w:t>
      </w:r>
    </w:p>
    <w:p>
      <w:pPr>
        <w:numPr>
          <w:ilvl w:val="0"/>
          <w:numId w:val="1166"/>
        </w:numPr>
        <w:pStyle w:val="Compact"/>
      </w:pPr>
      <w:r>
        <w:rPr>
          <w:bCs/>
          <w:b/>
        </w:rPr>
        <w:t xml:space="preserve">Mehrorganversagen (Ratten, Zellkulturen):</w:t>
      </w:r>
      <w:r>
        <w:t xml:space="preserve"> </w:t>
      </w:r>
      <w:r>
        <w:t xml:space="preserve">Nach vorübergehender Unterbrechung der Leberdurchblutung verringerte GHRP-6 Leber- und Darmschäden; in Zellkulturen beschleunigte es die Wanderung von Darmzellen (Cibrián 2006, PMID 16417467).</w:t>
      </w:r>
    </w:p>
    <w:p>
      <w:pPr>
        <w:numPr>
          <w:ilvl w:val="0"/>
          <w:numId w:val="1166"/>
        </w:numPr>
        <w:pStyle w:val="Compact"/>
      </w:pPr>
      <w:r>
        <w:rPr>
          <w:bCs/>
          <w:b/>
        </w:rPr>
        <w:t xml:space="preserve">Nervensystem (Ratten, Mäuse):</w:t>
      </w:r>
      <w:r>
        <w:t xml:space="preserve"> </w:t>
      </w:r>
      <w:r>
        <w:t xml:space="preserve">In einem Tiermodell der multiplen Sklerose verbesserte nur die Kombination von GHRP-6 mit dem Wachstumsfaktor EGF den Krankheitsverlauf, nicht GHRP-6 allein (del Barco 2011, PMID 21697595).</w:t>
      </w:r>
    </w:p>
    <w:p>
      <w:pPr>
        <w:pStyle w:val="FirstParagraph"/>
      </w:pPr>
      <w:r>
        <w:t xml:space="preserve">Keiner dieser Ansätze hat bisher zu einer veröffentlichten kontrollierten Studie am Menschen geführt.</w:t>
      </w:r>
    </w:p>
    <w:bookmarkEnd w:id="529"/>
    <w:bookmarkStart w:id="530" w:name="risiken-und-nebenwirkungen-28"/>
    <w:p>
      <w:pPr>
        <w:pStyle w:val="Heading3"/>
      </w:pPr>
      <w:r>
        <w:t xml:space="preserve">Risiken und Nebenwirkungen</w:t>
      </w:r>
    </w:p>
    <w:p>
      <w:pPr>
        <w:pStyle w:val="FirstParagraph"/>
      </w:pPr>
      <w:r>
        <w:rPr>
          <w:bCs/>
          <w:b/>
        </w:rPr>
        <w:t xml:space="preserve">Belegt aus den Kurzzeitstudien:</w:t>
      </w:r>
      <w:r>
        <w:t xml:space="preserve"> </w:t>
      </w:r>
      <w:r>
        <w:t xml:space="preserve">Hitzegefühl (Flush) (Petersenn 2002, PMID 11980622); Anstieg von ACTH, Cortisol und Prolaktin (Frieboes 1995, PMID 7617137); Hunger als bekannte Ghrelin-Wirkung. In den Diagnostik-Studien mit Einzeldosen traten sonst keine relevanten Nebenwirkungen auf.</w:t>
      </w:r>
    </w:p>
    <w:p>
      <w:pPr>
        <w:pStyle w:val="BodyText"/>
      </w:pPr>
      <w:r>
        <w:rPr>
          <w:bCs/>
          <w:b/>
        </w:rPr>
        <w:t xml:space="preserve">Unbekannt:</w:t>
      </w:r>
      <w:r>
        <w:t xml:space="preserve"> </w:t>
      </w:r>
      <w:r>
        <w:t xml:space="preserve">Zur wiederholten Anwendung über Wochen oder Monate gibt es keine Humanstudien. Bei dauerhafter Anwendung sind die bekannten Folgen erhöhter Wachstumshormon-Spiegel und einer wiederholten Cortisol-Stimulation denkbar, etwa eine verschlechterte Blutzuckerregulation. Ein Fallbericht schildert einen Bodybuilder, der über Jahrzehnte Wachstumshormon und Freisetzer – darunter eine Kombination aus Sermorelin und GHRP-6 – verwendete und einen großen Knochensporn an der Halswirbelsäule entwickelte; ein ursächlicher Zusammenhang ist nicht bewiesen (Perez 2026, PMID 42465868). Zur Krebsfrage siehe die Einleitung dieser Gruppe und Teil IV.</w:t>
      </w:r>
    </w:p>
    <w:p>
      <w:pPr>
        <w:pStyle w:val="BodyText"/>
      </w:pPr>
      <w:r>
        <w:rPr>
          <w:bCs/>
          <w:b/>
        </w:rPr>
        <w:t xml:space="preserve">Graumarkt:</w:t>
      </w:r>
      <w:r>
        <w:t xml:space="preserve"> </w:t>
      </w:r>
      <w:r>
        <w:t xml:space="preserve">In beschlagnahmten Produkten wurde „Gly-GHRP-6“ nachgewiesen, eine nicht deklarierte Abwandlung mit einer zusätzlichen Aminosäure (Krug 2018, PMID 29864719).</w:t>
      </w:r>
    </w:p>
    <w:bookmarkEnd w:id="530"/>
    <w:bookmarkStart w:id="531" w:name="rechtslage-28"/>
    <w:p>
      <w:pPr>
        <w:pStyle w:val="Heading3"/>
      </w:pPr>
      <w:r>
        <w:t xml:space="preserve">Rechtslage</w:t>
      </w:r>
    </w:p>
    <w:p>
      <w:pPr>
        <w:pStyle w:val="FirstParagraph"/>
      </w:pPr>
      <w:r>
        <w:rPr>
          <w:iCs/>
          <w:i/>
        </w:rPr>
        <w:t xml:space="preserve">Stand 2026, bitte aktuell prüfen.</w:t>
      </w:r>
    </w:p>
    <w:p>
      <w:pPr>
        <w:numPr>
          <w:ilvl w:val="0"/>
          <w:numId w:val="1167"/>
        </w:numPr>
        <w:pStyle w:val="Compact"/>
      </w:pPr>
      <w:r>
        <w:rPr>
          <w:bCs/>
          <w:b/>
        </w:rPr>
        <w:t xml:space="preserve">EU, Deutschland, Österreich, USA:</w:t>
      </w:r>
      <w:r>
        <w:t xml:space="preserve"> </w:t>
      </w:r>
      <w:r>
        <w:t xml:space="preserve">keine Zulassung als Arzneimittel; die Abgabe zur Anwendung am Menschen ist unzulässig. In der Forschung wird GHRP-6 im Rahmen genehmigter Studien eingesetzt.</w:t>
      </w:r>
    </w:p>
    <w:p>
      <w:pPr>
        <w:numPr>
          <w:ilvl w:val="0"/>
          <w:numId w:val="1167"/>
        </w:numPr>
        <w:pStyle w:val="Compact"/>
      </w:pPr>
      <w:r>
        <w:rPr>
          <w:bCs/>
          <w:b/>
        </w:rPr>
        <w:t xml:space="preserve">WADA:</w:t>
      </w:r>
      <w:r>
        <w:t xml:space="preserve"> </w:t>
      </w:r>
      <w:r>
        <w:t xml:space="preserve">verboten (S2). GHRP-6 wird größtenteils unverändert über den Urin ausgeschieden und war nach Gabe als Nasenspray bei einem Freiwilligen 23 Stunden lang nachweisbar (Semenistaya 2015, PMID 25869809).</w:t>
      </w:r>
    </w:p>
    <w:bookmarkEnd w:id="531"/>
    <w:bookmarkStart w:id="532" w:name="laufende-studien-und-ausblick-28"/>
    <w:p>
      <w:pPr>
        <w:pStyle w:val="Heading3"/>
      </w:pPr>
      <w:r>
        <w:t xml:space="preserve">Laufende Studien und Ausblick</w:t>
      </w:r>
    </w:p>
    <w:p>
      <w:pPr>
        <w:pStyle w:val="FirstParagraph"/>
      </w:pPr>
      <w:r>
        <w:t xml:space="preserve">Bei ClinicalTrials.gov ist im Oktober 2026 keine Studie mit GHRP-6 eingetragen.</w:t>
      </w:r>
      <w:r>
        <w:t xml:space="preserve"> </w:t>
      </w:r>
      <w:r>
        <w:rPr>
          <w:iCs/>
          <w:i/>
        </w:rPr>
        <w:t xml:space="preserve">Einschätzung des Autors:</w:t>
      </w:r>
      <w:r>
        <w:t xml:space="preserve"> </w:t>
      </w:r>
      <w:r>
        <w:t xml:space="preserve">Die Tierarbeiten zum Organschutz sind der einzige erkennbare Entwicklungsstrang; ob daraus Humanstudien entstehen, ist offen. Für die Diagnostik wurde GHRP-6 weitgehend von anderen Tests abgelöst.</w:t>
      </w:r>
    </w:p>
    <w:bookmarkEnd w:id="532"/>
    <w:bookmarkStart w:id="533" w:name="fazit-28"/>
    <w:p>
      <w:pPr>
        <w:pStyle w:val="Heading3"/>
      </w:pPr>
      <w:r>
        <w:t xml:space="preserve">Fazit</w:t>
      </w:r>
    </w:p>
    <w:p>
      <w:pPr>
        <w:pStyle w:val="FirstParagraph"/>
      </w:pPr>
      <w:r>
        <w:t xml:space="preserve">GHRP-6 war das erste künstliche Peptid, das gezielt Wachstumshormon freisetzt, und hat entscheidend zur Entdeckung des Ghrelin-Systems beigetragen. Am Menschen ist es fast nur als einmal gegebene Testsubstanz untersucht, unter anderem in einer großen Lancet-Studie zur Diagnose des Wachstumshormon-Mangels. Einen nachgewiesenen therapeutischen Nutzen gibt es nicht, und zur wiederholten Anwendung, wie sie auf dem Graumarkt beworben wird, fehlen Daten völlig.</w:t>
      </w:r>
    </w:p>
    <w:bookmarkEnd w:id="533"/>
    <w:bookmarkEnd w:id="534"/>
    <w:bookmarkStart w:id="546" w:name="hexarelin"/>
    <w:p>
      <w:pPr>
        <w:pStyle w:val="Heading2"/>
      </w:pPr>
      <w:r>
        <w:t xml:space="preserve">Hexarelin</w:t>
      </w:r>
    </w:p>
    <w:p>
      <w:pPr>
        <w:pStyle w:val="FirstParagraph"/>
      </w:pPr>
      <w:r>
        <w:t xml:space="preserve">Hexarelin ist ein enger Verwandter von GHRP-6 – und einer der stärksten künstlichen Wachstumshormon-Freisetzer überhaupt. In den 1990er-Jahren wurde es vor allem in Italien intensiv am Menschen untersucht. Dabei fiel etwas Unerwartetes auf: Hexarelin scheint direkt auf das Herz zu wirken, unabhängig vom Wachstumshormon. Eine Zulassung folgte trotzdem nicht. Ein Grund lag in einer typischen Schwäche dieser Substanzklasse: Bei Dauergebrauch lässt die Wirkung nach.</w:t>
      </w:r>
    </w:p>
    <w:bookmarkStart w:id="535" w:name="steckbrief-29"/>
    <w:p>
      <w:pPr>
        <w:pStyle w:val="Heading3"/>
      </w:pPr>
      <w:r>
        <w:t xml:space="preserve">Steckbrief</w:t>
      </w:r>
    </w:p>
    <w:p>
      <w:pPr>
        <w:numPr>
          <w:ilvl w:val="0"/>
          <w:numId w:val="1168"/>
        </w:numPr>
        <w:pStyle w:val="Compact"/>
      </w:pPr>
      <w:r>
        <w:rPr>
          <w:bCs/>
          <w:b/>
        </w:rPr>
        <w:t xml:space="preserve">Art und Struktur:</w:t>
      </w:r>
      <w:r>
        <w:t xml:space="preserve"> </w:t>
      </w:r>
      <w:r>
        <w:t xml:space="preserve">synthetisches Hexapeptid His-D-2-Methyl-Trp-Ala-Trp-D-Phe-Lys-NH2; es unterscheidet sich von GHRP-6 durch eine zusätzliche Methylgruppe am zweiten Baustein (Imbimbo 1994, PMID 7957536).</w:t>
      </w:r>
    </w:p>
    <w:p>
      <w:pPr>
        <w:numPr>
          <w:ilvl w:val="0"/>
          <w:numId w:val="1168"/>
        </w:numPr>
        <w:pStyle w:val="Compact"/>
      </w:pPr>
      <w:r>
        <w:rPr>
          <w:bCs/>
          <w:b/>
        </w:rPr>
        <w:t xml:space="preserve">Herkunft:</w:t>
      </w:r>
      <w:r>
        <w:t xml:space="preserve"> </w:t>
      </w:r>
      <w:r>
        <w:t xml:space="preserve">Anfang der 1990er-Jahre als Abwandlung von GHRP-6 entwickelt; ein Großteil der klinischen Forschung stammt von italienischen Universitätszentren.</w:t>
      </w:r>
    </w:p>
    <w:p>
      <w:pPr>
        <w:numPr>
          <w:ilvl w:val="0"/>
          <w:numId w:val="1168"/>
        </w:numPr>
        <w:pStyle w:val="Compact"/>
      </w:pPr>
      <w:r>
        <w:rPr>
          <w:bCs/>
          <w:b/>
        </w:rPr>
        <w:t xml:space="preserve">Wirkprinzip:</w:t>
      </w:r>
      <w:r>
        <w:t xml:space="preserve"> </w:t>
      </w:r>
      <w:r>
        <w:t xml:space="preserve">Agonist am Ghrelin-Rezeptor (GHS-R1a); setzt Wachstumshormon, ACTH, Cortisol und Prolaktin frei. Zusätzlich bindet Hexarelin an den Rezeptor CD36 im Herzgewebe, über den GH-unabhängige Herzwirkungen vermutet werden (Mao 2014, PMID 25278975).</w:t>
      </w:r>
    </w:p>
    <w:p>
      <w:pPr>
        <w:numPr>
          <w:ilvl w:val="0"/>
          <w:numId w:val="1168"/>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w:t>
      </w:r>
    </w:p>
    <w:p>
      <w:pPr>
        <w:numPr>
          <w:ilvl w:val="0"/>
          <w:numId w:val="1168"/>
        </w:numPr>
        <w:pStyle w:val="Compact"/>
      </w:pPr>
      <w:r>
        <w:rPr>
          <w:bCs/>
          <w:b/>
        </w:rPr>
        <w:t xml:space="preserve">WADA:</w:t>
      </w:r>
      <w:r>
        <w:t xml:space="preserve"> </w:t>
      </w:r>
      <w:r>
        <w:t xml:space="preserve">verboten, Gruppe S2 – Hexarelin wird als Wachstumshormon-freisetzendes Peptid ausdrücklich genannt.</w:t>
      </w:r>
    </w:p>
    <w:p>
      <w:pPr>
        <w:numPr>
          <w:ilvl w:val="0"/>
          <w:numId w:val="1168"/>
        </w:numPr>
        <w:pStyle w:val="Compact"/>
      </w:pPr>
      <w:r>
        <w:rPr>
          <w:bCs/>
          <w:b/>
        </w:rPr>
        <w:t xml:space="preserve">Evidenzstufe: C</w:t>
      </w:r>
      <w:r>
        <w:t xml:space="preserve"> </w:t>
      </w:r>
      <w:r>
        <w:t xml:space="preserve">– zahlreiche kleine Studien, viele davon randomisiert, aber fast ausschließlich mit Einzelgaben und hormonellen oder kreislaufphysiologischen Messgrößen; keine Studie zu einem klinischen Endpunkt.</w:t>
      </w:r>
    </w:p>
    <w:bookmarkEnd w:id="535"/>
    <w:bookmarkStart w:id="536" w:name="wie-es-wirken-soll-29"/>
    <w:p>
      <w:pPr>
        <w:pStyle w:val="Heading3"/>
      </w:pPr>
      <w:r>
        <w:t xml:space="preserve">Wie es wirken soll</w:t>
      </w:r>
    </w:p>
    <w:p>
      <w:pPr>
        <w:pStyle w:val="FirstParagraph"/>
      </w:pPr>
      <w:r>
        <w:t xml:space="preserve">Wie GHRP-6 und GHRP-2 ahmt Hexarelin das Magenhormon Ghrelin nach und stößt so die Wachstumshormon-Ausschüttung an. Seine Wirkung ist abhängig von einer intakten Verbindung zwischen Zwischenhirn und Hirnanhangdrüse: Bei Kindern, bei denen diese Verbindung anatomisch unterbrochen war, blieb die GH-Antwort aus oder war stark abgeschwächt, bei Kindern mit idiopathischem Mangel war sie dagegen kräftig (Loche 1995, PMID 7673411).</w:t>
      </w:r>
    </w:p>
    <w:p>
      <w:pPr>
        <w:pStyle w:val="BodyText"/>
      </w:pPr>
      <w:r>
        <w:t xml:space="preserve">Die zweite, eigenständige Idee betrifft das Herz. Ghrelin-Rezeptoren und das Fängermolekül CD36 kommen auch im Herzmuskel vor. Hexarelin könnte deshalb die Pumpkraft des Herzens direkt steigern – ein möglicher Ansatz bei Herzschwäche, unabhängig vom Wachstumshormon.</w:t>
      </w:r>
    </w:p>
    <w:bookmarkEnd w:id="536"/>
    <w:bookmarkStart w:id="540" w:name="studien-am-menschen-29"/>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58</w:t>
      </w:r>
      <w:r>
        <w:t xml:space="preserve"> </w:t>
      </w:r>
      <w:r>
        <w:t xml:space="preserve">Humanstudien in PubMed (</w:t>
      </w:r>
      <w:r>
        <w:rPr>
          <w:rStyle w:val="VerbatimChar"/>
        </w:rPr>
        <w:t xml:space="preserve">humanstudien_alle</w:t>
      </w:r>
      <w:r>
        <w:t xml:space="preserve">) und</w:t>
      </w:r>
      <w:r>
        <w:t xml:space="preserve"> </w:t>
      </w:r>
      <w:r>
        <w:rPr>
          <w:bCs/>
          <w:b/>
        </w:rPr>
        <w:t xml:space="preserve">keinen</w:t>
      </w:r>
      <w:r>
        <w:t xml:space="preserve"> </w:t>
      </w:r>
      <w:r>
        <w:t xml:space="preserve">Eintrag bei ClinicalTrials.gov. Die meisten Studien stammen aus den Jahren 1994 bis 2004 und untersuchen mit Einzelgaben, wie die Hormonantwort von Alter, Geschlecht, Ernährung, Medikamenten oder Krankheiten abhängt. Einige Einträge der Liste befassen sich hauptsächlich mit Ghrelin oder GHRP-6 und verwenden Hexarelin nur als Vergleich.</w:t>
      </w:r>
    </w:p>
    <w:bookmarkStart w:id="537" w:name="hormonwirkung-und-dosis"/>
    <w:p>
      <w:pPr>
        <w:pStyle w:val="Heading4"/>
      </w:pPr>
      <w:r>
        <w:t xml:space="preserve">Hormonwirkung und Dosis</w:t>
      </w:r>
    </w:p>
    <w:p>
      <w:pPr>
        <w:pStyle w:val="FirstParagraph"/>
      </w:pPr>
      <w:r>
        <w:t xml:space="preserve">In einer doppelblinden, placebokontrollierten Studie mit zwölf gesunden Männern stieg Wachstumshormon nach intravenöser Gabe dosisabhängig an, mit einem Gipfel nach etwa 30 Minuten und Rückkehr zum Ausgangswert innerhalb von vier Stunden (Imbimbo 1994, PMID 7957536). Hexarelin setzte dabei auch Prolaktin und Cortisol dosisabhängig frei; kombiniert mit GHRH genügte eine niedrige Hexarelin-Dosis für eine massive GH-Ausschüttung ohne Cortisol-Anstieg (Massoud 1996, PMID 8954038). Die Aktivierung der Stresshormon-Achse läuft offenbar über das Zwischenhirn; in einer Studie mit 15 jungen Männern steigerte Hexarelin auch kurzfristig den Appetit (Korbonits 1999, PMID 10404825).</w:t>
      </w:r>
    </w:p>
    <w:bookmarkEnd w:id="537"/>
    <w:bookmarkStart w:id="538" w:name="langzeitgabe-die-wirkung-lässt-nach"/>
    <w:p>
      <w:pPr>
        <w:pStyle w:val="Heading4"/>
      </w:pPr>
      <w:r>
        <w:t xml:space="preserve">Langzeitgabe: die Wirkung lässt nach</w:t>
      </w:r>
    </w:p>
    <w:p>
      <w:pPr>
        <w:pStyle w:val="FirstParagraph"/>
      </w:pPr>
      <w:r>
        <w:t xml:space="preserve">Entscheidend für eine Therapie ist, ob die Wirkung bei wiederholter Gabe anhält. Bei Erwachsenen, die 16 Wochen lang zweimal täglich Hexarelin unter die Haut spritzten, nahm die GH-Antwort deutlich ab und erholte sich erst vier Wochen nach dem Absetzen. IGF-1, Körperfett, Muskelmasse und Knochendichte änderten sich nicht signifikant (Rahim 1998, PMID 9589671). Die Cortisol-Antwort schwächte sich in derselben Studie ebenfalls vorübergehend ab (Rahim 1999, PMID 10341859).</w:t>
      </w:r>
    </w:p>
    <w:p>
      <w:pPr>
        <w:pStyle w:val="BodyText"/>
      </w:pPr>
      <w:r>
        <w:t xml:space="preserve">Bei kleinwüchsigen Kindern war das Bild etwas günstiger: Unter Nasenspray stieg die Wachstumsgeschwindigkeit bei acht Kindern von 5,3 auf 8,3 cm pro Jahr, IGF-1 nahm zu (Laron 1995, PMID 8548949). Eine Folgestudie mit sieben Kindern zeigte, dass die GH-Antwort der Hirnanhangdrüse bereits nach sieben Tagen etwa halbiert war, das schnellere Wachstum aber dennoch anhielt (Klinger 1996, PMID 8766941).</w:t>
      </w:r>
    </w:p>
    <w:bookmarkEnd w:id="538"/>
    <w:bookmarkStart w:id="539" w:name="herzwirkungen"/>
    <w:p>
      <w:pPr>
        <w:pStyle w:val="Heading4"/>
      </w:pPr>
      <w:r>
        <w:t xml:space="preserve">Herzwirkungen</w:t>
      </w:r>
    </w:p>
    <w:p>
      <w:pPr>
        <w:pStyle w:val="FirstParagraph"/>
      </w:pPr>
      <w:r>
        <w:t xml:space="preserve">Mehrere kleine Studien einer italienischen Arbeitsgruppe untersuchten das Herz:</w:t>
      </w:r>
    </w:p>
    <w:p>
      <w:pPr>
        <w:numPr>
          <w:ilvl w:val="0"/>
          <w:numId w:val="1169"/>
        </w:numPr>
        <w:pStyle w:val="Compact"/>
      </w:pPr>
      <w:r>
        <w:t xml:space="preserve">Bei sieben Männern mit Wachstumshormon-Mangel und neun gesunden Kontrollpersonen stieg die linksventrikuläre Auswurffraktion (der Anteil Blut, den die linke Herzkammer pro Schlag auswirft) nach einer Einzelgabe von Hexarelin bei beiden Gruppen an, obwohl die Betroffenen kaum Wachstumshormon ausschütteten. Die Autoren schließen auf eine GH-unabhängige Wirkung (Bisi 1999, PMID 10528131).</w:t>
      </w:r>
    </w:p>
    <w:p>
      <w:pPr>
        <w:numPr>
          <w:ilvl w:val="0"/>
          <w:numId w:val="1169"/>
        </w:numPr>
        <w:pStyle w:val="Compact"/>
      </w:pPr>
      <w:r>
        <w:t xml:space="preserve">Bei Patientinnen und Patienten mit schwerer erweiterter Herzmuskelerkrankung (dilatative Kardiomyopathie) blieb dieser Effekt dagegen aus (Broglio 2001, PMID 11322491).</w:t>
      </w:r>
    </w:p>
    <w:p>
      <w:pPr>
        <w:numPr>
          <w:ilvl w:val="0"/>
          <w:numId w:val="1169"/>
        </w:numPr>
        <w:pStyle w:val="Compact"/>
      </w:pPr>
      <w:r>
        <w:t xml:space="preserve">Bei 24 Männern mit koronarer Herzkrankheit während einer Bypass-Operation steigerte Hexarelin Auswurffraktion und Herzzeitvolumen für bis zu 90 Minuten, während GHRH, Wachstumshormon und Placebo keinen Effekt hatten (Broglio 2002, PMID 12144941).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Dosisfindung (Imbimbo 1994), PMID 7957536</w:t>
            </w:r>
          </w:p>
        </w:tc>
        <w:tc>
          <w:tcPr/>
          <w:p>
            <w:pPr>
              <w:pStyle w:val="Compact"/>
              <w:jc w:val="left"/>
            </w:pPr>
            <w:r>
              <w:t xml:space="preserve">12 gesunde Männer, doppelblind, Placebo, aufsteigende Dosen</w:t>
            </w:r>
          </w:p>
        </w:tc>
        <w:tc>
          <w:tcPr/>
          <w:p>
            <w:pPr>
              <w:pStyle w:val="Compact"/>
              <w:jc w:val="left"/>
            </w:pPr>
            <w:r>
              <w:t xml:space="preserve">Einzelgaben</w:t>
            </w:r>
          </w:p>
        </w:tc>
        <w:tc>
          <w:tcPr/>
          <w:p>
            <w:pPr>
              <w:pStyle w:val="Compact"/>
              <w:jc w:val="left"/>
            </w:pPr>
            <w:r>
              <w:t xml:space="preserve">GH-Gipfel nach ca. 30 min, dosisabhängig</w:t>
            </w:r>
          </w:p>
        </w:tc>
      </w:tr>
      <w:tr>
        <w:tc>
          <w:tcPr/>
          <w:p>
            <w:pPr>
              <w:pStyle w:val="Compact"/>
              <w:jc w:val="left"/>
            </w:pPr>
            <w:r>
              <w:t xml:space="preserve">Langzeitgabe (Rahim 1998), PMID 9589671</w:t>
            </w:r>
          </w:p>
        </w:tc>
        <w:tc>
          <w:tcPr/>
          <w:p>
            <w:pPr>
              <w:pStyle w:val="Compact"/>
              <w:jc w:val="left"/>
            </w:pPr>
            <w:r>
              <w:t xml:space="preserve">Erwachsene, ohne Kontrollgruppe</w:t>
            </w:r>
          </w:p>
        </w:tc>
        <w:tc>
          <w:tcPr/>
          <w:p>
            <w:pPr>
              <w:pStyle w:val="Compact"/>
              <w:jc w:val="left"/>
            </w:pPr>
            <w:r>
              <w:t xml:space="preserve">16 Wochen</w:t>
            </w:r>
          </w:p>
        </w:tc>
        <w:tc>
          <w:tcPr/>
          <w:p>
            <w:pPr>
              <w:pStyle w:val="Compact"/>
              <w:jc w:val="left"/>
            </w:pPr>
            <w:r>
              <w:t xml:space="preserve">GH-Antwort abgeschwächt; IGF-1 und Körperzusammensetzung unverändert</w:t>
            </w:r>
          </w:p>
        </w:tc>
      </w:tr>
      <w:tr>
        <w:tc>
          <w:tcPr/>
          <w:p>
            <w:pPr>
              <w:pStyle w:val="Compact"/>
              <w:jc w:val="left"/>
            </w:pPr>
            <w:r>
              <w:t xml:space="preserve">Kinder, Nasenspray (Laron 1995), PMID 8548949</w:t>
            </w:r>
          </w:p>
        </w:tc>
        <w:tc>
          <w:tcPr/>
          <w:p>
            <w:pPr>
              <w:pStyle w:val="Compact"/>
              <w:jc w:val="left"/>
            </w:pPr>
            <w:r>
              <w:t xml:space="preserve">8 kleinwüchsige Kinder, ohne Kontrollgruppe</w:t>
            </w:r>
          </w:p>
        </w:tc>
        <w:tc>
          <w:tcPr/>
          <w:p>
            <w:pPr>
              <w:pStyle w:val="Compact"/>
              <w:jc w:val="left"/>
            </w:pPr>
            <w:r>
              <w:t xml:space="preserve">bis 8 Monate</w:t>
            </w:r>
          </w:p>
        </w:tc>
        <w:tc>
          <w:tcPr/>
          <w:p>
            <w:pPr>
              <w:pStyle w:val="Compact"/>
              <w:jc w:val="left"/>
            </w:pPr>
            <w:r>
              <w:t xml:space="preserve">Wachstum 5,3 → 8,3 cm/Jahr</w:t>
            </w:r>
          </w:p>
        </w:tc>
      </w:tr>
      <w:tr>
        <w:tc>
          <w:tcPr/>
          <w:p>
            <w:pPr>
              <w:pStyle w:val="Compact"/>
              <w:jc w:val="left"/>
            </w:pPr>
            <w:r>
              <w:t xml:space="preserve">Herz, GH-Mangel (Bisi 1999), PMID 10528131</w:t>
            </w:r>
          </w:p>
        </w:tc>
        <w:tc>
          <w:tcPr/>
          <w:p>
            <w:pPr>
              <w:pStyle w:val="Compact"/>
              <w:jc w:val="left"/>
            </w:pPr>
            <w:r>
              <w:t xml:space="preserve">7 Männer mit GH-Mangel, 9 Gesunde</w:t>
            </w:r>
          </w:p>
        </w:tc>
        <w:tc>
          <w:tcPr/>
          <w:p>
            <w:pPr>
              <w:pStyle w:val="Compact"/>
              <w:jc w:val="left"/>
            </w:pPr>
            <w:r>
              <w:t xml:space="preserve">Einzelgabe</w:t>
            </w:r>
          </w:p>
        </w:tc>
        <w:tc>
          <w:tcPr/>
          <w:p>
            <w:pPr>
              <w:pStyle w:val="Compact"/>
              <w:jc w:val="left"/>
            </w:pPr>
            <w:r>
              <w:t xml:space="preserve">Auswurffraktion 50 → 57 % bzw. 63 → 70 %</w:t>
            </w:r>
          </w:p>
        </w:tc>
      </w:tr>
      <w:tr>
        <w:tc>
          <w:tcPr/>
          <w:p>
            <w:pPr>
              <w:pStyle w:val="Compact"/>
              <w:jc w:val="left"/>
            </w:pPr>
            <w:r>
              <w:t xml:space="preserve">Herz, Bypass-OP (Broglio 2002), PMID 12144941</w:t>
            </w:r>
          </w:p>
        </w:tc>
        <w:tc>
          <w:tcPr/>
          <w:p>
            <w:pPr>
              <w:pStyle w:val="Compact"/>
              <w:jc w:val="left"/>
            </w:pPr>
            <w:r>
              <w:t xml:space="preserve">24 Männer mit KHK, Vergleich mit GHRH, GH, Placebo</w:t>
            </w:r>
          </w:p>
        </w:tc>
        <w:tc>
          <w:tcPr/>
          <w:p>
            <w:pPr>
              <w:pStyle w:val="Compact"/>
              <w:jc w:val="left"/>
            </w:pPr>
            <w:r>
              <w:t xml:space="preserve">Einzelgabe</w:t>
            </w:r>
          </w:p>
        </w:tc>
        <w:tc>
          <w:tcPr/>
          <w:p>
            <w:pPr>
              <w:pStyle w:val="Compact"/>
              <w:jc w:val="left"/>
            </w:pPr>
            <w:r>
              <w:t xml:space="preserve">Auswurffraktion und Herzzeitvolumen ↑</w:t>
            </w:r>
          </w:p>
        </w:tc>
      </w:tr>
    </w:tbl>
    <w:bookmarkEnd w:id="539"/>
    <w:bookmarkEnd w:id="540"/>
    <w:bookmarkStart w:id="541" w:name="tier--und-laborstudien-29"/>
    <w:p>
      <w:pPr>
        <w:pStyle w:val="Heading3"/>
      </w:pPr>
      <w:r>
        <w:t xml:space="preserve">Tier- und Laborstudien</w:t>
      </w:r>
    </w:p>
    <w:p>
      <w:pPr>
        <w:numPr>
          <w:ilvl w:val="0"/>
          <w:numId w:val="1170"/>
        </w:numPr>
        <w:pStyle w:val="Compact"/>
      </w:pPr>
      <w:r>
        <w:rPr>
          <w:bCs/>
          <w:b/>
        </w:rPr>
        <w:t xml:space="preserve">Herzinfarkt (Ratten, Mäuse):</w:t>
      </w:r>
      <w:r>
        <w:t xml:space="preserve"> </w:t>
      </w:r>
      <w:r>
        <w:t xml:space="preserve">Bei Ratten vier Wochen nach einem künstlich ausgelösten Herzinfarkt verbesserte Hexarelin über zwei Wochen das Schlagvolumen und senkte den Gefäßwiderstand ähnlich wie Wachstumshormon (Tivesten 2000, PMID 10614623). Bei Mäusen nach Herzinfarkt erhielt es die Pumpfunktion und verringerte die Vernarbung des Herzmuskels (McDonald 2018, PMID 29756411).</w:t>
      </w:r>
    </w:p>
    <w:p>
      <w:pPr>
        <w:numPr>
          <w:ilvl w:val="0"/>
          <w:numId w:val="1170"/>
        </w:numPr>
        <w:pStyle w:val="Compact"/>
      </w:pPr>
      <w:r>
        <w:rPr>
          <w:bCs/>
          <w:b/>
        </w:rPr>
        <w:t xml:space="preserve">Mechanismus:</w:t>
      </w:r>
      <w:r>
        <w:t xml:space="preserve"> </w:t>
      </w:r>
      <w:r>
        <w:t xml:space="preserve">Eine Übersicht beschreibt CD36 als spezifischen Herzrezeptor für Hexarelin, der die schützenden Effekte vermitteln soll (Mao 2014, PMID 25278975).</w:t>
      </w:r>
    </w:p>
    <w:bookmarkEnd w:id="541"/>
    <w:bookmarkStart w:id="542" w:name="risiken-und-nebenwirkungen-29"/>
    <w:p>
      <w:pPr>
        <w:pStyle w:val="Heading3"/>
      </w:pPr>
      <w:r>
        <w:t xml:space="preserve">Risiken und Nebenwirkungen</w:t>
      </w:r>
    </w:p>
    <w:p>
      <w:pPr>
        <w:pStyle w:val="FirstParagraph"/>
      </w:pPr>
      <w:r>
        <w:rPr>
          <w:bCs/>
          <w:b/>
        </w:rPr>
        <w:t xml:space="preserve">Belegt:</w:t>
      </w:r>
      <w:r>
        <w:t xml:space="preserve"> </w:t>
      </w:r>
      <w:r>
        <w:t xml:space="preserve">Anstieg von Cortisol, ACTH und Prolaktin (Massoud 1996, PMID 8954038; Korbonits 1999, PMID 10404825); kurzfristig gesteigerter Appetit (Korbonits 1999, PMID 10404825); nachlassende Wirkung bei Dauergabe (Rahim 1998, PMID 9589671; Klinger 1996, PMID 8766941). Schwere Nebenwirkungen wurden in den kleinen Studien nicht berichtet; bei Kindern fanden die Autoren keine unerwünschten Effekte (Laron 1995, PMID 8548949).</w:t>
      </w:r>
    </w:p>
    <w:p>
      <w:pPr>
        <w:pStyle w:val="BodyText"/>
      </w:pPr>
      <w:r>
        <w:rPr>
          <w:bCs/>
          <w:b/>
        </w:rPr>
        <w:t xml:space="preserve">Unbekannt:</w:t>
      </w:r>
      <w:r>
        <w:t xml:space="preserve"> </w:t>
      </w:r>
      <w:r>
        <w:t xml:space="preserve">Langzeitdaten zur Sicherheit, insbesondere am Herzen, fehlen. Dass eine Substanz die Pumpkraft akut steigert, sagt nichts darüber aus, ob sie bei Herzschwäche langfristig nützt oder schadet – das ließe sich nur in eigenen Langzeitstudien mit klinischen Endpunkten klären, die es nicht gibt. Zur Frage eines Krebsrisikos bei dauerhaft erhöhtem Wachstumshormon siehe die Einleitung dieser Gruppe und Teil IV.</w:t>
      </w:r>
    </w:p>
    <w:bookmarkEnd w:id="542"/>
    <w:bookmarkStart w:id="543" w:name="rechtslage-29"/>
    <w:p>
      <w:pPr>
        <w:pStyle w:val="Heading3"/>
      </w:pPr>
      <w:r>
        <w:t xml:space="preserve">Rechtslage</w:t>
      </w:r>
    </w:p>
    <w:p>
      <w:pPr>
        <w:pStyle w:val="FirstParagraph"/>
      </w:pPr>
      <w:r>
        <w:rPr>
          <w:iCs/>
          <w:i/>
        </w:rPr>
        <w:t xml:space="preserve">Stand 2026, bitte aktuell prüfen.</w:t>
      </w:r>
    </w:p>
    <w:p>
      <w:pPr>
        <w:numPr>
          <w:ilvl w:val="0"/>
          <w:numId w:val="1171"/>
        </w:numPr>
        <w:pStyle w:val="Compact"/>
      </w:pPr>
      <w:r>
        <w:rPr>
          <w:bCs/>
          <w:b/>
        </w:rPr>
        <w:t xml:space="preserve">EU, Deutschland, Österreich, USA:</w:t>
      </w:r>
      <w:r>
        <w:t xml:space="preserve"> </w:t>
      </w:r>
      <w:r>
        <w:t xml:space="preserve">keine Zulassung als Arzneimittel; die Abgabe zur Anwendung am Menschen ist unzulässig.</w:t>
      </w:r>
    </w:p>
    <w:p>
      <w:pPr>
        <w:numPr>
          <w:ilvl w:val="0"/>
          <w:numId w:val="1171"/>
        </w:numPr>
        <w:pStyle w:val="Compact"/>
      </w:pPr>
      <w:r>
        <w:rPr>
          <w:bCs/>
          <w:b/>
        </w:rPr>
        <w:t xml:space="preserve">WADA:</w:t>
      </w:r>
      <w:r>
        <w:t xml:space="preserve"> </w:t>
      </w:r>
      <w:r>
        <w:t xml:space="preserve">verboten (S2). Hexarelin wird im Körper stark abgebaut; Abbauprodukte bleiben nach dem Verschwinden der Ausgangssubstanz im Urin nachweisbar (Semenistaya 2015, PMID 25869809).</w:t>
      </w:r>
    </w:p>
    <w:bookmarkEnd w:id="543"/>
    <w:bookmarkStart w:id="544" w:name="laufende-studien-und-ausblick-29"/>
    <w:p>
      <w:pPr>
        <w:pStyle w:val="Heading3"/>
      </w:pPr>
      <w:r>
        <w:t xml:space="preserve">Laufende Studien und Ausblick</w:t>
      </w:r>
    </w:p>
    <w:p>
      <w:pPr>
        <w:pStyle w:val="FirstParagraph"/>
      </w:pPr>
      <w:r>
        <w:t xml:space="preserve">Bei ClinicalTrials.gov ist im Oktober 2026 keine Studie mit Hexarelin eingetragen.</w:t>
      </w:r>
      <w:r>
        <w:t xml:space="preserve"> </w:t>
      </w:r>
      <w:r>
        <w:rPr>
          <w:iCs/>
          <w:i/>
        </w:rPr>
        <w:t xml:space="preserve">Einschätzung des Autors:</w:t>
      </w:r>
      <w:r>
        <w:t xml:space="preserve"> </w:t>
      </w:r>
      <w:r>
        <w:t xml:space="preserve">Die Herzforschung läuft weiter, aber nur im Tiermodell. Eine klinische Entwicklung würde ein Unternehmen voraussetzen, das die Rechte hält und Studien finanziert – ein solches ist derzeit nicht erkennbar.</w:t>
      </w:r>
    </w:p>
    <w:bookmarkEnd w:id="544"/>
    <w:bookmarkStart w:id="545" w:name="fazit-29"/>
    <w:p>
      <w:pPr>
        <w:pStyle w:val="Heading3"/>
      </w:pPr>
      <w:r>
        <w:t xml:space="preserve">Fazit</w:t>
      </w:r>
    </w:p>
    <w:p>
      <w:pPr>
        <w:pStyle w:val="FirstParagraph"/>
      </w:pPr>
      <w:r>
        <w:t xml:space="preserve">Hexarelin setzt beim Menschen kräftig Wachstumshormon frei, aber auch Stresshormone und Prolaktin, und bei Dauergabe lässt die Wirkung deutlich nach; IGF-1 und Körperzusammensetzung veränderten sich in einer 16-wöchigen Studie nicht. Interessant sind kleine Studien, in denen eine Einzelgabe die Pumpkraft des Herzens steigerte, offenbar unabhängig vom Wachstumshormon. Ob daraus je ein Nutzen für Menschen mit Herzerkrankungen entsteht, ist völlig offen; für Muskelaufbau oder Verjüngung gibt es keine Belege.</w:t>
      </w:r>
    </w:p>
    <w:bookmarkEnd w:id="545"/>
    <w:bookmarkEnd w:id="546"/>
    <w:bookmarkStart w:id="559" w:name="macimorelin"/>
    <w:p>
      <w:pPr>
        <w:pStyle w:val="Heading2"/>
      </w:pPr>
      <w:r>
        <w:t xml:space="preserve">Macimorelin</w:t>
      </w:r>
    </w:p>
    <w:p>
      <w:pPr>
        <w:pStyle w:val="FirstParagraph"/>
      </w:pPr>
      <w:r>
        <w:t xml:space="preserve">Macimorelin ist das nüchternste Mitglied dieser Gruppe – und gerade deshalb ein gutes Gegenbeispiel zu den Graumarkt-Peptiden. Es wird nicht zur Behandlung eingesetzt, sondern als Test: Eine Person trinkt eine Lösung mit Macimorelin, danach wird mehrmals Blut abgenommen. Steigt das Wachstumshormon kaum an, spricht das für einen Wachstumshormon-Mangel. Dafür ist Macimorelin in den USA und der EU zugelassen. Es ist ein Beispiel dafür, wie ein Ghrelin-Mimetikum mit sauberen Vergleichsstudien zu einem echten Arzneimittel werden kann.</w:t>
      </w:r>
    </w:p>
    <w:bookmarkStart w:id="547" w:name="steckbrief-30"/>
    <w:p>
      <w:pPr>
        <w:pStyle w:val="Heading3"/>
      </w:pPr>
      <w:r>
        <w:t xml:space="preserve">Steckbrief</w:t>
      </w:r>
    </w:p>
    <w:p>
      <w:pPr>
        <w:numPr>
          <w:ilvl w:val="0"/>
          <w:numId w:val="1172"/>
        </w:numPr>
        <w:pStyle w:val="Compact"/>
      </w:pPr>
      <w:r>
        <w:rPr>
          <w:bCs/>
          <w:b/>
        </w:rPr>
        <w:t xml:space="preserve">Art und Struktur:</w:t>
      </w:r>
      <w:r>
        <w:t xml:space="preserve"> </w:t>
      </w:r>
      <w:r>
        <w:t xml:space="preserve">kleines peptidähnliches Molekül (Peptidomimetikum), das nach dem Schlucken wirksam ist (Piccoli 2007, PMID 17284637). Frühere Bezeichnungen: EP01572, ARD-07, AEZS-130.</w:t>
      </w:r>
    </w:p>
    <w:p>
      <w:pPr>
        <w:numPr>
          <w:ilvl w:val="0"/>
          <w:numId w:val="1172"/>
        </w:numPr>
        <w:pStyle w:val="Compact"/>
      </w:pPr>
      <w:r>
        <w:rPr>
          <w:bCs/>
          <w:b/>
        </w:rPr>
        <w:t xml:space="preserve">Herkunft:</w:t>
      </w:r>
      <w:r>
        <w:t xml:space="preserve"> </w:t>
      </w:r>
      <w:r>
        <w:t xml:space="preserve">entwickelt aus der Forschung zu oral wirksamen Wachstumshormon-Freisetzern; zugelassen auf Antrag von Aeterna Zentaris.</w:t>
      </w:r>
    </w:p>
    <w:p>
      <w:pPr>
        <w:numPr>
          <w:ilvl w:val="0"/>
          <w:numId w:val="1172"/>
        </w:numPr>
        <w:pStyle w:val="Compact"/>
      </w:pPr>
      <w:r>
        <w:rPr>
          <w:bCs/>
          <w:b/>
        </w:rPr>
        <w:t xml:space="preserve">Wirkprinzip:</w:t>
      </w:r>
      <w:r>
        <w:t xml:space="preserve"> </w:t>
      </w:r>
      <w:r>
        <w:t xml:space="preserve">Agonist am Ghrelin-Rezeptor (GHS-R1a); löst einmalig eine Wachstumshormon-Ausschüttung aus, deren Höhe die Leistungsfähigkeit der Hirnanhangdrüse widerspiegelt.</w:t>
      </w:r>
    </w:p>
    <w:p>
      <w:pPr>
        <w:numPr>
          <w:ilvl w:val="0"/>
          <w:numId w:val="1172"/>
        </w:numPr>
        <w:pStyle w:val="Compact"/>
      </w:pPr>
      <w:r>
        <w:rPr>
          <w:bCs/>
          <w:b/>
        </w:rPr>
        <w:t xml:space="preserve">Zulassung USA:</w:t>
      </w:r>
      <w:r>
        <w:t xml:space="preserve"> </w:t>
      </w:r>
      <w:r>
        <w:t xml:space="preserve">ja (Macrilen, seit 2017) zur Diagnose des Wachstumshormon-Mangels bei Erwachsenen.</w:t>
      </w:r>
      <w:r>
        <w:t xml:space="preserve"> </w:t>
      </w:r>
      <w:r>
        <w:rPr>
          <w:bCs/>
          <w:b/>
        </w:rPr>
        <w:t xml:space="preserve">Zulassung EU:</w:t>
      </w:r>
      <w:r>
        <w:t xml:space="preserve"> </w:t>
      </w:r>
      <w:r>
        <w:t xml:space="preserve">ja (zentral zugelassen 2019) für dieselbe Indikation. Zur aktuellen Verfügbarkeit in einzelnen Ländern siehe unten.</w:t>
      </w:r>
    </w:p>
    <w:p>
      <w:pPr>
        <w:numPr>
          <w:ilvl w:val="0"/>
          <w:numId w:val="1172"/>
        </w:numPr>
        <w:pStyle w:val="Compact"/>
      </w:pPr>
      <w:r>
        <w:rPr>
          <w:bCs/>
          <w:b/>
        </w:rPr>
        <w:t xml:space="preserve">WADA:</w:t>
      </w:r>
      <w:r>
        <w:t xml:space="preserve"> </w:t>
      </w:r>
      <w:r>
        <w:t xml:space="preserve">verboten, Gruppe S2 (Wachstumshormon-Sekretagoga; Macimorelin wird ausdrücklich genannt).</w:t>
      </w:r>
    </w:p>
    <w:p>
      <w:pPr>
        <w:numPr>
          <w:ilvl w:val="0"/>
          <w:numId w:val="1172"/>
        </w:numPr>
        <w:pStyle w:val="Compact"/>
      </w:pPr>
      <w:r>
        <w:rPr>
          <w:bCs/>
          <w:b/>
        </w:rPr>
        <w:t xml:space="preserve">Evidenzstufe: A</w:t>
      </w:r>
      <w:r>
        <w:t xml:space="preserve"> </w:t>
      </w:r>
      <w:r>
        <w:t xml:space="preserve">– zwei Phase-3-Studien zur diagnostischen Genauigkeit, Zulassung in USA und EU. Einschränkung: Es handelt sich um ein Diagnostikum, nicht um eine Therapie.</w:t>
      </w:r>
    </w:p>
    <w:bookmarkEnd w:id="547"/>
    <w:bookmarkStart w:id="548" w:name="wie-es-wirken-soll-30"/>
    <w:p>
      <w:pPr>
        <w:pStyle w:val="Heading3"/>
      </w:pPr>
      <w:r>
        <w:t xml:space="preserve">Wie es wirken soll</w:t>
      </w:r>
    </w:p>
    <w:p>
      <w:pPr>
        <w:pStyle w:val="FirstParagraph"/>
      </w:pPr>
      <w:r>
        <w:t xml:space="preserve">Die Diagnose eines Wachstumshormon-Mangels bei Erwachsenen ist schwierig. Ein einzelner Blutwert reicht nicht, weil Wachstumshormon in Stößen ausgeschüttet wird. Man braucht einen Stimulationstest: Die Hirnanhangdrüse wird gezielt gereizt, und man misst, wie viel Wachstumshormon sie freisetzt.</w:t>
      </w:r>
    </w:p>
    <w:p>
      <w:pPr>
        <w:pStyle w:val="BodyText"/>
      </w:pPr>
      <w:r>
        <w:t xml:space="preserve">Der Referenztest ist der Insulin-Hypoglykämie-Test (Insulintoleranztest, ITT). Dabei wird der Blutzucker mit Insulin absichtlich stark gesenkt – das ist unangenehm, erfordert ärztliche Überwachung und ist bei Herzkrankheiten oder Krampfanfällen nicht erlaubt. Macimorelin bietet eine Alternative: Es aktiviert den Ghrelin-Rezeptor, der direkt die Wachstumshormon-Ausschüttung auslöst, ohne den Blutzucker zu senken. Weil es geschluckt wird, entfällt auch eine Infusion.</w:t>
      </w:r>
    </w:p>
    <w:bookmarkEnd w:id="548"/>
    <w:bookmarkStart w:id="553" w:name="studien-am-menschen-30"/>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4</w:t>
      </w:r>
      <w:r>
        <w:t xml:space="preserve"> </w:t>
      </w:r>
      <w:r>
        <w:t xml:space="preserve">Humanstudien in PubMed (</w:t>
      </w:r>
      <w:r>
        <w:rPr>
          <w:rStyle w:val="VerbatimChar"/>
        </w:rPr>
        <w:t xml:space="preserve">humanstudien_alle</w:t>
      </w:r>
      <w:r>
        <w:t xml:space="preserve">) und</w:t>
      </w:r>
      <w:r>
        <w:t xml:space="preserve"> </w:t>
      </w:r>
      <w:r>
        <w:rPr>
          <w:bCs/>
          <w:b/>
        </w:rPr>
        <w:t xml:space="preserve">6</w:t>
      </w:r>
      <w:r>
        <w:t xml:space="preserve"> </w:t>
      </w:r>
      <w:r>
        <w:t xml:space="preserve">Einträge bei ClinicalTrials.gov. Eine gezielte Nachsuche ergab weitere Studien, darunter die erste Phase-3-Studie, eine Kinderstudie, mehrere Arbeiten an Gesunden und eine Auswertung aus der Praxis.</w:t>
      </w:r>
    </w:p>
    <w:bookmarkStart w:id="549" w:name="frühe-pharmakologie"/>
    <w:p>
      <w:pPr>
        <w:pStyle w:val="Heading4"/>
      </w:pPr>
      <w:r>
        <w:t xml:space="preserve">Frühe Pharmakologie</w:t>
      </w:r>
    </w:p>
    <w:p>
      <w:pPr>
        <w:pStyle w:val="FirstParagraph"/>
      </w:pPr>
      <w:r>
        <w:t xml:space="preserve">Bereits 2007 zeigte eine Studie mit 36 gesunden Männern, dass die Substanz (damals EP01572) nach dem Schlucken rasch und dosisabhängig ins Blut gelangt und kräftig Wachstumshormon freisetzt (Piccoli 2007, PMID 17284637). In einer randomisierten Phase-1-Studie mit 28 Gesunden lag die Halbwertszeit bei 3,5 Stunden für die beiden niedrigeren Dosen; der GH-Gipfel trat nach 45 bis 60 Minuten auf. ACTH, Cortisol und Prolaktin stiegen vorübergehend an (Klaus 2020, PMID 32325373).</w:t>
      </w:r>
    </w:p>
    <w:bookmarkEnd w:id="549"/>
    <w:bookmarkStart w:id="550" w:name="die-zulassungsstudien-1"/>
    <w:p>
      <w:pPr>
        <w:pStyle w:val="Heading4"/>
      </w:pPr>
      <w:r>
        <w:t xml:space="preserve">Die Zulassungsstudien</w:t>
      </w:r>
    </w:p>
    <w:p>
      <w:pPr>
        <w:pStyle w:val="FirstParagraph"/>
      </w:pPr>
      <w:r>
        <w:rPr>
          <w:bCs/>
          <w:b/>
        </w:rPr>
        <w:t xml:space="preserve">Erste Phase-3-Studie:</w:t>
      </w:r>
      <w:r>
        <w:t xml:space="preserve"> </w:t>
      </w:r>
      <w:r>
        <w:t xml:space="preserve">In einer offenen multizentrischen Studie wurde Macimorelin mit dem damals üblichen Kombinationstest aus Arginin und GHRH verglichen. Ausgewertet wurden 50 Erwachsene mit Wachstumshormon-Mangel und 48 Gesunde. Der GH-Gipfel lag bei den Betroffenen im Mittel bei 2,36 ng/ml, bei den Gesunden bei 17,71 ng/ml. Mit einem Grenzwert von 2,7 ng/ml erreichte der Test eine Sensitivität von 82 % und eine Spezifität von 92 %. Als einzige schwere, medikamentenbezogene Nebenwirkung wurde eine symptomlose Verlängerung der QT-Zeit im EKG berichtet. Während der Studie wurde das GHRH-Präparat (Sermorelin) in den USA vom Markt genommen, sodass ein Teil der Teilnehmenden nur mit Macimorelin getestet wurde (Garcia 2013, PMID 23559086).</w:t>
      </w:r>
    </w:p>
    <w:p>
      <w:pPr>
        <w:pStyle w:val="BodyText"/>
      </w:pPr>
      <w:r>
        <w:rPr>
          <w:bCs/>
          <w:b/>
        </w:rPr>
        <w:t xml:space="preserve">Zweite Phase-3-Studie (Zulassungsgrundlage):</w:t>
      </w:r>
      <w:r>
        <w:t xml:space="preserve"> </w:t>
      </w:r>
      <w:r>
        <w:t xml:space="preserve">In einer randomisierten Überkreuzstudie erhielten Erwachsene mit hoher, mittlerer und niedriger Wahrscheinlichkeit für einen Wachstumshormon-Mangel sowie gesunde Vergleichspersonen sowohl den Macimorelin-Test als auch den Insulintest. 99 % der Macimorelin-Tests, aber nur 82 % der Insulintests waren auswertbar. Mit den Grenzwerten 2,8 ng/ml (Macimorelin) und 5,1 ng/ml (ITT) betrugen Sensitivität 87 % und Spezifität 96 %; bei Wiederholung war das Ergebnis in 97 % gleich. Schwere Nebenwirkungen durch Macimorelin traten nicht auf. Ein einheitlicher Grenzwert von 5,1 ng/ml für beide Tests ergab in einer nachträglichen Analyse 92 % Sensitivität bei 96 % Spezifität (Garcia 2018, PMID 29860473; NCT02558829). Weitere Auswertungen zeigten, dass Alter, Körpergewicht und Geschlecht die Testgenauigkeit nicht wesentlich beeinflussten (Garcia 2021, PMID 33320108).</w:t>
      </w:r>
    </w:p>
    <w:bookmarkEnd w:id="550"/>
    <w:bookmarkStart w:id="551" w:name="erfahrungen-aus-der-praxis"/>
    <w:p>
      <w:pPr>
        <w:pStyle w:val="Heading4"/>
      </w:pPr>
      <w:r>
        <w:t xml:space="preserve">Erfahrungen aus der Praxis</w:t>
      </w:r>
    </w:p>
    <w:p>
      <w:pPr>
        <w:pStyle w:val="FirstParagraph"/>
      </w:pPr>
      <w:r>
        <w:t xml:space="preserve">Eine rückblickende Auswertung von 37 Patientinnen und Patienten einer US-Klinik fand, dass mit dem in den USA zugelassenen Grenzwert von 2,8 ng/ml 40,5 %, mit 5,1 ng/ml dagegen 54,0 % als Wachstumshormon-Mangel eingestuft wurden. Die abweichenden Einstufungen betrafen vor allem stark übergewichtige Personen mit niedriger Vortestwahrscheinlichkeit (Yadav 2026, PMID 41793495). Das zeigt: Der Grenzwert ist nicht trivial, und bei starkem Übergewicht ist Vorsicht bei der Deutung geboten.</w:t>
      </w:r>
    </w:p>
    <w:bookmarkEnd w:id="551"/>
    <w:bookmarkStart w:id="552" w:name="kinder-und-andere-anwendungen"/>
    <w:p>
      <w:pPr>
        <w:pStyle w:val="Heading4"/>
      </w:pPr>
      <w:r>
        <w:t xml:space="preserve">Kinder und andere Anwendungen</w:t>
      </w:r>
    </w:p>
    <w:p>
      <w:pPr>
        <w:numPr>
          <w:ilvl w:val="0"/>
          <w:numId w:val="1173"/>
        </w:numPr>
        <w:pStyle w:val="Compact"/>
      </w:pPr>
      <w:r>
        <w:rPr>
          <w:bCs/>
          <w:b/>
        </w:rPr>
        <w:t xml:space="preserve">Kinder:</w:t>
      </w:r>
      <w:r>
        <w:t xml:space="preserve"> </w:t>
      </w:r>
      <w:r>
        <w:t xml:space="preserve">Eine offene Dosisfindungsstudie mit 24 Kindern und Jugendlichen mit Verdacht auf Wachstumshormon-Mangel fand keine Macimorelin-bedingten Nebenwirkungen (Csákváry 2021, PMID 34438400). Die anschließende Phase-3-Studie DETECT mit 101 Kindern (NCT04786873) wurde im Juni 2024 abgeschlossen; Ergebnisse sind im Register nicht hinterlegt, und eine Veröffentlichung habe ich in PubMed nicht gefunden.</w:t>
      </w:r>
    </w:p>
    <w:p>
      <w:pPr>
        <w:numPr>
          <w:ilvl w:val="0"/>
          <w:numId w:val="1173"/>
        </w:numPr>
        <w:pStyle w:val="Compact"/>
      </w:pPr>
      <w:r>
        <w:rPr>
          <w:bCs/>
          <w:b/>
        </w:rPr>
        <w:t xml:space="preserve">Tumorkachexie:</w:t>
      </w:r>
      <w:r>
        <w:t xml:space="preserve"> </w:t>
      </w:r>
      <w:r>
        <w:t xml:space="preserve">In einer Pilotstudie mit 15 Krebspatientinnen und -patienten mit krankhaftem Gewichtsverlust war Macimorelin über eine Woche gut verträglich; Gewicht und Lebensqualität besserten sich zahlenmäßig, aber ohne signifikanten Unterschied zu Placebo (Herodes 2023, PMID 36860137).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3, Studie 1 (Garcia 2013), PMID 23559086</w:t>
            </w:r>
          </w:p>
        </w:tc>
        <w:tc>
          <w:tcPr/>
          <w:p>
            <w:pPr>
              <w:pStyle w:val="Compact"/>
              <w:jc w:val="left"/>
            </w:pPr>
            <w:r>
              <w:t xml:space="preserve">50 Erwachsene mit GH-Mangel, 48 Gesunde; Vergleich mit Arginin+GHRH</w:t>
            </w:r>
          </w:p>
        </w:tc>
        <w:tc>
          <w:tcPr/>
          <w:p>
            <w:pPr>
              <w:pStyle w:val="Compact"/>
              <w:jc w:val="left"/>
            </w:pPr>
            <w:r>
              <w:t xml:space="preserve">Einzeltest</w:t>
            </w:r>
          </w:p>
        </w:tc>
        <w:tc>
          <w:tcPr/>
          <w:p>
            <w:pPr>
              <w:pStyle w:val="Compact"/>
              <w:jc w:val="left"/>
            </w:pPr>
            <w:r>
              <w:t xml:space="preserve">Sensitivität 82 %, Spezifität 92 %</w:t>
            </w:r>
          </w:p>
        </w:tc>
      </w:tr>
      <w:tr>
        <w:tc>
          <w:tcPr/>
          <w:p>
            <w:pPr>
              <w:pStyle w:val="Compact"/>
              <w:jc w:val="left"/>
            </w:pPr>
            <w:r>
              <w:t xml:space="preserve">Phase 3, Studie 2 (Garcia 2018), PMID 29860473</w:t>
            </w:r>
          </w:p>
        </w:tc>
        <w:tc>
          <w:tcPr/>
          <w:p>
            <w:pPr>
              <w:pStyle w:val="Compact"/>
              <w:jc w:val="left"/>
            </w:pPr>
            <w:r>
              <w:t xml:space="preserve">Erwachsene mit unterschiedlicher Vortestwahrscheinlichkeit und Gesunde; randomisierte Überkreuzstudie gegen ITT</w:t>
            </w:r>
          </w:p>
        </w:tc>
        <w:tc>
          <w:tcPr/>
          <w:p>
            <w:pPr>
              <w:pStyle w:val="Compact"/>
              <w:jc w:val="left"/>
            </w:pPr>
            <w:r>
              <w:t xml:space="preserve">Einzeltests</w:t>
            </w:r>
          </w:p>
        </w:tc>
        <w:tc>
          <w:tcPr/>
          <w:p>
            <w:pPr>
              <w:pStyle w:val="Compact"/>
              <w:jc w:val="left"/>
            </w:pPr>
            <w:r>
              <w:t xml:space="preserve">Sensitivität 87 %, Spezifität 96 %; Wiederholbarkeit 97 %</w:t>
            </w:r>
          </w:p>
        </w:tc>
      </w:tr>
      <w:tr>
        <w:tc>
          <w:tcPr/>
          <w:p>
            <w:pPr>
              <w:pStyle w:val="Compact"/>
              <w:jc w:val="left"/>
            </w:pPr>
            <w:r>
              <w:t xml:space="preserve">QT-Studie (Lissy 2021), PMID 32961034</w:t>
            </w:r>
          </w:p>
        </w:tc>
        <w:tc>
          <w:tcPr/>
          <w:p>
            <w:pPr>
              <w:pStyle w:val="Compact"/>
              <w:jc w:val="left"/>
            </w:pPr>
            <w:r>
              <w:t xml:space="preserve">60 Gesunde, randomisiert, Placebo und Moxifloxacin</w:t>
            </w:r>
          </w:p>
        </w:tc>
        <w:tc>
          <w:tcPr/>
          <w:p>
            <w:pPr>
              <w:pStyle w:val="Compact"/>
              <w:jc w:val="left"/>
            </w:pPr>
            <w:r>
              <w:t xml:space="preserve">Einzeldosen</w:t>
            </w:r>
          </w:p>
        </w:tc>
        <w:tc>
          <w:tcPr/>
          <w:p>
            <w:pPr>
              <w:pStyle w:val="Compact"/>
              <w:jc w:val="left"/>
            </w:pPr>
            <w:r>
              <w:t xml:space="preserve">QT-Verlängerung bis 9,61 ms bei überhöhter Dosis</w:t>
            </w:r>
          </w:p>
        </w:tc>
      </w:tr>
      <w:tr>
        <w:tc>
          <w:tcPr/>
          <w:p>
            <w:pPr>
              <w:pStyle w:val="Compact"/>
              <w:jc w:val="left"/>
            </w:pPr>
            <w:r>
              <w:t xml:space="preserve">Praxisdaten (Yadav 2026), PMID 41793495</w:t>
            </w:r>
          </w:p>
        </w:tc>
        <w:tc>
          <w:tcPr/>
          <w:p>
            <w:pPr>
              <w:pStyle w:val="Compact"/>
              <w:jc w:val="left"/>
            </w:pPr>
            <w:r>
              <w:t xml:space="preserve">37 Personen, rückblickend</w:t>
            </w:r>
          </w:p>
        </w:tc>
        <w:tc>
          <w:tcPr/>
          <w:p>
            <w:pPr>
              <w:pStyle w:val="Compact"/>
              <w:jc w:val="left"/>
            </w:pPr>
            <w:r>
              <w:t xml:space="preserve">Einzeltest</w:t>
            </w:r>
          </w:p>
        </w:tc>
        <w:tc>
          <w:tcPr/>
          <w:p>
            <w:pPr>
              <w:pStyle w:val="Compact"/>
              <w:jc w:val="left"/>
            </w:pPr>
            <w:r>
              <w:t xml:space="preserve">Grenzwert beeinflusst Diagnose, vor allem bei Adipositas</w:t>
            </w:r>
          </w:p>
        </w:tc>
      </w:tr>
      <w:tr>
        <w:tc>
          <w:tcPr/>
          <w:p>
            <w:pPr>
              <w:pStyle w:val="Compact"/>
              <w:jc w:val="left"/>
            </w:pPr>
            <w:r>
              <w:t xml:space="preserve">Kachexie (Herodes 2023), PMID 36860137</w:t>
            </w:r>
          </w:p>
        </w:tc>
        <w:tc>
          <w:tcPr/>
          <w:p>
            <w:pPr>
              <w:pStyle w:val="Compact"/>
              <w:jc w:val="left"/>
            </w:pPr>
            <w:r>
              <w:t xml:space="preserve">15 Krebspatienten, RCT-Pilotstudie</w:t>
            </w:r>
          </w:p>
        </w:tc>
        <w:tc>
          <w:tcPr/>
          <w:p>
            <w:pPr>
              <w:pStyle w:val="Compact"/>
              <w:jc w:val="left"/>
            </w:pPr>
            <w:r>
              <w:t xml:space="preserve">1 Woche</w:t>
            </w:r>
          </w:p>
        </w:tc>
        <w:tc>
          <w:tcPr/>
          <w:p>
            <w:pPr>
              <w:pStyle w:val="Compact"/>
              <w:jc w:val="left"/>
            </w:pPr>
            <w:r>
              <w:t xml:space="preserve">gut verträglich, kein signifikanter Effekt</w:t>
            </w:r>
          </w:p>
        </w:tc>
      </w:tr>
    </w:tbl>
    <w:bookmarkEnd w:id="552"/>
    <w:bookmarkEnd w:id="553"/>
    <w:bookmarkStart w:id="554" w:name="tier--und-laborstudien-30"/>
    <w:p>
      <w:pPr>
        <w:pStyle w:val="Heading3"/>
      </w:pPr>
      <w:r>
        <w:t xml:space="preserve">Tier- und Laborstudien</w:t>
      </w:r>
    </w:p>
    <w:p>
      <w:pPr>
        <w:pStyle w:val="FirstParagraph"/>
      </w:pPr>
      <w:r>
        <w:t xml:space="preserve">Bei Mäusen mit schwer behandelbarer Epilepsie verringerte Macimorelin während der zweiwöchigen Behandlung Zahl und Dauer der Anfälle, veränderte aber den Krankheitsverlauf nicht (Buckinx 2021, PMID 34157194). Strukturuntersuchungen zeigen, wie Macimorelin im Ghrelin-Rezeptor bindet (Wang 2025, PMID 40542284). Für die zugelassene Anwendung sind diese Arbeiten nicht relevant.</w:t>
      </w:r>
    </w:p>
    <w:bookmarkEnd w:id="554"/>
    <w:bookmarkStart w:id="555" w:name="risiken-und-nebenwirkungen-30"/>
    <w:p>
      <w:pPr>
        <w:pStyle w:val="Heading3"/>
      </w:pPr>
      <w:r>
        <w:t xml:space="preserve">Risiken und Nebenwirkungen</w:t>
      </w:r>
    </w:p>
    <w:p>
      <w:pPr>
        <w:pStyle w:val="FirstParagraph"/>
      </w:pPr>
      <w:r>
        <w:rPr>
          <w:bCs/>
          <w:b/>
        </w:rPr>
        <w:t xml:space="preserve">Belegt:</w:t>
      </w:r>
      <w:r>
        <w:t xml:space="preserve"> </w:t>
      </w:r>
      <w:r>
        <w:t xml:space="preserve">Macimorelin wird nur einmal pro Test eingenommen; die Nebenwirkungen sind entsprechend begrenzt. In den Studien traten keine schweren Nebenwirkungen durch Macimorelin auf (Garcia 2018, PMID 29860473). ACTH, Cortisol und Prolaktin steigen vorübergehend an (Klaus 2020, PMID 32325373).</w:t>
      </w:r>
    </w:p>
    <w:p>
      <w:pPr>
        <w:pStyle w:val="BodyText"/>
      </w:pPr>
      <w:r>
        <w:rPr>
          <w:bCs/>
          <w:b/>
        </w:rPr>
        <w:t xml:space="preserve">QT-Verlängerung:</w:t>
      </w:r>
      <w:r>
        <w:t xml:space="preserve"> </w:t>
      </w:r>
      <w:r>
        <w:t xml:space="preserve">In einer gründlichen EKG-Studie mit 60 Gesunden verlängerte eine bewusst überhöhte (supratherapeutische) Einzeldosis die QT-Zeit – ein Maß für die Erregungsrückbildung des Herzens – im Mittel um bis zu 9,61 Millisekunden und überschritt damit die regulatorische Schwelle (Lissy 2021, PMID 32961034). Deshalb ist bei Menschen, die andere QT-verlängernde Medikamente einnehmen, Vorsicht geboten. Einzelheiten zu Gegenanzeigen und Wechselwirkungen regelt die Fachinformation; der Test wird ärztlich durchgeführt.</w:t>
      </w:r>
    </w:p>
    <w:p>
      <w:pPr>
        <w:pStyle w:val="BodyText"/>
      </w:pPr>
      <w:r>
        <w:rPr>
          <w:bCs/>
          <w:b/>
        </w:rPr>
        <w:t xml:space="preserve">Fehldiagnosen:</w:t>
      </w:r>
      <w:r>
        <w:t xml:space="preserve"> </w:t>
      </w:r>
      <w:r>
        <w:t xml:space="preserve">Wie jeder Stimulationstest kann auch der Macimorelin-Test falsch positive und falsch negative Ergebnisse liefern, besonders bei starkem Übergewicht (Yadav 2026, PMID 41793495).</w:t>
      </w:r>
    </w:p>
    <w:p>
      <w:pPr>
        <w:pStyle w:val="BodyText"/>
      </w:pPr>
      <w:r>
        <w:t xml:space="preserve">Ein Krebsrisiko ist bei einmaliger Gabe nicht zu erwarten; die Diskussion um dauerhaft erhöhtes IGF-1 (siehe Einleitung dieser Gruppe) betrifft Macimorelin daher nicht.</w:t>
      </w:r>
    </w:p>
    <w:bookmarkEnd w:id="555"/>
    <w:bookmarkStart w:id="556" w:name="rechtslage-30"/>
    <w:p>
      <w:pPr>
        <w:pStyle w:val="Heading3"/>
      </w:pPr>
      <w:r>
        <w:t xml:space="preserve">Rechtslage</w:t>
      </w:r>
    </w:p>
    <w:p>
      <w:pPr>
        <w:pStyle w:val="FirstParagraph"/>
      </w:pPr>
      <w:r>
        <w:rPr>
          <w:iCs/>
          <w:i/>
        </w:rPr>
        <w:t xml:space="preserve">Stand 2026, bitte aktuell prüfen.</w:t>
      </w:r>
    </w:p>
    <w:p>
      <w:pPr>
        <w:numPr>
          <w:ilvl w:val="0"/>
          <w:numId w:val="1174"/>
        </w:numPr>
        <w:pStyle w:val="Compact"/>
      </w:pPr>
      <w:r>
        <w:rPr>
          <w:bCs/>
          <w:b/>
        </w:rPr>
        <w:t xml:space="preserve">EU:</w:t>
      </w:r>
      <w:r>
        <w:t xml:space="preserve"> </w:t>
      </w:r>
      <w:r>
        <w:t xml:space="preserve">zentral zugelassen für die Diagnose des Wachstumshormon-Mangels bei Erwachsenen. Ob das Präparat in Deutschland und Österreich tatsächlich im Handel ist, hängt von den Vertriebsentscheidungen des Zulassungsinhabers ab und sollte aktuell geprüft werden.</w:t>
      </w:r>
    </w:p>
    <w:p>
      <w:pPr>
        <w:numPr>
          <w:ilvl w:val="0"/>
          <w:numId w:val="1174"/>
        </w:numPr>
        <w:pStyle w:val="Compact"/>
      </w:pPr>
      <w:r>
        <w:rPr>
          <w:bCs/>
          <w:b/>
        </w:rPr>
        <w:t xml:space="preserve">USA:</w:t>
      </w:r>
      <w:r>
        <w:t xml:space="preserve"> </w:t>
      </w:r>
      <w:r>
        <w:t xml:space="preserve">zugelassen (Macrilen) für dieselbe Indikation; die Vertriebsrechte haben in den vergangenen Jahren gewechselt.</w:t>
      </w:r>
    </w:p>
    <w:p>
      <w:pPr>
        <w:numPr>
          <w:ilvl w:val="0"/>
          <w:numId w:val="1174"/>
        </w:numPr>
        <w:pStyle w:val="Compact"/>
      </w:pPr>
      <w:r>
        <w:rPr>
          <w:bCs/>
          <w:b/>
        </w:rPr>
        <w:t xml:space="preserve">Anwendung:</w:t>
      </w:r>
      <w:r>
        <w:t xml:space="preserve"> </w:t>
      </w:r>
      <w:r>
        <w:t xml:space="preserve">ausschließlich als ärztlich durchgeführter Funktionstest nach Fachinformation; keine therapeutische Zulassung.</w:t>
      </w:r>
    </w:p>
    <w:p>
      <w:pPr>
        <w:numPr>
          <w:ilvl w:val="0"/>
          <w:numId w:val="1174"/>
        </w:numPr>
        <w:pStyle w:val="Compact"/>
      </w:pPr>
      <w:r>
        <w:rPr>
          <w:bCs/>
          <w:b/>
        </w:rPr>
        <w:t xml:space="preserve">WADA:</w:t>
      </w:r>
      <w:r>
        <w:t xml:space="preserve"> </w:t>
      </w:r>
      <w:r>
        <w:t xml:space="preserve">verboten (S2). Für Dopingkontrollen wurden Abbauprodukte von Macimorelin und verwandten Ghrelin-Mimetika charakterisiert (Lange 2021, PMID 33458843).</w:t>
      </w:r>
    </w:p>
    <w:bookmarkEnd w:id="556"/>
    <w:bookmarkStart w:id="557" w:name="laufende-studien-und-ausblick-30"/>
    <w:p>
      <w:pPr>
        <w:pStyle w:val="Heading3"/>
      </w:pPr>
      <w:r>
        <w:t xml:space="preserve">Laufende Studien und Ausblick</w:t>
      </w:r>
    </w:p>
    <w:p>
      <w:pPr>
        <w:pStyle w:val="FirstParagraph"/>
      </w:pPr>
      <w:r>
        <w:rPr>
          <w:iCs/>
          <w:i/>
        </w:rPr>
        <w:t xml:space="preserve">Gesichert:</w:t>
      </w:r>
      <w:r>
        <w:t xml:space="preserve"> </w:t>
      </w:r>
      <w:r>
        <w:t xml:space="preserve">Die Kinderstudie DETECT (NCT04786873) ist abgeschlossen; die Ergebnisse stehen aus. Eine weitere Studie untersuchte, wie Macimorelin das Hormon Copeptin beeinflusst (NCT03844217).</w:t>
      </w:r>
      <w:r>
        <w:t xml:space="preserve"> </w:t>
      </w:r>
      <w:r>
        <w:rPr>
          <w:iCs/>
          <w:i/>
        </w:rPr>
        <w:t xml:space="preserve">Einschätzung des Autors:</w:t>
      </w:r>
      <w:r>
        <w:t xml:space="preserve"> </w:t>
      </w:r>
      <w:r>
        <w:t xml:space="preserve">Eine Erweiterung der Zulassung auf Kinder wäre der logische nächste Schritt, hängt aber vom Ergebnis der DETECT-Studie ab. Eine therapeutische Anwendung, etwa bei Kachexie, ist nach den bisherigen Daten nicht absehbar.</w:t>
      </w:r>
    </w:p>
    <w:bookmarkEnd w:id="557"/>
    <w:bookmarkStart w:id="558" w:name="fazit-30"/>
    <w:p>
      <w:pPr>
        <w:pStyle w:val="Heading3"/>
      </w:pPr>
      <w:r>
        <w:t xml:space="preserve">Fazit</w:t>
      </w:r>
    </w:p>
    <w:p>
      <w:pPr>
        <w:pStyle w:val="FirstParagraph"/>
      </w:pPr>
      <w:r>
        <w:t xml:space="preserve">Macimorelin ist ein in den USA und der EU zugelassenes Diagnostikum: Ein einmal getrunkener Test erkennt einen Wachstumshormon-Mangel bei Erwachsenen ähnlich zuverlässig wie der belastende Insulintest, mit 87 % Sensitivität und 96 % Spezifität in der Zulassungsstudie. Die wichtigste bekannte Nebenwirkung ist eine geringe Verlängerung der QT-Zeit bei überhöhter Dosis. Für eine Behandlung, für Muskelaufbau oder „Anti-Aging“ ist Macimorelin weder gedacht noch untersucht.</w:t>
      </w:r>
    </w:p>
    <w:bookmarkEnd w:id="558"/>
    <w:bookmarkEnd w:id="559"/>
    <w:bookmarkStart w:id="570" w:name="mecasermin-igf-1"/>
    <w:p>
      <w:pPr>
        <w:pStyle w:val="Heading2"/>
      </w:pPr>
      <w:r>
        <w:t xml:space="preserve">Mecasermin (IGF-1)</w:t>
      </w:r>
    </w:p>
    <w:p>
      <w:pPr>
        <w:pStyle w:val="FirstParagraph"/>
      </w:pPr>
      <w:r>
        <w:t xml:space="preserve">Mecasermin ist gentechnisch hergestelltes menschliches IGF-1 – also der Botenstoff, über den Wachstumshormon einen Großteil seiner Wirkung entfaltet. Als Arzneimittel (Increlex) ist es für eine sehr seltene Gruppe von Kindern zugelassen: Kinder, deren Körper zwar genug Wachstumshormon bildet, aber nicht darauf reagiert und deshalb kaum IGF-1 herstellt. Mecasermin ist damit ein seltenes Beispiel für ein zugelassenes Peptid dieser Gruppe – und zugleich der Wirkstoff, an dem sich die Frage nach Unterzuckerung und Krebsrisiko durch IGF-1 am deutlichsten stellt.</w:t>
      </w:r>
    </w:p>
    <w:bookmarkStart w:id="560" w:name="steckbrief-31"/>
    <w:p>
      <w:pPr>
        <w:pStyle w:val="Heading3"/>
      </w:pPr>
      <w:r>
        <w:t xml:space="preserve">Steckbrief</w:t>
      </w:r>
    </w:p>
    <w:p>
      <w:pPr>
        <w:numPr>
          <w:ilvl w:val="0"/>
          <w:numId w:val="1175"/>
        </w:numPr>
        <w:pStyle w:val="Compact"/>
      </w:pPr>
      <w:r>
        <w:rPr>
          <w:bCs/>
          <w:b/>
        </w:rPr>
        <w:t xml:space="preserve">Art und Struktur:</w:t>
      </w:r>
      <w:r>
        <w:t xml:space="preserve"> </w:t>
      </w:r>
      <w:r>
        <w:t xml:space="preserve">rekombinantes (gentechnisch in Bakterien hergestelltes) menschliches IGF-1 aus 70 Aminosäuren, identisch mit dem körpereigenen Hormon.</w:t>
      </w:r>
    </w:p>
    <w:p>
      <w:pPr>
        <w:numPr>
          <w:ilvl w:val="0"/>
          <w:numId w:val="1175"/>
        </w:numPr>
        <w:pStyle w:val="Compact"/>
      </w:pPr>
      <w:r>
        <w:rPr>
          <w:bCs/>
          <w:b/>
        </w:rPr>
        <w:t xml:space="preserve">Herkunft:</w:t>
      </w:r>
      <w:r>
        <w:t xml:space="preserve"> </w:t>
      </w:r>
      <w:r>
        <w:t xml:space="preserve">IGF-1 wurde in den 1970er-Jahren als „Somatomedin“ beschrieben; Mecasermin wurde von Tercica entwickelt und von Ipsen vermarktet, inzwischen von einem anderen Zulassungsinhaber (Stand 2026, bitte prüfen).</w:t>
      </w:r>
    </w:p>
    <w:p>
      <w:pPr>
        <w:numPr>
          <w:ilvl w:val="0"/>
          <w:numId w:val="1175"/>
        </w:numPr>
        <w:pStyle w:val="Compact"/>
      </w:pPr>
      <w:r>
        <w:rPr>
          <w:bCs/>
          <w:b/>
        </w:rPr>
        <w:t xml:space="preserve">Wirkprinzip:</w:t>
      </w:r>
      <w:r>
        <w:t xml:space="preserve"> </w:t>
      </w:r>
      <w:r>
        <w:t xml:space="preserve">bindet an den IGF-1-Rezeptor und ersetzt das fehlende IGF-1 direkt; wirkt wachstumsfördernd, aufbauend und – in höherer Dosis – blutzuckersenkend ähnlich wie Insulin.</w:t>
      </w:r>
    </w:p>
    <w:p>
      <w:pPr>
        <w:numPr>
          <w:ilvl w:val="0"/>
          <w:numId w:val="1175"/>
        </w:numPr>
        <w:pStyle w:val="Compact"/>
      </w:pPr>
      <w:r>
        <w:rPr>
          <w:bCs/>
          <w:b/>
        </w:rPr>
        <w:t xml:space="preserve">Zulassung EU:</w:t>
      </w:r>
      <w:r>
        <w:t xml:space="preserve"> </w:t>
      </w:r>
      <w:r>
        <w:t xml:space="preserve">ja (Increlex) zur Langzeitbehandlung von Wachstumsstörungen bei Kindern und Jugendlichen mit schwerem primärem IGF-1-Mangel.</w:t>
      </w:r>
      <w:r>
        <w:t xml:space="preserve"> </w:t>
      </w:r>
      <w:r>
        <w:rPr>
          <w:bCs/>
          <w:b/>
        </w:rPr>
        <w:t xml:space="preserve">Zulassung USA:</w:t>
      </w:r>
      <w:r>
        <w:t xml:space="preserve"> </w:t>
      </w:r>
      <w:r>
        <w:t xml:space="preserve">ja (Increlex), gleiche Indikation.</w:t>
      </w:r>
    </w:p>
    <w:p>
      <w:pPr>
        <w:numPr>
          <w:ilvl w:val="0"/>
          <w:numId w:val="1175"/>
        </w:numPr>
        <w:pStyle w:val="Compact"/>
      </w:pPr>
      <w:r>
        <w:rPr>
          <w:bCs/>
          <w:b/>
        </w:rPr>
        <w:t xml:space="preserve">WADA:</w:t>
      </w:r>
      <w:r>
        <w:t xml:space="preserve"> </w:t>
      </w:r>
      <w:r>
        <w:t xml:space="preserve">verboten, Gruppe S2 (IGF-1 und seine Analoga als Wachstumsfaktoren).</w:t>
      </w:r>
    </w:p>
    <w:p>
      <w:pPr>
        <w:numPr>
          <w:ilvl w:val="0"/>
          <w:numId w:val="1175"/>
        </w:numPr>
        <w:pStyle w:val="Compact"/>
      </w:pPr>
      <w:r>
        <w:rPr>
          <w:bCs/>
          <w:b/>
        </w:rPr>
        <w:t xml:space="preserve">Evidenzstufe: A</w:t>
      </w:r>
      <w:r>
        <w:t xml:space="preserve"> </w:t>
      </w:r>
      <w:r>
        <w:t xml:space="preserve">– zugelassen in EU und USA. Einschränkung: Wegen der Seltenheit der Erkrankung beruht die Zulassung auf offenen Langzeitstudien und Registern, nicht auf großen randomisierten Studien. Randomisierte Studien gibt es zu anderen Anwendungen, etwa ALS (negativ).</w:t>
      </w:r>
    </w:p>
    <w:bookmarkEnd w:id="560"/>
    <w:bookmarkStart w:id="561" w:name="wie-es-wirken-soll-31"/>
    <w:p>
      <w:pPr>
        <w:pStyle w:val="Heading3"/>
      </w:pPr>
      <w:r>
        <w:t xml:space="preserve">Wie es wirken soll</w:t>
      </w:r>
    </w:p>
    <w:p>
      <w:pPr>
        <w:pStyle w:val="FirstParagraph"/>
      </w:pPr>
      <w:r>
        <w:t xml:space="preserve">Wachstumshormon aus der Hirnanhangdrüse wirkt vor allem auf die Leber, die daraufhin IGF-1 bildet. IGF-1 lässt dann Knochen in die Länge wachsen und fördert den Aufbau von Muskel- und anderem Gewebe. Bei manchen Kindern ist diese Kette unterbrochen: Ihr Wachstumshormon-Rezeptor ist durch eine Genveränderung funktionslos oder die Signalweiterleitung gestört. Das klassische Beispiel ist das Laron-Syndrom. Diese Kinder haben viel Wachstumshormon, aber kaum IGF-1, und Wachstumshormon-Spritzen helfen ihnen nicht. Ohne Behandlung erreichen sie als Erwachsene oft nur 120 bis 130 cm (Saavedra 2026, PMID 42341624).</w:t>
      </w:r>
    </w:p>
    <w:p>
      <w:pPr>
        <w:pStyle w:val="BodyText"/>
      </w:pPr>
      <w:r>
        <w:t xml:space="preserve">Mecasermin überspringt den defekten Schritt und liefert IGF-1 direkt. Weil IGF-1 dem Insulin ähnelt, kann es den Blutzucker senken – die wichtigste Nebenwirkung.</w:t>
      </w:r>
    </w:p>
    <w:bookmarkEnd w:id="561"/>
    <w:bookmarkStart w:id="564" w:name="studien-am-menschen-31"/>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21</w:t>
      </w:r>
      <w:r>
        <w:t xml:space="preserve"> </w:t>
      </w:r>
      <w:r>
        <w:t xml:space="preserve">Humanstudien in PubMed (</w:t>
      </w:r>
      <w:r>
        <w:rPr>
          <w:rStyle w:val="VerbatimChar"/>
        </w:rPr>
        <w:t xml:space="preserve">humanstudien_alle</w:t>
      </w:r>
      <w:r>
        <w:t xml:space="preserve">) und</w:t>
      </w:r>
      <w:r>
        <w:t xml:space="preserve"> </w:t>
      </w:r>
      <w:r>
        <w:rPr>
          <w:bCs/>
          <w:b/>
        </w:rPr>
        <w:t xml:space="preserve">37</w:t>
      </w:r>
      <w:r>
        <w:t xml:space="preserve"> </w:t>
      </w:r>
      <w:r>
        <w:t xml:space="preserve">Einträge bei ClinicalTrials.gov; einige dieser Registereinträge betreffen andere Themen und tauchen nur wegen des Suchbegriffs auf. Dazu kommen drei systematische Übersichten. Eine gezielte Nachsuche ergab die wichtigen Langzeitstudien und Registerauswertungen zur zugelassenen Indikation.</w:t>
      </w:r>
    </w:p>
    <w:bookmarkStart w:id="562" w:name="Xc4c7f711d0788a70bca14e50ec1267515905a1b"/>
    <w:p>
      <w:pPr>
        <w:pStyle w:val="Heading4"/>
      </w:pPr>
      <w:r>
        <w:t xml:space="preserve">Schwerer primärer IGF-1-Mangel bei Kindern</w:t>
      </w:r>
    </w:p>
    <w:p>
      <w:pPr>
        <w:pStyle w:val="FirstParagraph"/>
      </w:pPr>
      <w:r>
        <w:t xml:space="preserve">Die Grundlage der Zulassung ist eine über bis zu zwölf Jahre laufende, überwiegend offene Studie mit 76 Kindern mit IGF-1-Mangel durch Wachstumshormon-Resistenz. Die Wachstumsgeschwindigkeit stieg von durchschnittlich 2,8 cm pro Jahr vor Behandlung auf 8,0 cm im ersten Behandlungsjahr; in den Folgejahren fiel sie ab, blieb aber bis zu acht Jahre über dem Ausgangswert. Häufigste Nebenwirkung war eine Unterzuckerung (bei 49 % der Kinder, allerdings auch schon vor Therapiebeginn beobachtet), gefolgt von Fettgewebsveränderungen an der Einstichstelle (32 %) und Vergrößerung von Mandeln und Polypen (22 %) (Chernausek 2007, PMID 17192294).</w:t>
      </w:r>
    </w:p>
    <w:p>
      <w:pPr>
        <w:pStyle w:val="BodyText"/>
      </w:pPr>
      <w:r>
        <w:t xml:space="preserve">Seit 2008 sammelt ein europäisches, inzwischen globales Register Daten aus der Praxis (NCT00903110). Bei 138 zuvor unbehandelten Kindern vor der Pubertät verbesserte sich die Körpergröße im ersten Jahr; Kinder mit Laron-Syndrom sprachen etwas besser an, bei den übrigen galten 56 % als Responder. 65,3 % der Kinder hatten mindestens eine unerwünschte Wirkung, am häufigsten eine Unterzuckerung (Bang 2021, PMID 33434161). 102 Kinder und Jugendliche, die bereits ihre fast endgültige Körpergröße erreicht hatten, gewannen im Mittel 0,9 Standardabweichungen an Größe, bei Behandlungsbeginn vor der Pubertät 1,4. Fast die Hälfte dieser früh behandelten Kinder erreichte eine Größe im Normalbereich, bei Laron-Syndrom nur 10,5 % (Ramon-Krauel 2026, PMID 40626687). Schwere Unterzuckerungen waren mit 0,01 Ereignissen pro Patient und Behandlungsjahr selten; gefährdet waren vor allem Kinder mit Laron-Syndrom oder früheren Unterzuckerungen (Bang 2023, PMID 37579214).</w:t>
      </w:r>
    </w:p>
    <w:bookmarkEnd w:id="562"/>
    <w:bookmarkStart w:id="563" w:name="andere-anwendungen"/>
    <w:p>
      <w:pPr>
        <w:pStyle w:val="Heading4"/>
      </w:pPr>
      <w:r>
        <w:t xml:space="preserve">Andere Anwendungen</w:t>
      </w:r>
    </w:p>
    <w:p>
      <w:pPr>
        <w:numPr>
          <w:ilvl w:val="0"/>
          <w:numId w:val="1176"/>
        </w:numPr>
        <w:pStyle w:val="Compact"/>
      </w:pPr>
      <w:r>
        <w:rPr>
          <w:bCs/>
          <w:b/>
        </w:rPr>
        <w:t xml:space="preserve">ALS:</w:t>
      </w:r>
      <w:r>
        <w:t xml:space="preserve"> </w:t>
      </w:r>
      <w:r>
        <w:t xml:space="preserve">In einer Phase-3-Studie mit 330 Menschen mit amyotropher Lateralsklerose brachte IGF-1 über zwei Jahre keinen Unterschied zu Placebo – weder bei der Muskelkraft noch beim Überleben ohne Luftröhrenschnitt (Sorenson 2008, PMID 19029516).</w:t>
      </w:r>
    </w:p>
    <w:p>
      <w:pPr>
        <w:numPr>
          <w:ilvl w:val="0"/>
          <w:numId w:val="1176"/>
        </w:numPr>
        <w:pStyle w:val="Compact"/>
      </w:pPr>
      <w:r>
        <w:rPr>
          <w:bCs/>
          <w:b/>
        </w:rPr>
        <w:t xml:space="preserve">Duchenne-Muskeldystrophie:</w:t>
      </w:r>
      <w:r>
        <w:t xml:space="preserve"> </w:t>
      </w:r>
      <w:r>
        <w:t xml:space="preserve">Bei 17 behandelten Jungen gegenüber 21 Kontrollen wuchsen die Jungen über sechs Monate schneller (6,5 vs. 3,3 cm pro Jahr), die Gehstrecke im 6-Minuten-Test änderte sich aber nicht (Rutter 2020, PMID 32108355).</w:t>
      </w:r>
    </w:p>
    <w:p>
      <w:pPr>
        <w:numPr>
          <w:ilvl w:val="0"/>
          <w:numId w:val="1176"/>
        </w:numPr>
        <w:pStyle w:val="Compact"/>
      </w:pPr>
      <w:r>
        <w:rPr>
          <w:bCs/>
          <w:b/>
        </w:rPr>
        <w:t xml:space="preserve">Rett-Syndrom:</w:t>
      </w:r>
      <w:r>
        <w:t xml:space="preserve"> </w:t>
      </w:r>
      <w:r>
        <w:t xml:space="preserve">Eine systematische Übersicht beschreibt Hinweise auf erhaltene soziale und kognitive Fähigkeiten, aber uneinheitliche Ergebnisse und fordert größere Studien (Ribeiro 2025, PMID 41174329).</w:t>
      </w:r>
    </w:p>
    <w:p>
      <w:pPr>
        <w:numPr>
          <w:ilvl w:val="0"/>
          <w:numId w:val="1176"/>
        </w:numPr>
        <w:pStyle w:val="Compact"/>
      </w:pPr>
      <w:r>
        <w:rPr>
          <w:bCs/>
          <w:b/>
        </w:rPr>
        <w:t xml:space="preserve">Frühgeborene:</w:t>
      </w:r>
      <w:r>
        <w:t xml:space="preserve"> </w:t>
      </w:r>
      <w:r>
        <w:t xml:space="preserve">IGF-1 zusammen mit seinem Bindungsprotein IGFBP-3 verhinderte bei 121 extrem Frühgeborenen die Netzhauterkrankung der Frühgeborenen nicht, verringerte aber schwere bronchopulmonale Dysplasie (21,3 % vs. 44,9 %). Tödliche schwere Ereignisse traten bei 19,7 % der behandelten und 11,7 % der Kontrollkinder auf (Ley 2019, PMID 30471715). Eine Folgestudie zur Lungenentwicklung läuft (NCT03253263).</w:t>
      </w:r>
    </w:p>
    <w:p>
      <w:pPr>
        <w:numPr>
          <w:ilvl w:val="0"/>
          <w:numId w:val="1176"/>
        </w:numPr>
        <w:pStyle w:val="Compact"/>
      </w:pPr>
      <w:r>
        <w:rPr>
          <w:bCs/>
          <w:b/>
        </w:rPr>
        <w:t xml:space="preserve">Magersucht:</w:t>
      </w:r>
      <w:r>
        <w:t xml:space="preserve"> </w:t>
      </w:r>
      <w:r>
        <w:t xml:space="preserve">Bei 90 Frauen mit Anorexia nervosa erhöhte eine sechsmonatige IGF-1-Behandlung, gefolgt von einem Knochenmedikament, die Knochendichte der Wirbelsäule stärker als Placebo (Haines 2021, PMID 34355814).</w:t>
      </w:r>
    </w:p>
    <w:p>
      <w:pPr>
        <w:numPr>
          <w:ilvl w:val="0"/>
          <w:numId w:val="1176"/>
        </w:numPr>
        <w:pStyle w:val="Compact"/>
      </w:pPr>
      <w:r>
        <w:rPr>
          <w:bCs/>
          <w:b/>
        </w:rPr>
        <w:t xml:space="preserve">Erwachsene mit Laron-Syndrom:</w:t>
      </w:r>
      <w:r>
        <w:t xml:space="preserve"> </w:t>
      </w:r>
      <w:r>
        <w:t xml:space="preserve">Bei zehn Erwachsenen nahm unter acht Wochen IGF-1 der Fettanteil ab und die Magermasse zu (Mauras 2000, PMID 10999782).</w:t>
      </w:r>
    </w:p>
    <w:p>
      <w:pPr>
        <w:numPr>
          <w:ilvl w:val="0"/>
          <w:numId w:val="1176"/>
        </w:numPr>
        <w:pStyle w:val="Compact"/>
      </w:pPr>
      <w:r>
        <w:rPr>
          <w:bCs/>
          <w:b/>
        </w:rPr>
        <w:t xml:space="preserve">Sportlerinnen und Sportler:</w:t>
      </w:r>
      <w:r>
        <w:t xml:space="preserve"> </w:t>
      </w:r>
      <w:r>
        <w:t xml:space="preserve">In einer randomisierten, doppelblinden Studie mit 56 Freizeitsportlern über 28 Tage – durchgeführt, um Dopingtests zu entwickeln – veränderten sich unter IGF-1/IGFBP-3 Blutfette und Insulinwerte (Guha 2021, PMID 33249593). Leistungsdaten liefert diese Studie nicht.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Langzeitstudie (Chernausek 2007), PMID 17192294</w:t>
            </w:r>
          </w:p>
        </w:tc>
        <w:tc>
          <w:tcPr/>
          <w:p>
            <w:pPr>
              <w:pStyle w:val="Compact"/>
              <w:jc w:val="left"/>
            </w:pPr>
            <w:r>
              <w:t xml:space="preserve">76 Kinder mit GH-Resistenz, überwiegend offen</w:t>
            </w:r>
          </w:p>
        </w:tc>
        <w:tc>
          <w:tcPr/>
          <w:p>
            <w:pPr>
              <w:pStyle w:val="Compact"/>
              <w:jc w:val="left"/>
            </w:pPr>
            <w:r>
              <w:t xml:space="preserve">bis 12 Jahre</w:t>
            </w:r>
          </w:p>
        </w:tc>
        <w:tc>
          <w:tcPr/>
          <w:p>
            <w:pPr>
              <w:pStyle w:val="Compact"/>
              <w:jc w:val="left"/>
            </w:pPr>
            <w:r>
              <w:t xml:space="preserve">Wachstum 2,8 → 8,0 cm/Jahr im 1. Jahr; Unterzucker bei 49 %</w:t>
            </w:r>
          </w:p>
        </w:tc>
      </w:tr>
      <w:tr>
        <w:tc>
          <w:tcPr/>
          <w:p>
            <w:pPr>
              <w:pStyle w:val="Compact"/>
              <w:jc w:val="left"/>
            </w:pPr>
            <w:r>
              <w:t xml:space="preserve">Register (Bang 2021), PMID 33434161</w:t>
            </w:r>
          </w:p>
        </w:tc>
        <w:tc>
          <w:tcPr/>
          <w:p>
            <w:pPr>
              <w:pStyle w:val="Compact"/>
              <w:jc w:val="left"/>
            </w:pPr>
            <w:r>
              <w:t xml:space="preserve">242 Kinder, davon 138 unbehandelt vor der Pubertät; Beobachtung</w:t>
            </w:r>
          </w:p>
        </w:tc>
        <w:tc>
          <w:tcPr/>
          <w:p>
            <w:pPr>
              <w:pStyle w:val="Compact"/>
              <w:jc w:val="left"/>
            </w:pPr>
            <w:r>
              <w:t xml:space="preserve">bis 5 Jahre</w:t>
            </w:r>
          </w:p>
        </w:tc>
        <w:tc>
          <w:tcPr/>
          <w:p>
            <w:pPr>
              <w:pStyle w:val="Compact"/>
              <w:jc w:val="left"/>
            </w:pPr>
            <w:r>
              <w:t xml:space="preserve">Größenzuwachs; 65,3 % mit Nebenwirkungen</w:t>
            </w:r>
          </w:p>
        </w:tc>
      </w:tr>
      <w:tr>
        <w:tc>
          <w:tcPr/>
          <w:p>
            <w:pPr>
              <w:pStyle w:val="Compact"/>
              <w:jc w:val="left"/>
            </w:pPr>
            <w:r>
              <w:t xml:space="preserve">Register Endgröße (Ramon-Krauel 2026), PMID 40626687</w:t>
            </w:r>
          </w:p>
        </w:tc>
        <w:tc>
          <w:tcPr/>
          <w:p>
            <w:pPr>
              <w:pStyle w:val="Compact"/>
              <w:jc w:val="left"/>
            </w:pPr>
            <w:r>
              <w:t xml:space="preserve">102 Jugendliche mit fast erreichter Endgröße</w:t>
            </w:r>
          </w:p>
        </w:tc>
        <w:tc>
          <w:tcPr/>
          <w:p>
            <w:pPr>
              <w:pStyle w:val="Compact"/>
              <w:jc w:val="left"/>
            </w:pPr>
            <w:r>
              <w:t xml:space="preserve">Median 3,9 Jahre</w:t>
            </w:r>
          </w:p>
        </w:tc>
        <w:tc>
          <w:tcPr/>
          <w:p>
            <w:pPr>
              <w:pStyle w:val="Compact"/>
              <w:jc w:val="left"/>
            </w:pPr>
            <w:r>
              <w:t xml:space="preserve">+0,9 SD (früh behandelt +1,4 SD)</w:t>
            </w:r>
          </w:p>
        </w:tc>
      </w:tr>
      <w:tr>
        <w:tc>
          <w:tcPr/>
          <w:p>
            <w:pPr>
              <w:pStyle w:val="Compact"/>
              <w:jc w:val="left"/>
            </w:pPr>
            <w:r>
              <w:t xml:space="preserve">ALS (Sorenson 2008), PMID 19029516</w:t>
            </w:r>
          </w:p>
        </w:tc>
        <w:tc>
          <w:tcPr/>
          <w:p>
            <w:pPr>
              <w:pStyle w:val="Compact"/>
              <w:jc w:val="left"/>
            </w:pPr>
            <w:r>
              <w:t xml:space="preserve">330 Personen mit ALS, RCT gegen Placebo</w:t>
            </w:r>
          </w:p>
        </w:tc>
        <w:tc>
          <w:tcPr/>
          <w:p>
            <w:pPr>
              <w:pStyle w:val="Compact"/>
              <w:jc w:val="left"/>
            </w:pPr>
            <w:r>
              <w:t xml:space="preserve">2 Jahre</w:t>
            </w:r>
          </w:p>
        </w:tc>
        <w:tc>
          <w:tcPr/>
          <w:p>
            <w:pPr>
              <w:pStyle w:val="Compact"/>
              <w:jc w:val="left"/>
            </w:pPr>
            <w:r>
              <w:t xml:space="preserve">kein Nutzen</w:t>
            </w:r>
          </w:p>
        </w:tc>
      </w:tr>
      <w:tr>
        <w:tc>
          <w:tcPr/>
          <w:p>
            <w:pPr>
              <w:pStyle w:val="Compact"/>
              <w:jc w:val="left"/>
            </w:pPr>
            <w:r>
              <w:t xml:space="preserve">Frühgeborene (Ley 2019), PMID 30471715</w:t>
            </w:r>
          </w:p>
        </w:tc>
        <w:tc>
          <w:tcPr/>
          <w:p>
            <w:pPr>
              <w:pStyle w:val="Compact"/>
              <w:jc w:val="left"/>
            </w:pPr>
            <w:r>
              <w:t xml:space="preserve">121 extrem Frühgeborene, RCT gegen Standardbehandlung</w:t>
            </w:r>
          </w:p>
        </w:tc>
        <w:tc>
          <w:tcPr/>
          <w:p>
            <w:pPr>
              <w:pStyle w:val="Compact"/>
              <w:jc w:val="left"/>
            </w:pPr>
            <w:r>
              <w:t xml:space="preserve">bis 40. Woche</w:t>
            </w:r>
          </w:p>
        </w:tc>
        <w:tc>
          <w:tcPr/>
          <w:p>
            <w:pPr>
              <w:pStyle w:val="Compact"/>
              <w:jc w:val="left"/>
            </w:pPr>
            <w:r>
              <w:t xml:space="preserve">keine Wirkung auf Netzhaut; weniger schwere BPD</w:t>
            </w:r>
          </w:p>
        </w:tc>
      </w:tr>
    </w:tbl>
    <w:bookmarkEnd w:id="563"/>
    <w:bookmarkEnd w:id="564"/>
    <w:bookmarkStart w:id="565" w:name="tier--und-laborstudien-31"/>
    <w:p>
      <w:pPr>
        <w:pStyle w:val="Heading3"/>
      </w:pPr>
      <w:r>
        <w:t xml:space="preserve">Tier- und Laborstudien</w:t>
      </w:r>
    </w:p>
    <w:p>
      <w:pPr>
        <w:pStyle w:val="FirstParagraph"/>
      </w:pPr>
      <w:r>
        <w:t xml:space="preserve">Die Wirkungen von IGF-1 auf Wachstum, Muskel und Stoffwechsel sind in Tier- und Zellstudien sehr umfangreich untersucht und bilden die Grundlage der Therapie. Für die Sicherheitsfrage wichtig sind Zellversuche mit Blutserum von Menschen mit Laron-Syndrom: Zellen, die mit diesem IGF-1-armen Serum behandelt und dann oxidativem Stress ausgesetzt wurden, hatten weniger DNA-Brüche, und geschädigte Zellen starben häufiger ab (Guevara-Aguirre 2011, PMID 21325617). Gab man IGF-1 zum Serum hinzu, verschwanden diese Unterschiede (Guevara-Aguirre 2015, PMID 25316432). IGF-1 hält also auch geschädigte Zellen eher am Leben – ein möglicher Mechanismus für ein Krebsrisiko.</w:t>
      </w:r>
    </w:p>
    <w:bookmarkEnd w:id="565"/>
    <w:bookmarkStart w:id="566" w:name="risiken-und-nebenwirkungen-31"/>
    <w:p>
      <w:pPr>
        <w:pStyle w:val="Heading3"/>
      </w:pPr>
      <w:r>
        <w:t xml:space="preserve">Risiken und Nebenwirkungen</w:t>
      </w:r>
    </w:p>
    <w:p>
      <w:pPr>
        <w:pStyle w:val="FirstParagraph"/>
      </w:pPr>
      <w:r>
        <w:rPr>
          <w:bCs/>
          <w:b/>
        </w:rPr>
        <w:t xml:space="preserve">Belegt:</w:t>
      </w:r>
    </w:p>
    <w:p>
      <w:pPr>
        <w:numPr>
          <w:ilvl w:val="0"/>
          <w:numId w:val="1177"/>
        </w:numPr>
        <w:pStyle w:val="Compact"/>
      </w:pPr>
      <w:r>
        <w:rPr>
          <w:bCs/>
          <w:b/>
        </w:rPr>
        <w:t xml:space="preserve">Unterzuckerung (Hypoglykämie)</w:t>
      </w:r>
      <w:r>
        <w:t xml:space="preserve"> </w:t>
      </w:r>
      <w:r>
        <w:t xml:space="preserve">– die häufigste und wichtigste Nebenwirkung, besonders bei kleinen Kindern, bei Laron-Syndrom und nach früheren Unterzuckerungen (Chernausek 2007, PMID 17192294; Bang 2023, PMID 37579214). Die Fachinformation schreibt deshalb einen engen zeitlichen Zusammenhang mit Mahlzeiten vor; Einzelheiten regelt sie selbst.</w:t>
      </w:r>
    </w:p>
    <w:p>
      <w:pPr>
        <w:numPr>
          <w:ilvl w:val="0"/>
          <w:numId w:val="1177"/>
        </w:numPr>
        <w:pStyle w:val="Compact"/>
      </w:pPr>
      <w:r>
        <w:rPr>
          <w:bCs/>
          <w:b/>
        </w:rPr>
        <w:t xml:space="preserve">Vergrößerung von Mandeln und Rachenpolypen</w:t>
      </w:r>
      <w:r>
        <w:t xml:space="preserve"> </w:t>
      </w:r>
      <w:r>
        <w:t xml:space="preserve">(22 %) und Veränderungen des Fettgewebes an der Einstichstelle (32 %) (Chernausek 2007, PMID 17192294).</w:t>
      </w:r>
    </w:p>
    <w:p>
      <w:pPr>
        <w:numPr>
          <w:ilvl w:val="0"/>
          <w:numId w:val="1177"/>
        </w:numPr>
        <w:pStyle w:val="Compact"/>
      </w:pPr>
      <w:r>
        <w:t xml:space="preserve">In der Frühgeborenen-Studie traten unter IGF-1/IGFBP-3 zahlenmäßig mehr tödliche schwere Ereignisse auf als unter Standardbehandlung (Ley 2019, PMID 30471715); die Studie war nicht darauf ausgelegt, diesen Unterschied zu bewerten.</w:t>
      </w:r>
    </w:p>
    <w:p>
      <w:pPr>
        <w:pStyle w:val="FirstParagraph"/>
      </w:pPr>
      <w:r>
        <w:rPr>
          <w:bCs/>
          <w:b/>
        </w:rPr>
        <w:t xml:space="preserve">Krebsrisiko – was belegt ist und was nicht:</w:t>
      </w:r>
    </w:p>
    <w:p>
      <w:pPr>
        <w:pStyle w:val="BodyText"/>
      </w:pPr>
      <w:r>
        <w:t xml:space="preserve">IGF-1 ist ein Wachstums- und Überlebenssignal für Zellen. Die Sorge, dass mehr IGF-1 das Krebsrisiko erhöht, ist daher biologisch plausibel und wird durch mehrere Befundtypen gestützt:</w:t>
      </w:r>
    </w:p>
    <w:p>
      <w:pPr>
        <w:numPr>
          <w:ilvl w:val="0"/>
          <w:numId w:val="1178"/>
        </w:numPr>
        <w:pStyle w:val="Compact"/>
      </w:pPr>
      <w:r>
        <w:rPr>
          <w:iCs/>
          <w:i/>
        </w:rPr>
        <w:t xml:space="preserve">Beobachtungsstudien:</w:t>
      </w:r>
      <w:r>
        <w:t xml:space="preserve"> </w:t>
      </w:r>
      <w:r>
        <w:t xml:space="preserve">Menschen mit höheren IGF-1-Spiegeln im Blut erkranken etwas häufiger an Prostatakrebs und Brustkrebs vor den Wechseljahren (Renehan 2004, PMID 15110491). In der UK Biobank war jede Erhöhung um 5 nmol/l mit einem um 11 % höheren Brustkrebsrisiko verbunden (Murphy 2020, PMID 32169310); ähnliche Zusammenhänge zeigen sich für Darmkrebs (Murphy 2020, PMID 31884074) und Prostatakrebs (Watts 2023, PMID 35726641).</w:t>
      </w:r>
    </w:p>
    <w:p>
      <w:pPr>
        <w:numPr>
          <w:ilvl w:val="0"/>
          <w:numId w:val="1178"/>
        </w:numPr>
        <w:pStyle w:val="Compact"/>
      </w:pPr>
      <w:r>
        <w:rPr>
          <w:iCs/>
          <w:i/>
        </w:rPr>
        <w:t xml:space="preserve">Genetische Analysen (Mendelsche Randomisierung):</w:t>
      </w:r>
      <w:r>
        <w:t xml:space="preserve"> </w:t>
      </w:r>
      <w:r>
        <w:t xml:space="preserve">Auch Menschen, die genetisch bedingt höhere IGF-1-Spiegel haben, erkranken etwas häufiger an Brust- und Darmkrebs – ein Hinweis darauf, dass der Zusammenhang ursächlich sein könnte (Murphy 2020, PMID 32169310; Murphy 2020, PMID 31884074).</w:t>
      </w:r>
    </w:p>
    <w:p>
      <w:pPr>
        <w:numPr>
          <w:ilvl w:val="0"/>
          <w:numId w:val="1178"/>
        </w:numPr>
        <w:pStyle w:val="Compact"/>
      </w:pPr>
      <w:r>
        <w:rPr>
          <w:iCs/>
          <w:i/>
        </w:rPr>
        <w:t xml:space="preserve">Das Gegenbild:</w:t>
      </w:r>
      <w:r>
        <w:t xml:space="preserve"> </w:t>
      </w:r>
      <w:r>
        <w:t xml:space="preserve">In einer ecuadorianischen Gruppe mit Laron-Syndrom, also lebenslangem IGF-1-Mangel, trat über 22 Jahre Beobachtung nur eine einzige, nicht tödliche Krebserkrankung auf, gegenüber 17 % bei nicht betroffenen Verwandten (Guevara-Aguirre 2011, PMID 21325617).</w:t>
      </w:r>
    </w:p>
    <w:p>
      <w:pPr>
        <w:pStyle w:val="FirstParagraph"/>
      </w:pPr>
      <w:r>
        <w:t xml:space="preserve">Wichtig ist die Größenordnung: Die gemessenen Risikoerhöhungen bei natürlich höherem IGF-1 sind mäßig (je nach Vergleich und Krebsart meist zwischen etwa 5 und 65 % relativ). Für die Kinder, für die Mecasermin zugelassen ist, wird ein fehlendes Hormon ersetzt, nicht ein normaler Spiegel überhöht. Dennoch wurden nach der Markteinführung Fälle gutartiger und bösartiger Neubildungen bei behandelten Kindern gemeldet; die Fachinformation in EU und USA wurde daraufhin um entsprechende Warnhinweise ergänzt, und bei aktiver oder vermuteter Krebserkrankung darf Mecasermin nicht angewendet werden (Stand 2026, Einzelheiten siehe aktuelle Fachinformation). Ob ein ursächlicher Zusammenhang besteht, lässt sich aus Einzelmeldungen nicht klären; das Langzeitregister (NCT00903110) soll dazu Daten liefern.</w:t>
      </w:r>
    </w:p>
    <w:p>
      <w:pPr>
        <w:pStyle w:val="BodyText"/>
      </w:pPr>
      <w:r>
        <w:t xml:space="preserve">Für Erwachsene, die IGF-1 ohne Mangel zur Leistungssteigerung oder „Verjüngung“ anwenden, sind diese Überlegungen deutlich ernster zu nehmen: Hier würde ein normaler Spiegel dauerhaft angehoben – genau die Situation, die in den Beobachtungsstudien mit einem höheren Risiko verbunden ist. Ausführlich wird das Thema in Teil IV behandelt.</w:t>
      </w:r>
    </w:p>
    <w:bookmarkEnd w:id="566"/>
    <w:bookmarkStart w:id="567" w:name="rechtslage-31"/>
    <w:p>
      <w:pPr>
        <w:pStyle w:val="Heading3"/>
      </w:pPr>
      <w:r>
        <w:t xml:space="preserve">Rechtslage</w:t>
      </w:r>
    </w:p>
    <w:p>
      <w:pPr>
        <w:pStyle w:val="FirstParagraph"/>
      </w:pPr>
      <w:r>
        <w:rPr>
          <w:iCs/>
          <w:i/>
        </w:rPr>
        <w:t xml:space="preserve">Stand 2026, bitte aktuell prüfen.</w:t>
      </w:r>
    </w:p>
    <w:p>
      <w:pPr>
        <w:numPr>
          <w:ilvl w:val="0"/>
          <w:numId w:val="1179"/>
        </w:numPr>
        <w:pStyle w:val="Compact"/>
      </w:pPr>
      <w:r>
        <w:rPr>
          <w:bCs/>
          <w:b/>
        </w:rPr>
        <w:t xml:space="preserve">EU, Deutschland, Österreich:</w:t>
      </w:r>
      <w:r>
        <w:t xml:space="preserve"> </w:t>
      </w:r>
      <w:r>
        <w:t xml:space="preserve">zugelassen (Increlex) ausschließlich für Kinder und Jugendliche mit schwerem primärem IGF-1-Mangel; verschreibungspflichtig, Behandlung durch kinderendokrinologisch erfahrene Ärztinnen und Ärzte nach Fachinformation. Die EU-Zulassung ist an die Datensammlung im Langzeitregister gekoppelt (Saavedra 2026, PMID 42341624).</w:t>
      </w:r>
    </w:p>
    <w:p>
      <w:pPr>
        <w:numPr>
          <w:ilvl w:val="0"/>
          <w:numId w:val="1179"/>
        </w:numPr>
        <w:pStyle w:val="Compact"/>
      </w:pPr>
      <w:r>
        <w:rPr>
          <w:bCs/>
          <w:b/>
        </w:rPr>
        <w:t xml:space="preserve">USA:</w:t>
      </w:r>
      <w:r>
        <w:t xml:space="preserve"> </w:t>
      </w:r>
      <w:r>
        <w:t xml:space="preserve">zugelassen (Increlex) für dieselbe Indikation.</w:t>
      </w:r>
    </w:p>
    <w:p>
      <w:pPr>
        <w:numPr>
          <w:ilvl w:val="0"/>
          <w:numId w:val="1179"/>
        </w:numPr>
        <w:pStyle w:val="Compact"/>
      </w:pPr>
      <w:r>
        <w:rPr>
          <w:bCs/>
          <w:b/>
        </w:rPr>
        <w:t xml:space="preserve">Andere Anwendungen</w:t>
      </w:r>
      <w:r>
        <w:t xml:space="preserve"> </w:t>
      </w:r>
      <w:r>
        <w:t xml:space="preserve">(Erwachsene, Sport, Anti-Aging) sind nicht zugelassen.</w:t>
      </w:r>
    </w:p>
    <w:p>
      <w:pPr>
        <w:numPr>
          <w:ilvl w:val="0"/>
          <w:numId w:val="1179"/>
        </w:numPr>
        <w:pStyle w:val="Compact"/>
      </w:pPr>
      <w:r>
        <w:rPr>
          <w:bCs/>
          <w:b/>
        </w:rPr>
        <w:t xml:space="preserve">WADA:</w:t>
      </w:r>
      <w:r>
        <w:t xml:space="preserve"> </w:t>
      </w:r>
      <w:r>
        <w:t xml:space="preserve">verboten (S2). Für den Nachweis von IGF-1-Missbrauch werden Marker-Methoden ähnlich wie beim Wachstumshormon-Test entwickelt (Guha 2013, PMID 23934394).</w:t>
      </w:r>
    </w:p>
    <w:bookmarkEnd w:id="567"/>
    <w:bookmarkStart w:id="568" w:name="laufende-studien-und-ausblick-31"/>
    <w:p>
      <w:pPr>
        <w:pStyle w:val="Heading3"/>
      </w:pPr>
      <w:r>
        <w:t xml:space="preserve">Laufende Studien und Ausblick</w:t>
      </w:r>
    </w:p>
    <w:p>
      <w:pPr>
        <w:pStyle w:val="FirstParagraph"/>
      </w:pPr>
      <w:r>
        <w:rPr>
          <w:iCs/>
          <w:i/>
        </w:rPr>
        <w:t xml:space="preserve">Gesichert:</w:t>
      </w:r>
      <w:r>
        <w:t xml:space="preserve"> </w:t>
      </w:r>
      <w:r>
        <w:t xml:space="preserve">Das globale Increlex-Register (NCT00903110) läuft laut Eintrag bis Ende 2027. Eine Phase-2-Studie mit IGF-1/IGFBP-3 zur Vorbeugung der bronchopulmonalen Dysplasie bei extrem Frühgeborenen (NCT03253263, 295 Kinder) ist aktiv, aber nicht mehr rekrutierend.</w:t>
      </w:r>
      <w:r>
        <w:t xml:space="preserve"> </w:t>
      </w:r>
      <w:r>
        <w:rPr>
          <w:iCs/>
          <w:i/>
        </w:rPr>
        <w:t xml:space="preserve">Einschätzung des Autors:</w:t>
      </w:r>
      <w:r>
        <w:t xml:space="preserve"> </w:t>
      </w:r>
      <w:r>
        <w:t xml:space="preserve">Neue Zulassungen für Erwachsene sind nicht in Sicht; die Bedeutung von Mecasermin wird auf seltene Wachstumsstörungen und gegebenenfalls die Frühgeborenenmedizin begrenzt bleiben.</w:t>
      </w:r>
    </w:p>
    <w:bookmarkEnd w:id="568"/>
    <w:bookmarkStart w:id="569" w:name="fazit-31"/>
    <w:p>
      <w:pPr>
        <w:pStyle w:val="Heading3"/>
      </w:pPr>
      <w:r>
        <w:t xml:space="preserve">Fazit</w:t>
      </w:r>
    </w:p>
    <w:p>
      <w:pPr>
        <w:pStyle w:val="FirstParagraph"/>
      </w:pPr>
      <w:r>
        <w:t xml:space="preserve">Mecasermin ersetzt das fehlende IGF-1 bei Kindern mit schwerem primärem IGF-1-Mangel und verbessert ihr Wachstum deutlich, besonders bei frühem Behandlungsbeginn. Die häufigste Nebenwirkung ist Unterzuckerung; nach Meldungen von Neubildungen wurden die Warnhinweise verschärft. In anderen Anwendungen, etwa bei ALS, brachte IGF-1 keinen Nutzen. Für Gesunde ist eine Anwendung weder belegt noch vertretbar, weil dauerhaft erhöhtes IGF-1 in großen Beobachtungs- und Genstudien mit einem etwas höheren Krebsrisiko verbunden ist.</w:t>
      </w:r>
    </w:p>
    <w:bookmarkEnd w:id="569"/>
    <w:bookmarkEnd w:id="570"/>
    <w:bookmarkStart w:id="579" w:name="igf-1-lr3"/>
    <w:p>
      <w:pPr>
        <w:pStyle w:val="Heading2"/>
      </w:pPr>
      <w:r>
        <w:t xml:space="preserve">IGF-1 LR3</w:t>
      </w:r>
    </w:p>
    <w:p>
      <w:pPr>
        <w:pStyle w:val="FirstParagraph"/>
      </w:pPr>
      <w:r>
        <w:t xml:space="preserve">IGF-1 LR3 (ausgeschrieben „Long-R3-IGF-I“) ist kein Medikament, sondern ein Laborreagenz. Es wurde entwickelt, um Zellkulturen in der Biotechnologie besser wachsen zu lassen, und wird in Tierversuchen eingesetzt. Dass es im Internet in Fläschchen zur Injektion verkauft wird, ist ein Paradebeispiel für den „Research Peptide“-Markt: ein Stoff, der nie für Menschen gedacht war, nie an Menschen getestet wurde und dessen Eigenschaften genau die Risiken verstärken, die beim natürlichen IGF-1 Sorgen machen.</w:t>
      </w:r>
    </w:p>
    <w:bookmarkStart w:id="571" w:name="steckbrief-32"/>
    <w:p>
      <w:pPr>
        <w:pStyle w:val="Heading3"/>
      </w:pPr>
      <w:r>
        <w:t xml:space="preserve">Steckbrief</w:t>
      </w:r>
    </w:p>
    <w:p>
      <w:pPr>
        <w:numPr>
          <w:ilvl w:val="0"/>
          <w:numId w:val="1180"/>
        </w:numPr>
        <w:pStyle w:val="Compact"/>
      </w:pPr>
      <w:r>
        <w:rPr>
          <w:bCs/>
          <w:b/>
        </w:rPr>
        <w:t xml:space="preserve">Art und Struktur:</w:t>
      </w:r>
      <w:r>
        <w:t xml:space="preserve"> </w:t>
      </w:r>
      <w:r>
        <w:t xml:space="preserve">abgewandeltes menschliches IGF-1: An Position 3 steht die Aminosäure Arginin („R3“), und am Anfang wurde eine zusätzliche Aminosäurekette angehängt („Long“). Beides verringert die Bindung an die IGF-Bindungsproteine stark (Bastian 1993, PMID 7693845; Tomas 1993, PMID 7683875).</w:t>
      </w:r>
    </w:p>
    <w:p>
      <w:pPr>
        <w:numPr>
          <w:ilvl w:val="0"/>
          <w:numId w:val="1180"/>
        </w:numPr>
        <w:pStyle w:val="Compact"/>
      </w:pPr>
      <w:r>
        <w:rPr>
          <w:bCs/>
          <w:b/>
        </w:rPr>
        <w:t xml:space="preserve">Herkunft:</w:t>
      </w:r>
      <w:r>
        <w:t xml:space="preserve"> </w:t>
      </w:r>
      <w:r>
        <w:t xml:space="preserve">Anfang der 1990er-Jahre als Forschungswerkzeug beschrieben; heute als Zusatz für Zellkultur-Nährmedien kommerziell erhältlich.</w:t>
      </w:r>
    </w:p>
    <w:p>
      <w:pPr>
        <w:numPr>
          <w:ilvl w:val="0"/>
          <w:numId w:val="1180"/>
        </w:numPr>
        <w:pStyle w:val="Compact"/>
      </w:pPr>
      <w:r>
        <w:rPr>
          <w:bCs/>
          <w:b/>
        </w:rPr>
        <w:t xml:space="preserve">Wirkprinzip:</w:t>
      </w:r>
      <w:r>
        <w:t xml:space="preserve"> </w:t>
      </w:r>
      <w:r>
        <w:t xml:space="preserve">bindet wie IGF-1 an den IGF-1-Rezeptor; weil es kaum von Bindungsproteinen abgefangen wird, liegt es im Blut überwiegend frei und damit unmittelbar wirksam vor.</w:t>
      </w:r>
    </w:p>
    <w:p>
      <w:pPr>
        <w:numPr>
          <w:ilvl w:val="0"/>
          <w:numId w:val="1180"/>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 Nirgends als Arzneimittel zugelassen oder je beantragt.</w:t>
      </w:r>
    </w:p>
    <w:p>
      <w:pPr>
        <w:numPr>
          <w:ilvl w:val="0"/>
          <w:numId w:val="1180"/>
        </w:numPr>
        <w:pStyle w:val="Compact"/>
      </w:pPr>
      <w:r>
        <w:rPr>
          <w:bCs/>
          <w:b/>
        </w:rPr>
        <w:t xml:space="preserve">WADA:</w:t>
      </w:r>
      <w:r>
        <w:t xml:space="preserve"> </w:t>
      </w:r>
      <w:r>
        <w:t xml:space="preserve">verboten, Gruppe S2 (IGF-1-Analoga als Wachstumsfaktoren).</w:t>
      </w:r>
    </w:p>
    <w:p>
      <w:pPr>
        <w:numPr>
          <w:ilvl w:val="0"/>
          <w:numId w:val="1180"/>
        </w:numPr>
        <w:pStyle w:val="Compact"/>
      </w:pPr>
      <w:r>
        <w:rPr>
          <w:bCs/>
          <w:b/>
        </w:rPr>
        <w:t xml:space="preserve">Evidenzstufe: D</w:t>
      </w:r>
      <w:r>
        <w:t xml:space="preserve"> </w:t>
      </w:r>
      <w:r>
        <w:t xml:space="preserve">– keine einzige Studie am Menschen; nur Tier- und Laborstudien.</w:t>
      </w:r>
    </w:p>
    <w:bookmarkEnd w:id="571"/>
    <w:bookmarkStart w:id="572" w:name="wie-es-wirken-soll-32"/>
    <w:p>
      <w:pPr>
        <w:pStyle w:val="Heading3"/>
      </w:pPr>
      <w:r>
        <w:t xml:space="preserve">Wie es wirken soll</w:t>
      </w:r>
    </w:p>
    <w:p>
      <w:pPr>
        <w:pStyle w:val="FirstParagraph"/>
      </w:pPr>
      <w:r>
        <w:t xml:space="preserve">Im Blut ist fast das gesamte IGF-1 an Bindungsproteine gekoppelt, vor allem an IGFBP-3. Diese Proteine wirken wie ein Puffer: Sie verlängern die Lebensdauer von IGF-1, halten es aber auch von den Zellen fern und dämpfen so seine Wirkung. In Zellversuchen hemmte IGFBP-3 die Aktivierung des IGF-1-Rezeptors durch IGF-1 und auch durch Long-R3-IGF-I, indem es die Botenstoffe abfängt (Devi 2001, PMID 11735239).</w:t>
      </w:r>
    </w:p>
    <w:p>
      <w:pPr>
        <w:pStyle w:val="BodyText"/>
      </w:pPr>
      <w:r>
        <w:t xml:space="preserve">LR3 wurde so verändert, dass es diesem Puffer weitgehend entgeht. In Ratten lag es im Blut überwiegend als freies Peptid vor und wurde – bei nicht trächtigen Tieren – rund zehnmal schneller aus dem Blut entfernt als IGF-1 – es verschwindet also rasch in die Gewebe (Bastian 1993, PMID 7693845). Bei zuckerkranken Ratten war es 2,5- bis 3-mal so wirksam wie IGF-1 bei der Wiederherstellung des Wachstums (Tomas 1993, PMID 7683875). Auf dem Graumarkt wird daraus die Erwartung abgeleitet, LR3 baue beim Menschen stärker Muskeln auf als natürliches IGF-1. Belege dafür gibt es nicht.</w:t>
      </w:r>
    </w:p>
    <w:bookmarkEnd w:id="572"/>
    <w:bookmarkStart w:id="573" w:name="studien-am-menschen-32"/>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keine</w:t>
      </w:r>
      <w:r>
        <w:t xml:space="preserve"> </w:t>
      </w:r>
      <w:r>
        <w:t xml:space="preserve">Humanstudie in PubMed (</w:t>
      </w:r>
      <w:r>
        <w:rPr>
          <w:rStyle w:val="VerbatimChar"/>
        </w:rPr>
        <w:t xml:space="preserve">humanstudien_alle</w:t>
      </w:r>
      <w:r>
        <w:t xml:space="preserve">: 0) und</w:t>
      </w:r>
      <w:r>
        <w:t xml:space="preserve"> </w:t>
      </w:r>
      <w:r>
        <w:rPr>
          <w:bCs/>
          <w:b/>
        </w:rPr>
        <w:t xml:space="preserve">keinen</w:t>
      </w:r>
      <w:r>
        <w:t xml:space="preserve"> </w:t>
      </w:r>
      <w:r>
        <w:t xml:space="preserve">Eintrag bei ClinicalTrials.gov. Auch eine gezielte Nachsuche nach Pilotstudien, Fallberichten zu Vergiftungen oder Nebenwirkungen ergab keine Veröffentlichung, in der Menschen IGF-1 LR3 erhalten haben.</w:t>
      </w:r>
    </w:p>
    <w:p>
      <w:pPr>
        <w:pStyle w:val="BodyText"/>
      </w:pPr>
      <w:r>
        <w:t xml:space="preserve">Gefunden wurden lediglich:</w:t>
      </w:r>
    </w:p>
    <w:p>
      <w:pPr>
        <w:numPr>
          <w:ilvl w:val="0"/>
          <w:numId w:val="1181"/>
        </w:numPr>
        <w:pStyle w:val="Compact"/>
      </w:pPr>
      <w:r>
        <w:rPr>
          <w:bCs/>
          <w:b/>
        </w:rPr>
        <w:t xml:space="preserve">Graumarkt-Analysen:</w:t>
      </w:r>
      <w:r>
        <w:t xml:space="preserve"> </w:t>
      </w:r>
      <w:r>
        <w:t xml:space="preserve">Ein Dopinglabor fand in einem Injektionsfläschchen vom Schwarzmarkt Long-R3-IGF-I mit einem sogenannten His-Tag – einem Anhängsel aus sechs Histidin-Bausteinen, das bei der Herstellung von Laborproteinen zur Reinigung genutzt wird. Die Autoren vermuten, dass es sich um ein Nebenprodukt aus der biochemischen Forschung handelte, nicht um ein für Injektionen hergestelltes Präparat; die Wirkung dieser Variante beim Menschen ist völlig unbekannt (Kohler 2010, PMID 20675162). Eine andere Arbeitsgruppe fand in Schwarzmarktprodukten zahlreiche Hinweise auf minderwertige, oxidierte Peptidformen (Mongongu 2021, PMID 33587816).</w:t>
      </w:r>
    </w:p>
    <w:p>
      <w:pPr>
        <w:numPr>
          <w:ilvl w:val="0"/>
          <w:numId w:val="1181"/>
        </w:numPr>
        <w:pStyle w:val="Compact"/>
      </w:pPr>
      <w:r>
        <w:rPr>
          <w:bCs/>
          <w:b/>
        </w:rPr>
        <w:t xml:space="preserve">Doping-Übersichten:</w:t>
      </w:r>
      <w:r>
        <w:t xml:space="preserve"> </w:t>
      </w:r>
      <w:r>
        <w:t xml:space="preserve">IGF-1 und seine Analoga werden im Internet beworben und sind seit Jahren auf dem Schwarzmarkt erhältlich (Guha 2013, PMID 23934394).</w:t>
      </w:r>
    </w:p>
    <w:bookmarkEnd w:id="573"/>
    <w:bookmarkStart w:id="574" w:name="tier--und-laborstudien-32"/>
    <w:p>
      <w:pPr>
        <w:pStyle w:val="Heading3"/>
      </w:pPr>
      <w:r>
        <w:t xml:space="preserve">Tier- und Laborstudien</w:t>
      </w:r>
    </w:p>
    <w:p>
      <w:pPr>
        <w:pStyle w:val="FirstParagraph"/>
      </w:pPr>
      <w:r>
        <w:t xml:space="preserve">Fast die gesamte Forschung zu LR3 stammt aus der Nutztier- und Entwicklungsbiologie:</w:t>
      </w:r>
    </w:p>
    <w:p>
      <w:pPr>
        <w:numPr>
          <w:ilvl w:val="0"/>
          <w:numId w:val="1182"/>
        </w:numPr>
        <w:pStyle w:val="Compact"/>
      </w:pPr>
      <w:r>
        <w:rPr>
          <w:bCs/>
          <w:b/>
        </w:rPr>
        <w:t xml:space="preserve">Ratten:</w:t>
      </w:r>
      <w:r>
        <w:t xml:space="preserve"> </w:t>
      </w:r>
      <w:r>
        <w:t xml:space="preserve">Rasche Verteilung ins Gewebe, überwiegend als freies Peptid (Bastian 1993, PMID 7693845); stärkere Wachstumswirkung als IGF-1 bei zuckerkranken Ratten, ohne die Zuckerausscheidung im Urin zu senken (Tomas 1993, PMID 7683875).</w:t>
      </w:r>
    </w:p>
    <w:p>
      <w:pPr>
        <w:numPr>
          <w:ilvl w:val="0"/>
          <w:numId w:val="1182"/>
        </w:numPr>
        <w:pStyle w:val="Compact"/>
      </w:pPr>
      <w:r>
        <w:rPr>
          <w:bCs/>
          <w:b/>
        </w:rPr>
        <w:t xml:space="preserve">Schweine:</w:t>
      </w:r>
      <w:r>
        <w:t xml:space="preserve"> </w:t>
      </w:r>
      <w:r>
        <w:t xml:space="preserve">Eine viertägige Infusion</w:t>
      </w:r>
      <w:r>
        <w:t xml:space="preserve"> </w:t>
      </w:r>
      <w:r>
        <w:rPr>
          <w:bCs/>
          <w:b/>
        </w:rPr>
        <w:t xml:space="preserve">verringerte</w:t>
      </w:r>
      <w:r>
        <w:t xml:space="preserve"> </w:t>
      </w:r>
      <w:r>
        <w:t xml:space="preserve">bei Mastschweinen die Gewichtszunahme und die Futteraufnahme und unterdrückte die körpereigenen Spiegel von Wachstumshormon, IGF-1, IGFBP-3 und Insulin (Dunaiski 1997, PMID 9488001).</w:t>
      </w:r>
    </w:p>
    <w:p>
      <w:pPr>
        <w:numPr>
          <w:ilvl w:val="0"/>
          <w:numId w:val="1182"/>
        </w:numPr>
        <w:pStyle w:val="Compact"/>
      </w:pPr>
      <w:r>
        <w:rPr>
          <w:bCs/>
          <w:b/>
        </w:rPr>
        <w:t xml:space="preserve">Meerschweinchen:</w:t>
      </w:r>
      <w:r>
        <w:t xml:space="preserve"> </w:t>
      </w:r>
      <w:r>
        <w:t xml:space="preserve">Organe wie Darm, Nieren, Milz und Nebennieren wurden schwerer, das Körperwachstum insgesamt nahm aber nicht zu (Conlon 1995, PMID 7561636).</w:t>
      </w:r>
    </w:p>
    <w:p>
      <w:pPr>
        <w:numPr>
          <w:ilvl w:val="0"/>
          <w:numId w:val="1182"/>
        </w:numPr>
        <w:pStyle w:val="Compact"/>
      </w:pPr>
      <w:r>
        <w:rPr>
          <w:bCs/>
          <w:b/>
        </w:rPr>
        <w:t xml:space="preserve">Schaf-Feten:</w:t>
      </w:r>
      <w:r>
        <w:t xml:space="preserve"> </w:t>
      </w:r>
      <w:r>
        <w:t xml:space="preserve">Bei normal wachsenden Feten senkte LR3 die Insulinausschüttung; eine kurze Infusion verringerte die Insulinspiegel unter Zuckerbelastung um 66 % (White 2023, PMID 37114757). Bei wachstumsverzögerten Feten verbesserte eine einwöchige Behandlung das Wachstum nicht (White 2025, PMID 39679943).</w:t>
      </w:r>
    </w:p>
    <w:p>
      <w:pPr>
        <w:numPr>
          <w:ilvl w:val="0"/>
          <w:numId w:val="1182"/>
        </w:numPr>
        <w:pStyle w:val="Compact"/>
      </w:pPr>
      <w:r>
        <w:rPr>
          <w:bCs/>
          <w:b/>
        </w:rPr>
        <w:t xml:space="preserve">Mäuse:</w:t>
      </w:r>
      <w:r>
        <w:t xml:space="preserve"> </w:t>
      </w:r>
      <w:r>
        <w:t xml:space="preserve">In einem Alzheimer-Modell veränderte LR3 als Nasenspray die Amyloid-Ablagerungen, verhinderte aber den Gedächtnisverlust nicht (Engel 2025, PMID 39610283).</w:t>
      </w:r>
    </w:p>
    <w:p>
      <w:pPr>
        <w:pStyle w:val="FirstParagraph"/>
      </w:pPr>
      <w:r>
        <w:t xml:space="preserve">Die Tierdaten sind widersprüchlich: Je nach Tierart wirkte LR3 wachstumsfördernd, wirkungslos oder sogar wachstumshemmend. Eine Übertragung auf den Menschen ist nicht möglich.</w:t>
      </w:r>
    </w:p>
    <w:bookmarkEnd w:id="574"/>
    <w:bookmarkStart w:id="575" w:name="risiken-und-nebenwirkungen-32"/>
    <w:p>
      <w:pPr>
        <w:pStyle w:val="Heading3"/>
      </w:pPr>
      <w:r>
        <w:t xml:space="preserve">Risiken und Nebenwirkungen</w:t>
      </w:r>
    </w:p>
    <w:p>
      <w:pPr>
        <w:pStyle w:val="FirstParagraph"/>
      </w:pPr>
      <w:r>
        <w:t xml:space="preserve">Weil es keine Humanstudien gibt, lassen sich die Risiken nur aus der Biologie und aus Erfahrungen mit dem natürlichen IGF-1 (Mecasermin) ableiten. Diese Ableitungen sind</w:t>
      </w:r>
      <w:r>
        <w:t xml:space="preserve"> </w:t>
      </w:r>
      <w:r>
        <w:rPr>
          <w:bCs/>
          <w:b/>
        </w:rPr>
        <w:t xml:space="preserve">theoretisch</w:t>
      </w:r>
      <w:r>
        <w:t xml:space="preserve">, aber gut begründet:</w:t>
      </w:r>
    </w:p>
    <w:p>
      <w:pPr>
        <w:numPr>
          <w:ilvl w:val="0"/>
          <w:numId w:val="1183"/>
        </w:numPr>
        <w:pStyle w:val="Compact"/>
      </w:pPr>
      <w:r>
        <w:rPr>
          <w:bCs/>
          <w:b/>
        </w:rPr>
        <w:t xml:space="preserve">Unterzuckerung (Hypoglykämie):</w:t>
      </w:r>
      <w:r>
        <w:t xml:space="preserve"> </w:t>
      </w:r>
      <w:r>
        <w:t xml:space="preserve">IGF-1 wirkt in höherer Dosis ähnlich wie Insulin. Beim zugelassenen Mecasermin ist Unterzuckerung die häufigste Nebenwirkung, obwohl dort der Puffer der Bindungsproteine weitgehend erhalten bleibt (Chernausek 2007, PMID 17192294). Ein Analogon, das diesem Puffer gezielt entgeht, könnte stärker und weniger vorhersehbar wirken. Gemessen am Menschen ist das nicht. In den Tierversuchen sanken teils die Insulinspiegel (Dunaiski 1997, PMID 9488001; White 2023, PMID 37114757), was die Regulation des Blutzuckers zusätzlich verändern könnte.</w:t>
      </w:r>
    </w:p>
    <w:p>
      <w:pPr>
        <w:numPr>
          <w:ilvl w:val="0"/>
          <w:numId w:val="1183"/>
        </w:numPr>
        <w:pStyle w:val="Compact"/>
      </w:pPr>
      <w:r>
        <w:rPr>
          <w:bCs/>
          <w:b/>
        </w:rPr>
        <w:t xml:space="preserve">Wachstum von Organen und Gewebe:</w:t>
      </w:r>
      <w:r>
        <w:t xml:space="preserve"> </w:t>
      </w:r>
      <w:r>
        <w:t xml:space="preserve">Bei Meerschweinchen vergrößerten sich innere Organe (Conlon 1995, PMID 7561636). Beim Menschen ist unklar, ob Ähnliches geschieht.</w:t>
      </w:r>
    </w:p>
    <w:p>
      <w:pPr>
        <w:numPr>
          <w:ilvl w:val="0"/>
          <w:numId w:val="1183"/>
        </w:numPr>
        <w:pStyle w:val="Compact"/>
      </w:pPr>
      <w:r>
        <w:rPr>
          <w:bCs/>
          <w:b/>
        </w:rPr>
        <w:t xml:space="preserve">Krebs-Theorie:</w:t>
      </w:r>
      <w:r>
        <w:t xml:space="preserve"> </w:t>
      </w:r>
      <w:r>
        <w:t xml:space="preserve">IGF-1 fördert Zellteilung und Zellüberleben. Höhere IGF-1-Spiegel sind in großen Beobachtungs- und Genstudien mit einem etwas höheren Risiko für Brust-, Prostata- und Darmkrebs verbunden (Renehan 2004, PMID 15110491; Murphy 2020, PMID 32169310; Watts 2023, PMID 35726641), und Menschen mit angeborenem IGF-1-Mangel erkranken auffällig selten an Krebs (Guevara-Aguirre 2011, PMID 21325617). Ein Analogon, das stärker und ungepuffert am IGF-1-Rezeptor wirkt, verstärkt genau diesen Signalweg. Ob das beim Menschen das Krebsrisiko messbar erhöht, ist nicht untersucht – und wird es wegen fehlender Studien auch nicht sein. Die Sorge beruht auf Plausibilität, nicht auf Fallberichten.</w:t>
      </w:r>
    </w:p>
    <w:p>
      <w:pPr>
        <w:numPr>
          <w:ilvl w:val="0"/>
          <w:numId w:val="1183"/>
        </w:numPr>
        <w:pStyle w:val="Compact"/>
      </w:pPr>
      <w:r>
        <w:rPr>
          <w:bCs/>
          <w:b/>
        </w:rPr>
        <w:t xml:space="preserve">Produktqualität:</w:t>
      </w:r>
      <w:r>
        <w:t xml:space="preserve"> </w:t>
      </w:r>
      <w:r>
        <w:t xml:space="preserve">Die gefundenen Schwarzmarkt-Präparate enthielten Laborvarianten mit Reinigungsanhängsel und oxidierte Peptide (Kohler 2010, PMID 20675162; Mongongu 2021, PMID 33587816). Hinzu kommen die allgemeinen Risiken nicht steriler Injektionen. Zellkultur-Reagenzien unterliegen keiner Arzneimittelkontrolle.</w:t>
      </w:r>
    </w:p>
    <w:bookmarkEnd w:id="575"/>
    <w:bookmarkStart w:id="576" w:name="rechtslage-32"/>
    <w:p>
      <w:pPr>
        <w:pStyle w:val="Heading3"/>
      </w:pPr>
      <w:r>
        <w:t xml:space="preserve">Rechtslage</w:t>
      </w:r>
    </w:p>
    <w:p>
      <w:pPr>
        <w:pStyle w:val="FirstParagraph"/>
      </w:pPr>
      <w:r>
        <w:rPr>
          <w:iCs/>
          <w:i/>
        </w:rPr>
        <w:t xml:space="preserve">Stand 2026, bitte aktuell prüfen.</w:t>
      </w:r>
    </w:p>
    <w:p>
      <w:pPr>
        <w:numPr>
          <w:ilvl w:val="0"/>
          <w:numId w:val="1184"/>
        </w:numPr>
        <w:pStyle w:val="Compact"/>
      </w:pPr>
      <w:r>
        <w:rPr>
          <w:bCs/>
          <w:b/>
        </w:rPr>
        <w:t xml:space="preserve">EU, Deutschland, Österreich:</w:t>
      </w:r>
      <w:r>
        <w:t xml:space="preserve"> </w:t>
      </w:r>
      <w:r>
        <w:t xml:space="preserve">kein Arzneimittel, keine Zulassung, auch nicht beantragt. Als Laborreagenz darf es für die Forschung verkauft werden; die Abgabe zur Anwendung am Menschen ist nach den Arzneimittelgesetzen unzulässig.</w:t>
      </w:r>
    </w:p>
    <w:p>
      <w:pPr>
        <w:numPr>
          <w:ilvl w:val="0"/>
          <w:numId w:val="1184"/>
        </w:numPr>
        <w:pStyle w:val="Compact"/>
      </w:pPr>
      <w:r>
        <w:rPr>
          <w:bCs/>
          <w:b/>
        </w:rPr>
        <w:t xml:space="preserve">USA:</w:t>
      </w:r>
      <w:r>
        <w:t xml:space="preserve"> </w:t>
      </w:r>
      <w:r>
        <w:t xml:space="preserve">keine Zulassung; Vertrieb nur als Forschungschemikalie.</w:t>
      </w:r>
    </w:p>
    <w:p>
      <w:pPr>
        <w:numPr>
          <w:ilvl w:val="0"/>
          <w:numId w:val="1184"/>
        </w:numPr>
        <w:pStyle w:val="Compact"/>
      </w:pPr>
      <w:r>
        <w:rPr>
          <w:bCs/>
          <w:b/>
        </w:rPr>
        <w:t xml:space="preserve">WADA:</w:t>
      </w:r>
      <w:r>
        <w:t xml:space="preserve"> </w:t>
      </w:r>
      <w:r>
        <w:t xml:space="preserve">verboten (S2). Ein Nachweisverfahren für LR3 und verwandte IGF-1-Analoga im Blut wurde entwickelt; bei Ratten verschwand unverändertes LR3 schon nach etwa 4 Stunden, Abbauprodukte waren bis zu 16 Stunden nachweisbar (Mongongu 2021, PMID 33587816).</w:t>
      </w:r>
    </w:p>
    <w:bookmarkEnd w:id="576"/>
    <w:bookmarkStart w:id="577" w:name="laufende-studien-und-ausblick-32"/>
    <w:p>
      <w:pPr>
        <w:pStyle w:val="Heading3"/>
      </w:pPr>
      <w:r>
        <w:t xml:space="preserve">Laufende Studien und Ausblick</w:t>
      </w:r>
    </w:p>
    <w:p>
      <w:pPr>
        <w:pStyle w:val="FirstParagraph"/>
      </w:pPr>
      <w:r>
        <w:t xml:space="preserve">Bei ClinicalTrials.gov ist im Oktober 2026 keine Studie mit IGF-1 LR3 eingetragen.</w:t>
      </w:r>
      <w:r>
        <w:t xml:space="preserve"> </w:t>
      </w:r>
      <w:r>
        <w:rPr>
          <w:iCs/>
          <w:i/>
        </w:rPr>
        <w:t xml:space="preserve">Einschätzung des Autors:</w:t>
      </w:r>
      <w:r>
        <w:t xml:space="preserve"> </w:t>
      </w:r>
      <w:r>
        <w:t xml:space="preserve">Eine Entwicklung zum Arzneimittel ist nicht zu erwarten. LR3 bleibt ein Werkzeug für Zellkultur und Tierforschung.</w:t>
      </w:r>
    </w:p>
    <w:bookmarkEnd w:id="577"/>
    <w:bookmarkStart w:id="578" w:name="fazit-32"/>
    <w:p>
      <w:pPr>
        <w:pStyle w:val="Heading3"/>
      </w:pPr>
      <w:r>
        <w:t xml:space="preserve">Fazit</w:t>
      </w:r>
    </w:p>
    <w:p>
      <w:pPr>
        <w:pStyle w:val="FirstParagraph"/>
      </w:pPr>
      <w:r>
        <w:t xml:space="preserve">IGF-1 LR3 ist ein Laborreagenz, das nie am Menschen untersucht wurde. In Tierversuchen wirkte es je nach Art wachstumsfördernd, wirkungslos oder sogar wachstumshemmend. Seine besondere Eigenschaft – die fehlende Bindung an die puffernden Bindungsproteine – lässt ein höheres Risiko für Unterzuckerung und eine verstärkte Wachstumssignalisierung erwarten. Schwarzmarkt-Produkte enthielten nachweislich Laborvarianten, die nie für Injektionen gedacht waren.</w:t>
      </w:r>
    </w:p>
    <w:bookmarkEnd w:id="578"/>
    <w:bookmarkEnd w:id="579"/>
    <w:bookmarkStart w:id="592" w:name="ibutamoren-mk-677"/>
    <w:p>
      <w:pPr>
        <w:pStyle w:val="Heading2"/>
      </w:pPr>
      <w:r>
        <w:t xml:space="preserve">Ibutamoren (MK-677)</w:t>
      </w:r>
    </w:p>
    <w:p>
      <w:pPr>
        <w:pStyle w:val="FirstParagraph"/>
      </w:pPr>
      <w:r>
        <w:rPr>
          <w:iCs/>
          <w:i/>
        </w:rPr>
        <w:t xml:space="preserve">Vergleichskapitel:</w:t>
      </w:r>
      <w:r>
        <w:t xml:space="preserve"> </w:t>
      </w:r>
      <w:r>
        <w:t xml:space="preserve">Ibutamoren ist kein Peptid. Es ist ein kleines, synthetisches Molekül, das als Tablette oder Flüssigkeit geschluckt wird – und genau deshalb steht es in diesem Buch: als Vergleich. Es wirkt am selben Rezeptor wie Ipamorelin, GHRP-2 oder Hexarelin, nämlich am Ghrelin-Rezeptor, und hebt Wachstumshormon und IGF-1 über Monate an. Ibutamoren wurde in den 1990er- und 2000er-Jahren vom Pharmaunternehmen Merck in mehreren größeren randomisierten Studien geprüft. Diese Studien zeigen recht genau, was eine dauerhafte Anregung der Wachstumshormon-Achse bei älteren Menschen bringt – und wo die Risiken liegen. Auf dem Graumarkt wird Ibutamoren heute meist als „SARM-ähnliches Supplement“ verkauft.</w:t>
      </w:r>
    </w:p>
    <w:bookmarkStart w:id="580" w:name="steckbrief-33"/>
    <w:p>
      <w:pPr>
        <w:pStyle w:val="Heading3"/>
      </w:pPr>
      <w:r>
        <w:t xml:space="preserve">Steckbrief</w:t>
      </w:r>
    </w:p>
    <w:p>
      <w:pPr>
        <w:numPr>
          <w:ilvl w:val="0"/>
          <w:numId w:val="1185"/>
        </w:numPr>
        <w:pStyle w:val="Compact"/>
      </w:pPr>
      <w:r>
        <w:rPr>
          <w:bCs/>
          <w:b/>
        </w:rPr>
        <w:t xml:space="preserve">Art und Struktur:</w:t>
      </w:r>
      <w:r>
        <w:t xml:space="preserve"> </w:t>
      </w:r>
      <w:r>
        <w:t xml:space="preserve">kleines synthetisches Molekül, kein Peptid („non-peptide agonist“; Liu 2021, PMID 34737341); oral wirksam. Entwicklungsnamen MK-677 bzw. MK-0677, heute als LUM-201 in der Entwicklung (Bright 2022, PMID 35354138).</w:t>
      </w:r>
    </w:p>
    <w:p>
      <w:pPr>
        <w:numPr>
          <w:ilvl w:val="0"/>
          <w:numId w:val="1185"/>
        </w:numPr>
        <w:pStyle w:val="Compact"/>
      </w:pPr>
      <w:r>
        <w:rPr>
          <w:bCs/>
          <w:b/>
        </w:rPr>
        <w:t xml:space="preserve">Herkunft:</w:t>
      </w:r>
      <w:r>
        <w:t xml:space="preserve"> </w:t>
      </w:r>
      <w:r>
        <w:t xml:space="preserve">entwickelt von Merck (USA) in den 1990er-Jahren als „Peptid-Mimetikum“ der Wachstumshormon-freisetzenden Peptide.</w:t>
      </w:r>
    </w:p>
    <w:p>
      <w:pPr>
        <w:numPr>
          <w:ilvl w:val="0"/>
          <w:numId w:val="1185"/>
        </w:numPr>
        <w:pStyle w:val="Compact"/>
      </w:pPr>
      <w:r>
        <w:rPr>
          <w:bCs/>
          <w:b/>
        </w:rPr>
        <w:t xml:space="preserve">Wirkprinzip:</w:t>
      </w:r>
      <w:r>
        <w:t xml:space="preserve"> </w:t>
      </w:r>
      <w:r>
        <w:t xml:space="preserve">Agonist am Ghrelin-Rezeptor (GHS-R1a); verstärkt die bestehenden GH-Pulse und hebt IGF-1 dauerhaft an; steigert den Appetit.</w:t>
      </w:r>
    </w:p>
    <w:p>
      <w:pPr>
        <w:numPr>
          <w:ilvl w:val="0"/>
          <w:numId w:val="1185"/>
        </w:numPr>
        <w:pStyle w:val="Compact"/>
      </w:pPr>
      <w:r>
        <w:rPr>
          <w:bCs/>
          <w:b/>
        </w:rPr>
        <w:t xml:space="preserve">Zulassung EU:</w:t>
      </w:r>
      <w:r>
        <w:t xml:space="preserve"> </w:t>
      </w:r>
      <w:r>
        <w:t xml:space="preserve">nein.</w:t>
      </w:r>
      <w:r>
        <w:t xml:space="preserve"> </w:t>
      </w:r>
      <w:r>
        <w:rPr>
          <w:bCs/>
          <w:b/>
        </w:rPr>
        <w:t xml:space="preserve">Zulassung USA:</w:t>
      </w:r>
      <w:r>
        <w:t xml:space="preserve"> </w:t>
      </w:r>
      <w:r>
        <w:t xml:space="preserve">nein.</w:t>
      </w:r>
    </w:p>
    <w:p>
      <w:pPr>
        <w:numPr>
          <w:ilvl w:val="0"/>
          <w:numId w:val="1185"/>
        </w:numPr>
        <w:pStyle w:val="Compact"/>
      </w:pPr>
      <w:r>
        <w:rPr>
          <w:bCs/>
          <w:b/>
        </w:rPr>
        <w:t xml:space="preserve">WADA:</w:t>
      </w:r>
      <w:r>
        <w:t xml:space="preserve"> </w:t>
      </w:r>
      <w:r>
        <w:t xml:space="preserve">verboten, Gruppe S2 (Wachstumshormon-Sekretagoga; Ibutamoren wird ausdrücklich genannt).</w:t>
      </w:r>
    </w:p>
    <w:p>
      <w:pPr>
        <w:numPr>
          <w:ilvl w:val="0"/>
          <w:numId w:val="1185"/>
        </w:numPr>
        <w:pStyle w:val="Compact"/>
      </w:pPr>
      <w:r>
        <w:rPr>
          <w:bCs/>
          <w:b/>
        </w:rPr>
        <w:t xml:space="preserve">Evidenzstufe: B</w:t>
      </w:r>
      <w:r>
        <w:t xml:space="preserve"> </w:t>
      </w:r>
      <w:r>
        <w:t xml:space="preserve">– mehrere randomisierte, placebokontrollierte Studien mit bis zu 563 Teilnehmenden, aber keine Zulassung und keine Studie mit positivem klinischem Hauptergebnis.</w:t>
      </w:r>
    </w:p>
    <w:bookmarkEnd w:id="580"/>
    <w:bookmarkStart w:id="581" w:name="wie-es-wirken-soll-33"/>
    <w:p>
      <w:pPr>
        <w:pStyle w:val="Heading3"/>
      </w:pPr>
      <w:r>
        <w:t xml:space="preserve">Wie es wirken soll</w:t>
      </w:r>
    </w:p>
    <w:p>
      <w:pPr>
        <w:pStyle w:val="FirstParagraph"/>
      </w:pPr>
      <w:r>
        <w:t xml:space="preserve">Ibutamoren ahmt Ghrelin nach. Im Unterschied zu den Peptiden der Gruppe wird es im Magen nicht zerstört und wirkt lange genug, um mit einer täglichen Einnahme die Wachstumshormon-Ausschüttung rund um die Uhr zu verstärken. Bei gesunden älteren Menschen verdoppelte es in einer Studie die mittlere 24-Stunden-Konzentration von Wachstumshormon annähernd; die Zahl der GH-Pulse blieb gleich, ihre Höhe stieg. IGF-1 erreichte nach vier Wochen Werte wie bei jungen Erwachsenen (Chapman 1996, PMID 8954023).</w:t>
      </w:r>
    </w:p>
    <w:p>
      <w:pPr>
        <w:pStyle w:val="BodyText"/>
      </w:pPr>
      <w:r>
        <w:t xml:space="preserve">Die Hoffnung von Merck war, damit das „Somatopause“ genannte Absinken der Wachstumshormon-Achse im Alter auszugleichen: Muskelschwund (Sarkopenie), Gebrechlichkeit, Knochenschwund und langsame Erholung nach Verletzungen.</w:t>
      </w:r>
    </w:p>
    <w:bookmarkEnd w:id="581"/>
    <w:bookmarkStart w:id="586" w:name="studien-am-menschen-33"/>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19</w:t>
      </w:r>
      <w:r>
        <w:t xml:space="preserve"> </w:t>
      </w:r>
      <w:r>
        <w:t xml:space="preserve">Humanstudien in PubMed (</w:t>
      </w:r>
      <w:r>
        <w:rPr>
          <w:rStyle w:val="VerbatimChar"/>
        </w:rPr>
        <w:t xml:space="preserve">humanstudien_alle</w:t>
      </w:r>
      <w:r>
        <w:t xml:space="preserve">) und</w:t>
      </w:r>
      <w:r>
        <w:t xml:space="preserve"> </w:t>
      </w:r>
      <w:r>
        <w:rPr>
          <w:bCs/>
          <w:b/>
        </w:rPr>
        <w:t xml:space="preserve">8</w:t>
      </w:r>
      <w:r>
        <w:t xml:space="preserve"> </w:t>
      </w:r>
      <w:r>
        <w:t xml:space="preserve">Einträge bei ClinicalTrials.gov.</w:t>
      </w:r>
    </w:p>
    <w:bookmarkStart w:id="582" w:name="gesunde-ältere-erwachsene"/>
    <w:p>
      <w:pPr>
        <w:pStyle w:val="Heading4"/>
      </w:pPr>
      <w:r>
        <w:t xml:space="preserve">Gesunde ältere Erwachsene</w:t>
      </w:r>
    </w:p>
    <w:p>
      <w:pPr>
        <w:pStyle w:val="FirstParagraph"/>
      </w:pPr>
      <w:r>
        <w:t xml:space="preserve">Die wichtigste Studie lief über zwei Jahre: 65 gesunde Frauen und Männer zwischen 60 und 81 Jahren erhielten täglich Ibutamoren oder Placebo. Wachstumshormon und IGF-1 stiegen auf Werte junger Erwachsener. Die fettfreie Masse nahm unter Ibutamoren um 1,1 kg zu, unter Placebo um 0,5 kg ab. Das Bauchfett veränderte sich nicht, das Körpergewicht stieg um 2,7 kg (Placebo: 0,8 kg), und das Fett an Armen und Beinen nahm stärker zu. Die Zunahme der fettfreien Masse führte</w:t>
      </w:r>
      <w:r>
        <w:t xml:space="preserve"> </w:t>
      </w:r>
      <w:r>
        <w:rPr>
          <w:bCs/>
          <w:b/>
        </w:rPr>
        <w:t xml:space="preserve">nicht</w:t>
      </w:r>
      <w:r>
        <w:t xml:space="preserve"> </w:t>
      </w:r>
      <w:r>
        <w:t xml:space="preserve">zu mehr Kraft oder besserer Funktion; die Autoren räumen ein, dass die Studie dafür zu klein war. Der Nüchternzucker stieg im Mittel um 0,3 mmol/l (5 mg/dl), die Insulinempfindlichkeit nahm ab. Häufigste Nebenwirkungen waren ein anfänglich gesteigerter Appetit, leichte Wassereinlagerungen in den Beinen und Muskelschmerzen (Nass 2008, PMID 18981485).</w:t>
      </w:r>
    </w:p>
    <w:bookmarkEnd w:id="582"/>
    <w:bookmarkStart w:id="583" w:name="hüftfraktur"/>
    <w:p>
      <w:pPr>
        <w:pStyle w:val="Heading4"/>
      </w:pPr>
      <w:r>
        <w:t xml:space="preserve">Hüftfraktur</w:t>
      </w:r>
    </w:p>
    <w:p>
      <w:pPr>
        <w:pStyle w:val="FirstParagraph"/>
      </w:pPr>
      <w:r>
        <w:t xml:space="preserve">Zwei Studien prüften, ob Ibutamoren älteren Menschen nach einem Hüftbruch hilft, wieder auf die Beine zu kommen:</w:t>
      </w:r>
    </w:p>
    <w:p>
      <w:pPr>
        <w:numPr>
          <w:ilvl w:val="0"/>
          <w:numId w:val="1186"/>
        </w:numPr>
        <w:pStyle w:val="Compact"/>
      </w:pPr>
      <w:r>
        <w:t xml:space="preserve">In der ersten Studie mit 161 Patientinnen und Patienten aus 13 Zentren stieg IGF-1 um 84 % (Placebo: 17 %). Bei den Funktionstests ergaben sich teils günstige Tendenzen, aber keine statistisch signifikanten Unterschiede (Bach 2004, PMID 15066065).</w:t>
      </w:r>
    </w:p>
    <w:p>
      <w:pPr>
        <w:numPr>
          <w:ilvl w:val="0"/>
          <w:numId w:val="1186"/>
        </w:numPr>
        <w:pStyle w:val="Compact"/>
      </w:pPr>
      <w:r>
        <w:t xml:space="preserve">Die zweite Studie mit 123 Patientinnen und Patienten wurde</w:t>
      </w:r>
      <w:r>
        <w:t xml:space="preserve"> </w:t>
      </w:r>
      <w:r>
        <w:rPr>
          <w:bCs/>
          <w:b/>
        </w:rPr>
        <w:t xml:space="preserve">vorzeitig abgebrochen, weil bei einer begrenzten Zahl von Behandelten eine Herzinsuffizienz (Herzschwäche) auftrat</w:t>
      </w:r>
      <w:r>
        <w:t xml:space="preserve">. Die Ganggeschwindigkeit hatte sich leicht verbessert, die meisten anderen Funktionsmaße nicht; die Autoren bewerteten das Sicherheitsprofil in dieser Patientengruppe als ungünstig (Adunsky 2011, PMID 21067829).</w:t>
      </w:r>
    </w:p>
    <w:p>
      <w:pPr>
        <w:pStyle w:val="FirstParagraph"/>
      </w:pPr>
      <w:r>
        <w:t xml:space="preserve">Ein weiterer Merck-Eintrag zur Sarkopenie nach Hüftfraktur (NCT00128115, 83 Personen) ist als abgebrochen vermerkt, ohne Angabe von Gründen oder Ergebnissen.</w:t>
      </w:r>
    </w:p>
    <w:bookmarkEnd w:id="583"/>
    <w:bookmarkStart w:id="584" w:name="alzheimer-krankheit"/>
    <w:p>
      <w:pPr>
        <w:pStyle w:val="Heading4"/>
      </w:pPr>
      <w:r>
        <w:t xml:space="preserve">Alzheimer-Krankheit</w:t>
      </w:r>
    </w:p>
    <w:p>
      <w:pPr>
        <w:pStyle w:val="FirstParagraph"/>
      </w:pPr>
      <w:r>
        <w:t xml:space="preserve">In einer großen Studie erhielten 563 Menschen mit leichter bis mittelschwerer Alzheimer-Demenz ein Jahr lang Ibutamoren oder Placebo. IGF-1 stieg um 60,1 % nach sechs Wochen und um 72,9 % nach zwölf Monaten. Auf keiner der vier Skalen für Denkleistung, Alltagsfähigkeit und Gesamteindruck unterschied sich der Verlauf von Placebo (Sevigny 2008, PMID 19015485).</w:t>
      </w:r>
    </w:p>
    <w:bookmarkEnd w:id="584"/>
    <w:bookmarkStart w:id="585" w:name="weitere-studien-1"/>
    <w:p>
      <w:pPr>
        <w:pStyle w:val="Heading4"/>
      </w:pPr>
      <w:r>
        <w:t xml:space="preserve">Weitere Studien</w:t>
      </w:r>
    </w:p>
    <w:p>
      <w:pPr>
        <w:numPr>
          <w:ilvl w:val="0"/>
          <w:numId w:val="1187"/>
        </w:numPr>
        <w:pStyle w:val="Compact"/>
      </w:pPr>
      <w:r>
        <w:rPr>
          <w:bCs/>
          <w:b/>
        </w:rPr>
        <w:t xml:space="preserve">Übergewichtige Männer:</w:t>
      </w:r>
      <w:r>
        <w:t xml:space="preserve"> </w:t>
      </w:r>
      <w:r>
        <w:t xml:space="preserve">Bei 24 Männern stieg über acht Wochen die fettfreie Masse, Gesamt- und Bauchfett änderten sich nicht; im Zuckerbelastungstest verschlechterte sich die Blutzuckerregulation (Svensson 1998, PMID 9467542).</w:t>
      </w:r>
    </w:p>
    <w:p>
      <w:pPr>
        <w:numPr>
          <w:ilvl w:val="0"/>
          <w:numId w:val="1187"/>
        </w:numPr>
        <w:pStyle w:val="Compact"/>
      </w:pPr>
      <w:r>
        <w:rPr>
          <w:bCs/>
          <w:b/>
        </w:rPr>
        <w:t xml:space="preserve">Osteoporose:</w:t>
      </w:r>
      <w:r>
        <w:t xml:space="preserve"> </w:t>
      </w:r>
      <w:r>
        <w:t xml:space="preserve">Bei 292 Frauen nach den Wechseljahren erhöhte Ibutamoren zusammen mit dem Knochenmedikament Alendronat die Knochendichte nur am Schenkelhals stärker als Alendronat allein, nicht an Wirbelsäule oder Hüfte gesamt (Murphy 2001, PMID 11238495).</w:t>
      </w:r>
    </w:p>
    <w:p>
      <w:pPr>
        <w:numPr>
          <w:ilvl w:val="0"/>
          <w:numId w:val="1187"/>
        </w:numPr>
        <w:pStyle w:val="Compact"/>
      </w:pPr>
      <w:r>
        <w:rPr>
          <w:bCs/>
          <w:b/>
        </w:rPr>
        <w:t xml:space="preserve">Schlaf:</w:t>
      </w:r>
      <w:r>
        <w:t xml:space="preserve"> </w:t>
      </w:r>
      <w:r>
        <w:t xml:space="preserve">In kleinen Studien mit acht jungen und sechs älteren Personen verlängerten sich Tief- bzw. REM-Schlaf (Copinschi 1997, PMID 9349662).</w:t>
      </w:r>
    </w:p>
    <w:p>
      <w:pPr>
        <w:numPr>
          <w:ilvl w:val="0"/>
          <w:numId w:val="1187"/>
        </w:numPr>
        <w:pStyle w:val="Compact"/>
      </w:pPr>
      <w:r>
        <w:rPr>
          <w:bCs/>
          <w:b/>
        </w:rPr>
        <w:t xml:space="preserve">Dialyse:</w:t>
      </w:r>
      <w:r>
        <w:t xml:space="preserve"> </w:t>
      </w:r>
      <w:r>
        <w:t xml:space="preserve">Bei 22 Dialysepatientinnen und -patienten stieg IGF-1 im Vergleich zu Placebo um 65 % stärker, ohne schwere Nebenwirkungen (Campbell 2018, PMID 28340044).</w:t>
      </w:r>
    </w:p>
    <w:p>
      <w:pPr>
        <w:numPr>
          <w:ilvl w:val="0"/>
          <w:numId w:val="1187"/>
        </w:numPr>
        <w:pStyle w:val="Compact"/>
      </w:pPr>
      <w:r>
        <w:rPr>
          <w:bCs/>
          <w:b/>
        </w:rPr>
        <w:t xml:space="preserve">Kinder mit Wachstumshormon-Mangel:</w:t>
      </w:r>
      <w:r>
        <w:t xml:space="preserve"> </w:t>
      </w:r>
      <w:r>
        <w:t xml:space="preserve">Bereits 2001 erhöhte Ibutamoren bei 18 Kindern Wachstumshormon und IGF-1 (Codner 2001, PMID 11452249). Unter dem Namen LUM-201 löste es in einer Studie mit 68 Kindern höhere GH-Antworten aus als die üblichen Stimulationstests (Bright 2022, PMID 35354138).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Ältere Gesunde (Nass 2008), PMID 18981485</w:t>
            </w:r>
          </w:p>
        </w:tc>
        <w:tc>
          <w:tcPr/>
          <w:p>
            <w:pPr>
              <w:pStyle w:val="Compact"/>
              <w:jc w:val="left"/>
            </w:pPr>
            <w:r>
              <w:t xml:space="preserve">65 Personen 60–81 Jahre, RCT gegen Placebo</w:t>
            </w:r>
          </w:p>
        </w:tc>
        <w:tc>
          <w:tcPr/>
          <w:p>
            <w:pPr>
              <w:pStyle w:val="Compact"/>
              <w:jc w:val="left"/>
            </w:pPr>
            <w:r>
              <w:t xml:space="preserve">2 Jahre</w:t>
            </w:r>
          </w:p>
        </w:tc>
        <w:tc>
          <w:tcPr/>
          <w:p>
            <w:pPr>
              <w:pStyle w:val="Compact"/>
              <w:jc w:val="left"/>
            </w:pPr>
            <w:r>
              <w:t xml:space="preserve">fettfreie Masse +1,1 vs. −0,5 kg; Kraft und Funktion unverändert; Nüchternzucker ↑</w:t>
            </w:r>
          </w:p>
        </w:tc>
      </w:tr>
      <w:tr>
        <w:tc>
          <w:tcPr/>
          <w:p>
            <w:pPr>
              <w:pStyle w:val="Compact"/>
              <w:jc w:val="left"/>
            </w:pPr>
            <w:r>
              <w:t xml:space="preserve">Hüftfraktur 1 (Bach 2004), PMID 15066065</w:t>
            </w:r>
          </w:p>
        </w:tc>
        <w:tc>
          <w:tcPr/>
          <w:p>
            <w:pPr>
              <w:pStyle w:val="Compact"/>
              <w:jc w:val="left"/>
            </w:pPr>
            <w:r>
              <w:t xml:space="preserve">161 Ältere nach Hüftbruch, RCT</w:t>
            </w:r>
          </w:p>
        </w:tc>
        <w:tc>
          <w:tcPr/>
          <w:p>
            <w:pPr>
              <w:pStyle w:val="Compact"/>
              <w:jc w:val="left"/>
            </w:pPr>
            <w:r>
              <w:t xml:space="preserve">6 Monate</w:t>
            </w:r>
          </w:p>
        </w:tc>
        <w:tc>
          <w:tcPr/>
          <w:p>
            <w:pPr>
              <w:pStyle w:val="Compact"/>
              <w:jc w:val="left"/>
            </w:pPr>
            <w:r>
              <w:t xml:space="preserve">IGF-1 +84 %; Funktion nicht signifikant besser</w:t>
            </w:r>
          </w:p>
        </w:tc>
      </w:tr>
      <w:tr>
        <w:tc>
          <w:tcPr/>
          <w:p>
            <w:pPr>
              <w:pStyle w:val="Compact"/>
              <w:jc w:val="left"/>
            </w:pPr>
            <w:r>
              <w:t xml:space="preserve">Hüftfraktur 2 (Adunsky 2011), PMID 21067829</w:t>
            </w:r>
          </w:p>
        </w:tc>
        <w:tc>
          <w:tcPr/>
          <w:p>
            <w:pPr>
              <w:pStyle w:val="Compact"/>
              <w:jc w:val="left"/>
            </w:pPr>
            <w:r>
              <w:t xml:space="preserve">123 Ältere nach Hüftbruch, RCT</w:t>
            </w:r>
          </w:p>
        </w:tc>
        <w:tc>
          <w:tcPr/>
          <w:p>
            <w:pPr>
              <w:pStyle w:val="Compact"/>
              <w:jc w:val="left"/>
            </w:pPr>
            <w:r>
              <w:t xml:space="preserve">geplant 24 Wochen</w:t>
            </w:r>
          </w:p>
        </w:tc>
        <w:tc>
          <w:tcPr/>
          <w:p>
            <w:pPr>
              <w:pStyle w:val="Compact"/>
              <w:jc w:val="left"/>
            </w:pPr>
            <w:r>
              <w:t xml:space="preserve">Abbruch wegen Herzinsuffizienz-Signal</w:t>
            </w:r>
          </w:p>
        </w:tc>
      </w:tr>
      <w:tr>
        <w:tc>
          <w:tcPr/>
          <w:p>
            <w:pPr>
              <w:pStyle w:val="Compact"/>
              <w:jc w:val="left"/>
            </w:pPr>
            <w:r>
              <w:t xml:space="preserve">Alzheimer (Sevigny 2008), PMID 19015485</w:t>
            </w:r>
          </w:p>
        </w:tc>
        <w:tc>
          <w:tcPr/>
          <w:p>
            <w:pPr>
              <w:pStyle w:val="Compact"/>
              <w:jc w:val="left"/>
            </w:pPr>
            <w:r>
              <w:t xml:space="preserve">563 Personen mit Alzheimer, RCT</w:t>
            </w:r>
          </w:p>
        </w:tc>
        <w:tc>
          <w:tcPr/>
          <w:p>
            <w:pPr>
              <w:pStyle w:val="Compact"/>
              <w:jc w:val="left"/>
            </w:pPr>
            <w:r>
              <w:t xml:space="preserve">12 Monate</w:t>
            </w:r>
          </w:p>
        </w:tc>
        <w:tc>
          <w:tcPr/>
          <w:p>
            <w:pPr>
              <w:pStyle w:val="Compact"/>
              <w:jc w:val="left"/>
            </w:pPr>
            <w:r>
              <w:t xml:space="preserve">IGF-1 +72,9 %; kein Effekt auf Krankheitsverlauf</w:t>
            </w:r>
          </w:p>
        </w:tc>
      </w:tr>
      <w:tr>
        <w:tc>
          <w:tcPr/>
          <w:p>
            <w:pPr>
              <w:pStyle w:val="Compact"/>
              <w:jc w:val="left"/>
            </w:pPr>
            <w:r>
              <w:t xml:space="preserve">Osteoporose (Murphy 2001), PMID 11238495</w:t>
            </w:r>
          </w:p>
        </w:tc>
        <w:tc>
          <w:tcPr/>
          <w:p>
            <w:pPr>
              <w:pStyle w:val="Compact"/>
              <w:jc w:val="left"/>
            </w:pPr>
            <w:r>
              <w:t xml:space="preserve">292 Frauen, RCT mit Alendronat</w:t>
            </w:r>
          </w:p>
        </w:tc>
        <w:tc>
          <w:tcPr/>
          <w:p>
            <w:pPr>
              <w:pStyle w:val="Compact"/>
              <w:jc w:val="left"/>
            </w:pPr>
            <w:r>
              <w:t xml:space="preserve">12–18 Monate</w:t>
            </w:r>
          </w:p>
        </w:tc>
        <w:tc>
          <w:tcPr/>
          <w:p>
            <w:pPr>
              <w:pStyle w:val="Compact"/>
              <w:jc w:val="left"/>
            </w:pPr>
            <w:r>
              <w:t xml:space="preserve">nur Schenkelhals-Knochendichte etwas höher</w:t>
            </w:r>
          </w:p>
        </w:tc>
      </w:tr>
    </w:tbl>
    <w:bookmarkEnd w:id="585"/>
    <w:bookmarkEnd w:id="586"/>
    <w:bookmarkStart w:id="587" w:name="tier--und-laborstudien-33"/>
    <w:p>
      <w:pPr>
        <w:pStyle w:val="Heading3"/>
      </w:pPr>
      <w:r>
        <w:t xml:space="preserve">Tier- und Laborstudien</w:t>
      </w:r>
    </w:p>
    <w:p>
      <w:pPr>
        <w:pStyle w:val="FirstParagraph"/>
      </w:pPr>
      <w:r>
        <w:t xml:space="preserve">Bei Mäusen mit einem Alzheimer-Modell verringerte Ibutamoren Amyloid-Ablagerungen und Nervenzellverluste im Gehirn (Jeong 2018, PMID 29912176) – ein Befund, der sich in der großen Alzheimer-Studie am Menschen nicht in einen klinischen Nutzen übersetzte. Die Struktur des Ghrelin-Rezeptors mit gebundenem Ibutamoren wurde 2021 aufgeklärt (Liu 2021, PMID 34737341).</w:t>
      </w:r>
    </w:p>
    <w:bookmarkEnd w:id="587"/>
    <w:bookmarkStart w:id="588" w:name="risiken-und-nebenwirkungen-33"/>
    <w:p>
      <w:pPr>
        <w:pStyle w:val="Heading3"/>
      </w:pPr>
      <w:r>
        <w:t xml:space="preserve">Risiken und Nebenwirkungen</w:t>
      </w:r>
    </w:p>
    <w:p>
      <w:pPr>
        <w:pStyle w:val="FirstParagraph"/>
      </w:pPr>
      <w:r>
        <w:rPr>
          <w:bCs/>
          <w:b/>
        </w:rPr>
        <w:t xml:space="preserve">Belegt aus randomisierten Studien:</w:t>
      </w:r>
    </w:p>
    <w:p>
      <w:pPr>
        <w:numPr>
          <w:ilvl w:val="0"/>
          <w:numId w:val="1188"/>
        </w:numPr>
        <w:pStyle w:val="Compact"/>
      </w:pPr>
      <w:r>
        <w:rPr>
          <w:bCs/>
          <w:b/>
        </w:rPr>
        <w:t xml:space="preserve">Herzinsuffizienz-Signal:</w:t>
      </w:r>
      <w:r>
        <w:t xml:space="preserve"> </w:t>
      </w:r>
      <w:r>
        <w:t xml:space="preserve">Abbruch einer Studie bei älteren Menschen nach Hüftbruch wegen Fällen von Herzschwäche (Adunsky 2011, PMID 21067829). Wie viele Fälle es waren, nennt die Zusammenfassung nicht. Wassereinlagerungen gehören zu den bekannten Wirkungen erhöhter Wachstumshormon-Spiegel und belasten ein vorgeschädigtes Herz.</w:t>
      </w:r>
    </w:p>
    <w:p>
      <w:pPr>
        <w:numPr>
          <w:ilvl w:val="0"/>
          <w:numId w:val="1188"/>
        </w:numPr>
        <w:pStyle w:val="Compact"/>
      </w:pPr>
      <w:r>
        <w:rPr>
          <w:bCs/>
          <w:b/>
        </w:rPr>
        <w:t xml:space="preserve">Blutzucker:</w:t>
      </w:r>
      <w:r>
        <w:t xml:space="preserve"> </w:t>
      </w:r>
      <w:r>
        <w:t xml:space="preserve">Anstieg des Nüchternzuckers und verminderte Insulinempfindlichkeit (Nass 2008, PMID 18981485; Chapman 1996, PMID 8954023); verschlechterte Glukosetoleranz bei übergewichtigen Männern (Svensson 1998, PMID 9467542).</w:t>
      </w:r>
    </w:p>
    <w:p>
      <w:pPr>
        <w:numPr>
          <w:ilvl w:val="0"/>
          <w:numId w:val="1188"/>
        </w:numPr>
        <w:pStyle w:val="Compact"/>
      </w:pPr>
      <w:r>
        <w:rPr>
          <w:bCs/>
          <w:b/>
        </w:rPr>
        <w:t xml:space="preserve">Gewichtszunahme und Appetit:</w:t>
      </w:r>
      <w:r>
        <w:t xml:space="preserve"> </w:t>
      </w:r>
      <w:r>
        <w:t xml:space="preserve">mehr Körpergewicht, mehr Fett an Armen und Beinen, gesteigerter Hunger (Nass 2008, PMID 18981485).</w:t>
      </w:r>
    </w:p>
    <w:p>
      <w:pPr>
        <w:numPr>
          <w:ilvl w:val="0"/>
          <w:numId w:val="1188"/>
        </w:numPr>
        <w:pStyle w:val="Compact"/>
      </w:pPr>
      <w:r>
        <w:rPr>
          <w:bCs/>
          <w:b/>
        </w:rPr>
        <w:t xml:space="preserve">Wassereinlagerungen und Muskelschmerzen</w:t>
      </w:r>
      <w:r>
        <w:t xml:space="preserve"> </w:t>
      </w:r>
      <w:r>
        <w:t xml:space="preserve">(Nass 2008, PMID 18981485).</w:t>
      </w:r>
    </w:p>
    <w:p>
      <w:pPr>
        <w:pStyle w:val="FirstParagraph"/>
      </w:pPr>
      <w:r>
        <w:rPr>
          <w:bCs/>
          <w:b/>
        </w:rPr>
        <w:t xml:space="preserve">Fallberichte aus der Graumarkt-Anwendung:</w:t>
      </w:r>
      <w:r>
        <w:t xml:space="preserve"> </w:t>
      </w:r>
      <w:r>
        <w:t xml:space="preserve">Ein Mann Anfang 30 entwickelte nach zwei Monaten Einnahme von MK-677 erhöhte Leberwerte, die sich nach dem Absetzen normalisierten (Cobani 2025, PMID 40675653). Ein 40-Jähriger entwickelte Brustwachstum und einen Testosteronmangel; seine Fitness-Supplemente enthielten neben MK-677 auch ein SARM, Cardarine sowie nicht deklarierte Hormone (Chong 2024, PMID 39145153).</w:t>
      </w:r>
    </w:p>
    <w:p>
      <w:pPr>
        <w:pStyle w:val="BodyText"/>
      </w:pPr>
      <w:r>
        <w:rPr>
          <w:bCs/>
          <w:b/>
        </w:rPr>
        <w:t xml:space="preserve">Krebs:</w:t>
      </w:r>
      <w:r>
        <w:t xml:space="preserve"> </w:t>
      </w:r>
      <w:r>
        <w:t xml:space="preserve">Ibutamoren hebt IGF-1 über Monate bis Jahre auf das Niveau junger Erwachsener. In den Studien wurde kein Krebssignal berichtet, sie waren dafür aber weder groß noch lang genug. Eine Übersicht über GH-Freisetzer fordert ausdrücklich Langzeitdaten zu Krebs und Sterblichkeit (Sigalos 2018, PMID 28400207). Zur allgemeinen Datenlage siehe die Einleitung dieser Gruppe und Teil IV.</w:t>
      </w:r>
    </w:p>
    <w:p>
      <w:pPr>
        <w:pStyle w:val="BodyText"/>
      </w:pPr>
      <w:r>
        <w:rPr>
          <w:bCs/>
          <w:b/>
        </w:rPr>
        <w:t xml:space="preserve">Graumarkt-Qualität:</w:t>
      </w:r>
      <w:r>
        <w:t xml:space="preserve"> </w:t>
      </w:r>
      <w:r>
        <w:t xml:space="preserve">In einer US-Analyse von 44 Produkten, die als SARMs im Internet verkauft wurden, enthielten 39 % stattdessen oder zusätzlich andere nicht zugelassene Stoffe, darunter Ibutamoren; nur 41 % enthielten die angegebene Menge des Wirkstoffs (Van Wagoner 2017, PMID 29183075). Eine europäische Marktüberwachung mit 324 Proben aus 13 Ländern fand Ibutamoren als häufigsten Wirkstoff unter den untersuchten Muskelaufbau-Präparaten; 24 % der Produkte waren als Nahrungsergänzungsmittel aufgemacht (Barrios 2025, PMID 40551438).</w:t>
      </w:r>
    </w:p>
    <w:bookmarkEnd w:id="588"/>
    <w:bookmarkStart w:id="589" w:name="rechtslage-33"/>
    <w:p>
      <w:pPr>
        <w:pStyle w:val="Heading3"/>
      </w:pPr>
      <w:r>
        <w:t xml:space="preserve">Rechtslage</w:t>
      </w:r>
    </w:p>
    <w:p>
      <w:pPr>
        <w:pStyle w:val="FirstParagraph"/>
      </w:pPr>
      <w:r>
        <w:rPr>
          <w:iCs/>
          <w:i/>
        </w:rPr>
        <w:t xml:space="preserve">Stand 2026, bitte aktuell prüfen.</w:t>
      </w:r>
    </w:p>
    <w:p>
      <w:pPr>
        <w:numPr>
          <w:ilvl w:val="0"/>
          <w:numId w:val="1189"/>
        </w:numPr>
        <w:pStyle w:val="Compact"/>
      </w:pPr>
      <w:r>
        <w:rPr>
          <w:bCs/>
          <w:b/>
        </w:rPr>
        <w:t xml:space="preserve">EU, Deutschland, Österreich:</w:t>
      </w:r>
      <w:r>
        <w:t xml:space="preserve"> </w:t>
      </w:r>
      <w:r>
        <w:t xml:space="preserve">keine Zulassung. Ibutamoren ist ein nicht zugelassener Arzneistoff; als Nahrungsergänzungsmittel ist es nicht verkehrsfähig. Wer es zur Anwendung am Menschen anbietet, verstößt gegen das Arzneimittelrecht.</w:t>
      </w:r>
    </w:p>
    <w:p>
      <w:pPr>
        <w:numPr>
          <w:ilvl w:val="0"/>
          <w:numId w:val="1189"/>
        </w:numPr>
        <w:pStyle w:val="Compact"/>
      </w:pPr>
      <w:r>
        <w:rPr>
          <w:bCs/>
          <w:b/>
        </w:rPr>
        <w:t xml:space="preserve">USA:</w:t>
      </w:r>
      <w:r>
        <w:t xml:space="preserve"> </w:t>
      </w:r>
      <w:r>
        <w:t xml:space="preserve">keine Zulassung; wird dennoch als „Research Chemical“ oder in Supplementen verkauft.</w:t>
      </w:r>
    </w:p>
    <w:p>
      <w:pPr>
        <w:numPr>
          <w:ilvl w:val="0"/>
          <w:numId w:val="1189"/>
        </w:numPr>
        <w:pStyle w:val="Compact"/>
      </w:pPr>
      <w:r>
        <w:rPr>
          <w:bCs/>
          <w:b/>
        </w:rPr>
        <w:t xml:space="preserve">WADA:</w:t>
      </w:r>
      <w:r>
        <w:t xml:space="preserve"> </w:t>
      </w:r>
      <w:r>
        <w:t xml:space="preserve">verboten (S2). Auch im Pferdesport wird es kontrolliert, etwa über Haaranalysen (Viljanto 2023, PMID 36354265).</w:t>
      </w:r>
    </w:p>
    <w:bookmarkEnd w:id="589"/>
    <w:bookmarkStart w:id="590" w:name="laufende-studien-und-ausblick-33"/>
    <w:p>
      <w:pPr>
        <w:pStyle w:val="Heading3"/>
      </w:pPr>
      <w:r>
        <w:t xml:space="preserve">Laufende Studien und Ausblick</w:t>
      </w:r>
    </w:p>
    <w:p>
      <w:pPr>
        <w:pStyle w:val="FirstParagraph"/>
      </w:pPr>
      <w:r>
        <w:rPr>
          <w:iCs/>
          <w:i/>
        </w:rPr>
        <w:t xml:space="preserve">Gesichert:</w:t>
      </w:r>
      <w:r>
        <w:t xml:space="preserve"> </w:t>
      </w:r>
      <w:r>
        <w:t xml:space="preserve">Unter dem Namen LUM-201 wird Ibutamoren als Tablette für Kinder mit Wachstumshormon-Mangel entwickelt. Eine Phase-2-Studie mit 104 Kindern (NCT04614337) ist abgeschlossen; eine Phase-3-Studie mit geplant 150 Kindern rekrutiert seit 2026 (NCT06948214), eine Langzeit-Sicherheitsstudie ist geplant (NCT07129759). Eine weitere Phase-2-Studie soll ab 2027 LUM-201 zusätzlich zu Semaglutid bei älteren Menschen mit Adipositas untersuchen, um Muskelverlust beim Abnehmen zu begrenzen (NCT07754045).</w:t>
      </w:r>
    </w:p>
    <w:p>
      <w:pPr>
        <w:pStyle w:val="BodyText"/>
      </w:pPr>
      <w:r>
        <w:rPr>
          <w:iCs/>
          <w:i/>
        </w:rPr>
        <w:t xml:space="preserve">Einschätzung des Autors:</w:t>
      </w:r>
      <w:r>
        <w:t xml:space="preserve"> </w:t>
      </w:r>
      <w:r>
        <w:t xml:space="preserve">Eine Zulassung für Kinder ist frühestens nach Abschluss der Phase-3-Studie denkbar, also nicht vor Ende der 2020er-Jahre. Eine Zulassung für ältere Erwachsene ist nach dem Herzinsuffizienz-Signal und den fehlenden Funktionsverbesserungen nicht in Sicht.</w:t>
      </w:r>
    </w:p>
    <w:bookmarkEnd w:id="590"/>
    <w:bookmarkStart w:id="591" w:name="fazit-33"/>
    <w:p>
      <w:pPr>
        <w:pStyle w:val="Heading3"/>
      </w:pPr>
      <w:r>
        <w:t xml:space="preserve">Fazit</w:t>
      </w:r>
    </w:p>
    <w:p>
      <w:pPr>
        <w:pStyle w:val="FirstParagraph"/>
      </w:pPr>
      <w:r>
        <w:t xml:space="preserve">Ibutamoren ist das am gründlichsten untersuchte oral wirksame Mittel, das die Wachstumshormon-Achse dauerhaft anregt. Die Studien zeigen das Grundmuster der ganzen Gruppe: IGF-1 und Magermasse steigen, aber Kraft, Funktion und Krankheitsverläufe – bei Alter, Hüftbruch und Alzheimer – verbesserten sich nicht. Dafür stiegen Blutzucker und Gewicht, und eine Studie bei älteren Menschen wurde wegen Herzinsuffizienz abgebrochen. Graumarkt-Produkte mit „MK-677“ sind häufig falsch deklariert.</w:t>
      </w:r>
    </w:p>
    <w:bookmarkEnd w:id="591"/>
    <w:bookmarkEnd w:id="592"/>
    <w:bookmarkEnd w:id="593"/>
    <w:bookmarkStart w:id="738" w:name="X148d9d501a69aec50e3f555280d48f839acb750"/>
    <w:p>
      <w:pPr>
        <w:pStyle w:val="Heading1"/>
      </w:pPr>
      <w:r>
        <w:t xml:space="preserve">Teil II · D – Gehirn, Schlaf und Langlebigkeit</w:t>
      </w:r>
    </w:p>
    <w:p>
      <w:pPr>
        <w:pStyle w:val="FirstParagraph"/>
      </w:pPr>
      <w:r>
        <w:t xml:space="preserve">Kaum eine Gruppe von Peptiden wird im Internet so vielversprechend beworben wie diese: Mittel für mehr Konzentration und Gedächtnis („Nootropika“), für tieferen Schlaf, für längere Telomere und „jüngere Mitochondrien“. Gemeinsam ist den zwölf Wirkstoffen dieses Abschnitts, dass sie auf Gehirn, Zellalterung oder Energiestoffwechsel zielen – und dass die Kluft zwischen Versprechen und Beweislage hier besonders groß ist.</w:t>
      </w:r>
    </w:p>
    <w:bookmarkStart w:id="594" w:name="was-diese-peptide-verbindet-1"/>
    <w:p>
      <w:pPr>
        <w:pStyle w:val="Heading3"/>
      </w:pPr>
      <w:r>
        <w:t xml:space="preserve">Was diese Peptide verbindet</w:t>
      </w:r>
    </w:p>
    <w:p>
      <w:pPr>
        <w:pStyle w:val="FirstParagraph"/>
      </w:pPr>
      <w:r>
        <w:t xml:space="preserve">Die Gruppe lässt sich grob in drei Familien einteilen:</w:t>
      </w:r>
    </w:p>
    <w:p>
      <w:pPr>
        <w:numPr>
          <w:ilvl w:val="0"/>
          <w:numId w:val="1190"/>
        </w:numPr>
        <w:pStyle w:val="Compact"/>
      </w:pPr>
      <w:r>
        <w:rPr>
          <w:bCs/>
          <w:b/>
        </w:rPr>
        <w:t xml:space="preserve">Russische Neuropeptide und „Bioregulatoren“:</w:t>
      </w:r>
      <w:r>
        <w:t xml:space="preserve"> </w:t>
      </w:r>
      <w:r>
        <w:t xml:space="preserve">Semax, Selank, DSIP, Epitalon und Pinealon stammen aus der sowjetischen und russischen Forschung. Cerebrolysin, ein Peptidgemisch aus Schweinehirn, kommt aus Österreich, wird aber vor allem in Osteuropa und Asien verwendet.</w:t>
      </w:r>
    </w:p>
    <w:p>
      <w:pPr>
        <w:numPr>
          <w:ilvl w:val="0"/>
          <w:numId w:val="1190"/>
        </w:numPr>
        <w:pStyle w:val="Compact"/>
      </w:pPr>
      <w:r>
        <w:rPr>
          <w:bCs/>
          <w:b/>
        </w:rPr>
        <w:t xml:space="preserve">Mitochondriale Peptide:</w:t>
      </w:r>
      <w:r>
        <w:t xml:space="preserve"> </w:t>
      </w:r>
      <w:r>
        <w:t xml:space="preserve">MOTS-c und Humanin sind körpereigene Signalstoffe, die im Erbgut der Mitochondrien verschlüsselt sind. SS-31 (Elamipretid) ist ein künstliches Peptid, das gezielt an die Mitochondrien-Membran bindet.</w:t>
      </w:r>
    </w:p>
    <w:p>
      <w:pPr>
        <w:numPr>
          <w:ilvl w:val="0"/>
          <w:numId w:val="1190"/>
        </w:numPr>
        <w:pStyle w:val="Compact"/>
      </w:pPr>
      <w:r>
        <w:rPr>
          <w:bCs/>
          <w:b/>
        </w:rPr>
        <w:t xml:space="preserve">Experimentelle „Anti-Aging“-Moleküle:</w:t>
      </w:r>
      <w:r>
        <w:t xml:space="preserve"> </w:t>
      </w:r>
      <w:r>
        <w:t xml:space="preserve">Dihexa (ein Abkömmling von Angiotensin IV) und FOXO4-DRI (ein Senolytikum, das gealterte Zellen beseitigen soll) wurden nie am Menschen untersucht. Glutathion schließlich ist ein körpereigenes Tripeptid, das als Nahrungsergänzung und Infusion verkauft wird.</w:t>
      </w:r>
    </w:p>
    <w:bookmarkEnd w:id="594"/>
    <w:bookmarkStart w:id="595" w:name="die-nootropika--und-longevity-szene"/>
    <w:p>
      <w:pPr>
        <w:pStyle w:val="Heading3"/>
      </w:pPr>
      <w:r>
        <w:t xml:space="preserve">Die Nootropika- und Longevity-Szene</w:t>
      </w:r>
    </w:p>
    <w:p>
      <w:pPr>
        <w:pStyle w:val="FirstParagraph"/>
      </w:pPr>
      <w:r>
        <w:t xml:space="preserve">Wer im Internet nach diesen Stoffen sucht, landet schnell in Foren, bei Influencern und „Longevity-Kliniken“. Typisch sind drei Denkfehler, denen Sie in den folgenden Kapiteln immer wieder begegnen werden:</w:t>
      </w:r>
    </w:p>
    <w:p>
      <w:pPr>
        <w:numPr>
          <w:ilvl w:val="0"/>
          <w:numId w:val="1191"/>
        </w:numPr>
        <w:pStyle w:val="Compact"/>
      </w:pPr>
      <w:r>
        <w:rPr>
          <w:bCs/>
          <w:b/>
        </w:rPr>
        <w:t xml:space="preserve">Vom Tier auf den Menschen:</w:t>
      </w:r>
      <w:r>
        <w:t xml:space="preserve"> </w:t>
      </w:r>
      <w:r>
        <w:t xml:space="preserve">Dass ein Peptid bei Mäusen das Gedächtnis oder die Lebensdauer verbessert, sagt wenig darüber, ob es beim Menschen wirkt. In der Schlaganfall- und Alzheimerforschung sind Hunderte im Tier erfolgreiche Wirkstoffe am Menschen gescheitert.</w:t>
      </w:r>
    </w:p>
    <w:p>
      <w:pPr>
        <w:numPr>
          <w:ilvl w:val="0"/>
          <w:numId w:val="1191"/>
        </w:numPr>
        <w:pStyle w:val="Compact"/>
      </w:pPr>
      <w:r>
        <w:rPr>
          <w:bCs/>
          <w:b/>
        </w:rPr>
        <w:t xml:space="preserve">Vom Spiegel auf die Spritze:</w:t>
      </w:r>
      <w:r>
        <w:t xml:space="preserve"> </w:t>
      </w:r>
      <w:r>
        <w:t xml:space="preserve">Dass Menschen mit niedrigen MOTS-c- oder Humanin-Spiegeln häufiger krank sind, beweist nicht, dass eine Zufuhr gesund macht.</w:t>
      </w:r>
    </w:p>
    <w:p>
      <w:pPr>
        <w:numPr>
          <w:ilvl w:val="0"/>
          <w:numId w:val="1191"/>
        </w:numPr>
        <w:pStyle w:val="Compact"/>
      </w:pPr>
      <w:r>
        <w:rPr>
          <w:bCs/>
          <w:b/>
        </w:rPr>
        <w:t xml:space="preserve">Vom Mechanismus auf den Nutzen:</w:t>
      </w:r>
      <w:r>
        <w:t xml:space="preserve"> </w:t>
      </w:r>
      <w:r>
        <w:t xml:space="preserve">Ein schlüssiger Mechanismus – „schützt die Mitochondrien“, „verlängert Telomere“ – ist keine Wirksamkeit. SS-31 ist dafür das beste Beispiel: Es wurde in mehreren großen Studien geprüft und verfehlte bei Herzinfarkt, Herzschwäche und mitochondrialer Myopathie die Hauptziele.</w:t>
      </w:r>
    </w:p>
    <w:p>
      <w:pPr>
        <w:pStyle w:val="FirstParagraph"/>
      </w:pPr>
      <w:r>
        <w:t xml:space="preserve">Hinzu kommt, dass fast alle diese Stoffe im Graumarkt als „Research Peptides“ verkauft werden – ohne Qualitätskontrolle (siehe Teil I und Teil IV).</w:t>
      </w:r>
    </w:p>
    <w:bookmarkEnd w:id="595"/>
    <w:bookmarkStart w:id="596" w:name="Xedf599180219294ae94c554e13112a584863f38"/>
    <w:p>
      <w:pPr>
        <w:pStyle w:val="Heading3"/>
      </w:pPr>
      <w:r>
        <w:t xml:space="preserve">Russische Peptidforschung und ihre Publikationslage</w:t>
      </w:r>
    </w:p>
    <w:p>
      <w:pPr>
        <w:pStyle w:val="FirstParagraph"/>
      </w:pPr>
      <w:r>
        <w:t xml:space="preserve">Ein großer Teil der Literatur zu Semax, Selank, DSIP, Epitalon und Pinealon stammt aus wenigen Instituten in Moskau und St. Petersburg. Das ist kein Grund, die Forschung pauschal abzulehnen – aber ein Grund für Vorsicht:</w:t>
      </w:r>
    </w:p>
    <w:p>
      <w:pPr>
        <w:numPr>
          <w:ilvl w:val="0"/>
          <w:numId w:val="1192"/>
        </w:numPr>
        <w:pStyle w:val="Compact"/>
      </w:pPr>
      <w:r>
        <w:rPr>
          <w:bCs/>
          <w:b/>
        </w:rPr>
        <w:t xml:space="preserve">Zulassung ohne internationale Standards:</w:t>
      </w:r>
      <w:r>
        <w:t xml:space="preserve"> </w:t>
      </w:r>
      <w:r>
        <w:t xml:space="preserve">Einige Peptide sind in Russland als Arzneimittel registriert, ohne dass große, verblindete, vorab registrierte Studien veröffentlicht wurden, wie sie EU oder USA verlangen.</w:t>
      </w:r>
    </w:p>
    <w:p>
      <w:pPr>
        <w:numPr>
          <w:ilvl w:val="0"/>
          <w:numId w:val="1192"/>
        </w:numPr>
        <w:pStyle w:val="Compact"/>
      </w:pPr>
      <w:r>
        <w:rPr>
          <w:bCs/>
          <w:b/>
        </w:rPr>
        <w:t xml:space="preserve">Kleine, unkontrollierte Studien:</w:t>
      </w:r>
      <w:r>
        <w:t xml:space="preserve"> </w:t>
      </w:r>
      <w:r>
        <w:t xml:space="preserve">Viele klinische Arbeiten haben keine Placebogruppe, keine Zufallszuteilung oder nennen in der Kurzfassung keine Zahlen.</w:t>
      </w:r>
    </w:p>
    <w:p>
      <w:pPr>
        <w:numPr>
          <w:ilvl w:val="0"/>
          <w:numId w:val="1192"/>
        </w:numPr>
        <w:pStyle w:val="Compact"/>
      </w:pPr>
      <w:r>
        <w:rPr>
          <w:bCs/>
          <w:b/>
        </w:rPr>
        <w:t xml:space="preserve">Sprache und Zugang:</w:t>
      </w:r>
      <w:r>
        <w:t xml:space="preserve"> </w:t>
      </w:r>
      <w:r>
        <w:t xml:space="preserve">Viele Arbeiten erscheinen nur auf Russisch, oft in Zeitschriften, in denen die Autorengruppen selbst häufig publizieren.</w:t>
      </w:r>
    </w:p>
    <w:p>
      <w:pPr>
        <w:numPr>
          <w:ilvl w:val="0"/>
          <w:numId w:val="1192"/>
        </w:numPr>
        <w:pStyle w:val="Compact"/>
      </w:pPr>
      <w:r>
        <w:rPr>
          <w:bCs/>
          <w:b/>
        </w:rPr>
        <w:t xml:space="preserve">Fehlende Wiederholung:</w:t>
      </w:r>
      <w:r>
        <w:t xml:space="preserve"> </w:t>
      </w:r>
      <w:r>
        <w:t xml:space="preserve">Unabhängige Gruppen außerhalb Russlands haben die Ergebnisse selten nachgeprüft – und wenn, dann oft mit ernüchterndem Ergebnis, wie bei DSIP.</w:t>
      </w:r>
    </w:p>
    <w:p>
      <w:pPr>
        <w:numPr>
          <w:ilvl w:val="0"/>
          <w:numId w:val="1192"/>
        </w:numPr>
        <w:pStyle w:val="Compact"/>
      </w:pPr>
      <w:r>
        <w:rPr>
          <w:bCs/>
          <w:b/>
        </w:rPr>
        <w:t xml:space="preserve">Keine Registereinträge:</w:t>
      </w:r>
      <w:r>
        <w:t xml:space="preserve"> </w:t>
      </w:r>
      <w:r>
        <w:t xml:space="preserve">Für Semax, Selank, DSIP und Pinealon findet sich auf ClinicalTrials.gov keine einzige Studie.</w:t>
      </w:r>
    </w:p>
    <w:bookmarkEnd w:id="596"/>
    <w:bookmarkStart w:id="597" w:name="überblick-2"/>
    <w:p>
      <w:pPr>
        <w:pStyle w:val="Heading3"/>
      </w:pPr>
      <w:r>
        <w:t xml:space="preserve">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nur Russland</w:t>
            </w:r>
          </w:p>
        </w:tc>
        <w:tc>
          <w:tcPr/>
          <w:p>
            <w:pPr>
              <w:pStyle w:val="Compact"/>
              <w:jc w:val="left"/>
            </w:pPr>
            <w:r>
              <w:t xml:space="preserve">ACTH-Fragment; kleine Schlaganfallstudien</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nur Russland</w:t>
            </w:r>
          </w:p>
        </w:tc>
        <w:tc>
          <w:tcPr/>
          <w:p>
            <w:pPr>
              <w:pStyle w:val="Compact"/>
              <w:jc w:val="left"/>
            </w:pPr>
            <w:r>
              <w:t xml:space="preserve">Angstlöser; keine Placebostudien</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 u. a. Österreich</w:t>
            </w:r>
          </w:p>
        </w:tc>
        <w:tc>
          <w:tcPr/>
          <w:p>
            <w:pPr>
              <w:pStyle w:val="Compact"/>
              <w:jc w:val="left"/>
            </w:pPr>
            <w:r>
              <w:t xml:space="preserve">viele RCTs, Cochrane zurückhaltend</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nein</w:t>
            </w:r>
          </w:p>
        </w:tc>
        <w:tc>
          <w:tcPr/>
          <w:p>
            <w:pPr>
              <w:pStyle w:val="Compact"/>
              <w:jc w:val="left"/>
            </w:pPr>
            <w:r>
              <w:t xml:space="preserve">nur Tierdaten; Krebsfrage offen</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nein</w:t>
            </w:r>
          </w:p>
        </w:tc>
        <w:tc>
          <w:tcPr/>
          <w:p>
            <w:pPr>
              <w:pStyle w:val="Compact"/>
              <w:jc w:val="left"/>
            </w:pPr>
            <w:r>
              <w:t xml:space="preserve">„Schlafpeptid“ ohne bestätigten Nutzen</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nein</w:t>
            </w:r>
          </w:p>
        </w:tc>
        <w:tc>
          <w:tcPr/>
          <w:p>
            <w:pPr>
              <w:pStyle w:val="Compact"/>
              <w:jc w:val="left"/>
            </w:pPr>
            <w:r>
              <w:t xml:space="preserve">Telomer-Versprechen nur im Labor</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nein</w:t>
            </w:r>
          </w:p>
        </w:tc>
        <w:tc>
          <w:tcPr/>
          <w:p>
            <w:pPr>
              <w:pStyle w:val="Compact"/>
              <w:jc w:val="left"/>
            </w:pPr>
            <w:r>
              <w:t xml:space="preserve">kleine russische Beobachtungen</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nein</w:t>
            </w:r>
          </w:p>
        </w:tc>
        <w:tc>
          <w:tcPr/>
          <w:p>
            <w:pPr>
              <w:pStyle w:val="Compact"/>
              <w:jc w:val="left"/>
            </w:pPr>
            <w:r>
              <w:t xml:space="preserve">Mäuse ja, Menschen nur Spiegel</w:t>
            </w:r>
          </w:p>
        </w:tc>
      </w:tr>
      <w:tr>
        <w:tc>
          <w:tcPr/>
          <w:p>
            <w:pPr>
              <w:pStyle w:val="Compact"/>
              <w:jc w:val="left"/>
            </w:pPr>
            <w:r>
              <w:t xml:space="preserve">Humanin</w:t>
            </w:r>
          </w:p>
        </w:tc>
        <w:tc>
          <w:tcPr/>
          <w:p>
            <w:pPr>
              <w:pStyle w:val="Compact"/>
              <w:jc w:val="left"/>
            </w:pPr>
            <w:r>
              <w:t xml:space="preserve">D</w:t>
            </w:r>
          </w:p>
        </w:tc>
        <w:tc>
          <w:tcPr/>
          <w:p>
            <w:pPr>
              <w:pStyle w:val="Compact"/>
              <w:jc w:val="left"/>
            </w:pPr>
            <w:r>
              <w:t xml:space="preserve">nein</w:t>
            </w:r>
          </w:p>
        </w:tc>
        <w:tc>
          <w:tcPr/>
          <w:p>
            <w:pPr>
              <w:pStyle w:val="Compact"/>
              <w:jc w:val="left"/>
            </w:pPr>
            <w:r>
              <w:t xml:space="preserve">Biomarker; im Tier tumorfördernd</w:t>
            </w:r>
          </w:p>
        </w:tc>
      </w:tr>
      <w:tr>
        <w:tc>
          <w:tcPr/>
          <w:p>
            <w:pPr>
              <w:pStyle w:val="Compact"/>
              <w:jc w:val="left"/>
            </w:pPr>
            <w:r>
              <w:t xml:space="preserve">SS-31 (Elamipretid)</w:t>
            </w:r>
          </w:p>
        </w:tc>
        <w:tc>
          <w:tcPr/>
          <w:p>
            <w:pPr>
              <w:pStyle w:val="Compact"/>
              <w:jc w:val="left"/>
            </w:pPr>
            <w:r>
              <w:t xml:space="preserve">B</w:t>
            </w:r>
          </w:p>
        </w:tc>
        <w:tc>
          <w:tcPr/>
          <w:p>
            <w:pPr>
              <w:pStyle w:val="Compact"/>
              <w:jc w:val="left"/>
            </w:pPr>
            <w:r>
              <w:t xml:space="preserve">USA (Barth-Syndrom)</w:t>
            </w:r>
          </w:p>
        </w:tc>
        <w:tc>
          <w:tcPr/>
          <w:p>
            <w:pPr>
              <w:pStyle w:val="Compact"/>
              <w:jc w:val="left"/>
            </w:pPr>
            <w:r>
              <w:t xml:space="preserve">große Studien meist negativ</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nein</w:t>
            </w:r>
          </w:p>
        </w:tc>
        <w:tc>
          <w:tcPr/>
          <w:p>
            <w:pPr>
              <w:pStyle w:val="Compact"/>
              <w:jc w:val="left"/>
            </w:pPr>
            <w:r>
              <w:t xml:space="preserve">Senolytikum, nur Tierdaten</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Nahrungsergänzung</w:t>
            </w:r>
          </w:p>
        </w:tc>
        <w:tc>
          <w:tcPr/>
          <w:p>
            <w:pPr>
              <w:pStyle w:val="Compact"/>
              <w:jc w:val="left"/>
            </w:pPr>
            <w:r>
              <w:t xml:space="preserve">Infusionen zur Hautaufhellung riskant</w:t>
            </w:r>
          </w:p>
        </w:tc>
      </w:tr>
    </w:tbl>
    <w:bookmarkEnd w:id="597"/>
    <w:bookmarkStart w:id="598" w:name="lesehinweis-3"/>
    <w:p>
      <w:pPr>
        <w:pStyle w:val="Heading3"/>
      </w:pPr>
      <w:r>
        <w:t xml:space="preserve">Lesehinweis</w:t>
      </w:r>
    </w:p>
    <w:p>
      <w:pPr>
        <w:pStyle w:val="FirstParagraph"/>
      </w:pPr>
      <w:r>
        <w:t xml:space="preserve">Die Kapitel folgen dem einheitlichen Aufbau dieses Buches. Achten Sie in jedem Kapitel besonders auf den Abschnitt „Studien am Menschen“ und dort auf die Größenordnung der Studienlage: Bei neun der zwölf Peptide gibt es entweder keine Studie, in der Menschen den Wirkstoff erhielten, oder nur sehr kleine, methodisch schwache Untersuchungen. Rechtslage und FDA-Status haben sich 2026 mehrfach geändert; die Angaben entsprechen dem Stand Oktober 2026 und sollten aktuell geprüft werden.</w:t>
      </w:r>
    </w:p>
    <w:bookmarkEnd w:id="598"/>
    <w:bookmarkStart w:id="610" w:name="semax"/>
    <w:p>
      <w:pPr>
        <w:pStyle w:val="Heading2"/>
      </w:pPr>
      <w:r>
        <w:t xml:space="preserve">Semax</w:t>
      </w:r>
    </w:p>
    <w:bookmarkStart w:id="599" w:name="steckbrief-34"/>
    <w:p>
      <w:pPr>
        <w:pStyle w:val="Heading3"/>
      </w:pPr>
      <w:r>
        <w:t xml:space="preserve">Steckbrief</w:t>
      </w:r>
    </w:p>
    <w:p>
      <w:pPr>
        <w:numPr>
          <w:ilvl w:val="0"/>
          <w:numId w:val="1193"/>
        </w:numPr>
        <w:pStyle w:val="Compact"/>
      </w:pPr>
      <w:r>
        <w:rPr>
          <w:bCs/>
          <w:b/>
        </w:rPr>
        <w:t xml:space="preserve">Art und Struktur:</w:t>
      </w:r>
      <w:r>
        <w:t xml:space="preserve"> </w:t>
      </w:r>
      <w:r>
        <w:t xml:space="preserve">synthetisches Heptapeptid (sieben Aminosäuren: Met-Glu-His-Phe-Pro-Gly-Pro). Die ersten vier Bausteine entsprechen einem Bruchstück des Stresshormons ACTH (Adrenocorticotropes Hormon, Abschnitt 4–7), angehängt ist das Tripeptid Pro-Gly-Pro, das den Abbau verlangsamen soll.</w:t>
      </w:r>
    </w:p>
    <w:p>
      <w:pPr>
        <w:numPr>
          <w:ilvl w:val="0"/>
          <w:numId w:val="1193"/>
        </w:numPr>
        <w:pStyle w:val="Compact"/>
      </w:pPr>
      <w:r>
        <w:rPr>
          <w:bCs/>
          <w:b/>
        </w:rPr>
        <w:t xml:space="preserve">Herkunft:</w:t>
      </w:r>
      <w:r>
        <w:t xml:space="preserve"> </w:t>
      </w:r>
      <w:r>
        <w:t xml:space="preserve">entwickelt ab den 1980er-Jahren am Institut für Molekulargenetik der Russischen Akademie der Wissenschaften in Moskau.</w:t>
      </w:r>
    </w:p>
    <w:p>
      <w:pPr>
        <w:numPr>
          <w:ilvl w:val="0"/>
          <w:numId w:val="1193"/>
        </w:numPr>
        <w:pStyle w:val="Compact"/>
      </w:pPr>
      <w:r>
        <w:rPr>
          <w:bCs/>
          <w:b/>
        </w:rPr>
        <w:t xml:space="preserve">Wirkprinzip:</w:t>
      </w:r>
      <w:r>
        <w:t xml:space="preserve"> </w:t>
      </w:r>
      <w:r>
        <w:t xml:space="preserve">soll die Bildung von Nervenwachstumsfaktoren (vor allem BDNF) anregen und Nervenzellen bei Sauerstoffmangel schützen; anders als ACTH regt es die Nebenniere nicht zur Cortisol-Ausschüttung an. Verabreicht wird es als Nasentropfen.</w:t>
      </w:r>
    </w:p>
    <w:p>
      <w:pPr>
        <w:numPr>
          <w:ilvl w:val="0"/>
          <w:numId w:val="1193"/>
        </w:numPr>
        <w:pStyle w:val="Compact"/>
      </w:pPr>
      <w:r>
        <w:rPr>
          <w:bCs/>
          <w:b/>
        </w:rPr>
        <w:t xml:space="preserve">Zulassung EU:</w:t>
      </w:r>
      <w:r>
        <w:t xml:space="preserve"> </w:t>
      </w:r>
      <w:r>
        <w:t xml:space="preserve">nein.</w:t>
      </w:r>
    </w:p>
    <w:p>
      <w:pPr>
        <w:numPr>
          <w:ilvl w:val="0"/>
          <w:numId w:val="1193"/>
        </w:numPr>
        <w:pStyle w:val="Compact"/>
      </w:pPr>
      <w:r>
        <w:rPr>
          <w:bCs/>
          <w:b/>
        </w:rPr>
        <w:t xml:space="preserve">Zulassung USA:</w:t>
      </w:r>
      <w:r>
        <w:t xml:space="preserve"> </w:t>
      </w:r>
      <w:r>
        <w:t xml:space="preserve">nein. Semax stand ab 2023 auf der FDA-Liste von Substanzen mit möglichen Sicherheitsrisiken für Apotheken-Zubereitungen („Kategorie 2“), wurde im April 2026 davon gestrichen und im Juli 2026 vom Beratungsausschuss PCAC knapp für die Aufnahme in die Liste zulässiger Rezeptursubstanzen empfohlen. Eine Zulassung als Arzneimittel ist das nicht.</w:t>
      </w:r>
    </w:p>
    <w:p>
      <w:pPr>
        <w:numPr>
          <w:ilvl w:val="0"/>
          <w:numId w:val="1193"/>
        </w:numPr>
        <w:pStyle w:val="Compact"/>
      </w:pPr>
      <w:r>
        <w:rPr>
          <w:bCs/>
          <w:b/>
        </w:rPr>
        <w:t xml:space="preserve">Russland und einige Nachbarstaaten:</w:t>
      </w:r>
      <w:r>
        <w:t xml:space="preserve"> </w:t>
      </w:r>
      <w:r>
        <w:t xml:space="preserve">als Arzneimittel registriert (Nasentropfen; 0,1-%-Lösung als Nootropikum, 1-%-Lösung für den Schlaganfall).</w:t>
      </w:r>
    </w:p>
    <w:p>
      <w:pPr>
        <w:numPr>
          <w:ilvl w:val="0"/>
          <w:numId w:val="1193"/>
        </w:numPr>
        <w:pStyle w:val="Compact"/>
      </w:pPr>
      <w:r>
        <w:rPr>
          <w:bCs/>
          <w:b/>
        </w:rPr>
        <w:t xml:space="preserve">WADA:</w:t>
      </w:r>
      <w:r>
        <w:t xml:space="preserve"> </w:t>
      </w:r>
      <w:r>
        <w:t xml:space="preserve">nicht namentlich gelistet. Da Semax in Russland zugelassen ist, fällt es nicht eindeutig unter die Sammelkategorie S0 für nicht zugelassene Substanzen (Stand 2026, bitte aktuell prüfen).</w:t>
      </w:r>
    </w:p>
    <w:p>
      <w:pPr>
        <w:numPr>
          <w:ilvl w:val="0"/>
          <w:numId w:val="1193"/>
        </w:numPr>
        <w:pStyle w:val="Compact"/>
      </w:pPr>
      <w:r>
        <w:rPr>
          <w:bCs/>
          <w:b/>
        </w:rPr>
        <w:t xml:space="preserve">Evidenzstufe:</w:t>
      </w:r>
      <w:r>
        <w:t xml:space="preserve"> </w:t>
      </w:r>
      <w:r>
        <w:rPr>
          <w:bCs/>
          <w:b/>
        </w:rPr>
        <w:t xml:space="preserve">C</w:t>
      </w:r>
      <w:r>
        <w:t xml:space="preserve"> </w:t>
      </w:r>
      <w:r>
        <w:t xml:space="preserve">– wenige kleine, überwiegend nicht randomisierte Studien aus russischen Zentren.</w:t>
      </w:r>
    </w:p>
    <w:bookmarkEnd w:id="599"/>
    <w:bookmarkStart w:id="600" w:name="wie-es-wirken-soll-34"/>
    <w:p>
      <w:pPr>
        <w:pStyle w:val="Heading3"/>
      </w:pPr>
      <w:r>
        <w:t xml:space="preserve">Wie es wirken soll</w:t>
      </w:r>
    </w:p>
    <w:p>
      <w:pPr>
        <w:pStyle w:val="FirstParagraph"/>
      </w:pPr>
      <w:r>
        <w:t xml:space="preserve">ACTH ist ein Hormon der Hirnanhangdrüse, das die Nebenniere zur Cortisolbildung anregt. Schon in den 1970er-Jahren fiel auf, dass kurze Bruchstücke dieses Hormons – ohne die Wirkung auf die Nebenniere – bei Tieren Aufmerksamkeit und Lernen beeinflussen. Solche Fragmente werden im Körper aber in Minuten abgebaut. Die Entwickler von Semax verlängerten deshalb das Bruchstück ACTH(4–7) um die Sequenz Pro-Gly-Pro, die gegen eiweißspaltende Enzyme stabiler ist.</w:t>
      </w:r>
    </w:p>
    <w:p>
      <w:pPr>
        <w:pStyle w:val="BodyText"/>
      </w:pPr>
      <w:r>
        <w:t xml:space="preserve">Für den Wirkmechanismus stützen sich die Entwickler vor allem auf Tierdaten:</w:t>
      </w:r>
    </w:p>
    <w:p>
      <w:pPr>
        <w:numPr>
          <w:ilvl w:val="0"/>
          <w:numId w:val="1194"/>
        </w:numPr>
        <w:pStyle w:val="Compact"/>
      </w:pPr>
      <w:r>
        <w:rPr>
          <w:bCs/>
          <w:b/>
        </w:rPr>
        <w:t xml:space="preserve">Nervenwachstumsfaktoren:</w:t>
      </w:r>
      <w:r>
        <w:t xml:space="preserve"> </w:t>
      </w:r>
      <w:r>
        <w:t xml:space="preserve">Bei Ratten fanden sich spezifische Bindungsstellen für markiertes Semax im basalen Vorderhirn; nach Gabe in die Nase stieg dort innerhalb von drei Stunden der Gehalt an BDNF (Brain-Derived Neurotrophic Factor), einem Eiweiß, das die Anpassungsfähigkeit von Nervenverbindungen fördert. Im Kleinhirn war das nicht der Fall (Dolotov 2006, PMID 16635254).</w:t>
      </w:r>
    </w:p>
    <w:p>
      <w:pPr>
        <w:numPr>
          <w:ilvl w:val="0"/>
          <w:numId w:val="1194"/>
        </w:numPr>
        <w:pStyle w:val="Compact"/>
      </w:pPr>
      <w:r>
        <w:rPr>
          <w:bCs/>
          <w:b/>
        </w:rPr>
        <w:t xml:space="preserve">Genaktivität nach Schlaganfall:</w:t>
      </w:r>
      <w:r>
        <w:t xml:space="preserve"> </w:t>
      </w:r>
      <w:r>
        <w:t xml:space="preserve">In einem Schlaganfallmodell bei Ratten veränderte Semax die Aktivität zahlreicher Gene, vor allem solcher des Immunsystems und der Blutgefäßbildung (Medvedeva 2014, PMID 24661604).</w:t>
      </w:r>
    </w:p>
    <w:p>
      <w:pPr>
        <w:pStyle w:val="FirstParagraph"/>
      </w:pPr>
      <w:r>
        <w:t xml:space="preserve">Ein eigener Rezeptor für Semax ist nicht identifiziert. Ob die bei Ratten gemessenen BDNF-Anstiege beim Menschen in vergleichbarer Form auftreten und ob sie für einen Nutzen ausreichen, ist offen.</w:t>
      </w:r>
    </w:p>
    <w:bookmarkEnd w:id="600"/>
    <w:bookmarkStart w:id="604" w:name="studien-am-menschen-34"/>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nur 4 als Humanstudien klassifizierte Veröffentlichungen; insgesamt führt PubMed rund 210 Arbeiten mit „Semax“ im Titel oder Abstract, ganz überwiegend Tier- und Laborstudien. Auf ClinicalTrials.gov ist keine einzige Studie registriert. Bei einer gezielten Nachsuche fanden sich einige weitere kleine klinische Arbeiten. Praktisch alle stammen aus russischen Einrichtungen, viele aus dem Umfeld der Entwickler, und sind nur auf Russisch mit englischer Kurzfassung erschienen.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Gusev 1997, PMID 11517472</w:t>
            </w:r>
          </w:p>
        </w:tc>
        <w:tc>
          <w:tcPr/>
          <w:p>
            <w:pPr>
              <w:pStyle w:val="Compact"/>
              <w:jc w:val="left"/>
            </w:pPr>
            <w:r>
              <w:t xml:space="preserve">30 Personen mit akutem ischämischem Schlaganfall, Vergleich mit 80 Personen unter Standardtherapie, nicht randomisiert</w:t>
            </w:r>
          </w:p>
        </w:tc>
        <w:tc>
          <w:tcPr/>
          <w:p>
            <w:pPr>
              <w:pStyle w:val="Compact"/>
              <w:jc w:val="left"/>
            </w:pPr>
            <w:r>
              <w:t xml:space="preserve">5–10 Tage Behandlung</w:t>
            </w:r>
          </w:p>
        </w:tc>
        <w:tc>
          <w:tcPr/>
          <w:p>
            <w:pPr>
              <w:pStyle w:val="Compact"/>
              <w:jc w:val="left"/>
            </w:pPr>
            <w:r>
              <w:t xml:space="preserve">„gewisser Einfluss“ auf die Erholungsgeschwindigkeit neurologischer Ausfälle, keine Effektgrößen im Abstract</w:t>
            </w:r>
          </w:p>
        </w:tc>
      </w:tr>
      <w:tr>
        <w:tc>
          <w:tcPr/>
          <w:p>
            <w:pPr>
              <w:pStyle w:val="Compact"/>
              <w:jc w:val="left"/>
            </w:pPr>
            <w:r>
              <w:t xml:space="preserve">Gusev 2005, PMID 15792140</w:t>
            </w:r>
          </w:p>
        </w:tc>
        <w:tc>
          <w:tcPr/>
          <w:p>
            <w:pPr>
              <w:pStyle w:val="Compact"/>
              <w:jc w:val="left"/>
            </w:pPr>
            <w:r>
              <w:t xml:space="preserve">187 Personen mit chronischer Durchblutungsstörung des Gehirns</w:t>
            </w:r>
          </w:p>
        </w:tc>
        <w:tc>
          <w:tcPr/>
          <w:p>
            <w:pPr>
              <w:pStyle w:val="Compact"/>
              <w:jc w:val="left"/>
            </w:pPr>
            <w:r>
              <w:t xml:space="preserve">nicht angegeben</w:t>
            </w:r>
          </w:p>
        </w:tc>
        <w:tc>
          <w:tcPr/>
          <w:p>
            <w:pPr>
              <w:pStyle w:val="Compact"/>
              <w:jc w:val="left"/>
            </w:pPr>
            <w:r>
              <w:t xml:space="preserve">laut Autoren klinische Besserung und weniger Schlaganfälle; Design und Zahlen nicht im Abstract</w:t>
            </w:r>
          </w:p>
        </w:tc>
      </w:tr>
      <w:tr>
        <w:tc>
          <w:tcPr/>
          <w:p>
            <w:pPr>
              <w:pStyle w:val="Compact"/>
              <w:jc w:val="left"/>
            </w:pPr>
            <w:r>
              <w:t xml:space="preserve">Gusev 2018, PMID 29798983</w:t>
            </w:r>
          </w:p>
        </w:tc>
        <w:tc>
          <w:tcPr/>
          <w:p>
            <w:pPr>
              <w:pStyle w:val="Compact"/>
              <w:jc w:val="left"/>
            </w:pPr>
            <w:r>
              <w:t xml:space="preserve">110 Personen nach Schlaganfall, Reha früh oder spät, jeweils mit oder ohne Semax</w:t>
            </w:r>
          </w:p>
        </w:tc>
        <w:tc>
          <w:tcPr/>
          <w:p>
            <w:pPr>
              <w:pStyle w:val="Compact"/>
              <w:jc w:val="left"/>
            </w:pPr>
            <w:r>
              <w:t xml:space="preserve">rund 5 Monate</w:t>
            </w:r>
          </w:p>
        </w:tc>
        <w:tc>
          <w:tcPr/>
          <w:p>
            <w:pPr>
              <w:pStyle w:val="Compact"/>
              <w:jc w:val="left"/>
            </w:pPr>
            <w:r>
              <w:t xml:space="preserve">höherer BDNF-Spiegel im Blut, schnellere Besserung im Barthel-Index</w:t>
            </w:r>
          </w:p>
        </w:tc>
      </w:tr>
      <w:tr>
        <w:tc>
          <w:tcPr/>
          <w:p>
            <w:pPr>
              <w:pStyle w:val="Compact"/>
              <w:jc w:val="left"/>
            </w:pPr>
            <w:r>
              <w:t xml:space="preserve">Serdiuk 2007, PMID 18379501</w:t>
            </w:r>
          </w:p>
        </w:tc>
        <w:tc>
          <w:tcPr/>
          <w:p>
            <w:pPr>
              <w:pStyle w:val="Compact"/>
              <w:jc w:val="left"/>
            </w:pPr>
            <w:r>
              <w:t xml:space="preserve">27 Personen mit Motoneuronerkrankung (z. B. ALS), offen</w:t>
            </w:r>
          </w:p>
        </w:tc>
        <w:tc>
          <w:tcPr/>
          <w:p>
            <w:pPr>
              <w:pStyle w:val="Compact"/>
              <w:jc w:val="left"/>
            </w:pPr>
            <w:r>
              <w:t xml:space="preserve">48 Tage</w:t>
            </w:r>
          </w:p>
        </w:tc>
        <w:tc>
          <w:tcPr/>
          <w:p>
            <w:pPr>
              <w:pStyle w:val="Compact"/>
              <w:jc w:val="left"/>
            </w:pPr>
            <w:r>
              <w:t xml:space="preserve">kein Einfluss auf Krankheitsverlauf und Muskelbefunde; bessere Lebensqualitätswerte</w:t>
            </w:r>
          </w:p>
        </w:tc>
      </w:tr>
      <w:tr>
        <w:tc>
          <w:tcPr/>
          <w:p>
            <w:pPr>
              <w:pStyle w:val="Compact"/>
              <w:jc w:val="left"/>
            </w:pPr>
            <w:r>
              <w:t xml:space="preserve">Polunin 2000, PMID 10741256</w:t>
            </w:r>
          </w:p>
        </w:tc>
        <w:tc>
          <w:tcPr/>
          <w:p>
            <w:pPr>
              <w:pStyle w:val="Compact"/>
              <w:jc w:val="left"/>
            </w:pPr>
            <w:r>
              <w:t xml:space="preserve">Personen mit Sehnerverkrankungen, drei Gruppen inkl. Kontrolle</w:t>
            </w:r>
          </w:p>
        </w:tc>
        <w:tc>
          <w:tcPr/>
          <w:p>
            <w:pPr>
              <w:pStyle w:val="Compact"/>
              <w:jc w:val="left"/>
            </w:pPr>
            <w:r>
              <w:t xml:space="preserve">nicht angegeben</w:t>
            </w:r>
          </w:p>
        </w:tc>
        <w:tc>
          <w:tcPr/>
          <w:p>
            <w:pPr>
              <w:pStyle w:val="Compact"/>
              <w:jc w:val="left"/>
            </w:pPr>
            <w:r>
              <w:t xml:space="preserve">laut Autoren bessere Sehschärfe und Gesichtsfeld; keine Zahlen im Abstract</w:t>
            </w:r>
          </w:p>
        </w:tc>
      </w:tr>
      <w:tr>
        <w:tc>
          <w:tcPr/>
          <w:p>
            <w:pPr>
              <w:pStyle w:val="Compact"/>
              <w:jc w:val="left"/>
            </w:pPr>
            <w:r>
              <w:t xml:space="preserve">Lebedeva 2018, PMID 30225715</w:t>
            </w:r>
          </w:p>
        </w:tc>
        <w:tc>
          <w:tcPr/>
          <w:p>
            <w:pPr>
              <w:pStyle w:val="Compact"/>
              <w:jc w:val="left"/>
            </w:pPr>
            <w:r>
              <w:t xml:space="preserve">24 Gesunde, Semax (14) oder Placebo (10)</w:t>
            </w:r>
          </w:p>
        </w:tc>
        <w:tc>
          <w:tcPr/>
          <w:p>
            <w:pPr>
              <w:pStyle w:val="Compact"/>
              <w:jc w:val="left"/>
            </w:pPr>
            <w:r>
              <w:t xml:space="preserve">einmalige Gabe, Messung nach 20 Minuten</w:t>
            </w:r>
          </w:p>
        </w:tc>
        <w:tc>
          <w:tcPr/>
          <w:p>
            <w:pPr>
              <w:pStyle w:val="Compact"/>
              <w:jc w:val="left"/>
            </w:pPr>
            <w:r>
              <w:t xml:space="preserve">veränderte Ruhe-Netzwerkaktivität im funktionellen MRT</w:t>
            </w:r>
          </w:p>
        </w:tc>
      </w:tr>
    </w:tbl>
    <w:bookmarkStart w:id="601" w:name="schlaganfall"/>
    <w:p>
      <w:pPr>
        <w:pStyle w:val="Heading4"/>
      </w:pPr>
      <w:r>
        <w:t xml:space="preserve">Schlaganfall</w:t>
      </w:r>
    </w:p>
    <w:p>
      <w:pPr>
        <w:pStyle w:val="FirstParagraph"/>
      </w:pPr>
      <w:r>
        <w:t xml:space="preserve">Der Schlaganfall ist das Hauptanwendungsgebiet, für das Semax in Russland registriert ist. Die Grundlage dafür ist dünn. In der ersten klinischen Studie erhielten 30 Personen mit akutem Schlaganfall Semax zusätzlich zur Standardbehandlung; als Vergleich dienten 80 Personen, die nur die Standardbehandlung bekamen. Die Gruppen wurden nicht per Los zugeteilt. Die Autoren berichten über einen „gewissen Einfluss“ auf die Rückbildung der Ausfälle, vor allem der Lähmungen (Gusev 1997, PMID 11517472). Eine Folgearbeit derselben Gruppe untersuchte Entzündungsbotenstoffe im Blut und war ausdrücklich eine rückblickende Auswertung (Miasoedova 1999, PMID 10358912).</w:t>
      </w:r>
    </w:p>
    <w:p>
      <w:pPr>
        <w:pStyle w:val="BodyText"/>
      </w:pPr>
      <w:r>
        <w:t xml:space="preserve">Die bisher größte Studie mit 110 Personen nach einem Schlaganfall verglich frühe und späte Rehabilitation, jeweils mit oder ohne Semax. Unter Semax stieg der BDNF-Spiegel im Blutplasma und blieb während der Beobachtung erhöht; der Barthel-Index, ein Maß für die Selbstständigkeit im Alltag, besserte sich schneller (Gusev 2018, PMID 29798983). Das Abstract nennt weder eine Zufallszuteilung noch eine Verblindung, und die Unterschiede zwischen den Gruppen werden nicht als Effektgröße angegeben. Für einen Nutzennachweis reicht das nicht.</w:t>
      </w:r>
    </w:p>
    <w:p>
      <w:pPr>
        <w:pStyle w:val="BodyText"/>
      </w:pPr>
      <w:r>
        <w:t xml:space="preserve">Zum Vergleich: Bei anderen Wirkstoffen, die „Nervenzellen schützen“ sollten, sind beim Schlaganfall in großen, verblindeten internationalen Studien bisher fast alle gescheitert. Eine solche Studie gibt es für Semax nicht.</w:t>
      </w:r>
    </w:p>
    <w:bookmarkEnd w:id="601"/>
    <w:bookmarkStart w:id="602" w:name="andere-anwendungen-1"/>
    <w:p>
      <w:pPr>
        <w:pStyle w:val="Heading4"/>
      </w:pPr>
      <w:r>
        <w:t xml:space="preserve">Andere Anwendungen</w:t>
      </w:r>
    </w:p>
    <w:p>
      <w:pPr>
        <w:numPr>
          <w:ilvl w:val="0"/>
          <w:numId w:val="1195"/>
        </w:numPr>
        <w:pStyle w:val="Compact"/>
      </w:pPr>
      <w:r>
        <w:rPr>
          <w:bCs/>
          <w:b/>
        </w:rPr>
        <w:t xml:space="preserve">Motoneuronerkrankungen:</w:t>
      </w:r>
      <w:r>
        <w:t xml:space="preserve"> </w:t>
      </w:r>
      <w:r>
        <w:t xml:space="preserve">In einer offenen Studie mit 27 Personen veränderte Semax weder den Verlauf der Nervenschädigung im Elektromyogramm noch die klinischen Bewertungsskalen. Die Lebensqualitätswerte verbesserten sich, vor allem Stimmung und Motivation, am stärksten am zehnten Tag (Serdiuk 2007, PMID 18379501). Ohne Placebogruppe lässt sich ein Erwartungseffekt nicht ausschließen.</w:t>
      </w:r>
    </w:p>
    <w:p>
      <w:pPr>
        <w:numPr>
          <w:ilvl w:val="0"/>
          <w:numId w:val="1195"/>
        </w:numPr>
        <w:pStyle w:val="Compact"/>
      </w:pPr>
      <w:r>
        <w:rPr>
          <w:bCs/>
          <w:b/>
        </w:rPr>
        <w:t xml:space="preserve">Sehnerverkrankungen:</w:t>
      </w:r>
      <w:r>
        <w:t xml:space="preserve"> </w:t>
      </w:r>
      <w:r>
        <w:t xml:space="preserve">Eine kontrollierte Studie berichtet über bessere Sehfunktionen bei Zusatzbehandlung mit Semax, ohne Zahlen im Abstract (Polunin 2000, PMID 10741256).</w:t>
      </w:r>
    </w:p>
    <w:p>
      <w:pPr>
        <w:numPr>
          <w:ilvl w:val="0"/>
          <w:numId w:val="1195"/>
        </w:numPr>
        <w:pStyle w:val="Compact"/>
      </w:pPr>
      <w:r>
        <w:rPr>
          <w:bCs/>
          <w:b/>
        </w:rPr>
        <w:t xml:space="preserve">Folgezustände nach Sauerstoffmangel:</w:t>
      </w:r>
      <w:r>
        <w:t xml:space="preserve"> </w:t>
      </w:r>
      <w:r>
        <w:t xml:space="preserve">Bei 73 Personen mit Hirnschädigung nach Sauerstoffmangel beschreiben die Autoren eine Wirkung bei Gedächtnisstörungen. Bei manchen traten nach der Gabe im EEG Episoden anfallsartiger Aktivität auf; die Autoren raten deshalb, die erste Gabe unter EEG-Kontrolle vorzunehmen (Alekseeva 1999, PMID 10199046).</w:t>
      </w:r>
    </w:p>
    <w:p>
      <w:pPr>
        <w:numPr>
          <w:ilvl w:val="0"/>
          <w:numId w:val="1195"/>
        </w:numPr>
        <w:pStyle w:val="Compact"/>
      </w:pPr>
      <w:r>
        <w:rPr>
          <w:bCs/>
          <w:b/>
        </w:rPr>
        <w:t xml:space="preserve">Magengeschwür:</w:t>
      </w:r>
      <w:r>
        <w:t xml:space="preserve"> </w:t>
      </w:r>
      <w:r>
        <w:t xml:space="preserve">In einer Arbeit zu therapieresistenten Magengeschwüren heilten nach 14 Tagen 89,5 % der Geschwüre unter Semax zusätzlich zur Standardtherapie gegenüber 30,8 % in der Kontrollgruppe (Ivanikov 2002, PMID 12459874). Gruppengröße und Zuteilung nennt das Abstract nicht; die Autoren selbst fordern weitere Studien.</w:t>
      </w:r>
    </w:p>
    <w:bookmarkEnd w:id="602"/>
    <w:bookmarkStart w:id="603" w:name="gesunde-menschen-und-nootropikum"/>
    <w:p>
      <w:pPr>
        <w:pStyle w:val="Heading4"/>
      </w:pPr>
      <w:r>
        <w:t xml:space="preserve">Gesunde Menschen und „Nootropikum“</w:t>
      </w:r>
    </w:p>
    <w:p>
      <w:pPr>
        <w:pStyle w:val="FirstParagraph"/>
      </w:pPr>
      <w:r>
        <w:t xml:space="preserve">Im Internet wird Semax vor allem als Mittel zur Steigerung von Konzentration und Gedächtnis bei Gesunden angeboten. Belastbare Studien dazu fehlen. Eine Übersichtsarbeit der Entwickler aus den 1990er-Jahren berichtet, Semax verbessere Gedächtnis und Aufmerksamkeit gesunder Männer „unter extremen Bedingungen“, nennt im Abstract aber keine Studiendaten (Asmarin 1997, PMID 9173745). Zwei kleine Bildgebungsstudien an Gesunden zeigten nach einer einmaligen Gabe veränderte Aktivitätsmuster im funktionellen MRT (Lebedeva 2018, PMID 30225715; Panikratova 2020, PMID 32342318, 52 Gesunde mit Semax, Selank oder Placebo). Veränderte Hirnaktivität im Scanner ist jedoch kein Nachweis besserer Leistung im Alltag.</w:t>
      </w:r>
    </w:p>
    <w:bookmarkEnd w:id="603"/>
    <w:bookmarkEnd w:id="604"/>
    <w:bookmarkStart w:id="605" w:name="tier--und-laborstudien-34"/>
    <w:p>
      <w:pPr>
        <w:pStyle w:val="Heading3"/>
      </w:pPr>
      <w:r>
        <w:t xml:space="preserve">Tier- und Laborstudien</w:t>
      </w:r>
    </w:p>
    <w:p>
      <w:pPr>
        <w:pStyle w:val="FirstParagraph"/>
      </w:pPr>
      <w:r>
        <w:t xml:space="preserve">Die präklinische Literatur ist umfangreich und stammt ebenfalls überwiegend aus Moskau:</w:t>
      </w:r>
    </w:p>
    <w:p>
      <w:pPr>
        <w:numPr>
          <w:ilvl w:val="0"/>
          <w:numId w:val="1196"/>
        </w:numPr>
        <w:pStyle w:val="Compact"/>
      </w:pPr>
      <w:r>
        <w:t xml:space="preserve">Bei Ratten mit künstlich ausgelöstem Schlaganfall veränderte Semax die Aktivität von Genen des Immun- und Gefäßsystems (Medvedeva 2014, PMID 24661604).</w:t>
      </w:r>
    </w:p>
    <w:p>
      <w:pPr>
        <w:numPr>
          <w:ilvl w:val="0"/>
          <w:numId w:val="1196"/>
        </w:numPr>
        <w:pStyle w:val="Compact"/>
      </w:pPr>
      <w:r>
        <w:t xml:space="preserve">Bei Ratten, deren Dopamin-System mit dem Nervengift MPTP geschädigt wurde, verringerte Semax Bewegungs- und Angststörungen (Levitskaya 2004, PMID 15341218).</w:t>
      </w:r>
    </w:p>
    <w:p>
      <w:pPr>
        <w:numPr>
          <w:ilvl w:val="0"/>
          <w:numId w:val="1196"/>
        </w:numPr>
        <w:pStyle w:val="Compact"/>
      </w:pPr>
      <w:r>
        <w:t xml:space="preserve">Bei gentechnisch veränderten Mäusen mit Alzheimer-ähnlichen Ablagerungen verbesserten Semax und ein Abkömmling das Verhalten in Gedächtnistests und verringerten die Zahl der Amyloid-Ablagerungen (Radchenko 2025, PMID 41479572).</w:t>
      </w:r>
    </w:p>
    <w:p>
      <w:pPr>
        <w:numPr>
          <w:ilvl w:val="0"/>
          <w:numId w:val="1196"/>
        </w:numPr>
        <w:pStyle w:val="Compact"/>
      </w:pPr>
      <w:r>
        <w:t xml:space="preserve">In Laborversuchen bindet Semax Kupferionen, was die Bildung schädlicher Sauerstoffradikale durch Amyloid-Kupfer-Komplexe dämpfte (Tomasello 2025, PMID 40496623).</w:t>
      </w:r>
    </w:p>
    <w:p>
      <w:pPr>
        <w:pStyle w:val="FirstParagraph"/>
      </w:pPr>
      <w:r>
        <w:t xml:space="preserve">Diese Ergebnisse sind Tier- und Laborbefunde. Viele Wirkstoffe, die in solchen Modellen schützten, versagten später beim Menschen.</w:t>
      </w:r>
    </w:p>
    <w:bookmarkEnd w:id="605"/>
    <w:bookmarkStart w:id="606" w:name="risiken-und-nebenwirkungen-34"/>
    <w:p>
      <w:pPr>
        <w:pStyle w:val="Heading3"/>
      </w:pPr>
      <w:r>
        <w:t xml:space="preserve">Risiken und Nebenwirkungen</w:t>
      </w:r>
    </w:p>
    <w:p>
      <w:pPr>
        <w:pStyle w:val="FirstParagraph"/>
      </w:pPr>
      <w:r>
        <w:rPr>
          <w:bCs/>
          <w:b/>
        </w:rPr>
        <w:t xml:space="preserve">Belegt:</w:t>
      </w:r>
      <w:r>
        <w:t xml:space="preserve"> </w:t>
      </w:r>
      <w:r>
        <w:t xml:space="preserve">Systematisch erfasste Sicherheitsdaten aus größeren Studien gibt es nicht. Die russischen Arbeiten beschreiben Semax als gut verträglich, teils ausdrücklich auch bei älteren Menschen (Gusev 2005, PMID 15792140). Ein ernstzunehmendes Signal ist die Beobachtung anfallsartiger EEG-Veränderungen nach der Gabe bei einzelnen Personen mit vorgeschädigtem Gehirn (Alekseeva 1999, PMID 10199046).</w:t>
      </w:r>
    </w:p>
    <w:p>
      <w:pPr>
        <w:pStyle w:val="BodyText"/>
      </w:pPr>
      <w:r>
        <w:rPr>
          <w:bCs/>
          <w:b/>
        </w:rPr>
        <w:t xml:space="preserve">Theoretisch:</w:t>
      </w:r>
      <w:r>
        <w:t xml:space="preserve"> </w:t>
      </w:r>
      <w:r>
        <w:t xml:space="preserve">Semax soll Wachstumsfaktoren und Immungene beeinflussen; Langzeitfolgen solcher Eingriffe sind nicht untersucht. Für Schwangerschaft, Stillzeit, Kinder, Epilepsie und psychische Erkrankungen fehlen Daten.</w:t>
      </w:r>
    </w:p>
    <w:p>
      <w:pPr>
        <w:pStyle w:val="BodyText"/>
      </w:pPr>
      <w:r>
        <w:rPr>
          <w:bCs/>
          <w:b/>
        </w:rPr>
        <w:t xml:space="preserve">Graumarkt:</w:t>
      </w:r>
      <w:r>
        <w:t xml:space="preserve"> </w:t>
      </w:r>
      <w:r>
        <w:t xml:space="preserve">Außerhalb Russlands wird Semax meist als „Research Peptide“ oder als selbst gemischte Nasenlösung verkauft. Gehalt, Reinheit und Keimfreiheit solcher Produkte sind ungeprüft. Ein belgisches Arzneimittel-Kontrolllabor identifizierte Semax und Selank 2017 und 2018 in beschlagnahmten, unbekannten Präparaten und fand bei einer Online-Recherche, dass solche „Nootropika-Peptide“ frei als Pulver zur Injektion oder als Nasenspray angeboten werden (Vanhee 2020, PMID 31667971). Mehr dazu in Teil I und Teil IV.</w:t>
      </w:r>
    </w:p>
    <w:bookmarkEnd w:id="606"/>
    <w:bookmarkStart w:id="607" w:name="rechtslage-34"/>
    <w:p>
      <w:pPr>
        <w:pStyle w:val="Heading3"/>
      </w:pPr>
      <w:r>
        <w:t xml:space="preserve">Rechtslage</w:t>
      </w:r>
    </w:p>
    <w:p>
      <w:pPr>
        <w:numPr>
          <w:ilvl w:val="0"/>
          <w:numId w:val="1197"/>
        </w:numPr>
        <w:pStyle w:val="Compact"/>
      </w:pPr>
      <w:r>
        <w:rPr>
          <w:bCs/>
          <w:b/>
        </w:rPr>
        <w:t xml:space="preserve">EU / Österreich / Deutschland:</w:t>
      </w:r>
      <w:r>
        <w:t xml:space="preserve"> </w:t>
      </w:r>
      <w:r>
        <w:t xml:space="preserve">Semax ist nicht zugelassen. Als Stoff mit beabsichtigter Wirkung auf Körperfunktionen gilt es als Arzneimittel; Verkauf und Werbung ohne Zulassung sind nicht erlaubt. Die Einfuhr aus Russland als Arzneimittel unterliegt den Regeln für Einzelimporte (Stand 2026, bitte aktuell prüfen).</w:t>
      </w:r>
    </w:p>
    <w:p>
      <w:pPr>
        <w:numPr>
          <w:ilvl w:val="0"/>
          <w:numId w:val="1197"/>
        </w:numPr>
        <w:pStyle w:val="Compact"/>
      </w:pPr>
      <w:r>
        <w:rPr>
          <w:bCs/>
          <w:b/>
        </w:rPr>
        <w:t xml:space="preserve">USA:</w:t>
      </w:r>
      <w:r>
        <w:t xml:space="preserve"> </w:t>
      </w:r>
      <w:r>
        <w:t xml:space="preserve">nicht zugelassen. Die FDA strich Semax im April 2026 von ihrer „Kategorie-2“-Liste; der Beratungsausschuss PCAC stimmte im Juli 2026 mit 8 zu 5 Stimmen dafür, Semax in die Liste der Substanzen aufzunehmen, die Apotheken für Rezepturen verwenden dürfen. Die FDA-Fachleute hatten davon abgeraten; die Entscheidung der Behörde stand bei Redaktionsschluss aus (Stand Oktober 2026, bitte aktuell prüfen).</w:t>
      </w:r>
    </w:p>
    <w:p>
      <w:pPr>
        <w:numPr>
          <w:ilvl w:val="0"/>
          <w:numId w:val="1197"/>
        </w:numPr>
        <w:pStyle w:val="Compact"/>
      </w:pPr>
      <w:r>
        <w:rPr>
          <w:bCs/>
          <w:b/>
        </w:rPr>
        <w:t xml:space="preserve">Russland:</w:t>
      </w:r>
      <w:r>
        <w:t xml:space="preserve"> </w:t>
      </w:r>
      <w:r>
        <w:t xml:space="preserve">als Arzneimittel registriert und in Apotheken erhältlich.</w:t>
      </w:r>
    </w:p>
    <w:p>
      <w:pPr>
        <w:numPr>
          <w:ilvl w:val="0"/>
          <w:numId w:val="1197"/>
        </w:numPr>
        <w:pStyle w:val="Compact"/>
      </w:pPr>
      <w:r>
        <w:rPr>
          <w:bCs/>
          <w:b/>
        </w:rPr>
        <w:t xml:space="preserve">Sport:</w:t>
      </w:r>
      <w:r>
        <w:t xml:space="preserve"> </w:t>
      </w:r>
      <w:r>
        <w:t xml:space="preserve">nicht namentlich auf der WADA-Liste (Stand 2026, bitte aktuell prüfen).</w:t>
      </w:r>
    </w:p>
    <w:bookmarkEnd w:id="607"/>
    <w:bookmarkStart w:id="608" w:name="laufende-studien-und-ausblick-34"/>
    <w:p>
      <w:pPr>
        <w:pStyle w:val="Heading3"/>
      </w:pPr>
      <w:r>
        <w:t xml:space="preserve">Laufende Studien und Ausblick</w:t>
      </w:r>
    </w:p>
    <w:p>
      <w:pPr>
        <w:pStyle w:val="FirstParagraph"/>
      </w:pPr>
      <w:r>
        <w:rPr>
          <w:bCs/>
          <w:b/>
        </w:rPr>
        <w:t xml:space="preserve">Gesichert:</w:t>
      </w:r>
      <w:r>
        <w:t xml:space="preserve"> </w:t>
      </w:r>
      <w:r>
        <w:t xml:space="preserve">Auf ClinicalTrials.gov ist keine Studie mit Semax registriert (Abfrage Oktober 2026). Die Forschung in Russland konzentriert sich weiterhin auf Tiermodelle, etwa zur Genaktivität nach Schlaganfall und zu Alzheimer-Modellen.</w:t>
      </w:r>
    </w:p>
    <w:p>
      <w:pPr>
        <w:pStyle w:val="BodyText"/>
      </w:pPr>
      <w:r>
        <w:rPr>
          <w:bCs/>
          <w:b/>
        </w:rPr>
        <w:t xml:space="preserve">Einschätzung:</w:t>
      </w:r>
      <w:r>
        <w:t xml:space="preserve"> </w:t>
      </w:r>
      <w:r>
        <w:t xml:space="preserve">Ohne eine ausreichend große, verblindete, international registrierte Studie wird Semax außerhalb Russlands kaum eine Zulassung erreichen. Die Diskussion in den USA dreht sich um Apotheken-Rezepturen, nicht um einen Wirksamkeitsnachweis.</w:t>
      </w:r>
    </w:p>
    <w:bookmarkEnd w:id="608"/>
    <w:bookmarkStart w:id="609" w:name="fazit-34"/>
    <w:p>
      <w:pPr>
        <w:pStyle w:val="Heading3"/>
      </w:pPr>
      <w:r>
        <w:t xml:space="preserve">Fazit</w:t>
      </w:r>
    </w:p>
    <w:p>
      <w:pPr>
        <w:pStyle w:val="FirstParagraph"/>
      </w:pPr>
      <w:r>
        <w:t xml:space="preserve">Semax ist ein in Russland seit Jahrzehnten verwendetes Peptid aus einem ACTH-Bruchstück, das bei Ratten Nervenwachstumsfaktoren erhöhte. Die Studien am Menschen sind klein, meist nicht randomisiert und stammen fast ausschließlich aus dem Umfeld der Entwickler; beim Schlaganfall berichten sie über schnellere Erholung und höhere BDNF-Spiegel, ohne Effektgrößen auf internationalem Niveau. Für die Leistungssteigerung bei Gesunden gibt es keine aussagekräftigen Daten. Die Daten reichen nicht aus, um einen Nutzen oder die Langzeitsicherheit zu beurteilen.</w:t>
      </w:r>
    </w:p>
    <w:bookmarkEnd w:id="609"/>
    <w:bookmarkEnd w:id="610"/>
    <w:bookmarkStart w:id="621" w:name="selank"/>
    <w:p>
      <w:pPr>
        <w:pStyle w:val="Heading2"/>
      </w:pPr>
      <w:r>
        <w:t xml:space="preserve">Selank</w:t>
      </w:r>
    </w:p>
    <w:bookmarkStart w:id="611" w:name="steckbrief-35"/>
    <w:p>
      <w:pPr>
        <w:pStyle w:val="Heading3"/>
      </w:pPr>
      <w:r>
        <w:t xml:space="preserve">Steckbrief</w:t>
      </w:r>
    </w:p>
    <w:p>
      <w:pPr>
        <w:numPr>
          <w:ilvl w:val="0"/>
          <w:numId w:val="1198"/>
        </w:numPr>
        <w:pStyle w:val="Compact"/>
      </w:pPr>
      <w:r>
        <w:rPr>
          <w:bCs/>
          <w:b/>
        </w:rPr>
        <w:t xml:space="preserve">Art und Struktur:</w:t>
      </w:r>
      <w:r>
        <w:t xml:space="preserve"> </w:t>
      </w:r>
      <w:r>
        <w:t xml:space="preserve">synthetisches Heptapeptid (Thr-Lys-Pro-Arg-Pro-Gly-Pro). Die ersten vier Aminosäuren entsprechen Tuftsin, einem körpereigenen Peptid, das aus einem Antikörperbruchstück abgespalten wird und Immunzellen anregt; angehängt ist – wie bei Semax – die stabilisierende Sequenz Pro-Gly-Pro.</w:t>
      </w:r>
    </w:p>
    <w:p>
      <w:pPr>
        <w:numPr>
          <w:ilvl w:val="0"/>
          <w:numId w:val="1198"/>
        </w:numPr>
        <w:pStyle w:val="Compact"/>
      </w:pPr>
      <w:r>
        <w:rPr>
          <w:bCs/>
          <w:b/>
        </w:rPr>
        <w:t xml:space="preserve">Herkunft:</w:t>
      </w:r>
      <w:r>
        <w:t xml:space="preserve"> </w:t>
      </w:r>
      <w:r>
        <w:t xml:space="preserve">entwickelt in Moskau am Institut für Molekulargenetik und am Zakusov-Institut für Pharmakologie.</w:t>
      </w:r>
    </w:p>
    <w:p>
      <w:pPr>
        <w:numPr>
          <w:ilvl w:val="0"/>
          <w:numId w:val="1198"/>
        </w:numPr>
        <w:pStyle w:val="Compact"/>
      </w:pPr>
      <w:r>
        <w:rPr>
          <w:bCs/>
          <w:b/>
        </w:rPr>
        <w:t xml:space="preserve">Wirkprinzip:</w:t>
      </w:r>
      <w:r>
        <w:t xml:space="preserve"> </w:t>
      </w:r>
      <w:r>
        <w:t xml:space="preserve">soll angstlösend wirken, ohne wie Benzodiazepine müde oder abhängig zu machen. Diskutiert werden eine Hemmung des Abbaus körpereigener Enkephaline (schmerz- und stressdämpfende Botenstoffe), Einflüsse auf das GABA-System und auf Immunbotenstoffe. Verabreicht wird es als Nasentropfen.</w:t>
      </w:r>
    </w:p>
    <w:p>
      <w:pPr>
        <w:numPr>
          <w:ilvl w:val="0"/>
          <w:numId w:val="1198"/>
        </w:numPr>
        <w:pStyle w:val="Compact"/>
      </w:pPr>
      <w:r>
        <w:rPr>
          <w:bCs/>
          <w:b/>
        </w:rPr>
        <w:t xml:space="preserve">Zulassung EU:</w:t>
      </w:r>
      <w:r>
        <w:t xml:space="preserve"> </w:t>
      </w:r>
      <w:r>
        <w:t xml:space="preserve">nein.</w:t>
      </w:r>
    </w:p>
    <w:p>
      <w:pPr>
        <w:numPr>
          <w:ilvl w:val="0"/>
          <w:numId w:val="1198"/>
        </w:numPr>
        <w:pStyle w:val="Compact"/>
      </w:pPr>
      <w:r>
        <w:rPr>
          <w:bCs/>
          <w:b/>
        </w:rPr>
        <w:t xml:space="preserve">Zulassung USA:</w:t>
      </w:r>
      <w:r>
        <w:t xml:space="preserve"> </w:t>
      </w:r>
      <w:r>
        <w:t xml:space="preserve">nein. Selank stand 2023 auf der FDA-Liste „Kategorie 2“ für Apotheken-Rezepturen; der aktuelle Status ist uneinheitlich dokumentiert (Stand Oktober 2026, bitte aktuell prüfen).</w:t>
      </w:r>
    </w:p>
    <w:p>
      <w:pPr>
        <w:numPr>
          <w:ilvl w:val="0"/>
          <w:numId w:val="1198"/>
        </w:numPr>
        <w:pStyle w:val="Compact"/>
      </w:pPr>
      <w:r>
        <w:rPr>
          <w:bCs/>
          <w:b/>
        </w:rPr>
        <w:t xml:space="preserve">Russland:</w:t>
      </w:r>
      <w:r>
        <w:t xml:space="preserve"> </w:t>
      </w:r>
      <w:r>
        <w:t xml:space="preserve">als Arzneimittel (Angstlöser) registriert.</w:t>
      </w:r>
    </w:p>
    <w:p>
      <w:pPr>
        <w:numPr>
          <w:ilvl w:val="0"/>
          <w:numId w:val="1198"/>
        </w:numPr>
        <w:pStyle w:val="Compact"/>
      </w:pPr>
      <w:r>
        <w:rPr>
          <w:bCs/>
          <w:b/>
        </w:rPr>
        <w:t xml:space="preserve">WADA:</w:t>
      </w:r>
      <w:r>
        <w:t xml:space="preserve"> </w:t>
      </w:r>
      <w:r>
        <w:t xml:space="preserve">nicht namentlich gelistet (Stand 2026, bitte aktuell prüfen).</w:t>
      </w:r>
    </w:p>
    <w:p>
      <w:pPr>
        <w:numPr>
          <w:ilvl w:val="0"/>
          <w:numId w:val="1198"/>
        </w:numPr>
        <w:pStyle w:val="Compact"/>
      </w:pPr>
      <w:r>
        <w:rPr>
          <w:bCs/>
          <w:b/>
        </w:rPr>
        <w:t xml:space="preserve">Evidenzstufe:</w:t>
      </w:r>
      <w:r>
        <w:t xml:space="preserve"> </w:t>
      </w:r>
      <w:r>
        <w:rPr>
          <w:bCs/>
          <w:b/>
        </w:rPr>
        <w:t xml:space="preserve">C</w:t>
      </w:r>
      <w:r>
        <w:t xml:space="preserve"> </w:t>
      </w:r>
      <w:r>
        <w:t xml:space="preserve">– drei kleine Vergleichsstudien aus Russland, ohne Placebo-Kontrolle und ohne Registrierung.</w:t>
      </w:r>
    </w:p>
    <w:bookmarkEnd w:id="611"/>
    <w:bookmarkStart w:id="612" w:name="wie-es-wirken-soll-35"/>
    <w:p>
      <w:pPr>
        <w:pStyle w:val="Heading3"/>
      </w:pPr>
      <w:r>
        <w:t xml:space="preserve">Wie es wirken soll</w:t>
      </w:r>
    </w:p>
    <w:p>
      <w:pPr>
        <w:pStyle w:val="FirstParagraph"/>
      </w:pPr>
      <w:r>
        <w:t xml:space="preserve">Tuftsin ist ein kurzes Peptid, das Fresszellen des Immunsystems aktiviert. In Tierversuchen zeigte sich, dass Abwandlungen davon auch das Verhalten beeinflussen. Selank ist eine solche Abwandlung, die durch das angehängte Pro-Gly-Pro länger im Körper bleiben soll.</w:t>
      </w:r>
    </w:p>
    <w:p>
      <w:pPr>
        <w:pStyle w:val="BodyText"/>
      </w:pPr>
      <w:r>
        <w:t xml:space="preserve">Für den Mechanismus gibt es mehrere Hypothesen, die sich auf Labor- und Tierdaten stützen:</w:t>
      </w:r>
    </w:p>
    <w:p>
      <w:pPr>
        <w:numPr>
          <w:ilvl w:val="0"/>
          <w:numId w:val="1199"/>
        </w:numPr>
        <w:pStyle w:val="Compact"/>
      </w:pPr>
      <w:r>
        <w:rPr>
          <w:bCs/>
          <w:b/>
        </w:rPr>
        <w:t xml:space="preserve">Enkephaline:</w:t>
      </w:r>
      <w:r>
        <w:t xml:space="preserve"> </w:t>
      </w:r>
      <w:r>
        <w:t xml:space="preserve">Im Blutserum hemmte Selank im Reagenzglas Enzyme, die Enkephaline abbauen. Die Forschenden fanden zudem bei Menschen mit generalisierter Angststörung eine verkürzte Halbwertszeit von Enkephalinen im Blut und folgerten daraus, dass Selank über diesen Weg wirken könnte (Zozulya 2001, PMID 11550013).</w:t>
      </w:r>
    </w:p>
    <w:p>
      <w:pPr>
        <w:numPr>
          <w:ilvl w:val="0"/>
          <w:numId w:val="1199"/>
        </w:numPr>
        <w:pStyle w:val="Compact"/>
      </w:pPr>
      <w:r>
        <w:rPr>
          <w:bCs/>
          <w:b/>
        </w:rPr>
        <w:t xml:space="preserve">GABA-System:</w:t>
      </w:r>
      <w:r>
        <w:t xml:space="preserve"> </w:t>
      </w:r>
      <w:r>
        <w:t xml:space="preserve">Bei Ratten veränderte Selank eine Stunde nach der Gabe die Aktivität von 45 von 84 untersuchten Genen der Nervenübertragung in der Großhirnrinde, ähnlich wie der Botenstoff GABA selbst. Die Autoren vermuten eine Beeinflussung des GABA-Systems, an dem auch Benzodiazepine ansetzen (Volkova 2016, PMID 26924987).</w:t>
      </w:r>
    </w:p>
    <w:p>
      <w:pPr>
        <w:numPr>
          <w:ilvl w:val="0"/>
          <w:numId w:val="1199"/>
        </w:numPr>
        <w:pStyle w:val="Compact"/>
      </w:pPr>
      <w:r>
        <w:rPr>
          <w:bCs/>
          <w:b/>
        </w:rPr>
        <w:t xml:space="preserve">Immunsystem:</w:t>
      </w:r>
      <w:r>
        <w:t xml:space="preserve"> </w:t>
      </w:r>
      <w:r>
        <w:t xml:space="preserve">Bei Ratten und Mäusen beeinflusste Selank Entzündungsgene; in Zellkulturen und bei Mäusen zeigte es Effekte gegen Influenzaviren (Ershov 2009, PMID 19882898).</w:t>
      </w:r>
    </w:p>
    <w:p>
      <w:pPr>
        <w:pStyle w:val="FirstParagraph"/>
      </w:pPr>
      <w:r>
        <w:t xml:space="preserve">Wie viel Selank nach Gabe in die Nase beim Menschen tatsächlich ins Gehirn gelangt, ist nicht veröffentlicht.</w:t>
      </w:r>
    </w:p>
    <w:bookmarkEnd w:id="612"/>
    <w:bookmarkStart w:id="615" w:name="studien-am-menschen-35"/>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3 als Humanstudien klassifizierte Veröffentlichungen; insgesamt führt PubMed rund 70 Arbeiten mit „Selank“ in Titel oder Abstract, fast alle Tierversuche. Die Suche auf ClinicalTrials.gov ergab 2 Treffer – beide betreffen bei näherer Prüfung andere Verfahren (Hirnstimulation) und keine Selank-Studie. Es gibt also keine registrierte klinische Studie mit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Zozulia 2008, PMID 18454096</w:t>
            </w:r>
          </w:p>
        </w:tc>
        <w:tc>
          <w:tcPr/>
          <w:p>
            <w:pPr>
              <w:pStyle w:val="Compact"/>
              <w:jc w:val="left"/>
            </w:pPr>
            <w:r>
              <w:t xml:space="preserve">62 Personen mit generalisierter Angststörung oder Neurasthenie; Selank (30) gegen Medazepam (32)</w:t>
            </w:r>
          </w:p>
        </w:tc>
        <w:tc>
          <w:tcPr/>
          <w:p>
            <w:pPr>
              <w:pStyle w:val="Compact"/>
              <w:jc w:val="left"/>
            </w:pPr>
            <w:r>
              <w:t xml:space="preserve">nicht im Abstract</w:t>
            </w:r>
          </w:p>
        </w:tc>
        <w:tc>
          <w:tcPr/>
          <w:p>
            <w:pPr>
              <w:pStyle w:val="Compact"/>
              <w:jc w:val="left"/>
            </w:pPr>
            <w:r>
              <w:t xml:space="preserve">angstlösende Wirkung beider Mittel ähnlich; unter Selank zusätzlich „antriebssteigernd“</w:t>
            </w:r>
          </w:p>
        </w:tc>
      </w:tr>
      <w:tr>
        <w:tc>
          <w:tcPr/>
          <w:p>
            <w:pPr>
              <w:pStyle w:val="Compact"/>
              <w:jc w:val="left"/>
            </w:pPr>
            <w:r>
              <w:t xml:space="preserve">Medvedev 2014, PMID 25176261</w:t>
            </w:r>
          </w:p>
        </w:tc>
        <w:tc>
          <w:tcPr/>
          <w:p>
            <w:pPr>
              <w:pStyle w:val="Compact"/>
              <w:jc w:val="left"/>
            </w:pPr>
            <w:r>
              <w:t xml:space="preserve">60 Personen mit Angst- und somatoformen Störungen; Selank gegen Phenazepam</w:t>
            </w:r>
          </w:p>
        </w:tc>
        <w:tc>
          <w:tcPr/>
          <w:p>
            <w:pPr>
              <w:pStyle w:val="Compact"/>
              <w:jc w:val="left"/>
            </w:pPr>
            <w:r>
              <w:t xml:space="preserve">nicht im Abstract</w:t>
            </w:r>
          </w:p>
        </w:tc>
        <w:tc>
          <w:tcPr/>
          <w:p>
            <w:pPr>
              <w:pStyle w:val="Compact"/>
              <w:jc w:val="left"/>
            </w:pPr>
            <w:r>
              <w:t xml:space="preserve">laut Autoren deutliche angstlösende Wirkung, die eine Woche nach dem Absetzen anhielt</w:t>
            </w:r>
          </w:p>
        </w:tc>
      </w:tr>
      <w:tr>
        <w:tc>
          <w:tcPr/>
          <w:p>
            <w:pPr>
              <w:pStyle w:val="Compact"/>
              <w:jc w:val="left"/>
            </w:pPr>
            <w:r>
              <w:t xml:space="preserve">Medvedev 2015, PMID 26356395</w:t>
            </w:r>
          </w:p>
        </w:tc>
        <w:tc>
          <w:tcPr/>
          <w:p>
            <w:pPr>
              <w:pStyle w:val="Compact"/>
              <w:jc w:val="left"/>
            </w:pPr>
            <w:r>
              <w:t xml:space="preserve">70 Personen; Phenazepam allein (30) gegen Phenazepam plus Selank (40)</w:t>
            </w:r>
          </w:p>
        </w:tc>
        <w:tc>
          <w:tcPr/>
          <w:p>
            <w:pPr>
              <w:pStyle w:val="Compact"/>
              <w:jc w:val="left"/>
            </w:pPr>
            <w:r>
              <w:t xml:space="preserve">nicht im Abstract</w:t>
            </w:r>
          </w:p>
        </w:tc>
        <w:tc>
          <w:tcPr/>
          <w:p>
            <w:pPr>
              <w:pStyle w:val="Compact"/>
              <w:jc w:val="left"/>
            </w:pPr>
            <w:r>
              <w:t xml:space="preserve">schnellerer Wirkeintritt und weniger Phenazepam-Nebenwirkungen in der Kombinationsgruppe</w:t>
            </w:r>
          </w:p>
        </w:tc>
      </w:tr>
      <w:tr>
        <w:tc>
          <w:tcPr/>
          <w:p>
            <w:pPr>
              <w:pStyle w:val="Compact"/>
              <w:jc w:val="left"/>
            </w:pPr>
            <w:r>
              <w:t xml:space="preserve">Uchakina 2008, PMID 18577961</w:t>
            </w:r>
          </w:p>
        </w:tc>
        <w:tc>
          <w:tcPr/>
          <w:p>
            <w:pPr>
              <w:pStyle w:val="Compact"/>
              <w:jc w:val="left"/>
            </w:pPr>
            <w:r>
              <w:t xml:space="preserve">Personen mit Angststörung oder Neurasthenie</w:t>
            </w:r>
          </w:p>
        </w:tc>
        <w:tc>
          <w:tcPr/>
          <w:p>
            <w:pPr>
              <w:pStyle w:val="Compact"/>
              <w:jc w:val="left"/>
            </w:pPr>
            <w:r>
              <w:t xml:space="preserve">14 Tage</w:t>
            </w:r>
          </w:p>
        </w:tc>
        <w:tc>
          <w:tcPr/>
          <w:p>
            <w:pPr>
              <w:pStyle w:val="Compact"/>
              <w:jc w:val="left"/>
            </w:pPr>
            <w:r>
              <w:t xml:space="preserve">Verschiebungen im Gleichgewicht von Immunbotenstoffen im Blut</w:t>
            </w:r>
          </w:p>
        </w:tc>
      </w:tr>
      <w:tr>
        <w:tc>
          <w:tcPr/>
          <w:p>
            <w:pPr>
              <w:pStyle w:val="Compact"/>
              <w:jc w:val="left"/>
            </w:pPr>
            <w:r>
              <w:t xml:space="preserve">Panikratova 2020, PMID 32342318</w:t>
            </w:r>
          </w:p>
        </w:tc>
        <w:tc>
          <w:tcPr/>
          <w:p>
            <w:pPr>
              <w:pStyle w:val="Compact"/>
              <w:jc w:val="left"/>
            </w:pPr>
            <w:r>
              <w:t xml:space="preserve">52 Gesunde; Selank, Semax oder Placebo, einmalige Gabe</w:t>
            </w:r>
          </w:p>
        </w:tc>
        <w:tc>
          <w:tcPr/>
          <w:p>
            <w:pPr>
              <w:pStyle w:val="Compact"/>
              <w:jc w:val="left"/>
            </w:pPr>
            <w:r>
              <w:t xml:space="preserve">20 Minuten</w:t>
            </w:r>
          </w:p>
        </w:tc>
        <w:tc>
          <w:tcPr/>
          <w:p>
            <w:pPr>
              <w:pStyle w:val="Compact"/>
              <w:jc w:val="left"/>
            </w:pPr>
            <w:r>
              <w:t xml:space="preserve">veränderte funktionelle Verbindungen der Amygdala im MRT</w:t>
            </w:r>
          </w:p>
        </w:tc>
      </w:tr>
    </w:tbl>
    <w:bookmarkStart w:id="613" w:name="angststörungen"/>
    <w:p>
      <w:pPr>
        <w:pStyle w:val="Heading4"/>
      </w:pPr>
      <w:r>
        <w:t xml:space="preserve">Angststörungen</w:t>
      </w:r>
    </w:p>
    <w:p>
      <w:pPr>
        <w:pStyle w:val="FirstParagraph"/>
      </w:pPr>
      <w:r>
        <w:t xml:space="preserve">Alle drei klinischen Studien verglichen Selank mit Benzodiazepinen – Medazepam bzw. dem in Russland verbreiteten Phenazepam. In der ersten Studie mit 62 Personen war die angstlösende Wirkung von Selank und Medazepam auf Fragebogenskalen (Hamilton, Zung, CGI) ähnlich; Selank soll zusätzlich gegen Erschöpfung gewirkt haben. Die Forschenden maßen außerdem die Halbwertszeit des Botenstoffs Leu-Enkephalin im Blut, die unter Selank anstieg (Zozulia 2008, PMID 18454096). In einer zweiten Studie mit 60 Personen wird eine ausgeprägte angstlösende und eine leichte gedächtnisfördernde Wirkung beschrieben, die eine Woche über das Behandlungsende hinaus anhielt (Medvedev 2014, PMID 25176261).</w:t>
      </w:r>
    </w:p>
    <w:p>
      <w:pPr>
        <w:pStyle w:val="BodyText"/>
      </w:pPr>
      <w:r>
        <w:t xml:space="preserve">Die dritte Studie prüfte Selank als Zusatz: 40 Personen erhielten Phenazepam plus Selank, 30 nur Phenazepam. In der Kombinationsgruppe setzte die Wirkung nach den Autoren früher ein, und typische Benzodiazepin-Nebenwirkungen wie Aufmerksamkeits- und Gedächtnisstörungen, Müdigkeit und sexuelle Störungen waren seltener – auch nach dem Absetzen des Beruhigungsmittels (Medvedev 2015, PMID 26356395).</w:t>
      </w:r>
    </w:p>
    <w:p>
      <w:pPr>
        <w:pStyle w:val="BodyText"/>
      </w:pPr>
      <w:r>
        <w:t xml:space="preserve">Diese Ergebnisse klingen ermutigend, haben aber deutliche Grenzen:</w:t>
      </w:r>
    </w:p>
    <w:p>
      <w:pPr>
        <w:numPr>
          <w:ilvl w:val="0"/>
          <w:numId w:val="1200"/>
        </w:numPr>
        <w:pStyle w:val="Compact"/>
      </w:pPr>
      <w:r>
        <w:rPr>
          <w:bCs/>
          <w:b/>
        </w:rPr>
        <w:t xml:space="preserve">Kein Placebo:</w:t>
      </w:r>
      <w:r>
        <w:t xml:space="preserve"> </w:t>
      </w:r>
      <w:r>
        <w:t xml:space="preserve">Bei Angststörungen bessern sich die Beschwerden auch unter Scheinmedikamenten oft erheblich. Ohne Placebogruppe lässt sich nicht sagen, welcher Anteil auf Selank entfällt.</w:t>
      </w:r>
    </w:p>
    <w:p>
      <w:pPr>
        <w:numPr>
          <w:ilvl w:val="0"/>
          <w:numId w:val="1200"/>
        </w:numPr>
        <w:pStyle w:val="Compact"/>
      </w:pPr>
      <w:r>
        <w:rPr>
          <w:bCs/>
          <w:b/>
        </w:rPr>
        <w:t xml:space="preserve">„Ähnlich wirksam“ ist kein Nachweis:</w:t>
      </w:r>
      <w:r>
        <w:t xml:space="preserve"> </w:t>
      </w:r>
      <w:r>
        <w:t xml:space="preserve">Ein Gleichwertigkeitsnachweis braucht vorab festgelegte Grenzen und ausreichend viele Teilnehmende. Beides ist in den Abstracts nicht erkennbar.</w:t>
      </w:r>
    </w:p>
    <w:p>
      <w:pPr>
        <w:numPr>
          <w:ilvl w:val="0"/>
          <w:numId w:val="1200"/>
        </w:numPr>
        <w:pStyle w:val="Compact"/>
      </w:pPr>
      <w:r>
        <w:rPr>
          <w:bCs/>
          <w:b/>
        </w:rPr>
        <w:t xml:space="preserve">Kurze Beobachtung, kleine Gruppen, keine Registrierung:</w:t>
      </w:r>
      <w:r>
        <w:t xml:space="preserve"> </w:t>
      </w:r>
      <w:r>
        <w:t xml:space="preserve">Alle Studien stammen aus russischen Zentren, sind nicht in einem öffentlichen Register vorab angemeldet und wurden in russischsprachigen Fachzeitschriften veröffentlicht.</w:t>
      </w:r>
    </w:p>
    <w:bookmarkEnd w:id="613"/>
    <w:bookmarkStart w:id="614" w:name="immunsystem-und-gesunde"/>
    <w:p>
      <w:pPr>
        <w:pStyle w:val="Heading4"/>
      </w:pPr>
      <w:r>
        <w:t xml:space="preserve">Immunsystem und Gesunde</w:t>
      </w:r>
    </w:p>
    <w:p>
      <w:pPr>
        <w:pStyle w:val="FirstParagraph"/>
      </w:pPr>
      <w:r>
        <w:t xml:space="preserve">Eine Arbeit beschreibt bei Personen mit Angst- und Erschöpfungszuständen nach 14 Tagen Selank Veränderungen bei Immunbotenstoffen (Th1/Th2-Gleichgewicht) im Blut; im Reagenzglas unterdrückte Selank die Bildung des Entzündungsbotenstoffs IL-6 in Blutzellen von Menschen mit Depression (Uchakina 2008, PMID 18577961). Ob das klinisch bedeutsam ist, wurde nicht untersucht. Bei Gesunden zeigte eine kleine Bildgebungsstudie nach einmaliger Gabe veränderte Verbindungen zwischen der Amygdala, einer für Angst wichtigen Hirnregion, und Teilen des Schläfenlappens (Panikratova 2020, PMID 32342318). Studien zu Konzentration oder Leistung bei Gesunden – dem Hauptversprechen im Internet – gibt es nicht.</w:t>
      </w:r>
    </w:p>
    <w:bookmarkEnd w:id="614"/>
    <w:bookmarkEnd w:id="615"/>
    <w:bookmarkStart w:id="616" w:name="tier--und-laborstudien-35"/>
    <w:p>
      <w:pPr>
        <w:pStyle w:val="Heading3"/>
      </w:pPr>
      <w:r>
        <w:t xml:space="preserve">Tier- und Laborstudien</w:t>
      </w:r>
    </w:p>
    <w:p>
      <w:pPr>
        <w:numPr>
          <w:ilvl w:val="0"/>
          <w:numId w:val="1201"/>
        </w:numPr>
        <w:pStyle w:val="Compact"/>
      </w:pPr>
      <w:r>
        <w:t xml:space="preserve">Bei Ratten mit 30 Wochen Alkoholkonsum verhinderte Selank Gedächtnis- und Aufmerksamkeitsstörungen im Entzug und beeinflusste den BDNF-Gehalt in Hippocampus und Stirnhirn (Kolik 2019, PMID 31625062).</w:t>
      </w:r>
    </w:p>
    <w:p>
      <w:pPr>
        <w:numPr>
          <w:ilvl w:val="0"/>
          <w:numId w:val="1201"/>
        </w:numPr>
        <w:pStyle w:val="Compact"/>
      </w:pPr>
      <w:r>
        <w:t xml:space="preserve">Bei Ratten veränderte Selank die Aktivität zahlreicher Gene des GABA-Systems (Volkova 2016, PMID 26924987).</w:t>
      </w:r>
    </w:p>
    <w:p>
      <w:pPr>
        <w:numPr>
          <w:ilvl w:val="0"/>
          <w:numId w:val="1201"/>
        </w:numPr>
        <w:pStyle w:val="Compact"/>
      </w:pPr>
      <w:r>
        <w:t xml:space="preserve">In Zellkulturen und bei Mäusen hemmte Selank Influenzaviren, am stärksten, wenn es vor der Infektion gegeben wurde (Ershov 2009, PMID 19882898).</w:t>
      </w:r>
    </w:p>
    <w:p>
      <w:pPr>
        <w:numPr>
          <w:ilvl w:val="0"/>
          <w:numId w:val="1201"/>
        </w:numPr>
        <w:pStyle w:val="Compact"/>
      </w:pPr>
      <w:r>
        <w:t xml:space="preserve">In weiteren Arbeiten aus denselben Arbeitsgruppen werden Effekte bei Stress, Morphin- und Alkoholentzug und in Parkinson-Modellen bei Nagetieren beschrieben.</w:t>
      </w:r>
    </w:p>
    <w:p>
      <w:pPr>
        <w:pStyle w:val="FirstParagraph"/>
      </w:pPr>
      <w:r>
        <w:t xml:space="preserve">Diese Befunde sind Tier- und Laborbefunde und stammen weitgehend aus einem kleinen Kreis von Forschungsgruppen.</w:t>
      </w:r>
    </w:p>
    <w:bookmarkEnd w:id="616"/>
    <w:bookmarkStart w:id="617" w:name="risiken-und-nebenwirkungen-35"/>
    <w:p>
      <w:pPr>
        <w:pStyle w:val="Heading3"/>
      </w:pPr>
      <w:r>
        <w:t xml:space="preserve">Risiken und Nebenwirkungen</w:t>
      </w:r>
    </w:p>
    <w:p>
      <w:pPr>
        <w:pStyle w:val="FirstParagraph"/>
      </w:pPr>
      <w:r>
        <w:rPr>
          <w:bCs/>
          <w:b/>
        </w:rPr>
        <w:t xml:space="preserve">Belegt:</w:t>
      </w:r>
      <w:r>
        <w:t xml:space="preserve"> </w:t>
      </w:r>
      <w:r>
        <w:t xml:space="preserve">In den kleinen russischen Studien wird Selank als gut verträglich beschrieben; systematisch erfasste Nebenwirkungsraten nennen die Abstracts nicht. Langzeitdaten und Daten zu Abhängigkeit oder Absetzerscheinungen fehlen.</w:t>
      </w:r>
    </w:p>
    <w:p>
      <w:pPr>
        <w:pStyle w:val="BodyText"/>
      </w:pPr>
      <w:r>
        <w:rPr>
          <w:bCs/>
          <w:b/>
        </w:rPr>
        <w:t xml:space="preserve">Theoretisch:</w:t>
      </w:r>
      <w:r>
        <w:t xml:space="preserve"> </w:t>
      </w:r>
      <w:r>
        <w:t xml:space="preserve">Selank soll auf Immun-, Enkephalin- und GABA-System wirken. Wechselwirkungen mit Beruhigungsmitteln, Alkohol oder Antidepressiva sind nicht untersucht; die russische Kombinationsstudie zeigt immerhin, dass Selank zusammen mit Benzodiazepinen eingesetzt wird. Für Schwangerschaft, Stillzeit und Kinder liegen keine Daten vor.</w:t>
      </w:r>
    </w:p>
    <w:p>
      <w:pPr>
        <w:pStyle w:val="BodyText"/>
      </w:pPr>
      <w:r>
        <w:rPr>
          <w:bCs/>
          <w:b/>
        </w:rPr>
        <w:t xml:space="preserve">Graumarkt:</w:t>
      </w:r>
      <w:r>
        <w:t xml:space="preserve"> </w:t>
      </w:r>
      <w:r>
        <w:t xml:space="preserve">Außerhalb Russlands wird Selank als „Research Peptide“ als Pulver zur Injektion oder als Nasenspray verkauft. Ein belgisches Kontrolllabor fand Selank in beschlagnahmten unbekannten Präparaten (Vanhee 2020, PMID 31667971). Die Injektion ist kein in Studien geprüfter Anwendungsweg; Reinheit und Gehalt solcher Produkte sind ungeprüft.</w:t>
      </w:r>
    </w:p>
    <w:p>
      <w:pPr>
        <w:pStyle w:val="BodyText"/>
      </w:pPr>
      <w:r>
        <w:rPr>
          <w:bCs/>
          <w:b/>
        </w:rPr>
        <w:t xml:space="preserve">Wichtig:</w:t>
      </w:r>
      <w:r>
        <w:t xml:space="preserve"> </w:t>
      </w:r>
      <w:r>
        <w:t xml:space="preserve">Angststörungen sind gut behandelbar – mit Psychotherapie und mit zugelassenen Medikamenten, deren Wirkung in großen placebokontrollierten Studien belegt ist. Ein Graumarkt-Peptid ist dafür kein Ersatz.</w:t>
      </w:r>
    </w:p>
    <w:bookmarkEnd w:id="617"/>
    <w:bookmarkStart w:id="618" w:name="rechtslage-35"/>
    <w:p>
      <w:pPr>
        <w:pStyle w:val="Heading3"/>
      </w:pPr>
      <w:r>
        <w:t xml:space="preserve">Rechtslage</w:t>
      </w:r>
    </w:p>
    <w:p>
      <w:pPr>
        <w:numPr>
          <w:ilvl w:val="0"/>
          <w:numId w:val="1202"/>
        </w:numPr>
        <w:pStyle w:val="Compact"/>
      </w:pPr>
      <w:r>
        <w:rPr>
          <w:bCs/>
          <w:b/>
        </w:rPr>
        <w:t xml:space="preserve">EU / Österreich / Deutschland:</w:t>
      </w:r>
      <w:r>
        <w:t xml:space="preserve"> </w:t>
      </w:r>
      <w:r>
        <w:t xml:space="preserve">nicht zugelassen; als Stoff mit pharmakologischer Wirkung gilt Selank als Arzneimittel, ein Inverkehrbringen ohne Zulassung ist nicht erlaubt (Stand 2026, bitte aktuell prüfen).</w:t>
      </w:r>
    </w:p>
    <w:p>
      <w:pPr>
        <w:numPr>
          <w:ilvl w:val="0"/>
          <w:numId w:val="1202"/>
        </w:numPr>
        <w:pStyle w:val="Compact"/>
      </w:pPr>
      <w:r>
        <w:rPr>
          <w:bCs/>
          <w:b/>
        </w:rPr>
        <w:t xml:space="preserve">USA:</w:t>
      </w:r>
      <w:r>
        <w:t xml:space="preserve"> </w:t>
      </w:r>
      <w:r>
        <w:t xml:space="preserve">nicht zugelassen. Selank wurde 2023 in die FDA-„Kategorie 2“ für Rezeptursubstanzen mit Sicherheitsbedenken aufgenommen; später wurde die Nominierung nach Berichten zurückgezogen. Selank gehörte nicht zu den Peptiden, die der Beratungsausschuss PCAC im Juli 2026 bewertete. Eine Erlaubnis für Apotheken-Rezepturen besteht nach derzeitigem Kenntnisstand nicht (Stand Oktober 2026, bitte aktuell prüfen).</w:t>
      </w:r>
    </w:p>
    <w:p>
      <w:pPr>
        <w:numPr>
          <w:ilvl w:val="0"/>
          <w:numId w:val="1202"/>
        </w:numPr>
        <w:pStyle w:val="Compact"/>
      </w:pPr>
      <w:r>
        <w:rPr>
          <w:bCs/>
          <w:b/>
        </w:rPr>
        <w:t xml:space="preserve">Russland:</w:t>
      </w:r>
      <w:r>
        <w:t xml:space="preserve"> </w:t>
      </w:r>
      <w:r>
        <w:t xml:space="preserve">als Arzneimittel registriert.</w:t>
      </w:r>
    </w:p>
    <w:p>
      <w:pPr>
        <w:numPr>
          <w:ilvl w:val="0"/>
          <w:numId w:val="1202"/>
        </w:numPr>
        <w:pStyle w:val="Compact"/>
      </w:pPr>
      <w:r>
        <w:rPr>
          <w:bCs/>
          <w:b/>
        </w:rPr>
        <w:t xml:space="preserve">Sport:</w:t>
      </w:r>
      <w:r>
        <w:t xml:space="preserve"> </w:t>
      </w:r>
      <w:r>
        <w:t xml:space="preserve">nicht namentlich auf der WADA-Liste (Stand 2026, bitte aktuell prüfen).</w:t>
      </w:r>
    </w:p>
    <w:bookmarkEnd w:id="618"/>
    <w:bookmarkStart w:id="619" w:name="laufende-studien-und-ausblick-35"/>
    <w:p>
      <w:pPr>
        <w:pStyle w:val="Heading3"/>
      </w:pPr>
      <w:r>
        <w:t xml:space="preserve">Laufende Studien und Ausblick</w:t>
      </w:r>
    </w:p>
    <w:p>
      <w:pPr>
        <w:pStyle w:val="FirstParagraph"/>
      </w:pPr>
      <w:r>
        <w:rPr>
          <w:bCs/>
          <w:b/>
        </w:rPr>
        <w:t xml:space="preserve">Gesichert:</w:t>
      </w:r>
      <w:r>
        <w:t xml:space="preserve"> </w:t>
      </w:r>
      <w:r>
        <w:t xml:space="preserve">Auf ClinicalTrials.gov ist keine Studie mit Selank registriert (Abfrage Oktober 2026).</w:t>
      </w:r>
    </w:p>
    <w:p>
      <w:pPr>
        <w:pStyle w:val="BodyText"/>
      </w:pPr>
      <w:r>
        <w:rPr>
          <w:bCs/>
          <w:b/>
        </w:rPr>
        <w:t xml:space="preserve">Einschätzung:</w:t>
      </w:r>
      <w:r>
        <w:t xml:space="preserve"> </w:t>
      </w:r>
      <w:r>
        <w:t xml:space="preserve">Selank ist ein Beispiel für ein Peptid, das in Russland in die Versorgung kam, ohne die Studienanforderungen zu erfüllen, die in der EU oder den USA gelten. Eine Zulassung außerhalb Russlands würde mindestens eine größere placebokontrollierte Studie bei Angststörungen voraussetzen; Hinweise darauf gibt es nicht.</w:t>
      </w:r>
    </w:p>
    <w:bookmarkEnd w:id="619"/>
    <w:bookmarkStart w:id="620" w:name="fazit-35"/>
    <w:p>
      <w:pPr>
        <w:pStyle w:val="Heading3"/>
      </w:pPr>
      <w:r>
        <w:t xml:space="preserve">Fazit</w:t>
      </w:r>
    </w:p>
    <w:p>
      <w:pPr>
        <w:pStyle w:val="FirstParagraph"/>
      </w:pPr>
      <w:r>
        <w:t xml:space="preserve">Selank ist ein von Tuftsin abgeleitetes Peptid, das in Russland als Angstlöser registriert ist. Drei kleine russische Studien beschreiben eine angstlösende Wirkung ähnlich der von Benzodiazepinen, aber keine davon hatte eine Placebogruppe oder war vorab registriert. Mechanismus-Hypothesen zu Enkephalinen, GABA und Immunsystem beruhen auf Labor- und Tierdaten. Die Daten reichen nicht aus, um Wirksamkeit und Sicherheit nach heutigen Maßstäben zu beurteilen.</w:t>
      </w:r>
    </w:p>
    <w:bookmarkEnd w:id="620"/>
    <w:bookmarkEnd w:id="621"/>
    <w:bookmarkStart w:id="638" w:name="cerebrolysin"/>
    <w:p>
      <w:pPr>
        <w:pStyle w:val="Heading2"/>
      </w:pPr>
      <w:r>
        <w:t xml:space="preserve">Cerebrolysin</w:t>
      </w:r>
    </w:p>
    <w:bookmarkStart w:id="622" w:name="steckbrief-36"/>
    <w:p>
      <w:pPr>
        <w:pStyle w:val="Heading3"/>
      </w:pPr>
      <w:r>
        <w:t xml:space="preserve">Steckbrief</w:t>
      </w:r>
    </w:p>
    <w:p>
      <w:pPr>
        <w:numPr>
          <w:ilvl w:val="0"/>
          <w:numId w:val="1203"/>
        </w:numPr>
        <w:pStyle w:val="Compact"/>
      </w:pPr>
      <w:r>
        <w:rPr>
          <w:bCs/>
          <w:b/>
        </w:rPr>
        <w:t xml:space="preserve">Art und Struktur:</w:t>
      </w:r>
      <w:r>
        <w:t xml:space="preserve"> </w:t>
      </w:r>
      <w:r>
        <w:t xml:space="preserve">kein einzelnes Peptid, sondern ein Gemisch aus kurzen Peptiden und freien Aminosäuren. Es wird durch enzymatische Spaltung gereinigter Eiweiße aus Schweinehirn gewonnen. Die genaue Zusammensetzung ist nicht vollständig beschrieben; der Hersteller standardisiert das Präparat über sein Herstellverfahren und biologische Tests.</w:t>
      </w:r>
    </w:p>
    <w:p>
      <w:pPr>
        <w:numPr>
          <w:ilvl w:val="0"/>
          <w:numId w:val="1203"/>
        </w:numPr>
        <w:pStyle w:val="Compact"/>
      </w:pPr>
      <w:r>
        <w:rPr>
          <w:bCs/>
          <w:b/>
        </w:rPr>
        <w:t xml:space="preserve">Herkunft:</w:t>
      </w:r>
      <w:r>
        <w:t xml:space="preserve"> </w:t>
      </w:r>
      <w:r>
        <w:t xml:space="preserve">seit Jahrzehnten von einem österreichischen Unternehmen hergestellt (heute EVER Neuro Pharma, Unterach am Attersee).</w:t>
      </w:r>
    </w:p>
    <w:p>
      <w:pPr>
        <w:numPr>
          <w:ilvl w:val="0"/>
          <w:numId w:val="1203"/>
        </w:numPr>
        <w:pStyle w:val="Compact"/>
      </w:pPr>
      <w:r>
        <w:rPr>
          <w:bCs/>
          <w:b/>
        </w:rPr>
        <w:t xml:space="preserve">Wirkprinzip:</w:t>
      </w:r>
      <w:r>
        <w:t xml:space="preserve"> </w:t>
      </w:r>
      <w:r>
        <w:t xml:space="preserve">soll Wirkungen körpereigener Nervenwachstumsfaktoren nachahmen – Nervenzellen schützen (Neuroprotektion) und Reparatur- und Umbauprozesse fördern (Neuroregeneration). Verabreicht wird es als Infusion oder Injektion in die Vene, meist in Kursen über 10 bis 21 Tage.</w:t>
      </w:r>
    </w:p>
    <w:p>
      <w:pPr>
        <w:numPr>
          <w:ilvl w:val="0"/>
          <w:numId w:val="1203"/>
        </w:numPr>
        <w:pStyle w:val="Compact"/>
      </w:pPr>
      <w:r>
        <w:rPr>
          <w:bCs/>
          <w:b/>
        </w:rPr>
        <w:t xml:space="preserve">Zulassung EU:</w:t>
      </w:r>
      <w:r>
        <w:t xml:space="preserve"> </w:t>
      </w:r>
      <w:r>
        <w:t xml:space="preserve">keine zentrale EU-Zulassung. National zugelassen in Österreich und einer Reihe weiterer, vor allem mittel- und osteuropäischer Staaten (je nach Land für Schlaganfall, Schädel-Hirn-Trauma und Demenz). In Deutschland ist es nach unserem Kenntnisstand nicht im Handel (Stand 2026, bitte aktuell prüfen).</w:t>
      </w:r>
    </w:p>
    <w:p>
      <w:pPr>
        <w:numPr>
          <w:ilvl w:val="0"/>
          <w:numId w:val="1203"/>
        </w:numPr>
        <w:pStyle w:val="Compact"/>
      </w:pPr>
      <w:r>
        <w:rPr>
          <w:bCs/>
          <w:b/>
        </w:rPr>
        <w:t xml:space="preserve">Zulassung USA:</w:t>
      </w:r>
      <w:r>
        <w:t xml:space="preserve"> </w:t>
      </w:r>
      <w:r>
        <w:t xml:space="preserve">nein.</w:t>
      </w:r>
    </w:p>
    <w:p>
      <w:pPr>
        <w:numPr>
          <w:ilvl w:val="0"/>
          <w:numId w:val="1203"/>
        </w:numPr>
        <w:pStyle w:val="Compact"/>
      </w:pPr>
      <w:r>
        <w:rPr>
          <w:bCs/>
          <w:b/>
        </w:rPr>
        <w:t xml:space="preserve">Weitere Länder:</w:t>
      </w:r>
      <w:r>
        <w:t xml:space="preserve"> </w:t>
      </w:r>
      <w:r>
        <w:t xml:space="preserve">breit verwendet in Russland, anderen Nachfolgestaaten der Sowjetunion, China und weiteren asiatischen Ländern.</w:t>
      </w:r>
    </w:p>
    <w:p>
      <w:pPr>
        <w:numPr>
          <w:ilvl w:val="0"/>
          <w:numId w:val="1203"/>
        </w:numPr>
        <w:pStyle w:val="Compact"/>
      </w:pPr>
      <w:r>
        <w:rPr>
          <w:bCs/>
          <w:b/>
        </w:rPr>
        <w:t xml:space="preserve">WADA:</w:t>
      </w:r>
      <w:r>
        <w:t xml:space="preserve"> </w:t>
      </w:r>
      <w:r>
        <w:t xml:space="preserve">nicht gelistet (Stand 2026, bitte aktuell prüfen).</w:t>
      </w:r>
    </w:p>
    <w:p>
      <w:pPr>
        <w:numPr>
          <w:ilvl w:val="0"/>
          <w:numId w:val="1203"/>
        </w:numPr>
        <w:pStyle w:val="Compact"/>
      </w:pPr>
      <w:r>
        <w:rPr>
          <w:bCs/>
          <w:b/>
        </w:rPr>
        <w:t xml:space="preserve">Evidenzstufe:</w:t>
      </w:r>
      <w:r>
        <w:t xml:space="preserve"> </w:t>
      </w:r>
      <w:r>
        <w:rPr>
          <w:bCs/>
          <w:b/>
        </w:rPr>
        <w:t xml:space="preserve">B</w:t>
      </w:r>
      <w:r>
        <w:t xml:space="preserve"> </w:t>
      </w:r>
      <w:r>
        <w:t xml:space="preserve">– zahlreiche randomisierte, placebokontrollierte Studien, darunter eine große mit über 1.000 Teilnehmenden; die Ergebnisse sind aber uneinheitlich, und die beiden großen unabhängigen Cochrane-Übersichten kommen zu zurückhaltenden Bewertungen.</w:t>
      </w:r>
    </w:p>
    <w:bookmarkEnd w:id="622"/>
    <w:bookmarkStart w:id="623" w:name="wie-es-wirken-soll-36"/>
    <w:p>
      <w:pPr>
        <w:pStyle w:val="Heading3"/>
      </w:pPr>
      <w:r>
        <w:t xml:space="preserve">Wie es wirken soll</w:t>
      </w:r>
    </w:p>
    <w:p>
      <w:pPr>
        <w:pStyle w:val="FirstParagraph"/>
      </w:pPr>
      <w:r>
        <w:t xml:space="preserve">Nervenwachstumsfaktoren wie BDNF, NGF oder CNTF sind Eiweiße, die Nervenzellen am Leben halten, das Aussprossen neuer Verbindungen anregen und die Neubildung von Nervenzellen in bestimmten Hirnregionen fördern. Als Medikamente sind sie schwierig: Sie sind groß, gelangen kaum über die Blut-Hirn-Schranke und wirken an vielen Stellen gleichzeitig.</w:t>
      </w:r>
    </w:p>
    <w:p>
      <w:pPr>
        <w:pStyle w:val="BodyText"/>
      </w:pPr>
      <w:r>
        <w:t xml:space="preserve">Cerebrolysin verfolgt einen anderen Ansatz. Aus Schweinehirn-Eiweißen entsteht durch kontrollierte Spaltung ein Gemisch kleiner Bruchstücke. Der Hersteller und mit ihm verbundene Forschende gehen davon aus, dass einige dieser Bruchstücke ähnliche Signale auslösen wie die körpereigenen Wachstumsfaktoren. Man spricht deshalb von einem „multimodalen“ Wirkstoff – also einem, der viele Wege gleichzeitig beeinflussen soll.</w:t>
      </w:r>
    </w:p>
    <w:p>
      <w:pPr>
        <w:pStyle w:val="BodyText"/>
      </w:pPr>
      <w:r>
        <w:t xml:space="preserve">Für Leserinnen und Leser bedeutet das zweierlei: Erstens ist der Mechanismus vor allem aus Tier- und Zellversuchen abgeleitet. Zweitens ist bei einem Gemisch schwer zu sagen, welcher Bestandteil wofür verantwortlich ist und wie viel davon tatsächlich ins Gehirn gelangt.</w:t>
      </w:r>
    </w:p>
    <w:bookmarkEnd w:id="623"/>
    <w:bookmarkStart w:id="632" w:name="studien-am-menschen-36"/>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88 als Humanstudien klassifizierte Veröffentlichungen, dazu 15 Meta-Analysen und systematische Übersichten (darunter acht Fassungen von Cochrane-Reviews). Auf ClinicalTrials.gov waren 43 Studien registriert, die meisten zu Schlaganfall, einige zu Schädel-Hirn-Trauma, Demenz, Hirnblutung, Delir und – während der Pandemie – zum Geruchsverlust nach COVID-19. Ein großer Teil der Studien wurde vom Hersteller finanziert oder unterstützt; viele kleinere Arbeiten stammen aus Russland, Rumänien, China und dem Iran.</w:t>
      </w:r>
    </w:p>
    <w:p>
      <w:pPr>
        <w:pStyle w:val="BodyText"/>
      </w:pPr>
      <w:r>
        <w:t xml:space="preserve">Ein Wort zur Statistik, die in vielen Cerebrolysin-Studien verwendet wird: Statt eines einzigen Hauptendpunkts prüfen sie oft eine Kombination mehrerer Skalen mit einem sogenannten Mann-Whitney-Schätzer (MW). Er gibt die Wahrscheinlichkeit an, dass eine zufällig gewählte Person aus der Cerebrolysin-Gruppe besser abschneidet als eine aus der Placebogruppe. Ein MW von 0,50 bedeutet keinen Unterschied; Werte um 0,56 gelten als kleiner, um 0,64 als mittlerer und ab 0,71 als großer Vorteil. Diese Methode ist zulässig, macht die Ergebnisse aber schwerer mit anderen Schlaganfallstudien vergleichbar, die meist den Anteil der Personen ohne bleibende Behinderung angeben.</w:t>
      </w:r>
    </w:p>
    <w:bookmarkStart w:id="624" w:name="akuter-ischämischer-schlaganfall"/>
    <w:p>
      <w:pPr>
        <w:pStyle w:val="Heading4"/>
      </w:pPr>
      <w:r>
        <w:t xml:space="preserve">Akuter ischämischer Schlaganfall</w:t>
      </w:r>
    </w:p>
    <w:p>
      <w:pPr>
        <w:pStyle w:val="FirstParagraph"/>
      </w:pPr>
      <w:r>
        <w:t xml:space="preserve">Beim ischämischen Schlaganfall verschließt ein Gerinnsel ein Hirngefäß. Etablierte Behandlungen sind die Auflösung des Gerinnsels mit Medikamenten (Thrombolyse) und die Entfernung mit einem Katheter (Thrombektomie). „Neuroprotektive“ Zusatzmittel sollen das umliegende Gewebe schützen – ein Ansatz, an dem weltweit Dutzende Wirkstoffe in großen Studien gescheitert sind.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Ladurner 2005, PMID 15583955</w:t>
            </w:r>
          </w:p>
        </w:tc>
        <w:tc>
          <w:tcPr/>
          <w:p>
            <w:pPr>
              <w:pStyle w:val="Compact"/>
              <w:jc w:val="left"/>
            </w:pPr>
            <w:r>
              <w:t xml:space="preserve">146 Personen, RCT gegen Placebo, Beginn innerhalb 24 h</w:t>
            </w:r>
          </w:p>
        </w:tc>
        <w:tc>
          <w:tcPr/>
          <w:p>
            <w:pPr>
              <w:pStyle w:val="Compact"/>
              <w:jc w:val="left"/>
            </w:pPr>
            <w:r>
              <w:t xml:space="preserve">90 Tage</w:t>
            </w:r>
          </w:p>
        </w:tc>
        <w:tc>
          <w:tcPr/>
          <w:p>
            <w:pPr>
              <w:pStyle w:val="Compact"/>
              <w:jc w:val="left"/>
            </w:pPr>
            <w:r>
              <w:t xml:space="preserve">keine Verbesserung bei neurologischer Skala, Barthel-Index und Gesamteindruck; ein Kognitionstest besser</w:t>
            </w:r>
          </w:p>
        </w:tc>
      </w:tr>
      <w:tr>
        <w:tc>
          <w:tcPr/>
          <w:p>
            <w:pPr>
              <w:pStyle w:val="Compact"/>
              <w:jc w:val="left"/>
            </w:pPr>
            <w:r>
              <w:t xml:space="preserve">CASTA (Heiss 2012), PMID 22282884</w:t>
            </w:r>
          </w:p>
        </w:tc>
        <w:tc>
          <w:tcPr/>
          <w:p>
            <w:pPr>
              <w:pStyle w:val="Compact"/>
              <w:jc w:val="left"/>
            </w:pPr>
            <w:r>
              <w:t xml:space="preserve">1.070 Personen in Asien, doppelblind gegen Placebo, Beginn innerhalb 12 h</w:t>
            </w:r>
          </w:p>
        </w:tc>
        <w:tc>
          <w:tcPr/>
          <w:p>
            <w:pPr>
              <w:pStyle w:val="Compact"/>
              <w:jc w:val="left"/>
            </w:pPr>
            <w:r>
              <w:t xml:space="preserve">90 Tage</w:t>
            </w:r>
          </w:p>
        </w:tc>
        <w:tc>
          <w:tcPr/>
          <w:p>
            <w:pPr>
              <w:pStyle w:val="Compact"/>
              <w:jc w:val="left"/>
            </w:pPr>
            <w:r>
              <w:t xml:space="preserve">Hauptendpunkt neutral; nachträgliche Untergruppe schwer Betroffener mit Trend zugunsten Cerebrolysin</w:t>
            </w:r>
          </w:p>
        </w:tc>
      </w:tr>
      <w:tr>
        <w:tc>
          <w:tcPr/>
          <w:p>
            <w:pPr>
              <w:pStyle w:val="Compact"/>
              <w:jc w:val="left"/>
            </w:pPr>
            <w:r>
              <w:t xml:space="preserve">Lang 2013, PMID 23009193</w:t>
            </w:r>
          </w:p>
        </w:tc>
        <w:tc>
          <w:tcPr/>
          <w:p>
            <w:pPr>
              <w:pStyle w:val="Compact"/>
              <w:jc w:val="left"/>
            </w:pPr>
            <w:r>
              <w:t xml:space="preserve">119 Personen, zusätzlich zur Thrombolyse, doppelblind</w:t>
            </w:r>
          </w:p>
        </w:tc>
        <w:tc>
          <w:tcPr/>
          <w:p>
            <w:pPr>
              <w:pStyle w:val="Compact"/>
              <w:jc w:val="left"/>
            </w:pPr>
            <w:r>
              <w:t xml:space="preserve">90 Tage</w:t>
            </w:r>
          </w:p>
        </w:tc>
        <w:tc>
          <w:tcPr/>
          <w:p>
            <w:pPr>
              <w:pStyle w:val="Compact"/>
              <w:jc w:val="left"/>
            </w:pPr>
            <w:r>
              <w:t xml:space="preserve">nach Zwischenauswertung ohne Nutzen beim Hauptendpunkt abgebrochen; frühe Besserung auf der NIHSS häufiger</w:t>
            </w:r>
          </w:p>
        </w:tc>
      </w:tr>
      <w:tr>
        <w:tc>
          <w:tcPr/>
          <w:p>
            <w:pPr>
              <w:pStyle w:val="Compact"/>
              <w:jc w:val="left"/>
            </w:pPr>
            <w:r>
              <w:t xml:space="preserve">CARS (Muresanu 2016), PMID 26564102</w:t>
            </w:r>
          </w:p>
        </w:tc>
        <w:tc>
          <w:tcPr/>
          <w:p>
            <w:pPr>
              <w:pStyle w:val="Compact"/>
              <w:jc w:val="left"/>
            </w:pPr>
            <w:r>
              <w:t xml:space="preserve">Personen in früher Reha, doppelblind gegen Placebo</w:t>
            </w:r>
          </w:p>
        </w:tc>
        <w:tc>
          <w:tcPr/>
          <w:p>
            <w:pPr>
              <w:pStyle w:val="Compact"/>
              <w:jc w:val="left"/>
            </w:pPr>
            <w:r>
              <w:t xml:space="preserve">90 Tage</w:t>
            </w:r>
          </w:p>
        </w:tc>
        <w:tc>
          <w:tcPr/>
          <w:p>
            <w:pPr>
              <w:pStyle w:val="Compact"/>
              <w:jc w:val="left"/>
            </w:pPr>
            <w:r>
              <w:t xml:space="preserve">Armfunktion (ARAT) deutlich besser: MW 0,71</w:t>
            </w:r>
          </w:p>
        </w:tc>
      </w:tr>
      <w:tr>
        <w:tc>
          <w:tcPr/>
          <w:p>
            <w:pPr>
              <w:pStyle w:val="Compact"/>
              <w:jc w:val="left"/>
            </w:pPr>
            <w:r>
              <w:t xml:space="preserve">Gharagozli 2017, PMID 29075343</w:t>
            </w:r>
          </w:p>
        </w:tc>
        <w:tc>
          <w:tcPr/>
          <w:p>
            <w:pPr>
              <w:pStyle w:val="Compact"/>
              <w:jc w:val="left"/>
            </w:pPr>
            <w:r>
              <w:t xml:space="preserve">100 Personen, doppelblind gegen Placebo</w:t>
            </w:r>
          </w:p>
        </w:tc>
        <w:tc>
          <w:tcPr/>
          <w:p>
            <w:pPr>
              <w:pStyle w:val="Compact"/>
              <w:jc w:val="left"/>
            </w:pPr>
            <w:r>
              <w:t xml:space="preserve">30 Tage</w:t>
            </w:r>
          </w:p>
        </w:tc>
        <w:tc>
          <w:tcPr/>
          <w:p>
            <w:pPr>
              <w:pStyle w:val="Compact"/>
              <w:jc w:val="left"/>
            </w:pPr>
            <w:r>
              <w:t xml:space="preserve">NIHSS besser: MW 0,66</w:t>
            </w:r>
          </w:p>
        </w:tc>
      </w:tr>
      <w:tr>
        <w:tc>
          <w:tcPr/>
          <w:p>
            <w:pPr>
              <w:pStyle w:val="Compact"/>
              <w:jc w:val="left"/>
            </w:pPr>
            <w:r>
              <w:t xml:space="preserve">CEREHETIS (Khasanova 2023), PMID 36973684</w:t>
            </w:r>
          </w:p>
        </w:tc>
        <w:tc>
          <w:tcPr/>
          <w:p>
            <w:pPr>
              <w:pStyle w:val="Compact"/>
              <w:jc w:val="left"/>
            </w:pPr>
            <w:r>
              <w:t xml:space="preserve">341 Personen mit Thrombolyse, offen randomisiert</w:t>
            </w:r>
          </w:p>
        </w:tc>
        <w:tc>
          <w:tcPr/>
          <w:p>
            <w:pPr>
              <w:pStyle w:val="Compact"/>
              <w:jc w:val="left"/>
            </w:pPr>
            <w:r>
              <w:t xml:space="preserve">90 Tage</w:t>
            </w:r>
          </w:p>
        </w:tc>
        <w:tc>
          <w:tcPr/>
          <w:p>
            <w:pPr>
              <w:pStyle w:val="Compact"/>
              <w:jc w:val="left"/>
            </w:pPr>
            <w:r>
              <w:t xml:space="preserve">weniger symptomatische Einblutungen (OR 0,248); kein Unterschied im mRS nach 90 Tagen</w:t>
            </w:r>
          </w:p>
        </w:tc>
      </w:tr>
    </w:tbl>
    <w:p>
      <w:pPr>
        <w:pStyle w:val="BodyText"/>
      </w:pPr>
      <w:r>
        <w:rPr>
          <w:bCs/>
          <w:b/>
        </w:rPr>
        <w:t xml:space="preserve">CASTA – die größte Studie.</w:t>
      </w:r>
      <w:r>
        <w:t xml:space="preserve"> </w:t>
      </w:r>
      <w:r>
        <w:t xml:space="preserve">Die</w:t>
      </w:r>
      <w:r>
        <w:t xml:space="preserve"> </w:t>
      </w:r>
      <w:r>
        <w:rPr>
          <w:iCs/>
          <w:i/>
        </w:rPr>
        <w:t xml:space="preserve">Cerebrolysin Acute Stroke Treatment in Asia</w:t>
      </w:r>
      <w:r>
        <w:t xml:space="preserve">-Studie wurde vorab mit Studienprotokoll veröffentlicht (Hong 2009, PMID 19765131) und ist auf ClinicalTrials.gov registriert (NCT00868283). 1.070 Personen mit akutem Schlaganfall erhielten innerhalb von zwölf Stunden zehn Tage lang Cerebrolysin oder Kochsalzlösung, jeweils zusätzlich zu Aspirin. Der vorab festgelegte Hauptendpunkt – eine Kombination aus modifizierter Rankin-Skala (mRS, Grad der Behinderung), Barthel-Index (Selbstständigkeit im Alltag) und NIHSS (Schwere der neurologischen Ausfälle) nach 90 Tagen – zeigte</w:t>
      </w:r>
      <w:r>
        <w:t xml:space="preserve"> </w:t>
      </w:r>
      <w:r>
        <w:rPr>
          <w:bCs/>
          <w:b/>
        </w:rPr>
        <w:t xml:space="preserve">keinen Unterschied</w:t>
      </w:r>
      <w:r>
        <w:t xml:space="preserve">. In einer nachträglichen Auswertung der schwerer Betroffenen (NIHSS über 12) lag die Sterblichkeit nach 90 Tagen bei 10,5 % unter Cerebrolysin gegenüber 20,2 % unter Placebo (Heiss 2012, PMID 22282884). Die Autoren selbst schreiben, dass dieser Befund in einer weiteren Studie bestätigt werden müsste. Eine solche große, gezielt bei schweren Schlaganfällen durchgeführte Bestätigungsstudie ist bis heute nicht veröffentlicht.</w:t>
      </w:r>
    </w:p>
    <w:p>
      <w:pPr>
        <w:pStyle w:val="BodyText"/>
      </w:pPr>
      <w:r>
        <w:rPr>
          <w:bCs/>
          <w:b/>
        </w:rPr>
        <w:t xml:space="preserve">Zusammen mit der Thrombolyse.</w:t>
      </w:r>
      <w:r>
        <w:t xml:space="preserve"> </w:t>
      </w:r>
      <w:r>
        <w:t xml:space="preserve">In einer österreichischen Studie mit 119 Personen wurde Cerebrolysin eine Stunde nach der Thrombolyse begonnen. Nach der dritten Zwischenauswertung zeigte sich beim Hauptendpunkt (mRS nach 90 Tagen) kein Vorteil, und die Studie wurde beendet. In den ersten 30 Tagen besserten sich unter Cerebrolysin mehr Personen auf der NIHSS deutlich (Lang 2013, PMID 23009193). Dieses Muster – frühe Verbesserungen auf neurologischen Skalen, aber kein klarer Unterschied bei der Behinderung nach drei Monaten – zieht sich durch mehrere Studien. Die russische CEREHETIS-Studie fand bei 341 Personen weniger symptomatische Einblutungen nach der Thrombolyse, aber ebenfalls keinen Unterschied im mRS nach 90 Tagen; sie war offen, also nicht verblindet (Khasanova 2023, PMID 36973684).</w:t>
      </w:r>
    </w:p>
    <w:p>
      <w:pPr>
        <w:pStyle w:val="BodyText"/>
      </w:pPr>
      <w:r>
        <w:rPr>
          <w:bCs/>
          <w:b/>
        </w:rPr>
        <w:t xml:space="preserve">Thrombektomie.</w:t>
      </w:r>
      <w:r>
        <w:t xml:space="preserve"> </w:t>
      </w:r>
      <w:r>
        <w:t xml:space="preserve">Eine polnische Studie verglich 50 Personen, die nach Katheterbehandlung Cerebrolysin bekamen, mit 50 früher behandelten Personen (historische Kontrollen). Nach 90 Tagen waren 68 % gegenüber 44 % funktionell unabhängig (mRS 0–2), sekundäre Hirnblutungen traten seltener auf (Staszewski 2025, PMID 40325343). Ohne Randomisierung und mit Vergleich gegen frühere Patientinnen und Patienten ist das allerdings nur ein Hinweis; die Autoren fordern selbst randomisierte Studien.</w:t>
      </w:r>
    </w:p>
    <w:bookmarkEnd w:id="624"/>
    <w:bookmarkStart w:id="625" w:name="X8c9da36b5e6057897fdb746e201dd5ac9166d06"/>
    <w:p>
      <w:pPr>
        <w:pStyle w:val="Heading4"/>
      </w:pPr>
      <w:r>
        <w:t xml:space="preserve">Rehabilitation nach Schlaganfall: CARS und Folgestudien</w:t>
      </w:r>
    </w:p>
    <w:p>
      <w:pPr>
        <w:pStyle w:val="FirstParagraph"/>
      </w:pPr>
      <w:r>
        <w:t xml:space="preserve">Ein zweiter Ansatz setzt nicht in den ersten Stunden an, sondern in der frühen Rehabilitation: Cerebrolysin soll das Gehirn „lernfähiger“ machen, während gleichzeitig Physiotherapie stattfindet.</w:t>
      </w:r>
    </w:p>
    <w:p>
      <w:pPr>
        <w:pStyle w:val="BodyText"/>
      </w:pPr>
      <w:r>
        <w:t xml:space="preserve">Die</w:t>
      </w:r>
      <w:r>
        <w:t xml:space="preserve"> </w:t>
      </w:r>
      <w:r>
        <w:rPr>
          <w:bCs/>
          <w:b/>
        </w:rPr>
        <w:t xml:space="preserve">CARS-Studie</w:t>
      </w:r>
      <w:r>
        <w:t xml:space="preserve"> </w:t>
      </w:r>
      <w:r>
        <w:t xml:space="preserve">(</w:t>
      </w:r>
      <w:r>
        <w:rPr>
          <w:iCs/>
          <w:i/>
        </w:rPr>
        <w:t xml:space="preserve">Cerebrolysin and Recovery After Stroke</w:t>
      </w:r>
      <w:r>
        <w:t xml:space="preserve">) behandelte Personen 24 bis 72 Stunden nach dem Schlaganfall 21 Tage lang mit Cerebrolysin oder Placebo, zusätzlich zu einem standardisierten Reha-Programm. Beim Hauptendpunkt, dem Action Research Arm Test (ARAT) für die Armfunktion nach 90 Tagen, zeigte sich ein großer Vorteil (MW 0,71; 95-%-Konfidenzintervall 0,63–0,79); über zwölf Skalen hinweg ein kleiner bis mittlerer Vorteil (MW 0,62) (Muresanu 2016, PMID 26564102). Die Autoren bezeichnen die Studie ausdrücklich als explorativ mit relativ kleiner Fallzahl. Eine vorab geplante gemeinsame Auswertung mit der gleich aufgebauten Studie CARS-2 (insgesamt 442 Personen) ergab für den ARAT einen MW von 0,62 (Guekht 2017, PMID 28707130).</w:t>
      </w:r>
    </w:p>
    <w:p>
      <w:pPr>
        <w:pStyle w:val="BodyText"/>
      </w:pPr>
      <w:r>
        <w:t xml:space="preserve">Weitere kleinere Studien zeigen ein gemischtes Bild:</w:t>
      </w:r>
    </w:p>
    <w:p>
      <w:pPr>
        <w:numPr>
          <w:ilvl w:val="0"/>
          <w:numId w:val="1204"/>
        </w:numPr>
        <w:pStyle w:val="Compact"/>
      </w:pPr>
      <w:r>
        <w:t xml:space="preserve">Eine rumänische Studie mit 60 Personen fand große Vorteile auf der NIHSS nach 10 und 30 Tagen (Stan 2017, PMID 29362596).</w:t>
      </w:r>
    </w:p>
    <w:p>
      <w:pPr>
        <w:numPr>
          <w:ilvl w:val="0"/>
          <w:numId w:val="1204"/>
        </w:numPr>
        <w:pStyle w:val="Compact"/>
      </w:pPr>
      <w:r>
        <w:t xml:space="preserve">Eine koreanische Studie mit 70 Personen fand</w:t>
      </w:r>
      <w:r>
        <w:t xml:space="preserve"> </w:t>
      </w:r>
      <w:r>
        <w:rPr>
          <w:bCs/>
          <w:b/>
        </w:rPr>
        <w:t xml:space="preserve">keinen</w:t>
      </w:r>
      <w:r>
        <w:t xml:space="preserve"> </w:t>
      </w:r>
      <w:r>
        <w:t xml:space="preserve">Unterschied in der Motorik insgesamt; nur in der Untergruppe mit schwerer Lähmung schnitt Cerebrolysin besser ab (Chang 2016, PMID 26934986).</w:t>
      </w:r>
    </w:p>
    <w:p>
      <w:pPr>
        <w:numPr>
          <w:ilvl w:val="0"/>
          <w:numId w:val="1204"/>
        </w:numPr>
        <w:pStyle w:val="Compact"/>
      </w:pPr>
      <w:r>
        <w:t xml:space="preserve">Die rumänische ESCAS-Pilotstudie bei Sprachstörungen (nicht flüssige Aphasie) mit 132 Personen kombinierte Cerebrolysin mit Sprachtherapie. Nach 90 Tagen verbesserte sich die Sprachfunktion im Western Aphasia Battery um rund 35,6 Punkte gegenüber 20,8 Punkten unter Placebo (Homberg 2025, PMID 39957612).</w:t>
      </w:r>
    </w:p>
    <w:p>
      <w:pPr>
        <w:pStyle w:val="FirstParagraph"/>
      </w:pPr>
      <w:r>
        <w:t xml:space="preserve">Eine Leitlinie der European Academy of Neurology und der Europäischen Föderation der Neurorehabilitationsgesellschaften empfahl 2021 auf Basis einer Meta-Analyse Cerebrolysin – neben dem Antidepressivum Citalopram – zur Unterstützung der frühen motorischen Rehabilitation nach ischämischem Schlaganfall (Beghi 2021, PMID 34152062). Andere große Leitlinien, etwa in den USA, enthalten keine solche Empfehlung.</w:t>
      </w:r>
    </w:p>
    <w:bookmarkEnd w:id="625"/>
    <w:bookmarkStart w:id="626" w:name="X88ae0d8fdd871b35280e82eff99e98653ffc627"/>
    <w:p>
      <w:pPr>
        <w:pStyle w:val="Heading4"/>
      </w:pPr>
      <w:r>
        <w:t xml:space="preserve">Die Meta-Analysen: zwei Lesarten derselben Daten</w:t>
      </w:r>
    </w:p>
    <w:p>
      <w:pPr>
        <w:pStyle w:val="FirstParagraph"/>
      </w:pPr>
      <w:r>
        <w:t xml:space="preserve">Bei Cerebrolysin klaffen die Zusammenfassungen auseinander – je nachdem, wer sie verfasst hat und welche Endpunkte im Mittelpunkt stehen.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Übersicht</w:t>
            </w:r>
          </w:p>
        </w:tc>
        <w:tc>
          <w:tcPr/>
          <w:p>
            <w:pPr>
              <w:pStyle w:val="Compact"/>
              <w:jc w:val="left"/>
            </w:pPr>
            <w:r>
              <w:t xml:space="preserve">Einbezogene Daten</w:t>
            </w:r>
          </w:p>
        </w:tc>
        <w:tc>
          <w:tcPr/>
          <w:p>
            <w:pPr>
              <w:pStyle w:val="Compact"/>
              <w:jc w:val="left"/>
            </w:pPr>
            <w:r>
              <w:t xml:space="preserve">Kernaussage</w:t>
            </w:r>
          </w:p>
        </w:tc>
      </w:tr>
      <w:tr>
        <w:tc>
          <w:tcPr/>
          <w:p>
            <w:pPr>
              <w:pStyle w:val="Compact"/>
              <w:jc w:val="left"/>
            </w:pPr>
            <w:r>
              <w:t xml:space="preserve">Cochrane (Ziganshina 2023), PMID 37818733</w:t>
            </w:r>
          </w:p>
        </w:tc>
        <w:tc>
          <w:tcPr/>
          <w:p>
            <w:pPr>
              <w:pStyle w:val="Compact"/>
              <w:jc w:val="left"/>
            </w:pPr>
            <w:r>
              <w:t xml:space="preserve">7 RCTs, 1.773 Personen, Beginn innerhalb 48 h</w:t>
            </w:r>
          </w:p>
        </w:tc>
        <w:tc>
          <w:tcPr/>
          <w:p>
            <w:pPr>
              <w:pStyle w:val="Compact"/>
              <w:jc w:val="left"/>
            </w:pPr>
            <w:r>
              <w:t xml:space="preserve">kein Einfluss auf die Sterblichkeit (RR 0,96); mehr nicht tödliche schwere Nebenwirkungen (RR 2,39)</w:t>
            </w:r>
          </w:p>
        </w:tc>
      </w:tr>
      <w:tr>
        <w:tc>
          <w:tcPr/>
          <w:p>
            <w:pPr>
              <w:pStyle w:val="Compact"/>
              <w:jc w:val="left"/>
            </w:pPr>
            <w:r>
              <w:t xml:space="preserve">Bornstein 2018, PMID 29248999</w:t>
            </w:r>
          </w:p>
        </w:tc>
        <w:tc>
          <w:tcPr/>
          <w:p>
            <w:pPr>
              <w:pStyle w:val="Compact"/>
              <w:jc w:val="left"/>
            </w:pPr>
            <w:r>
              <w:t xml:space="preserve">9 RCTs, 1.879 Personen</w:t>
            </w:r>
          </w:p>
        </w:tc>
        <w:tc>
          <w:tcPr/>
          <w:p>
            <w:pPr>
              <w:pStyle w:val="Compact"/>
              <w:jc w:val="left"/>
            </w:pPr>
            <w:r>
              <w:t xml:space="preserve">NIHSS nach 30 Tagen besser (MW 0,60); NNT 7,7 für klinisch relevante Besserung</w:t>
            </w:r>
          </w:p>
        </w:tc>
      </w:tr>
      <w:tr>
        <w:tc>
          <w:tcPr/>
          <w:p>
            <w:pPr>
              <w:pStyle w:val="Compact"/>
              <w:jc w:val="left"/>
            </w:pPr>
            <w:r>
              <w:t xml:space="preserve">Zhang 2017, PMID 28656143</w:t>
            </w:r>
          </w:p>
        </w:tc>
        <w:tc>
          <w:tcPr/>
          <w:p>
            <w:pPr>
              <w:pStyle w:val="Compact"/>
              <w:jc w:val="left"/>
            </w:pPr>
            <w:r>
              <w:t xml:space="preserve">7 RCTs, 1.779 Personen</w:t>
            </w:r>
          </w:p>
        </w:tc>
        <w:tc>
          <w:tcPr/>
          <w:p>
            <w:pPr>
              <w:pStyle w:val="Compact"/>
              <w:jc w:val="left"/>
            </w:pPr>
            <w:r>
              <w:t xml:space="preserve">keine Überlegenheit bei mRS und Barthel-Index; Sicherheit neutral</w:t>
            </w:r>
          </w:p>
        </w:tc>
      </w:tr>
      <w:tr>
        <w:tc>
          <w:tcPr/>
          <w:p>
            <w:pPr>
              <w:pStyle w:val="Compact"/>
              <w:jc w:val="left"/>
            </w:pPr>
            <w:r>
              <w:t xml:space="preserve">Patel 2025, PMID 41018475</w:t>
            </w:r>
          </w:p>
        </w:tc>
        <w:tc>
          <w:tcPr/>
          <w:p>
            <w:pPr>
              <w:pStyle w:val="Compact"/>
              <w:jc w:val="left"/>
            </w:pPr>
            <w:r>
              <w:t xml:space="preserve">14 RCTs, 2.884 Personen</w:t>
            </w:r>
          </w:p>
        </w:tc>
        <w:tc>
          <w:tcPr/>
          <w:p>
            <w:pPr>
              <w:pStyle w:val="Compact"/>
              <w:jc w:val="left"/>
            </w:pPr>
            <w:r>
              <w:t xml:space="preserve">NIHSS-Besserung um 1,39 Punkte mehr; funktionelle Unabhängigkeit nicht signifikant (RR 1,31)</w:t>
            </w:r>
          </w:p>
        </w:tc>
      </w:tr>
    </w:tbl>
    <w:p>
      <w:pPr>
        <w:pStyle w:val="BodyText"/>
      </w:pPr>
      <w:r>
        <w:t xml:space="preserve">Die</w:t>
      </w:r>
      <w:r>
        <w:t xml:space="preserve"> </w:t>
      </w:r>
      <w:r>
        <w:rPr>
          <w:bCs/>
          <w:b/>
        </w:rPr>
        <w:t xml:space="preserve">Cochrane-Übersicht</w:t>
      </w:r>
      <w:r>
        <w:t xml:space="preserve"> </w:t>
      </w:r>
      <w:r>
        <w:t xml:space="preserve">– eine unabhängige, methodisch strenge Form der Zusammenfassung – wurde seit 2010 mehrfach aktualisiert. Die Fassung von 2020 umfasste sieben randomisierte Studien mit 1.601 Personen und fand keinen Effekt auf die Sterblichkeit (RR 0,90; 95-%-KI 0,61–1,32). Die Gesamtzahl schwerer unerwünschter Ereignisse unterschied sich nicht wesentlich, die Zahl der Personen mit</w:t>
      </w:r>
      <w:r>
        <w:t xml:space="preserve"> </w:t>
      </w:r>
      <w:r>
        <w:rPr>
          <w:bCs/>
          <w:b/>
        </w:rPr>
        <w:t xml:space="preserve">nicht tödlichen</w:t>
      </w:r>
      <w:r>
        <w:t xml:space="preserve"> </w:t>
      </w:r>
      <w:r>
        <w:t xml:space="preserve">schweren unerwünschten Ereignissen war unter Cerebrolysin jedoch höher (RR 2,15; 95-%-KI 1,01–4,55) (Ziganshina 2020, PMID 32662068). Die Aktualisierung von 2023 nahm eine Studie mit dem russischen Rinderhirn-Präparat Cortexin hinzu (insgesamt 1.773 Personen) und bestätigte diese Aussagen: keine Wirkung auf die Sterblichkeit (RR 0,96), mehr nicht tödliche schwere Ereignisse (RR 2,39; 95-%-KI 1,10–5,23), bei einem Behandlungsschema über zehn Tage noch ausgeprägter (Ziganshina 2023, PMID 37818733). Die Cochrane-Autorinnen und -Autoren bewerteten das Verzerrungsrisiko vieler Studien als unklar oder hoch und wiesen darauf hin, dass der Hersteller mehrere der großen Studien unterstützt hatte. Wichtig: Keine der einbezogenen Studien berichtete den aus Patientensicht entscheidenden Endpunkt „Tod oder Pflegebedürftigkeit“ in der Form, die der Review vorsah.</w:t>
      </w:r>
    </w:p>
    <w:p>
      <w:pPr>
        <w:pStyle w:val="BodyText"/>
      </w:pPr>
      <w:r>
        <w:t xml:space="preserve">Die</w:t>
      </w:r>
      <w:r>
        <w:t xml:space="preserve"> </w:t>
      </w:r>
      <w:r>
        <w:rPr>
          <w:bCs/>
          <w:b/>
        </w:rPr>
        <w:t xml:space="preserve">herstellernahen Meta-Analysen</w:t>
      </w:r>
      <w:r>
        <w:t xml:space="preserve"> </w:t>
      </w:r>
      <w:r>
        <w:t xml:space="preserve">betrachten dagegen vor allem die frühe neurologische Besserung auf der NIHSS und finden dort einen moderaten Vorteil (Bornstein 2018, PMID 29248999). Eine Sicherheits-Meta-Analyse mit zwölf Studien und 2.202 Personen fand keine signifikanten Unterschiede zu Placebo bei Nebenwirkungen (Strilciuc 2021, PMID 34959697) – im Gegensatz zum Cochrane-Signal, das allerdings auf wenigen Ereignissen beruht.</w:t>
      </w:r>
    </w:p>
    <w:p>
      <w:pPr>
        <w:pStyle w:val="BodyText"/>
      </w:pPr>
      <w:r>
        <w:t xml:space="preserve">Wie lässt sich das zusammenführen? Die ehrliche Antwort lautet: Cerebrolysin verbessert in mehreren Studien die neurologischen Skalenwerte in den ersten Wochen. Ob daraus weniger bleibende Behinderung, weniger Pflegebedürftigkeit oder ein längeres Leben folgen, ist nicht belegt. Für das Signal bei nicht tödlichen schweren Nebenwirkungen fehlt eine schlüssige Erklärung; es beruht auf wenigen Ereignissen und ist deshalb unsicher, aber es wurde in zwei Cochrane-Fassungen gefunden.</w:t>
      </w:r>
    </w:p>
    <w:bookmarkEnd w:id="626"/>
    <w:bookmarkStart w:id="627" w:name="registerdaten-aus-dem-alltag"/>
    <w:p>
      <w:pPr>
        <w:pStyle w:val="Heading4"/>
      </w:pPr>
      <w:r>
        <w:t xml:space="preserve">Registerdaten aus dem Alltag</w:t>
      </w:r>
    </w:p>
    <w:p>
      <w:pPr>
        <w:pStyle w:val="FirstParagraph"/>
      </w:pPr>
      <w:r>
        <w:t xml:space="preserve">Der Hersteller hat zusätzlich große Beobachtungsstudien finanziert. Die Registerstudie C-REGS2 erfasste in 16 Ländern 1.865 Personen mit mittelschwerem Schlaganfall; ausgewertet wurden 1.769 (1.021 mit Cerebrolysin, 748 ohne). Nach 90 Tagen schnitt die Cerebrolysin-Gruppe in der modifizierten Rankin-Skala besser ab (MW 0,6157) (Vosko 2025, PMID 40851188; NCT03480698). Die Studie verwendet anspruchsvolle statistische Verfahren, um die Gruppen vergleichbar zu machen. Sie bleibt aber eine Beobachtungsstudie: Wer im Alltag Cerebrolysin bekommt, unterscheidet sich möglicherweise in Behandlung, Klinik oder Land von denen, die es nicht bekommen. Eine Randomisierung kann sie nicht ersetzen.</w:t>
      </w:r>
    </w:p>
    <w:bookmarkEnd w:id="627"/>
    <w:bookmarkStart w:id="628" w:name="hirnblutung-und-subarachnoidalblutung"/>
    <w:p>
      <w:pPr>
        <w:pStyle w:val="Heading4"/>
      </w:pPr>
      <w:r>
        <w:t xml:space="preserve">Hirnblutung und Subarachnoidalblutung</w:t>
      </w:r>
    </w:p>
    <w:p>
      <w:pPr>
        <w:pStyle w:val="FirstParagraph"/>
      </w:pPr>
      <w:r>
        <w:t xml:space="preserve">Bei Hirnblutungen fand eine rumänische Studie mit 100 Personen nach 21 Tagen keine signifikanten Unterschiede, aber auch keine Sicherheitsprobleme (Bajenaru 2010, PMID 20968198). Bei Blutungen aus einer Hirngefäß-Aussackung (aneurysmatische Subarachnoidalblutung) zeigte eine doppelblinde Pilotstudie mit 50 Personen nach sechs Monaten keinen Unterschied im funktionellen Ergebnis (Woo 2020, PMID 33143640; NCT01787123). Eine Pilotstudie zu Blutungen in den Hirnlappen (CLINCH) ist geplant bzw. läuft (Kobayashi 2025, PMID 41180520).</w:t>
      </w:r>
    </w:p>
    <w:bookmarkEnd w:id="628"/>
    <w:bookmarkStart w:id="629" w:name="schädel-hirn-trauma-captain"/>
    <w:p>
      <w:pPr>
        <w:pStyle w:val="Heading4"/>
      </w:pPr>
      <w:r>
        <w:t xml:space="preserve">Schädel-Hirn-Trauma: CAPTAIN</w:t>
      </w:r>
    </w:p>
    <w:p>
      <w:pPr>
        <w:pStyle w:val="FirstParagraph"/>
      </w:pPr>
      <w:r>
        <w:t xml:space="preserve">Beim mittelschweren bis schweren Schädel-Hirn-Trauma prüften zwei Studien Cerebrolysin zusätzlich zur Standardbehandlung: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CAPTAIN I (Poon 2020), PMID 31494820</w:t>
            </w:r>
          </w:p>
        </w:tc>
        <w:tc>
          <w:tcPr/>
          <w:p>
            <w:pPr>
              <w:pStyle w:val="Compact"/>
              <w:jc w:val="left"/>
            </w:pPr>
            <w:r>
              <w:t xml:space="preserve">46 Personen, doppelblind gegen Placebo, mehrere Zentren</w:t>
            </w:r>
          </w:p>
        </w:tc>
        <w:tc>
          <w:tcPr/>
          <w:p>
            <w:pPr>
              <w:pStyle w:val="Compact"/>
              <w:jc w:val="left"/>
            </w:pPr>
            <w:r>
              <w:t xml:space="preserve">90 Tage</w:t>
            </w:r>
          </w:p>
        </w:tc>
        <w:tc>
          <w:tcPr/>
          <w:p>
            <w:pPr>
              <w:pStyle w:val="Compact"/>
              <w:jc w:val="left"/>
            </w:pPr>
            <w:r>
              <w:t xml:space="preserve">Hauptendpunkt knapp verfehlt (ITT: MW 0,63); in der Per-Protokoll-Analyse signifikant</w:t>
            </w:r>
          </w:p>
        </w:tc>
      </w:tr>
      <w:tr>
        <w:tc>
          <w:tcPr/>
          <w:p>
            <w:pPr>
              <w:pStyle w:val="Compact"/>
              <w:jc w:val="left"/>
            </w:pPr>
            <w:r>
              <w:t xml:space="preserve">CAPTAIN II (Muresanu 2020), PMID 31897941</w:t>
            </w:r>
          </w:p>
        </w:tc>
        <w:tc>
          <w:tcPr/>
          <w:p>
            <w:pPr>
              <w:pStyle w:val="Compact"/>
              <w:jc w:val="left"/>
            </w:pPr>
            <w:r>
              <w:t xml:space="preserve">142 Personen (139 ausgewertet), doppelblind, ein Zentrum</w:t>
            </w:r>
          </w:p>
        </w:tc>
        <w:tc>
          <w:tcPr/>
          <w:p>
            <w:pPr>
              <w:pStyle w:val="Compact"/>
              <w:jc w:val="left"/>
            </w:pPr>
            <w:r>
              <w:t xml:space="preserve">90 Tage</w:t>
            </w:r>
          </w:p>
        </w:tc>
        <w:tc>
          <w:tcPr/>
          <w:p>
            <w:pPr>
              <w:pStyle w:val="Compact"/>
              <w:jc w:val="left"/>
            </w:pPr>
            <w:r>
              <w:t xml:space="preserve">kleiner bis mittlerer Vorteil im kombinierten Endpunkt aus 13 Skalen (MW 0,59)</w:t>
            </w:r>
          </w:p>
        </w:tc>
      </w:tr>
      <w:tr>
        <w:tc>
          <w:tcPr/>
          <w:p>
            <w:pPr>
              <w:pStyle w:val="Compact"/>
              <w:jc w:val="left"/>
            </w:pPr>
            <w:r>
              <w:t xml:space="preserve">CAPTAIN-Meta-Analyse (Vester 2021), PMID 33620612</w:t>
            </w:r>
          </w:p>
        </w:tc>
        <w:tc>
          <w:tcPr/>
          <w:p>
            <w:pPr>
              <w:pStyle w:val="Compact"/>
              <w:jc w:val="left"/>
            </w:pPr>
            <w:r>
              <w:t xml:space="preserve">185 Personen aus beiden Studien</w:t>
            </w:r>
          </w:p>
        </w:tc>
        <w:tc>
          <w:tcPr/>
          <w:p>
            <w:pPr>
              <w:pStyle w:val="Compact"/>
              <w:jc w:val="left"/>
            </w:pPr>
            <w:r>
              <w:t xml:space="preserve">90 Tage</w:t>
            </w:r>
          </w:p>
        </w:tc>
        <w:tc>
          <w:tcPr/>
          <w:p>
            <w:pPr>
              <w:pStyle w:val="Compact"/>
              <w:jc w:val="left"/>
            </w:pPr>
            <w:r>
              <w:t xml:space="preserve">MW 0,60 nach 30 und 90 Tagen</w:t>
            </w:r>
          </w:p>
        </w:tc>
      </w:tr>
    </w:tbl>
    <w:p>
      <w:pPr>
        <w:pStyle w:val="BodyText"/>
      </w:pPr>
      <w:r>
        <w:t xml:space="preserve">CAPTAIN I wurde mit nur 46 Teilnehmenden vorzeitig beendet (NCT01606111, Registerstatus „abgebrochen“). Weitere Meta-Analysen zum Schädel-Hirn-Trauma beruhen überwiegend auf Beobachtungsstudien und fanden bessere Werte in der Glasgow Outcome Scale, aber keinen Einfluss auf die Sterblichkeit (Ghaffarpasand 2019, PMID 30643411; Jarosz 2023, PMID 36979317). Insgesamt deuten die Daten auf einen möglichen kleinen Vorteil hin; die Zahl der randomisiert untersuchten Personen ist für eine sichere Aussage zu gering.</w:t>
      </w:r>
    </w:p>
    <w:bookmarkEnd w:id="629"/>
    <w:bookmarkStart w:id="630" w:name="demenz"/>
    <w:p>
      <w:pPr>
        <w:pStyle w:val="Heading4"/>
      </w:pPr>
      <w:r>
        <w:t xml:space="preserve">Demenz</w:t>
      </w:r>
    </w:p>
    <w:p>
      <w:pPr>
        <w:pStyle w:val="FirstParagraph"/>
      </w:pPr>
      <w:r>
        <w:rPr>
          <w:bCs/>
          <w:b/>
        </w:rPr>
        <w:t xml:space="preserve">Alzheimer-Krankheit.</w:t>
      </w:r>
      <w:r>
        <w:t xml:space="preserve"> </w:t>
      </w:r>
      <w:r>
        <w:t xml:space="preserve">In den 1990er- und 2000er-Jahren wurden mehrere placebokontrollierte Studien durchgeführt. In einer kanadischen Studie mit 192 Personen war der klinische Gesamteindruck (CIBIC+) nach zwölf Wochen unter Cerebrolysin besser (76 % gegenüber 57 % „Responder“); die Gruppen unterschieden sich allerdings schon zu Beginn in Alter und Halluzinationen (Panisset 2002, PMID 12111446). In einer Studie mit 197 Personen war Cerebrolysin beim Gesamteindruck so wirksam wie das zugelassene Alzheimer-Medikament Donepezil; bei Kognition, Alltagsfunktion und Verhalten gab es keine signifikanten Unterschiede zwischen den Gruppen (Alvarez 2011, PMID 21679156). Eine Meta-Analyse von sechs Studien fand einen Vorteil beim klinischen Gesamteindruck nach vier Wochen und sechs Monaten, bei der Kognition aber nur nach vier Wochen, nicht nach sechs Monaten (Gauthier 2015, PMID 25832905). An dieser Meta-Analyse waren Forschende beteiligt, die mit dem Hersteller zusammenarbeiten.</w:t>
      </w:r>
    </w:p>
    <w:p>
      <w:pPr>
        <w:pStyle w:val="BodyText"/>
      </w:pPr>
      <w:r>
        <w:rPr>
          <w:bCs/>
          <w:b/>
        </w:rPr>
        <w:t xml:space="preserve">Vaskuläre Demenz.</w:t>
      </w:r>
      <w:r>
        <w:t xml:space="preserve"> </w:t>
      </w:r>
      <w:r>
        <w:t xml:space="preserve">Die größte Studie mit 242 Personen berichtete nach 24 Wochen eine Verbesserung im ADAS-cog+ um 10,6 Punkte gegenüber 4,4 Punkten unter Placebo (Guekht 2011, PMID 20656516) – ein für Demenzstudien ungewöhnlich großer Effekt. Der Cochrane-Review zur vaskulären Demenz fasste sechs Studien mit 597 Personen zusammen und fand Vorteile bei Kognition und Gesamteindruck, bewertete die Vertrauenswürdigkeit der Evidenz aber als „sehr niedrig“. Die Autorinnen und Autoren schreiben, dass mögliche Effekte zu klein sein könnten, um klinisch bedeutsam zu sein, und dass die Evidenzbasis schwach ist, obwohl Cerebrolysin weiter beworben wird (Cui 2019, PMID 31710397).</w:t>
      </w:r>
    </w:p>
    <w:bookmarkEnd w:id="630"/>
    <w:bookmarkStart w:id="631" w:name="weitere-anwendungen-1"/>
    <w:p>
      <w:pPr>
        <w:pStyle w:val="Heading4"/>
      </w:pPr>
      <w:r>
        <w:t xml:space="preserve">Weitere Anwendungen</w:t>
      </w:r>
    </w:p>
    <w:p>
      <w:pPr>
        <w:pStyle w:val="FirstParagraph"/>
      </w:pPr>
      <w:r>
        <w:t xml:space="preserve">Kleinere Studien gibt es zu ALS (20 Personen, Verbesserung auf der ALS-Funktionsskala nach einem Monat; Firstenfeld 2023, PMID 38585517), zu Frühgeborenen, Kindern mit Zerebralparese, zum Geruchsverlust nach COVID-19 und zu psychiatrischen Erkrankungen. Bei gesunden Männern veränderte Cerebrolysin in einer kleinen Studie mit 48 Teilnehmenden EEG-Muster; beim Kurzzeitgedächtnis zeigte sich eher ein Trend zu schlechterer Wortwiedergabe in den ersten Stunden (Funke 1998, PMID 9700674). Für die Anwendung als „Nootropikum“ bei Gesunden gibt es keine Belege.</w:t>
      </w:r>
    </w:p>
    <w:bookmarkEnd w:id="631"/>
    <w:bookmarkEnd w:id="632"/>
    <w:bookmarkStart w:id="633" w:name="tier--und-laborstudien-36"/>
    <w:p>
      <w:pPr>
        <w:pStyle w:val="Heading3"/>
      </w:pPr>
      <w:r>
        <w:t xml:space="preserve">Tier- und Laborstudien</w:t>
      </w:r>
    </w:p>
    <w:p>
      <w:pPr>
        <w:numPr>
          <w:ilvl w:val="0"/>
          <w:numId w:val="1205"/>
        </w:numPr>
        <w:pStyle w:val="Compact"/>
      </w:pPr>
      <w:r>
        <w:t xml:space="preserve">Bei Ratten mit künstlich ausgelöstem Schlaganfall verbesserte Cerebrolysin in einer randomisierten, verblindeten Tierstudie dosisabhängig die neurologische Erholung nach 28 Tagen (Zhang 2016, PMID 26763925).</w:t>
      </w:r>
    </w:p>
    <w:p>
      <w:pPr>
        <w:numPr>
          <w:ilvl w:val="0"/>
          <w:numId w:val="1205"/>
        </w:numPr>
        <w:pStyle w:val="Compact"/>
      </w:pPr>
      <w:r>
        <w:t xml:space="preserve">Bei Ratten mit leichter Hirnverletzung verringerte Cerebrolysin Axonschäden und förderte die Neubildung von Nervenzellen im Hippocampus (Zhang 2019, PMID 30499355).</w:t>
      </w:r>
    </w:p>
    <w:p>
      <w:pPr>
        <w:numPr>
          <w:ilvl w:val="0"/>
          <w:numId w:val="1205"/>
        </w:numPr>
        <w:pStyle w:val="Compact"/>
      </w:pPr>
      <w:r>
        <w:t xml:space="preserve">In einem Mausmodell der Erbkrankheit CADASIL verlängerte Cerebrolysin die Lebensdauer und verbesserte das räumliche Gedächtnis, ohne die typischen Veränderungen der weißen Substanz zu beeinflussen (Kastberger 2024, PMID 38062874).</w:t>
      </w:r>
    </w:p>
    <w:p>
      <w:pPr>
        <w:pStyle w:val="FirstParagraph"/>
      </w:pPr>
      <w:r>
        <w:t xml:space="preserve">Die präklinischen Studien stammen zu einem erheblichen Teil aus Kooperationen mit dem Hersteller. Gute Tierergebnisse haben sich bei Schlaganfall-Medikamenten bisher selten in klinischen Nutzen übersetzt.</w:t>
      </w:r>
    </w:p>
    <w:bookmarkEnd w:id="633"/>
    <w:bookmarkStart w:id="634" w:name="risiken-und-nebenwirkungen-36"/>
    <w:p>
      <w:pPr>
        <w:pStyle w:val="Heading3"/>
      </w:pPr>
      <w:r>
        <w:t xml:space="preserve">Risiken und Nebenwirkungen</w:t>
      </w:r>
    </w:p>
    <w:p>
      <w:pPr>
        <w:pStyle w:val="FirstParagraph"/>
      </w:pPr>
      <w:r>
        <w:rPr>
          <w:bCs/>
          <w:b/>
        </w:rPr>
        <w:t xml:space="preserve">Belegt:</w:t>
      </w:r>
    </w:p>
    <w:p>
      <w:pPr>
        <w:numPr>
          <w:ilvl w:val="0"/>
          <w:numId w:val="1206"/>
        </w:numPr>
        <w:pStyle w:val="Compact"/>
      </w:pPr>
      <w:r>
        <w:t xml:space="preserve">In den Studien waren Nebenwirkungen insgesamt ähnlich häufig wie unter Placebo. Genannt werden unter anderem Kopfschmerzen, Schwindel und Unruhe (Panisset 2002, PMID 12111446).</w:t>
      </w:r>
    </w:p>
    <w:p>
      <w:pPr>
        <w:numPr>
          <w:ilvl w:val="0"/>
          <w:numId w:val="1206"/>
        </w:numPr>
        <w:pStyle w:val="Compact"/>
      </w:pPr>
      <w:r>
        <w:t xml:space="preserve">Die Cochrane-Übersicht zum Schlaganfall fand mehr</w:t>
      </w:r>
      <w:r>
        <w:t xml:space="preserve"> </w:t>
      </w:r>
      <w:r>
        <w:rPr>
          <w:bCs/>
          <w:b/>
        </w:rPr>
        <w:t xml:space="preserve">nicht tödliche schwere unerwünschte Ereignisse</w:t>
      </w:r>
      <w:r>
        <w:t xml:space="preserve"> </w:t>
      </w:r>
      <w:r>
        <w:t xml:space="preserve">unter Cerebrolysin (RR 2,39; Ziganshina 2023, PMID 37818733), die herstellernahe Sicherheits-Meta-Analyse nicht (Strilciuc 2021, PMID 34959697).</w:t>
      </w:r>
    </w:p>
    <w:p>
      <w:pPr>
        <w:numPr>
          <w:ilvl w:val="0"/>
          <w:numId w:val="1206"/>
        </w:numPr>
        <w:pStyle w:val="Compact"/>
      </w:pPr>
      <w:r>
        <w:rPr>
          <w:bCs/>
          <w:b/>
        </w:rPr>
        <w:t xml:space="preserve">Allergische Reaktionen:</w:t>
      </w:r>
      <w:r>
        <w:t xml:space="preserve"> </w:t>
      </w:r>
      <w:r>
        <w:t xml:space="preserve">Ein ausführlich dokumentierter Fallbericht beschreibt eine lebensbedrohliche anaphylaktische Reaktion bei einem 85-jährigen Mann nach einer Cerebrolysin-Infusion; die Autoren betonen, dass solche Fälle selten, bei kritisch kranken Personen aber bedeutsam sind (Trimmel 2024, PMID 39055722).</w:t>
      </w:r>
    </w:p>
    <w:p>
      <w:pPr>
        <w:pStyle w:val="FirstParagraph"/>
      </w:pPr>
      <w:r>
        <w:rPr>
          <w:bCs/>
          <w:b/>
        </w:rPr>
        <w:t xml:space="preserve">Theoretisch:</w:t>
      </w:r>
      <w:r>
        <w:t xml:space="preserve"> </w:t>
      </w:r>
      <w:r>
        <w:t xml:space="preserve">Als Präparat aus tierischem Hirngewebe ist Cerebrolysin grundsätzlich an Fragen der Reinheit und Übertragbarkeit von Erregern gebunden; Herstellungsverfahren und Behördenauflagen sollen dieses Risiko minimieren. Konkrete Übertragungsfälle sind in den hier ausgewerteten Quellen nicht beschrieben.</w:t>
      </w:r>
    </w:p>
    <w:p>
      <w:pPr>
        <w:pStyle w:val="BodyText"/>
      </w:pPr>
      <w:r>
        <w:rPr>
          <w:bCs/>
          <w:b/>
        </w:rPr>
        <w:t xml:space="preserve">Graumarkt:</w:t>
      </w:r>
      <w:r>
        <w:t xml:space="preserve"> </w:t>
      </w:r>
      <w:r>
        <w:t xml:space="preserve">In Nootropika-Foren wird Cerebrolysin als „Gehirn-Booster“ diskutiert und aus Ländern bezogen, in denen es verfügbar ist. Die intravenöse Selbstanwendung ohne ärztliche Überwachung birgt das Risiko schwerer allergischer Reaktionen, für die dann keine Notfallversorgung bereitsteht. Mehr zu Graumarktprodukten in Teil I und Teil IV.</w:t>
      </w:r>
    </w:p>
    <w:bookmarkEnd w:id="634"/>
    <w:bookmarkStart w:id="635" w:name="rechtslage-36"/>
    <w:p>
      <w:pPr>
        <w:pStyle w:val="Heading3"/>
      </w:pPr>
      <w:r>
        <w:t xml:space="preserve">Rechtslage</w:t>
      </w:r>
    </w:p>
    <w:p>
      <w:pPr>
        <w:numPr>
          <w:ilvl w:val="0"/>
          <w:numId w:val="1207"/>
        </w:numPr>
        <w:pStyle w:val="Compact"/>
      </w:pPr>
      <w:r>
        <w:rPr>
          <w:bCs/>
          <w:b/>
        </w:rPr>
        <w:t xml:space="preserve">EU / Österreich / Deutschland:</w:t>
      </w:r>
      <w:r>
        <w:t xml:space="preserve"> </w:t>
      </w:r>
      <w:r>
        <w:t xml:space="preserve">keine zentrale EU-Zulassung. In Österreich ist Cerebrolysin als verschreibungspflichtiges Arzneimittel national zugelassen; Anwendungsgebiete und Erstattung richten sich nach der österreichischen Fachinformation. Weitere EU-Staaten haben eigene nationale Zulassungen. In Deutschland ist Cerebrolysin nach unserem Kenntnisstand nicht im Handel; ein Bezug wäre allenfalls als Einzelimport auf ärztliche Verordnung möglich (Stand 2026, bitte aktuell prüfen).</w:t>
      </w:r>
    </w:p>
    <w:p>
      <w:pPr>
        <w:numPr>
          <w:ilvl w:val="0"/>
          <w:numId w:val="1207"/>
        </w:numPr>
        <w:pStyle w:val="Compact"/>
      </w:pPr>
      <w:r>
        <w:rPr>
          <w:bCs/>
          <w:b/>
        </w:rPr>
        <w:t xml:space="preserve">USA:</w:t>
      </w:r>
      <w:r>
        <w:t xml:space="preserve"> </w:t>
      </w:r>
      <w:r>
        <w:t xml:space="preserve">nicht zugelassen.</w:t>
      </w:r>
    </w:p>
    <w:p>
      <w:pPr>
        <w:numPr>
          <w:ilvl w:val="0"/>
          <w:numId w:val="1207"/>
        </w:numPr>
        <w:pStyle w:val="Compact"/>
      </w:pPr>
      <w:r>
        <w:rPr>
          <w:bCs/>
          <w:b/>
        </w:rPr>
        <w:t xml:space="preserve">Sport:</w:t>
      </w:r>
      <w:r>
        <w:t xml:space="preserve"> </w:t>
      </w:r>
      <w:r>
        <w:t xml:space="preserve">nicht auf der WADA-Liste (Stand 2026, bitte aktuell prüfen).</w:t>
      </w:r>
    </w:p>
    <w:p>
      <w:pPr>
        <w:numPr>
          <w:ilvl w:val="0"/>
          <w:numId w:val="1207"/>
        </w:numPr>
        <w:pStyle w:val="Compact"/>
      </w:pPr>
      <w:r>
        <w:t xml:space="preserve">Bei zugelassener Anwendung gilt: Verweis auf die Fachinformation und ärztliche Begleitung.</w:t>
      </w:r>
    </w:p>
    <w:bookmarkEnd w:id="635"/>
    <w:bookmarkStart w:id="636" w:name="laufende-studien-und-ausblick-36"/>
    <w:p>
      <w:pPr>
        <w:pStyle w:val="Heading3"/>
      </w:pPr>
      <w:r>
        <w:t xml:space="preserve">Laufende Studien und Ausblick</w:t>
      </w:r>
    </w:p>
    <w:p>
      <w:pPr>
        <w:pStyle w:val="FirstParagraph"/>
      </w:pPr>
      <w:r>
        <w:rPr>
          <w:bCs/>
          <w:b/>
        </w:rPr>
        <w:t xml:space="preserve">Gesichert (registrierte Studien, Stand Oktober 2026):</w:t>
      </w:r>
    </w:p>
    <w:p>
      <w:pPr>
        <w:numPr>
          <w:ilvl w:val="0"/>
          <w:numId w:val="1208"/>
        </w:numPr>
        <w:pStyle w:val="Compact"/>
      </w:pPr>
      <w:r>
        <w:rPr>
          <w:bCs/>
          <w:b/>
        </w:rPr>
        <w:t xml:space="preserve">CERebrolysin In CADASIL</w:t>
      </w:r>
      <w:r>
        <w:t xml:space="preserve"> </w:t>
      </w:r>
      <w:r>
        <w:t xml:space="preserve">(NCT05755997): Phase-2-Studie mit 30 Teilnehmenden bei der erblichen Gefäßerkrankung CADASIL, aktiv, Rekrutierung abgeschlossen.</w:t>
      </w:r>
    </w:p>
    <w:p>
      <w:pPr>
        <w:numPr>
          <w:ilvl w:val="0"/>
          <w:numId w:val="1208"/>
        </w:numPr>
        <w:pStyle w:val="Compact"/>
      </w:pPr>
      <w:r>
        <w:rPr>
          <w:bCs/>
          <w:b/>
        </w:rPr>
        <w:t xml:space="preserve">Aphasie nach Schlaganfall</w:t>
      </w:r>
      <w:r>
        <w:t xml:space="preserve"> </w:t>
      </w:r>
      <w:r>
        <w:t xml:space="preserve">(NCT06897176): randomisierte, placebokontrollierte Studie mit 40 Teilnehmenden in Korea, in Rekrutierung.</w:t>
      </w:r>
    </w:p>
    <w:p>
      <w:pPr>
        <w:numPr>
          <w:ilvl w:val="0"/>
          <w:numId w:val="1208"/>
        </w:numPr>
        <w:pStyle w:val="Compact"/>
      </w:pPr>
      <w:r>
        <w:rPr>
          <w:bCs/>
          <w:b/>
        </w:rPr>
        <w:t xml:space="preserve">Cerebrolysin nach erweiterter Thrombektomie</w:t>
      </w:r>
      <w:r>
        <w:t xml:space="preserve"> </w:t>
      </w:r>
      <w:r>
        <w:t xml:space="preserve">(NCT06339411): Phase-2-Studie mit 100 geplanten Teilnehmenden in Taiwan, Start 2026.</w:t>
      </w:r>
    </w:p>
    <w:p>
      <w:pPr>
        <w:numPr>
          <w:ilvl w:val="0"/>
          <w:numId w:val="1208"/>
        </w:numPr>
        <w:pStyle w:val="Compact"/>
      </w:pPr>
      <w:r>
        <w:t xml:space="preserve">Weitere kleinere Studien zu Delir nach Herzoperationen und auf der Intensivstation, zu Hirnblutung und zur Frührehabilitation sind registriert.</w:t>
      </w:r>
    </w:p>
    <w:p>
      <w:pPr>
        <w:pStyle w:val="FirstParagraph"/>
      </w:pPr>
      <w:r>
        <w:rPr>
          <w:bCs/>
          <w:b/>
        </w:rPr>
        <w:t xml:space="preserve">Einschätzung:</w:t>
      </w:r>
      <w:r>
        <w:t xml:space="preserve"> </w:t>
      </w:r>
      <w:r>
        <w:t xml:space="preserve">Keine der registrierten Studien ist groß genug, um die zentrale offene Frage zu beantworten: Verringert Cerebrolysin bleibende Behinderung oder Sterblichkeit nach Schlaganfall? Dafür bräuchte es eine unabhängig durchgeführte, ausreichend große Studie mit einem klaren, vorab festgelegten Hauptendpunkt wie der modifizierten Rankin-Skala nach 90 Tagen. Solange sie fehlt, wird die Bewertung zwischen „in Osteuropa und Asien etabliert“ und „im Westen nicht ausreichend belegt“ geteilt bleiben.</w:t>
      </w:r>
    </w:p>
    <w:bookmarkEnd w:id="636"/>
    <w:bookmarkStart w:id="637" w:name="fazit-36"/>
    <w:p>
      <w:pPr>
        <w:pStyle w:val="Heading3"/>
      </w:pPr>
      <w:r>
        <w:t xml:space="preserve">Fazit</w:t>
      </w:r>
    </w:p>
    <w:p>
      <w:pPr>
        <w:pStyle w:val="FirstParagraph"/>
      </w:pPr>
      <w:r>
        <w:t xml:space="preserve">Cerebrolysin ist ein aus Schweinehirn gewonnenes Peptidgemisch, das in Österreich und vielen Ländern Osteuropas und Asiens bei Schlaganfall, Schädel-Hirn-Trauma und Demenz eingesetzt wird. Zahlreiche randomisierte Studien zeigen frühe Verbesserungen auf neurologischen Skalen, die größte Studie (CASTA) mit über 1.000 Personen verfehlte jedoch ihren Hauptendpunkt. Die unabhängigen Cochrane-Übersichten finden keinen Einfluss auf die Sterblichkeit, ein Signal für mehr nicht tödliche schwere Nebenwirkungen beim Schlaganfall und nur sehr unsichere Vorteile bei vaskulärer Demenz. Herstellernahe Auswertungen kommen zu deutlich positiveren Ergebnissen. Die Daten reichen nicht aus, um einen klinisch bedeutsamen Langzeitnutzen sicher zu belegen; als Selbstbehandlung oder „Nootropikum“ ist Cerebrolysin ungeeignet.</w:t>
      </w:r>
    </w:p>
    <w:bookmarkEnd w:id="637"/>
    <w:bookmarkEnd w:id="638"/>
    <w:bookmarkStart w:id="648" w:name="dihexa"/>
    <w:p>
      <w:pPr>
        <w:pStyle w:val="Heading2"/>
      </w:pPr>
      <w:r>
        <w:t xml:space="preserve">Dihexa</w:t>
      </w:r>
    </w:p>
    <w:bookmarkStart w:id="639" w:name="steckbrief-37"/>
    <w:p>
      <w:pPr>
        <w:pStyle w:val="Heading3"/>
      </w:pPr>
      <w:r>
        <w:t xml:space="preserve">Steckbrief</w:t>
      </w:r>
    </w:p>
    <w:p>
      <w:pPr>
        <w:numPr>
          <w:ilvl w:val="0"/>
          <w:numId w:val="1209"/>
        </w:numPr>
        <w:pStyle w:val="Compact"/>
      </w:pPr>
      <w:r>
        <w:rPr>
          <w:bCs/>
          <w:b/>
        </w:rPr>
        <w:t xml:space="preserve">Art und Struktur:</w:t>
      </w:r>
      <w:r>
        <w:t xml:space="preserve"> </w:t>
      </w:r>
      <w:r>
        <w:t xml:space="preserve">chemisch abgewandeltes Mini-Peptid, abgeleitet von Angiotensin IV, einem Bruchstück des blutdruckregulierenden Hormonsystems. Der Kern besteht aus zwei Aminosäuren (Tyrosin und Isoleucin), an beiden Enden mit Fettsäure-ähnlichen Ketten versehen; chemischer Name N-Hexanoyl-Tyr-Ile-(6)-Aminohexansäureamid, Forschungscode PNB-0408.</w:t>
      </w:r>
    </w:p>
    <w:p>
      <w:pPr>
        <w:numPr>
          <w:ilvl w:val="0"/>
          <w:numId w:val="1209"/>
        </w:numPr>
        <w:pStyle w:val="Compact"/>
      </w:pPr>
      <w:r>
        <w:rPr>
          <w:bCs/>
          <w:b/>
        </w:rPr>
        <w:t xml:space="preserve">Herkunft:</w:t>
      </w:r>
      <w:r>
        <w:t xml:space="preserve"> </w:t>
      </w:r>
      <w:r>
        <w:t xml:space="preserve">entwickelt um 2012 an der Washington State University (USA).</w:t>
      </w:r>
    </w:p>
    <w:p>
      <w:pPr>
        <w:numPr>
          <w:ilvl w:val="0"/>
          <w:numId w:val="1209"/>
        </w:numPr>
        <w:pStyle w:val="Compact"/>
      </w:pPr>
      <w:r>
        <w:rPr>
          <w:bCs/>
          <w:b/>
        </w:rPr>
        <w:t xml:space="preserve">Wirkprinzip:</w:t>
      </w:r>
      <w:r>
        <w:t xml:space="preserve"> </w:t>
      </w:r>
      <w:r>
        <w:t xml:space="preserve">soll das Wachstumsfaktor-System HGF/c-Met verstärken (HGF = Hepatozyten-Wachstumsfaktor, c-Met = sein Rezeptor) und so die Bildung neuer Nervenverbindungen (Synapsen) anregen.</w:t>
      </w:r>
    </w:p>
    <w:p>
      <w:pPr>
        <w:numPr>
          <w:ilvl w:val="0"/>
          <w:numId w:val="1209"/>
        </w:numPr>
        <w:pStyle w:val="Compact"/>
      </w:pPr>
      <w:r>
        <w:rPr>
          <w:bCs/>
          <w:b/>
        </w:rPr>
        <w:t xml:space="preserve">Zulassung EU:</w:t>
      </w:r>
      <w:r>
        <w:t xml:space="preserve"> </w:t>
      </w:r>
      <w:r>
        <w:t xml:space="preserve">nein.</w:t>
      </w:r>
    </w:p>
    <w:p>
      <w:pPr>
        <w:numPr>
          <w:ilvl w:val="0"/>
          <w:numId w:val="1209"/>
        </w:numPr>
        <w:pStyle w:val="Compact"/>
      </w:pPr>
      <w:r>
        <w:rPr>
          <w:bCs/>
          <w:b/>
        </w:rPr>
        <w:t xml:space="preserve">Zulassung USA:</w:t>
      </w:r>
      <w:r>
        <w:t xml:space="preserve"> </w:t>
      </w:r>
      <w:r>
        <w:t xml:space="preserve">nein. Dihexa stand ab 2023 auf der FDA-„Kategorie 2“ für Rezeptursubstanzen mit Sicherheitsbedenken; im April 2026 wurde es davon gestrichen, eine Bewertung durch den Beratungsausschuss PCAC ist für eine Sitzung bis Februar 2027 angekündigt (Stand Oktober 2026, bitte aktuell prüfen).</w:t>
      </w:r>
    </w:p>
    <w:p>
      <w:pPr>
        <w:numPr>
          <w:ilvl w:val="0"/>
          <w:numId w:val="1209"/>
        </w:numPr>
        <w:pStyle w:val="Compact"/>
      </w:pPr>
      <w:r>
        <w:rPr>
          <w:bCs/>
          <w:b/>
        </w:rPr>
        <w:t xml:space="preserve">WADA:</w:t>
      </w:r>
      <w:r>
        <w:t xml:space="preserve"> </w:t>
      </w:r>
      <w:r>
        <w:t xml:space="preserve">nicht namentlich gelistet; als nirgends zugelassene Substanz fällt Dihexa nach unserer Einschätzung unter die Sammelkategorie S0 „nicht zugelassene Substanzen“ (Stand 2026, bitte aktuell prüfen).</w:t>
      </w:r>
    </w:p>
    <w:p>
      <w:pPr>
        <w:numPr>
          <w:ilvl w:val="0"/>
          <w:numId w:val="1209"/>
        </w:numPr>
        <w:pStyle w:val="Compact"/>
      </w:pPr>
      <w:r>
        <w:rPr>
          <w:bCs/>
          <w:b/>
        </w:rPr>
        <w:t xml:space="preserve">Evidenzstufe:</w:t>
      </w:r>
      <w:r>
        <w:t xml:space="preserve"> </w:t>
      </w:r>
      <w:r>
        <w:rPr>
          <w:bCs/>
          <w:b/>
        </w:rPr>
        <w:t xml:space="preserve">D</w:t>
      </w:r>
      <w:r>
        <w:t xml:space="preserve"> </w:t>
      </w:r>
      <w:r>
        <w:t xml:space="preserve">– keine einzige veröffentlichte Studie am Menschen.</w:t>
      </w:r>
    </w:p>
    <w:bookmarkEnd w:id="639"/>
    <w:bookmarkStart w:id="640" w:name="wie-es-wirken-soll-37"/>
    <w:p>
      <w:pPr>
        <w:pStyle w:val="Heading3"/>
      </w:pPr>
      <w:r>
        <w:t xml:space="preserve">Wie es wirken soll</w:t>
      </w:r>
    </w:p>
    <w:p>
      <w:pPr>
        <w:pStyle w:val="FirstParagraph"/>
      </w:pPr>
      <w:r>
        <w:t xml:space="preserve">Angiotensin IV ist ein kurzes Peptid, das im Körper aus dem Blutdruckhormon Angiotensin II entsteht. Seit den 1990er-Jahren beobachteten Forschende, dass Angiotensin IV und verwandte Moleküle bei Ratten Lernen und Gedächtnis verbessern, wenn man sie direkt ins Gehirn spritzt. Für ein Medikament war das unbrauchbar: Die Peptide wurden rasch abgebaut und gelangten weder aus dem Darm ins Blut noch über die Blut-Hirn-Schranke.</w:t>
      </w:r>
    </w:p>
    <w:p>
      <w:pPr>
        <w:pStyle w:val="BodyText"/>
      </w:pPr>
      <w:r>
        <w:t xml:space="preserve">Die Arbeitsgruppe um Joseph Harding und John Wright in Washington verkürzte das Molekül deshalb auf seinen wirksamen Kern und versah es mit chemischen Schutzgruppen. Das Ergebnis war Dihexa: stabil gegenüber Abbau, bei Ratten über den Mund wirksam und hirngängig. Bei Ratten mit medikamentös ausgelöster Gedächtnisstörung und bei alten Ratten verbesserte es die Leistung im Wasserlabyrinth und förderte die Synapsenbildung im Hippocampus (McCoy 2013, PMID 23055539).</w:t>
      </w:r>
    </w:p>
    <w:p>
      <w:pPr>
        <w:pStyle w:val="BodyText"/>
      </w:pPr>
      <w:r>
        <w:t xml:space="preserve">Später fand dieselbe Gruppe den vermuteten Wirkmechanismus: Dihexa bindet an den Wachstumsfaktor HGF und verstärkt dessen Signal am Rezeptor c-Met. Wurde das HGF-System im Gehirn von Ratten blockiert, verschwand die gedächtnisfördernde Wirkung (Benoist 2014, PMID 25187433).</w:t>
      </w:r>
    </w:p>
    <w:p>
      <w:pPr>
        <w:pStyle w:val="BodyText"/>
      </w:pPr>
      <w:r>
        <w:t xml:space="preserve">Im Internet wird Dihexa oft als Substanz beschrieben, die um ein Vielfaches stärker wirke als der Nervenwachstumsfaktor BDNF. Solche Vergleiche stammen aus Zellkultur-Versuchen und sagen nichts darüber aus, ob und wie Dihexa beim Menschen wirkt.</w:t>
      </w:r>
    </w:p>
    <w:bookmarkEnd w:id="640"/>
    <w:bookmarkStart w:id="642" w:name="studien-am-menschen-37"/>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w:t>
      </w:r>
      <w:r>
        <w:t xml:space="preserve"> </w:t>
      </w:r>
      <w:r>
        <w:rPr>
          <w:bCs/>
          <w:b/>
        </w:rPr>
        <w:t xml:space="preserve">keine</w:t>
      </w:r>
      <w:r>
        <w:t xml:space="preserve"> </w:t>
      </w:r>
      <w:r>
        <w:t xml:space="preserve">Humanstudie mit Dihexa; insgesamt führt PubMed nur 18 Arbeiten mit dem Suchbegriff, darunter mehrere ohne Bezug zum Wirkstoff. Auf ClinicalTrials.gov ist keine Studie registriert. Auch eine gezielte Nachsuche nach Fallberichten, Vergiftungen oder Analysen von Graumarktprodukten blieb ohne Ergebnis.</w:t>
      </w:r>
    </w:p>
    <w:p>
      <w:pPr>
        <w:pStyle w:val="BodyText"/>
      </w:pPr>
      <w:r>
        <w:t xml:space="preserve">Es gibt also keine Daten zu Wirksamkeit, Verträglichkeit, Wirkdauer oder geeigneten Mengen beim Menschen. Alles, was über eine Wirkung bei Menschen berichtet wird, stammt aus Erfahrungsberichten in Foren.</w:t>
      </w:r>
    </w:p>
    <w:bookmarkStart w:id="641" w:name="X6aeefdaf93a4b05640216355b51e47b8aca8ef8"/>
    <w:p>
      <w:pPr>
        <w:pStyle w:val="Heading4"/>
      </w:pPr>
      <w:r>
        <w:t xml:space="preserve">Ein Verwandter in der Klinik: Fosgonimeton</w:t>
      </w:r>
    </w:p>
    <w:p>
      <w:pPr>
        <w:pStyle w:val="FirstParagraph"/>
      </w:pPr>
      <w:r>
        <w:t xml:space="preserve">Aufschlussreich ist das Schicksal eines anderen Wirkstoffs, der aus demselben Forschungsansatz – der Verstärkung des HGF/c-Met-Systems – hervorging. Das Unternehmen Athira Pharma entwickelte Fosgonimeton (ATH-1017), ein chemisch anderes Molekül, das ebenfalls HGF/c-Met positiv beeinflussen soll. Fosgonimeton wurde – anders als Dihexa – in regulären klinischen Studien geprüft: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Phase 1 (Hua 2022), PMID 35180125</w:t>
            </w:r>
          </w:p>
        </w:tc>
        <w:tc>
          <w:tcPr/>
          <w:p>
            <w:pPr>
              <w:pStyle w:val="Compact"/>
              <w:jc w:val="left"/>
            </w:pPr>
            <w:r>
              <w:t xml:space="preserve">88 Personen (Gesunde und 11 Menschen mit Alzheimer), doppelblind gegen Placebo</w:t>
            </w:r>
          </w:p>
        </w:tc>
        <w:tc>
          <w:tcPr/>
          <w:p>
            <w:pPr>
              <w:pStyle w:val="Compact"/>
              <w:jc w:val="left"/>
            </w:pPr>
            <w:r>
              <w:t xml:space="preserve">bis 9 Tage</w:t>
            </w:r>
          </w:p>
        </w:tc>
        <w:tc>
          <w:tcPr/>
          <w:p>
            <w:pPr>
              <w:pStyle w:val="Compact"/>
              <w:jc w:val="left"/>
            </w:pPr>
            <w:r>
              <w:t xml:space="preserve">gut verträglich; Veränderungen im EEG als Hinweis auf Hirngängigkeit</w:t>
            </w:r>
          </w:p>
        </w:tc>
      </w:tr>
      <w:tr>
        <w:tc>
          <w:tcPr/>
          <w:p>
            <w:pPr>
              <w:pStyle w:val="Compact"/>
              <w:jc w:val="left"/>
            </w:pPr>
            <w:r>
              <w:t xml:space="preserve">LIFT-AD (Porsteinsson 2025), PMID 41393340</w:t>
            </w:r>
          </w:p>
        </w:tc>
        <w:tc>
          <w:tcPr/>
          <w:p>
            <w:pPr>
              <w:pStyle w:val="Compact"/>
              <w:jc w:val="left"/>
            </w:pPr>
            <w:r>
              <w:t xml:space="preserve">287 Personen mit leichter bis mittelschwerer Alzheimer-Krankheit in der Hauptanalyse, Phase 2/3 gegen Placebo</w:t>
            </w:r>
          </w:p>
        </w:tc>
        <w:tc>
          <w:tcPr/>
          <w:p>
            <w:pPr>
              <w:pStyle w:val="Compact"/>
              <w:jc w:val="left"/>
            </w:pPr>
            <w:r>
              <w:t xml:space="preserve">26 Wochen</w:t>
            </w:r>
          </w:p>
        </w:tc>
        <w:tc>
          <w:tcPr/>
          <w:p>
            <w:pPr>
              <w:pStyle w:val="Compact"/>
              <w:jc w:val="left"/>
            </w:pPr>
            <w:r>
              <w:t xml:space="preserve">Haupt- und Nebenendpunkte verfehlt; mehr Therapieabbrüche wegen Nebenwirkungen (14,2 % vs. 4,6 %)</w:t>
            </w:r>
          </w:p>
        </w:tc>
      </w:tr>
    </w:tbl>
    <w:p>
      <w:pPr>
        <w:pStyle w:val="BodyText"/>
      </w:pPr>
      <w:r>
        <w:t xml:space="preserve">In LIFT-AD (NCT04488419) unterschied sich Fosgonimeton weder beim kombinierten Hauptendpunkt noch bei Gedächtnis- oder Alltagsskalen signifikant von Placebo. Schwere unerwünschte Ereignisse waren ausgeglichen (4,2 % gegenüber 6,9 %), Behandlungsabbrüche wegen Nebenwirkungen – vor allem Reaktionen an der Einstichstelle – waren unter Fosgonimeton häufiger (Porsteinsson 2025, PMID 41393340). Eine Studie bei Parkinson-Demenz und Lewy-Körperchen-Demenz wurde vorzeitig beendet (NCT04831281).</w:t>
      </w:r>
    </w:p>
    <w:p>
      <w:pPr>
        <w:pStyle w:val="BodyText"/>
      </w:pPr>
      <w:r>
        <w:t xml:space="preserve">Das beweist nicht, dass Dihexa unwirksam wäre – es ist eine andere Substanz. Es zeigt aber, wie wenig sich Gedächtnisverbesserungen bei Ratten auf Menschen mit Demenz übertragen lassen.</w:t>
      </w:r>
    </w:p>
    <w:bookmarkEnd w:id="641"/>
    <w:bookmarkEnd w:id="642"/>
    <w:bookmarkStart w:id="643" w:name="tier--und-laborstudien-37"/>
    <w:p>
      <w:pPr>
        <w:pStyle w:val="Heading3"/>
      </w:pPr>
      <w:r>
        <w:t xml:space="preserve">Tier- und Laborstudien</w:t>
      </w:r>
    </w:p>
    <w:p>
      <w:pPr>
        <w:numPr>
          <w:ilvl w:val="0"/>
          <w:numId w:val="1210"/>
        </w:numPr>
        <w:pStyle w:val="Compact"/>
      </w:pPr>
      <w:r>
        <w:t xml:space="preserve">Bei Ratten mit Gedächtnisstörung durch Scopolamin und bei alten Ratten verbesserte Dihexa das räumliche Lernen und förderte die Synapsenbildung (McCoy 2013, PMID 23055539).</w:t>
      </w:r>
    </w:p>
    <w:p>
      <w:pPr>
        <w:numPr>
          <w:ilvl w:val="0"/>
          <w:numId w:val="1210"/>
        </w:numPr>
        <w:pStyle w:val="Compact"/>
      </w:pPr>
      <w:r>
        <w:t xml:space="preserve">Bei Alzheimer-Modellmäusen (APP/PS1) verbesserte Dihexa das Lernen im Wasserlabyrinth und verringerte Entzündungszeichen im Gehirn (Sun 2021, PMID 34827486).</w:t>
      </w:r>
    </w:p>
    <w:p>
      <w:pPr>
        <w:numPr>
          <w:ilvl w:val="0"/>
          <w:numId w:val="1210"/>
        </w:numPr>
        <w:pStyle w:val="Compact"/>
      </w:pPr>
      <w:r>
        <w:t xml:space="preserve">In einem Rattenmodell der Huntington-Krankheit schützte Dihexa</w:t>
      </w:r>
      <w:r>
        <w:t xml:space="preserve"> </w:t>
      </w:r>
      <w:r>
        <w:rPr>
          <w:bCs/>
          <w:b/>
        </w:rPr>
        <w:t xml:space="preserve">nicht</w:t>
      </w:r>
      <w:r>
        <w:t xml:space="preserve"> </w:t>
      </w:r>
      <w:r>
        <w:t xml:space="preserve">vor den Ausfällen (Wells 2024, PMID 38489193).</w:t>
      </w:r>
    </w:p>
    <w:p>
      <w:pPr>
        <w:numPr>
          <w:ilvl w:val="0"/>
          <w:numId w:val="1210"/>
        </w:numPr>
        <w:pStyle w:val="Compact"/>
      </w:pPr>
      <w:r>
        <w:t xml:space="preserve">Bei Zebrafischlarven schützte Dihexa Sinneshaarzellen vor Schäden durch bestimmte Antibiotika (Uribe 2015, PMID 25674052).</w:t>
      </w:r>
    </w:p>
    <w:p>
      <w:pPr>
        <w:numPr>
          <w:ilvl w:val="0"/>
          <w:numId w:val="1210"/>
        </w:numPr>
        <w:pStyle w:val="Compact"/>
      </w:pPr>
      <w:r>
        <w:t xml:space="preserve">In der Stammzellforschung wird Dihexa als preiswerter Ersatz für Wachstumsfaktoren bei der Herstellung leberzellähnlicher Zellen verwendet (Pan 2022, PMID 35410439) – ein Hinweis darauf, wie breit das HGF-System im Körper wirkt.</w:t>
      </w:r>
    </w:p>
    <w:p>
      <w:pPr>
        <w:pStyle w:val="FirstParagraph"/>
      </w:pPr>
      <w:r>
        <w:t xml:space="preserve">Eine systematische Übersicht über Angiotensin-IV-Abkömmlinge fand in acht von neun Tierstudien zu Gedächtnisstörungen günstige Effekte, betont aber, dass die Substanzen am besten wirkten, wenn sie direkt ins Gehirn gegeben wurden (Ho 2018, PMID 29733881).</w:t>
      </w:r>
    </w:p>
    <w:bookmarkEnd w:id="643"/>
    <w:bookmarkStart w:id="644" w:name="risiken-und-nebenwirkungen-37"/>
    <w:p>
      <w:pPr>
        <w:pStyle w:val="Heading3"/>
      </w:pPr>
      <w:r>
        <w:t xml:space="preserve">Risiken und Nebenwirkungen</w:t>
      </w:r>
    </w:p>
    <w:p>
      <w:pPr>
        <w:pStyle w:val="FirstParagraph"/>
      </w:pPr>
      <w:r>
        <w:rPr>
          <w:bCs/>
          <w:b/>
        </w:rPr>
        <w:t xml:space="preserve">Belegt:</w:t>
      </w:r>
      <w:r>
        <w:t xml:space="preserve"> </w:t>
      </w:r>
      <w:r>
        <w:t xml:space="preserve">Es gibt keine veröffentlichten Sicherheitsdaten am Menschen – weder aus Studien noch aus Fallberichten.</w:t>
      </w:r>
    </w:p>
    <w:p>
      <w:pPr>
        <w:pStyle w:val="BodyText"/>
      </w:pPr>
      <w:r>
        <w:rPr>
          <w:bCs/>
          <w:b/>
        </w:rPr>
        <w:t xml:space="preserve">Theoretisch – und ernst zu nehmen:</w:t>
      </w:r>
      <w:r>
        <w:t xml:space="preserve"> </w:t>
      </w:r>
      <w:r>
        <w:t xml:space="preserve">Das HGF/c-Met-System ist nicht nur für Nervenzellen wichtig. Die Aktivierung von c-Met regt Zellteilung, Zellwanderung und Gewebeumbau an (Wright 2015, PMID 25649658). In der Krebsforschung ist c-Met als Treiber des Wachstums und der Streuung verschiedener Tumoren bekannt; mehrere zugelassene Krebsmedikamente blockieren genau diesen Rezeptor. Ein Stoff, der dieses Signal dauerhaft verstärkt, könnte das Wachstum unentdeckter Tumoren theoretisch begünstigen. Ob das bei Dihexa der Fall ist, wurde nie untersucht – es gibt keine Langzeit-Toxizitätsstudien in öffentlich zugänglicher Form. (Mehr zu Wachstumssignalen und Krebsrisiko in Teil IV.)</w:t>
      </w:r>
    </w:p>
    <w:p>
      <w:pPr>
        <w:pStyle w:val="BodyText"/>
      </w:pPr>
      <w:r>
        <w:rPr>
          <w:bCs/>
          <w:b/>
        </w:rPr>
        <w:t xml:space="preserve">Graumarkt:</w:t>
      </w:r>
      <w:r>
        <w:t xml:space="preserve"> </w:t>
      </w:r>
      <w:r>
        <w:t xml:space="preserve">Dihexa wird online als Pulver, Kapseln oder Lösung verkauft, teils zum Einnehmen, teils zum Auftragen auf die Haut. Gehalt und Reinheit sind ungeprüft.</w:t>
      </w:r>
    </w:p>
    <w:bookmarkEnd w:id="644"/>
    <w:bookmarkStart w:id="645" w:name="rechtslage-37"/>
    <w:p>
      <w:pPr>
        <w:pStyle w:val="Heading3"/>
      </w:pPr>
      <w:r>
        <w:t xml:space="preserve">Rechtslage</w:t>
      </w:r>
    </w:p>
    <w:p>
      <w:pPr>
        <w:numPr>
          <w:ilvl w:val="0"/>
          <w:numId w:val="1211"/>
        </w:numPr>
        <w:pStyle w:val="Compact"/>
      </w:pPr>
      <w:r>
        <w:rPr>
          <w:bCs/>
          <w:b/>
        </w:rPr>
        <w:t xml:space="preserve">EU / Österreich / Deutschland:</w:t>
      </w:r>
      <w:r>
        <w:t xml:space="preserve"> </w:t>
      </w:r>
      <w:r>
        <w:t xml:space="preserve">nicht zugelassen. Als Stoff mit pharmakologischer Wirkung gilt Dihexa als Arzneimittel; der Verkauf zur Anwendung am Menschen ist nicht erlaubt. Die Kennzeichnung „nur für Forschungszwecke“ ändert daran nichts (Stand 2026, bitte aktuell prüfen).</w:t>
      </w:r>
    </w:p>
    <w:p>
      <w:pPr>
        <w:numPr>
          <w:ilvl w:val="0"/>
          <w:numId w:val="1211"/>
        </w:numPr>
        <w:pStyle w:val="Compact"/>
      </w:pPr>
      <w:r>
        <w:rPr>
          <w:bCs/>
          <w:b/>
        </w:rPr>
        <w:t xml:space="preserve">USA:</w:t>
      </w:r>
      <w:r>
        <w:t xml:space="preserve"> </w:t>
      </w:r>
      <w:r>
        <w:t xml:space="preserve">nicht zugelassen. Seit April 2026 nicht mehr in der FDA-„Kategorie 2“; über eine mögliche Aufnahme in die Liste zulässiger Rezeptursubstanzen hat der Beratungsausschuss PCAC bis Oktober 2026 noch nicht beraten (Stand Oktober 2026, bitte aktuell prüfen).</w:t>
      </w:r>
    </w:p>
    <w:p>
      <w:pPr>
        <w:numPr>
          <w:ilvl w:val="0"/>
          <w:numId w:val="1211"/>
        </w:numPr>
        <w:pStyle w:val="Compact"/>
      </w:pPr>
      <w:r>
        <w:rPr>
          <w:bCs/>
          <w:b/>
        </w:rPr>
        <w:t xml:space="preserve">Sport:</w:t>
      </w:r>
      <w:r>
        <w:t xml:space="preserve"> </w:t>
      </w:r>
      <w:r>
        <w:t xml:space="preserve">fällt als nicht zugelassene Substanz nach unserer Einschätzung unter WADA-Kategorie S0 (Stand 2026, bitte aktuell prüfen).</w:t>
      </w:r>
    </w:p>
    <w:bookmarkEnd w:id="645"/>
    <w:bookmarkStart w:id="646" w:name="laufende-studien-und-ausblick-37"/>
    <w:p>
      <w:pPr>
        <w:pStyle w:val="Heading3"/>
      </w:pPr>
      <w:r>
        <w:t xml:space="preserve">Laufende Studien und Ausblick</w:t>
      </w:r>
    </w:p>
    <w:p>
      <w:pPr>
        <w:pStyle w:val="FirstParagraph"/>
      </w:pPr>
      <w:r>
        <w:rPr>
          <w:bCs/>
          <w:b/>
        </w:rPr>
        <w:t xml:space="preserve">Gesichert:</w:t>
      </w:r>
      <w:r>
        <w:t xml:space="preserve"> </w:t>
      </w:r>
      <w:r>
        <w:t xml:space="preserve">Für Dihexa ist keine klinische Studie registriert (Abfrage Oktober 2026). Der verwandte Ansatz Fosgonimeton ist in der Alzheimer-Studie LIFT-AD gescheitert.</w:t>
      </w:r>
    </w:p>
    <w:p>
      <w:pPr>
        <w:pStyle w:val="BodyText"/>
      </w:pPr>
      <w:r>
        <w:rPr>
          <w:bCs/>
          <w:b/>
        </w:rPr>
        <w:t xml:space="preserve">Einschätzung:</w:t>
      </w:r>
      <w:r>
        <w:t xml:space="preserve"> </w:t>
      </w:r>
      <w:r>
        <w:t xml:space="preserve">Ohne Toxizitätsdaten und eine erste Studie am Menschen bleibt Dihexa ein Laborwirkstoff. Ob die angekündigte PCAC-Beratung in den USA daran etwas ändert, ist offen – sie würde allenfalls Apotheken-Rezepturen betreffen, nicht den fehlenden Wirksamkeitsnachweis.</w:t>
      </w:r>
    </w:p>
    <w:bookmarkEnd w:id="646"/>
    <w:bookmarkStart w:id="647" w:name="fazit-37"/>
    <w:p>
      <w:pPr>
        <w:pStyle w:val="Heading3"/>
      </w:pPr>
      <w:r>
        <w:t xml:space="preserve">Fazit</w:t>
      </w:r>
    </w:p>
    <w:p>
      <w:pPr>
        <w:pStyle w:val="FirstParagraph"/>
      </w:pPr>
      <w:r>
        <w:t xml:space="preserve">Dihexa ist ein chemisch stabilisierter Abkömmling von Angiotensin IV, der bei Ratten und Mäusen Lernen und Synapsenbildung förderte, vermittelt über das Wachstumsfaktor-System HGF/c-Met. Am Menschen wurde es nie untersucht; ein verwandter Wirkstoff (Fosgonimeton) verfehlte in einer Alzheimer-Studie mit 287 Personen alle Endpunkte. Weil c-Met auch Tumorwachstum antreibt, gibt es eine plausible, aber ungeprüfte Krebs-Sorge. Die Daten reichen nicht aus, um irgendeinen Nutzen oder die Sicherheit beim Menschen zu beurteilen.</w:t>
      </w:r>
    </w:p>
    <w:bookmarkEnd w:id="647"/>
    <w:bookmarkEnd w:id="648"/>
    <w:bookmarkStart w:id="660" w:name="dsip-delta-schlaf-induzierendes-peptid"/>
    <w:p>
      <w:pPr>
        <w:pStyle w:val="Heading2"/>
      </w:pPr>
      <w:r>
        <w:t xml:space="preserve">DSIP (Delta-Schlaf-induzierendes Peptid)</w:t>
      </w:r>
    </w:p>
    <w:bookmarkStart w:id="649" w:name="steckbrief-38"/>
    <w:p>
      <w:pPr>
        <w:pStyle w:val="Heading3"/>
      </w:pPr>
      <w:r>
        <w:t xml:space="preserve">Steckbrief</w:t>
      </w:r>
    </w:p>
    <w:p>
      <w:pPr>
        <w:numPr>
          <w:ilvl w:val="0"/>
          <w:numId w:val="1212"/>
        </w:numPr>
        <w:pStyle w:val="Compact"/>
      </w:pPr>
      <w:r>
        <w:rPr>
          <w:bCs/>
          <w:b/>
        </w:rPr>
        <w:t xml:space="preserve">Art und Struktur:</w:t>
      </w:r>
      <w:r>
        <w:t xml:space="preserve"> </w:t>
      </w:r>
      <w:r>
        <w:t xml:space="preserve">Nonapeptid aus neun Aminosäuren (Trp-Ala-Gly-Gly-Asp-Ala-Ser-Gly-Glu); internationaler Wirkstoffname Emideltid.</w:t>
      </w:r>
    </w:p>
    <w:p>
      <w:pPr>
        <w:numPr>
          <w:ilvl w:val="0"/>
          <w:numId w:val="1212"/>
        </w:numPr>
        <w:pStyle w:val="Compact"/>
      </w:pPr>
      <w:r>
        <w:rPr>
          <w:bCs/>
          <w:b/>
        </w:rPr>
        <w:t xml:space="preserve">Herkunft:</w:t>
      </w:r>
      <w:r>
        <w:t xml:space="preserve"> </w:t>
      </w:r>
      <w:r>
        <w:t xml:space="preserve">1977 von einer Basler Arbeitsgruppe aus dem Hirnvenenblut von Kaninchen isoliert, die durch elektrische Reizung in Tiefschlaf versetzt worden waren. Ein Gen, ein Vorläufereiweiß oder ein Rezeptor für DSIP wurden bis heute nicht gefunden.</w:t>
      </w:r>
    </w:p>
    <w:p>
      <w:pPr>
        <w:numPr>
          <w:ilvl w:val="0"/>
          <w:numId w:val="1212"/>
        </w:numPr>
        <w:pStyle w:val="Compact"/>
      </w:pPr>
      <w:r>
        <w:rPr>
          <w:bCs/>
          <w:b/>
        </w:rPr>
        <w:t xml:space="preserve">Wirkprinzip:</w:t>
      </w:r>
      <w:r>
        <w:t xml:space="preserve"> </w:t>
      </w:r>
      <w:r>
        <w:t xml:space="preserve">sollte als körpereigener „Schlafstoff“ den Tiefschlaf (Delta-Schlaf mit langsamen EEG-Wellen) fördern; später wurden Einflüsse auf Stresshormone, Schmerz und Entzugssymptome vermutet.</w:t>
      </w:r>
    </w:p>
    <w:p>
      <w:pPr>
        <w:numPr>
          <w:ilvl w:val="0"/>
          <w:numId w:val="1212"/>
        </w:numPr>
        <w:pStyle w:val="Compact"/>
      </w:pPr>
      <w:r>
        <w:rPr>
          <w:bCs/>
          <w:b/>
        </w:rPr>
        <w:t xml:space="preserve">Zulassung EU:</w:t>
      </w:r>
      <w:r>
        <w:t xml:space="preserve"> </w:t>
      </w:r>
      <w:r>
        <w:t xml:space="preserve">nein.</w:t>
      </w:r>
    </w:p>
    <w:p>
      <w:pPr>
        <w:numPr>
          <w:ilvl w:val="0"/>
          <w:numId w:val="1212"/>
        </w:numPr>
        <w:pStyle w:val="Compact"/>
      </w:pPr>
      <w:r>
        <w:rPr>
          <w:bCs/>
          <w:b/>
        </w:rPr>
        <w:t xml:space="preserve">Zulassung USA:</w:t>
      </w:r>
      <w:r>
        <w:t xml:space="preserve"> </w:t>
      </w:r>
      <w:r>
        <w:t xml:space="preserve">nein. Emideltid wurde im April 2026 von der FDA-„Kategorie 2“ gestrichen; der Beratungsausschuss PCAC stimmte im Juli 2026 mit 6 zu 7 Stimmen</w:t>
      </w:r>
      <w:r>
        <w:t xml:space="preserve"> </w:t>
      </w:r>
      <w:r>
        <w:rPr>
          <w:bCs/>
          <w:b/>
        </w:rPr>
        <w:t xml:space="preserve">gegen</w:t>
      </w:r>
      <w:r>
        <w:t xml:space="preserve"> </w:t>
      </w:r>
      <w:r>
        <w:t xml:space="preserve">eine Aufnahme in die Liste zulässiger Rezeptursubstanzen (Stand Oktober 2026, bitte aktuell prüfen).</w:t>
      </w:r>
    </w:p>
    <w:p>
      <w:pPr>
        <w:numPr>
          <w:ilvl w:val="0"/>
          <w:numId w:val="1212"/>
        </w:numPr>
        <w:pStyle w:val="Compact"/>
      </w:pPr>
      <w:r>
        <w:rPr>
          <w:bCs/>
          <w:b/>
        </w:rPr>
        <w:t xml:space="preserve">Russland und Nachbarstaaten:</w:t>
      </w:r>
      <w:r>
        <w:t xml:space="preserve"> </w:t>
      </w:r>
      <w:r>
        <w:t xml:space="preserve">DSIP-Präparate (z. B. Deltaran, Deltalicin) wurden dort in Studien und in der Praxis verwendet.</w:t>
      </w:r>
    </w:p>
    <w:p>
      <w:pPr>
        <w:numPr>
          <w:ilvl w:val="0"/>
          <w:numId w:val="1212"/>
        </w:numPr>
        <w:pStyle w:val="Compact"/>
      </w:pPr>
      <w:r>
        <w:rPr>
          <w:bCs/>
          <w:b/>
        </w:rPr>
        <w:t xml:space="preserve">WADA:</w:t>
      </w:r>
      <w:r>
        <w:t xml:space="preserve"> </w:t>
      </w:r>
      <w:r>
        <w:t xml:space="preserve">nicht namentlich gelistet (Stand 2026, bitte aktuell prüfen).</w:t>
      </w:r>
    </w:p>
    <w:p>
      <w:pPr>
        <w:numPr>
          <w:ilvl w:val="0"/>
          <w:numId w:val="1212"/>
        </w:numPr>
        <w:pStyle w:val="Compact"/>
      </w:pPr>
      <w:r>
        <w:rPr>
          <w:bCs/>
          <w:b/>
        </w:rPr>
        <w:t xml:space="preserve">Evidenzstufe:</w:t>
      </w:r>
      <w:r>
        <w:t xml:space="preserve"> </w:t>
      </w:r>
      <w:r>
        <w:rPr>
          <w:bCs/>
          <w:b/>
        </w:rPr>
        <w:t xml:space="preserve">C</w:t>
      </w:r>
      <w:r>
        <w:t xml:space="preserve"> </w:t>
      </w:r>
      <w:r>
        <w:t xml:space="preserve">– nur sehr kleine, überwiegend in den 1980er-Jahren durchgeführte Studien; die methodisch besten davon fanden keinen klinisch relevanten Nutzen.</w:t>
      </w:r>
    </w:p>
    <w:bookmarkEnd w:id="649"/>
    <w:bookmarkStart w:id="650" w:name="wie-es-wirken-soll-38"/>
    <w:p>
      <w:pPr>
        <w:pStyle w:val="Heading3"/>
      </w:pPr>
      <w:r>
        <w:t xml:space="preserve">Wie es wirken soll</w:t>
      </w:r>
    </w:p>
    <w:p>
      <w:pPr>
        <w:pStyle w:val="FirstParagraph"/>
      </w:pPr>
      <w:r>
        <w:t xml:space="preserve">Die Idee war einfach und reizvoll: Wenn das Gehirn im Schlaf einen Stoff ins Blut abgibt, der bei anderen Tieren Schlaf auslöst, könnte er ein natürliches Schlafmittel sein – ohne die Nachteile von Beruhigungsmitteln. Die Basler Forschenden übertrugen Blut schlafender Kaninchen auf wache Tiere und isolierten daraus das Peptid, das sie für den Effekt verantwortlich hielten (Monnier 1977, PMID 862769).</w:t>
      </w:r>
    </w:p>
    <w:p>
      <w:pPr>
        <w:pStyle w:val="BodyText"/>
      </w:pPr>
      <w:r>
        <w:t xml:space="preserve">Die Hoffnung hat sich nicht bestätigt. Eine Übersichtsarbeit aus dem Jahr 2006 nennt DSIP ein „noch immer ungelöstes Rätsel“: Die Verbindung zum Schlaf sei „äußerst schlecht dokumentiert“, weil weder das zugehörige Gen noch ein Rezeptor gefunden wurde. In Tierversuchen förderten eher bestimmte künstliche Abwandlungen den Tiefschlaf als DSIP selbst. Die Autoren vermuten, dass ein bisher unbekanntes, DSIP-ähnliches Peptid für die beobachteten Effekte verantwortlich sein könnte (Kovalzon 2006, PMID 16539679).</w:t>
      </w:r>
    </w:p>
    <w:p>
      <w:pPr>
        <w:pStyle w:val="BodyText"/>
      </w:pPr>
      <w:r>
        <w:t xml:space="preserve">Weitere vermutete Wirkungen – auf Stresshormone, Schmerzempfinden, Opioid-System und antioxidative Enzyme – stammen überwiegend aus Tierversuchen. Bei Schafen passierte markiertes DSIP die Schranke zwischen Blut und Hirnwasser in geringem bis mäßigem Umfang (Zlokovic 1988, PMID 3420012).</w:t>
      </w:r>
    </w:p>
    <w:bookmarkEnd w:id="650"/>
    <w:bookmarkStart w:id="654" w:name="studien-am-menschen-38"/>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18 als Humanstudien klassifizierte Veröffentlichungen; eine davon betrifft bei näherer Prüfung ein anderes Thema (Wirbelsäulenchirurgie). Fast alle stammen aus den Jahren 1981 bis 1998 und hatten jeweils zwischen 1 und 16 Teilnehmende in Placebo-kontrollierten Teilen. Auf ClinicalTrials.gov ergab die Suche einen Treffer, der sich nicht auf DSIP bezieht; eine registrierte DSIP-Studie gibt es nicht.</w:t>
      </w:r>
    </w:p>
    <w:bookmarkStart w:id="651" w:name="schlafstörungen"/>
    <w:p>
      <w:pPr>
        <w:pStyle w:val="Heading4"/>
      </w:pPr>
      <w:r>
        <w:t xml:space="preserve">Schlafstörungen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Schneider-Helmert 1981, PMID 6895513</w:t>
            </w:r>
          </w:p>
        </w:tc>
        <w:tc>
          <w:tcPr/>
          <w:p>
            <w:pPr>
              <w:pStyle w:val="Compact"/>
              <w:jc w:val="left"/>
            </w:pPr>
            <w:r>
              <w:t xml:space="preserve">6 Gesunde, doppelblind, Überkreuz gegen Placebo</w:t>
            </w:r>
          </w:p>
        </w:tc>
        <w:tc>
          <w:tcPr/>
          <w:p>
            <w:pPr>
              <w:pStyle w:val="Compact"/>
              <w:jc w:val="left"/>
            </w:pPr>
            <w:r>
              <w:t xml:space="preserve">einmalige Infusion</w:t>
            </w:r>
          </w:p>
        </w:tc>
        <w:tc>
          <w:tcPr/>
          <w:p>
            <w:pPr>
              <w:pStyle w:val="Compact"/>
              <w:jc w:val="left"/>
            </w:pPr>
            <w:r>
              <w:t xml:space="preserve">Schlafzeit in 130 Minuten um 59 % länger; keine klassische Sedierung</w:t>
            </w:r>
          </w:p>
        </w:tc>
      </w:tr>
      <w:tr>
        <w:tc>
          <w:tcPr/>
          <w:p>
            <w:pPr>
              <w:pStyle w:val="Compact"/>
              <w:jc w:val="left"/>
            </w:pPr>
            <w:r>
              <w:t xml:space="preserve">Schneider-Helmert 1981, PMID 7028502</w:t>
            </w:r>
          </w:p>
        </w:tc>
        <w:tc>
          <w:tcPr/>
          <w:p>
            <w:pPr>
              <w:pStyle w:val="Compact"/>
              <w:jc w:val="left"/>
            </w:pPr>
            <w:r>
              <w:t xml:space="preserve">6 Personen mit chronischer Schlaflosigkeit</w:t>
            </w:r>
          </w:p>
        </w:tc>
        <w:tc>
          <w:tcPr/>
          <w:p>
            <w:pPr>
              <w:pStyle w:val="Compact"/>
              <w:jc w:val="left"/>
            </w:pPr>
            <w:r>
              <w:t xml:space="preserve">einmalige Gabe</w:t>
            </w:r>
          </w:p>
        </w:tc>
        <w:tc>
          <w:tcPr/>
          <w:p>
            <w:pPr>
              <w:pStyle w:val="Compact"/>
              <w:jc w:val="left"/>
            </w:pPr>
            <w:r>
              <w:t xml:space="preserve">längerer, weniger unterbrochener Schlaf</w:t>
            </w:r>
          </w:p>
        </w:tc>
      </w:tr>
      <w:tr>
        <w:tc>
          <w:tcPr/>
          <w:p>
            <w:pPr>
              <w:pStyle w:val="Compact"/>
              <w:jc w:val="left"/>
            </w:pPr>
            <w:r>
              <w:t xml:space="preserve">Schneider-Helmert 1987, PMID 3622582</w:t>
            </w:r>
          </w:p>
        </w:tc>
        <w:tc>
          <w:tcPr/>
          <w:p>
            <w:pPr>
              <w:pStyle w:val="Compact"/>
              <w:jc w:val="left"/>
            </w:pPr>
            <w:r>
              <w:t xml:space="preserve">14 Personen mit schwerer chronischer Schlaflosigkeit, doppelblind gegen Placebo</w:t>
            </w:r>
          </w:p>
        </w:tc>
        <w:tc>
          <w:tcPr/>
          <w:p>
            <w:pPr>
              <w:pStyle w:val="Compact"/>
              <w:jc w:val="left"/>
            </w:pPr>
            <w:r>
              <w:t xml:space="preserve">7 Nächte</w:t>
            </w:r>
          </w:p>
        </w:tc>
        <w:tc>
          <w:tcPr/>
          <w:p>
            <w:pPr>
              <w:pStyle w:val="Compact"/>
              <w:jc w:val="left"/>
            </w:pPr>
            <w:r>
              <w:t xml:space="preserve">Schlafeffizienz und Tagesleistung laut Autoren auf Niveau Gesunder</w:t>
            </w:r>
          </w:p>
        </w:tc>
      </w:tr>
      <w:tr>
        <w:tc>
          <w:tcPr/>
          <w:p>
            <w:pPr>
              <w:pStyle w:val="Compact"/>
              <w:jc w:val="left"/>
            </w:pPr>
            <w:r>
              <w:t xml:space="preserve">Monti 1987, PMID 3583493</w:t>
            </w:r>
          </w:p>
        </w:tc>
        <w:tc>
          <w:tcPr/>
          <w:p>
            <w:pPr>
              <w:pStyle w:val="Compact"/>
              <w:jc w:val="left"/>
            </w:pPr>
            <w:r>
              <w:t xml:space="preserve">Personen mit chronischer Schlaflosigkeit, doppelblind, Überkreuz</w:t>
            </w:r>
          </w:p>
        </w:tc>
        <w:tc>
          <w:tcPr/>
          <w:p>
            <w:pPr>
              <w:pStyle w:val="Compact"/>
              <w:jc w:val="left"/>
            </w:pPr>
            <w:r>
              <w:t xml:space="preserve">4 Nächte</w:t>
            </w:r>
          </w:p>
        </w:tc>
        <w:tc>
          <w:tcPr/>
          <w:p>
            <w:pPr>
              <w:pStyle w:val="Compact"/>
              <w:jc w:val="left"/>
            </w:pPr>
            <w:r>
              <w:t xml:space="preserve">Verbesserungen „von geringer klinischer Bedeutung“; Unterschiede bestanden schon vor Behandlung</w:t>
            </w:r>
          </w:p>
        </w:tc>
      </w:tr>
      <w:tr>
        <w:tc>
          <w:tcPr/>
          <w:p>
            <w:pPr>
              <w:pStyle w:val="Compact"/>
              <w:jc w:val="left"/>
            </w:pPr>
            <w:r>
              <w:t xml:space="preserve">Bes 1992, PMID 1299794</w:t>
            </w:r>
          </w:p>
        </w:tc>
        <w:tc>
          <w:tcPr/>
          <w:p>
            <w:pPr>
              <w:pStyle w:val="Compact"/>
              <w:jc w:val="left"/>
            </w:pPr>
            <w:r>
              <w:t xml:space="preserve">16 Personen mit chronischer Schlaflosigkeit, doppelblind gegen Placebo</w:t>
            </w:r>
          </w:p>
        </w:tc>
        <w:tc>
          <w:tcPr/>
          <w:p>
            <w:pPr>
              <w:pStyle w:val="Compact"/>
              <w:jc w:val="left"/>
            </w:pPr>
            <w:r>
              <w:t xml:space="preserve">3 Nächte</w:t>
            </w:r>
          </w:p>
        </w:tc>
        <w:tc>
          <w:tcPr/>
          <w:p>
            <w:pPr>
              <w:pStyle w:val="Compact"/>
              <w:jc w:val="left"/>
            </w:pPr>
            <w:r>
              <w:t xml:space="preserve">schwache Effekte, teils durch Zufallsschwankung erklärbar; „kein größerer therapeutischer Nutzen“</w:t>
            </w:r>
          </w:p>
        </w:tc>
      </w:tr>
    </w:tbl>
    <w:p>
      <w:pPr>
        <w:pStyle w:val="BodyText"/>
      </w:pPr>
      <w:r>
        <w:t xml:space="preserve">Die ersten Studien kamen fast alle aus einer einzigen Basler Forschungsgruppe und waren durchweg positiv. Bei sechs gesunden Freiwilligen verlängerte eine morgendliche Infusion die Schlafzeit in den folgenden gut zwei Stunden um 59 %, ohne dass die Teilnehmenden im klassischen Sinn sediert wirkten (Schneider-Helmert 1981, PMID 6895513). Bei 14 Personen mit schwerer Schlaflosigkeit erreichten Schlafeffizienz und Tagesleistung nach sieben Nächten laut den Autoren das Niveau gesunder Kontrollpersonen (Schneider-Helmert 1987, PMID 3622582).</w:t>
      </w:r>
    </w:p>
    <w:p>
      <w:pPr>
        <w:pStyle w:val="BodyText"/>
      </w:pPr>
      <w:r>
        <w:t xml:space="preserve">Unabhängige Gruppen konnten das nicht bestätigen. Eine Studie aus Uruguay fand zwar mehr Gesamtschlaf, aber die Unterschiede zu Placebo bestanden bereits vor der Behandlung; die Autoren bewerteten die Verbesserung als klinisch wenig bedeutsam (Monti 1987, PMID 3583493). Eine weitere Studie mit 16 Personen fand statistisch signifikante, aber schwache Effekte bei Schlafeffizienz und Einschlafzeit, die zum Teil durch eine zufällige Veränderung in der Placebogruppe erklärbar waren; die subjektive Schlafqualität änderte sich nicht. Ihr Schluss: Eine Kurzzeitbehandlung mit DSIP habe wahrscheinlich keinen größeren therapeutischen Nutzen (Bes 1992, PMID 1299794).</w:t>
      </w:r>
    </w:p>
    <w:p>
      <w:pPr>
        <w:pStyle w:val="BodyText"/>
      </w:pPr>
      <w:r>
        <w:t xml:space="preserve">Dieses Muster – begeisterte Erstberichte, ernüchternde Wiederholungen – ist typisch für Substanzen, deren Wirkung auf sehr kleinen Studien beruht.</w:t>
      </w:r>
    </w:p>
    <w:bookmarkEnd w:id="651"/>
    <w:bookmarkStart w:id="652" w:name="entzug-schmerz-und-andere-anwendungen"/>
    <w:p>
      <w:pPr>
        <w:pStyle w:val="Heading4"/>
      </w:pPr>
      <w:r>
        <w:t xml:space="preserve">Entzug, Schmerz und andere Anwendungen</w:t>
      </w:r>
    </w:p>
    <w:p>
      <w:pPr>
        <w:pStyle w:val="FirstParagraph"/>
      </w:pPr>
      <w:r>
        <w:t xml:space="preserve">In den 1980er-Jahren wurde DSIP bei 107 stationären Personen im Alkohol- oder Opiatentzug eingesetzt; nach ärztlicher Einschätzung verschwanden die Entzugssymptome bei 97 % bzw. 87 % oder besserten sich deutlich. Es gab keine Kontrollgruppe, und ein Teil der Personen konnte nicht ausgewertet werden (Dick 1984, PMID 6548969). Eine spätere offene Studie zur Opioid-Entgiftung wurde nur als Kurzmitteilung ohne Abstract veröffentlicht (Backmund 1998, PMID 9617990). Weitere Einzelberichte betreffen sieben Personen mit chronischen Schmerzen (Larbig 1984, PMID 6548970) und einen Mann mit Narkolepsie (Schneider-Helmert 1984, PMID 6548968). Eine osteuropäische Studie untersuchte ein DSIP-Präparat zur Gabe in die Nase (Deltalicin) bei diabetischer Netzhauterkrankung, in der sich elektrische Reizantworten der Netzhaut verbesserten (Kresiun 2014, PMID 25739189).</w:t>
      </w:r>
    </w:p>
    <w:bookmarkEnd w:id="652"/>
    <w:bookmarkStart w:id="653" w:name="hormone-und-narkose"/>
    <w:p>
      <w:pPr>
        <w:pStyle w:val="Heading4"/>
      </w:pPr>
      <w:r>
        <w:t xml:space="preserve">Hormone und Narkose</w:t>
      </w:r>
    </w:p>
    <w:p>
      <w:pPr>
        <w:pStyle w:val="FirstParagraph"/>
      </w:pPr>
      <w:r>
        <w:t xml:space="preserve">Mehrere kleine Studien an Gesunden untersuchten, ob DSIP Stresshormone beeinflusst. Eine Studie mit elf Männern fand nach einer Injektion weniger ACTH im Blut, aber unveränderte Cortisolwerte (Bjartell 1989, PMID 2554357); eine andere mit insgesamt 20 Männern fand keinen Einfluss auf ACTH und Cortisol (Späth-Schwalbe 1995, PMID 7777652). Auf Wachstumshormon und Prolaktin hatte DSIP bei Frauen keinen Einfluss (Giusti 1993, PMID 8475226).</w:t>
      </w:r>
    </w:p>
    <w:p>
      <w:pPr>
        <w:pStyle w:val="BodyText"/>
      </w:pPr>
      <w:r>
        <w:t xml:space="preserve">Bemerkenswert ist eine Studie an 24 Frauen während einer Narkose: Statt die Narkose zu vertiefen, wie es für einen „natürlichen Schlafstoff“ zu erwarten wäre, erhöhte DSIP die Herzfrequenz und verringerte paradoxerweise den Delta-Rhythmus im EEG (Pomfrett 2009, PMID 19142086).</w:t>
      </w:r>
    </w:p>
    <w:bookmarkEnd w:id="653"/>
    <w:bookmarkEnd w:id="654"/>
    <w:bookmarkStart w:id="655" w:name="tier--und-laborstudien-38"/>
    <w:p>
      <w:pPr>
        <w:pStyle w:val="Heading3"/>
      </w:pPr>
      <w:r>
        <w:t xml:space="preserve">Tier- und Laborstudien</w:t>
      </w:r>
    </w:p>
    <w:p>
      <w:pPr>
        <w:numPr>
          <w:ilvl w:val="0"/>
          <w:numId w:val="1213"/>
        </w:numPr>
        <w:pStyle w:val="Compact"/>
      </w:pPr>
      <w:r>
        <w:t xml:space="preserve">Bei Kaninchen, Ratten und Katzen wurden in frühen Studien schlaffördernde Effekte beschrieben, die sich aber nicht durchgängig wiederholen ließen (Kovalzon 2006, PMID 16539679).</w:t>
      </w:r>
    </w:p>
    <w:p>
      <w:pPr>
        <w:numPr>
          <w:ilvl w:val="0"/>
          <w:numId w:val="1213"/>
        </w:numPr>
        <w:pStyle w:val="Compact"/>
      </w:pPr>
      <w:r>
        <w:t xml:space="preserve">Bei Mäusen lebten die ältesten 10 % der Tiere, die lebenslang ein russisches DSIP-Präparat erhielten, 16 % länger als die Kontrolltiere; spontane Tumoren traten verzögert auf (Voĭtenkov 2009, PMID 20405733). Diese Arbeit stammt aus dem Umfeld der russischen Gerontologie, das auch Epitalon untersucht (siehe dort).</w:t>
      </w:r>
    </w:p>
    <w:p>
      <w:pPr>
        <w:numPr>
          <w:ilvl w:val="0"/>
          <w:numId w:val="1213"/>
        </w:numPr>
        <w:pStyle w:val="Compact"/>
      </w:pPr>
      <w:r>
        <w:t xml:space="preserve">Weitere Tierstudien beschreiben Effekte auf Stressresistenz, Schmerzempfinden und antioxidative Enzyme.</w:t>
      </w:r>
    </w:p>
    <w:bookmarkEnd w:id="655"/>
    <w:bookmarkStart w:id="656" w:name="risiken-und-nebenwirkungen-38"/>
    <w:p>
      <w:pPr>
        <w:pStyle w:val="Heading3"/>
      </w:pPr>
      <w:r>
        <w:t xml:space="preserve">Risiken und Nebenwirkungen</w:t>
      </w:r>
    </w:p>
    <w:p>
      <w:pPr>
        <w:pStyle w:val="FirstParagraph"/>
      </w:pPr>
      <w:r>
        <w:rPr>
          <w:bCs/>
          <w:b/>
        </w:rPr>
        <w:t xml:space="preserve">Belegt:</w:t>
      </w:r>
      <w:r>
        <w:t xml:space="preserve"> </w:t>
      </w:r>
      <w:r>
        <w:t xml:space="preserve">In den kleinen Studien wurde DSIP als gut verträglich beschrieben; vereinzelt traten Kopfschmerzen auf (Dick 1984, PMID 6548969). Unter Narkose erhöhte es die Herzfrequenz und verringerte die Herzfrequenzvariabilität (Pomfrett 2009, PMID 19142086). Systematische Sicherheitsdaten über mehr als wenige Tage gibt es nicht.</w:t>
      </w:r>
    </w:p>
    <w:p>
      <w:pPr>
        <w:pStyle w:val="BodyText"/>
      </w:pPr>
      <w:r>
        <w:rPr>
          <w:bCs/>
          <w:b/>
        </w:rPr>
        <w:t xml:space="preserve">Theoretisch:</w:t>
      </w:r>
      <w:r>
        <w:t xml:space="preserve"> </w:t>
      </w:r>
      <w:r>
        <w:t xml:space="preserve">Weil weder Rezeptor noch natürliche Funktion geklärt sind, lassen sich Wirkungen und Wechselwirkungen – etwa mit Schlafmitteln, Alkohol oder Opioiden – kaum vorhersagen.</w:t>
      </w:r>
    </w:p>
    <w:p>
      <w:pPr>
        <w:pStyle w:val="BodyText"/>
      </w:pPr>
      <w:r>
        <w:rPr>
          <w:bCs/>
          <w:b/>
        </w:rPr>
        <w:t xml:space="preserve">Graumarkt:</w:t>
      </w:r>
      <w:r>
        <w:t xml:space="preserve"> </w:t>
      </w:r>
      <w:r>
        <w:t xml:space="preserve">DSIP wird online als Pulver zur Injektion verkauft und als Schlafmittel beworben. Die in den Studien verwendeten Präparate wurden in die Vene infundiert; Daten zur Injektion unter die Haut fehlen. Reinheit und Gehalt der Graumarktprodukte sind ungeprüft.</w:t>
      </w:r>
    </w:p>
    <w:p>
      <w:pPr>
        <w:pStyle w:val="BodyText"/>
      </w:pPr>
      <w:r>
        <w:rPr>
          <w:bCs/>
          <w:b/>
        </w:rPr>
        <w:t xml:space="preserve">Wichtig:</w:t>
      </w:r>
      <w:r>
        <w:t xml:space="preserve"> </w:t>
      </w:r>
      <w:r>
        <w:t xml:space="preserve">Für chronische Schlaflosigkeit gibt es wirksame, gut untersuchte Behandlungen, allen voran die kognitive Verhaltenstherapie bei Insomnie.</w:t>
      </w:r>
    </w:p>
    <w:bookmarkEnd w:id="656"/>
    <w:bookmarkStart w:id="657" w:name="rechtslage-38"/>
    <w:p>
      <w:pPr>
        <w:pStyle w:val="Heading3"/>
      </w:pPr>
      <w:r>
        <w:t xml:space="preserve">Rechtslage</w:t>
      </w:r>
    </w:p>
    <w:p>
      <w:pPr>
        <w:numPr>
          <w:ilvl w:val="0"/>
          <w:numId w:val="1214"/>
        </w:numPr>
        <w:pStyle w:val="Compact"/>
      </w:pPr>
      <w:r>
        <w:rPr>
          <w:bCs/>
          <w:b/>
        </w:rPr>
        <w:t xml:space="preserve">EU / Österreich / Deutschland:</w:t>
      </w:r>
      <w:r>
        <w:t xml:space="preserve"> </w:t>
      </w:r>
      <w:r>
        <w:t xml:space="preserve">nicht zugelassen; als Stoff mit pharmakologischer Wirkung gilt DSIP als Arzneimittel, ein Verkauf zur Anwendung am Menschen ist nicht erlaubt (Stand 2026, bitte aktuell prüfen).</w:t>
      </w:r>
    </w:p>
    <w:p>
      <w:pPr>
        <w:numPr>
          <w:ilvl w:val="0"/>
          <w:numId w:val="1214"/>
        </w:numPr>
        <w:pStyle w:val="Compact"/>
      </w:pPr>
      <w:r>
        <w:rPr>
          <w:bCs/>
          <w:b/>
        </w:rPr>
        <w:t xml:space="preserve">USA:</w:t>
      </w:r>
      <w:r>
        <w:t xml:space="preserve"> </w:t>
      </w:r>
      <w:r>
        <w:t xml:space="preserve">nicht zugelassen; der Beratungsausschuss PCAC sprach sich im Juli 2026 knapp gegen eine Zulassung für Apotheken-Rezepturen aus. Die endgültige FDA-Entscheidung stand bei Redaktionsschluss aus (Stand Oktober 2026, bitte aktuell prüfen).</w:t>
      </w:r>
    </w:p>
    <w:p>
      <w:pPr>
        <w:numPr>
          <w:ilvl w:val="0"/>
          <w:numId w:val="1214"/>
        </w:numPr>
        <w:pStyle w:val="Compact"/>
      </w:pPr>
      <w:r>
        <w:rPr>
          <w:bCs/>
          <w:b/>
        </w:rPr>
        <w:t xml:space="preserve">Sport:</w:t>
      </w:r>
      <w:r>
        <w:t xml:space="preserve"> </w:t>
      </w:r>
      <w:r>
        <w:t xml:space="preserve">nicht namentlich auf der WADA-Liste (Stand 2026, bitte aktuell prüfen).</w:t>
      </w:r>
    </w:p>
    <w:bookmarkEnd w:id="657"/>
    <w:bookmarkStart w:id="658" w:name="laufende-studien-und-ausblick-38"/>
    <w:p>
      <w:pPr>
        <w:pStyle w:val="Heading3"/>
      </w:pPr>
      <w:r>
        <w:t xml:space="preserve">Laufende Studien und Ausblick</w:t>
      </w:r>
    </w:p>
    <w:p>
      <w:pPr>
        <w:pStyle w:val="FirstParagraph"/>
      </w:pPr>
      <w:r>
        <w:rPr>
          <w:bCs/>
          <w:b/>
        </w:rPr>
        <w:t xml:space="preserve">Gesichert:</w:t>
      </w:r>
      <w:r>
        <w:t xml:space="preserve"> </w:t>
      </w:r>
      <w:r>
        <w:t xml:space="preserve">Auf ClinicalTrials.gov ist keine Studie mit DSIP registriert (Abfrage Oktober 2026). Seit den 1990er-Jahren sind praktisch keine neuen klinischen Daten hinzugekommen.</w:t>
      </w:r>
    </w:p>
    <w:p>
      <w:pPr>
        <w:pStyle w:val="BodyText"/>
      </w:pPr>
      <w:r>
        <w:rPr>
          <w:bCs/>
          <w:b/>
        </w:rPr>
        <w:t xml:space="preserve">Einschätzung:</w:t>
      </w:r>
      <w:r>
        <w:t xml:space="preserve"> </w:t>
      </w:r>
      <w:r>
        <w:t xml:space="preserve">Ohne Klarheit über Rezeptor und natürliche Funktion und ohne moderne, ausreichend große Schlafstudie ist nicht zu erwarten, dass DSIP als Arzneimittel zurückkehrt.</w:t>
      </w:r>
    </w:p>
    <w:bookmarkEnd w:id="658"/>
    <w:bookmarkStart w:id="659" w:name="fazit-38"/>
    <w:p>
      <w:pPr>
        <w:pStyle w:val="Heading3"/>
      </w:pPr>
      <w:r>
        <w:t xml:space="preserve">Fazit</w:t>
      </w:r>
    </w:p>
    <w:p>
      <w:pPr>
        <w:pStyle w:val="FirstParagraph"/>
      </w:pPr>
      <w:r>
        <w:t xml:space="preserve">DSIP wurde 1977 als möglicher körpereigener „Schlafstoff“ entdeckt, doch Gen, Rezeptor und natürliche Funktion sind bis heute unbekannt. Frühe Studien einer Basler Gruppe mit jeweils sechs bis 14 Personen berichteten besseren Schlaf; unabhängige Placebo-kontrollierte Studien fanden nur schwache, klinisch wenig bedeutsame Effekte. Neuere Daten am Menschen gibt es kaum. Die Daten reichen nicht aus, um DSIP als wirksames oder sicheres Schlafmittel zu betrachten.</w:t>
      </w:r>
    </w:p>
    <w:bookmarkEnd w:id="659"/>
    <w:bookmarkEnd w:id="660"/>
    <w:bookmarkStart w:id="672" w:name="epitalon-epithalon"/>
    <w:p>
      <w:pPr>
        <w:pStyle w:val="Heading2"/>
      </w:pPr>
      <w:r>
        <w:t xml:space="preserve">Epitalon (Epithalon)</w:t>
      </w:r>
    </w:p>
    <w:bookmarkStart w:id="661" w:name="steckbrief-39"/>
    <w:p>
      <w:pPr>
        <w:pStyle w:val="Heading3"/>
      </w:pPr>
      <w:r>
        <w:t xml:space="preserve">Steckbrief</w:t>
      </w:r>
    </w:p>
    <w:p>
      <w:pPr>
        <w:numPr>
          <w:ilvl w:val="0"/>
          <w:numId w:val="1215"/>
        </w:numPr>
        <w:pStyle w:val="Compact"/>
      </w:pPr>
      <w:r>
        <w:rPr>
          <w:bCs/>
          <w:b/>
        </w:rPr>
        <w:t xml:space="preserve">Art und Struktur:</w:t>
      </w:r>
      <w:r>
        <w:t xml:space="preserve"> </w:t>
      </w:r>
      <w:r>
        <w:t xml:space="preserve">synthetisches Tetrapeptid aus vier Aminosäuren: Ala-Glu-Asp-Gly (abgekürzt AEDG). Schreibweisen: Epitalon, Epithalon, Epithalone.</w:t>
      </w:r>
    </w:p>
    <w:p>
      <w:pPr>
        <w:numPr>
          <w:ilvl w:val="0"/>
          <w:numId w:val="1215"/>
        </w:numPr>
        <w:pStyle w:val="Compact"/>
      </w:pPr>
      <w:r>
        <w:rPr>
          <w:bCs/>
          <w:b/>
        </w:rPr>
        <w:t xml:space="preserve">Herkunft:</w:t>
      </w:r>
      <w:r>
        <w:t xml:space="preserve"> </w:t>
      </w:r>
      <w:r>
        <w:t xml:space="preserve">entwickelt in den 1980er- und 1990er-Jahren am St. Petersburger Institut für Bioregulation und Gerontologie unter Wladimir Chavinson (in Fachartikeln: Khavinson). Die Aminosäurefolge wurde aus der Zusammensetzung von</w:t>
      </w:r>
      <w:r>
        <w:t xml:space="preserve"> </w:t>
      </w:r>
      <w:r>
        <w:rPr>
          <w:bCs/>
          <w:b/>
        </w:rPr>
        <w:t xml:space="preserve">Epithalamin</w:t>
      </w:r>
      <w:r>
        <w:t xml:space="preserve"> </w:t>
      </w:r>
      <w:r>
        <w:t xml:space="preserve">abgeleitet, einem Extrakt aus der Zirbeldrüse (Epiphyse) von Rindern. Epitalon und Epithalamin sind chemisch verschiedene Substanzen.</w:t>
      </w:r>
    </w:p>
    <w:p>
      <w:pPr>
        <w:numPr>
          <w:ilvl w:val="0"/>
          <w:numId w:val="1215"/>
        </w:numPr>
        <w:pStyle w:val="Compact"/>
      </w:pPr>
      <w:r>
        <w:rPr>
          <w:bCs/>
          <w:b/>
        </w:rPr>
        <w:t xml:space="preserve">Wirkprinzip:</w:t>
      </w:r>
      <w:r>
        <w:t xml:space="preserve"> </w:t>
      </w:r>
      <w:r>
        <w:t xml:space="preserve">soll als „Peptid-Bioregulator“ die Funktion der Zirbeldrüse normalisieren, die Melatoninbildung im Alter fördern und das Enzym Telomerase aktivieren, das die Enden der Chromosomen (Telomere) verlängert.</w:t>
      </w:r>
    </w:p>
    <w:p>
      <w:pPr>
        <w:numPr>
          <w:ilvl w:val="0"/>
          <w:numId w:val="1215"/>
        </w:numPr>
        <w:pStyle w:val="Compact"/>
      </w:pPr>
      <w:r>
        <w:rPr>
          <w:bCs/>
          <w:b/>
        </w:rPr>
        <w:t xml:space="preserve">Zulassung EU:</w:t>
      </w:r>
      <w:r>
        <w:t xml:space="preserve"> </w:t>
      </w:r>
      <w:r>
        <w:t xml:space="preserve">nein.</w:t>
      </w:r>
    </w:p>
    <w:p>
      <w:pPr>
        <w:numPr>
          <w:ilvl w:val="0"/>
          <w:numId w:val="1215"/>
        </w:numPr>
        <w:pStyle w:val="Compact"/>
      </w:pPr>
      <w:r>
        <w:rPr>
          <w:bCs/>
          <w:b/>
        </w:rPr>
        <w:t xml:space="preserve">Zulassung USA:</w:t>
      </w:r>
      <w:r>
        <w:t xml:space="preserve"> </w:t>
      </w:r>
      <w:r>
        <w:t xml:space="preserve">nein. Im April 2026 von der FDA-„Kategorie 2“ gestrichen; der Beratungsausschuss PCAC stimmte im Juli 2026 mit 7 zu 4 Stimmen für die Aufnahme in die Liste zulässiger Rezeptursubstanzen, entgegen der Empfehlung der FDA-Fachleute. Eine Zulassung als Arzneimittel ist das nicht (Stand Oktober 2026, bitte aktuell prüfen).</w:t>
      </w:r>
    </w:p>
    <w:p>
      <w:pPr>
        <w:numPr>
          <w:ilvl w:val="0"/>
          <w:numId w:val="1215"/>
        </w:numPr>
        <w:pStyle w:val="Compact"/>
      </w:pPr>
      <w:r>
        <w:rPr>
          <w:bCs/>
          <w:b/>
        </w:rPr>
        <w:t xml:space="preserve">WADA:</w:t>
      </w:r>
      <w:r>
        <w:t xml:space="preserve"> </w:t>
      </w:r>
      <w:r>
        <w:t xml:space="preserve">nicht namentlich gelistet; als nirgends als Arzneimittel zugelassene Substanz fällt Epitalon nach unserer Einschätzung unter die Sammelkategorie S0 (Stand 2026, bitte aktuell prüfen).</w:t>
      </w:r>
    </w:p>
    <w:p>
      <w:pPr>
        <w:numPr>
          <w:ilvl w:val="0"/>
          <w:numId w:val="1215"/>
        </w:numPr>
        <w:pStyle w:val="Compact"/>
      </w:pPr>
      <w:r>
        <w:rPr>
          <w:bCs/>
          <w:b/>
        </w:rPr>
        <w:t xml:space="preserve">Evidenzstufe:</w:t>
      </w:r>
      <w:r>
        <w:t xml:space="preserve"> </w:t>
      </w:r>
      <w:r>
        <w:rPr>
          <w:bCs/>
          <w:b/>
        </w:rPr>
        <w:t xml:space="preserve">C</w:t>
      </w:r>
      <w:r>
        <w:t xml:space="preserve"> </w:t>
      </w:r>
      <w:r>
        <w:t xml:space="preserve">– nur eine kleine kontrollierte Studie mit dem synthetischen Peptid am Menschen; die übrigen Humandaten betreffen den Extrakt Epithalamin oder Zellen im Reagenzglas.</w:t>
      </w:r>
    </w:p>
    <w:bookmarkEnd w:id="661"/>
    <w:bookmarkStart w:id="662" w:name="wie-es-wirken-soll-39"/>
    <w:p>
      <w:pPr>
        <w:pStyle w:val="Heading3"/>
      </w:pPr>
      <w:r>
        <w:t xml:space="preserve">Wie es wirken soll</w:t>
      </w:r>
    </w:p>
    <w:p>
      <w:pPr>
        <w:pStyle w:val="FirstParagraph"/>
      </w:pPr>
      <w:r>
        <w:t xml:space="preserve">Die Zirbeldrüse ist ein kleines Organ im Gehirn, das nachts das Hormon Melatonin bildet und damit den Tag-Nacht-Rhythmus mitsteuert. Im Alter nimmt die Melatoninbildung ab. Die St. Petersburger Gruppe ging davon aus, dass kurze Peptide aus Organen als „Bioregulatoren“ die Funktion genau dieser Organe wiederherstellen können – aus der Zirbeldrüse für die Zirbeldrüse, aus der Thymusdrüse für das Immunsystem (siehe auch das Kapitel Thymalin in Teil II · B).</w:t>
      </w:r>
    </w:p>
    <w:p>
      <w:pPr>
        <w:pStyle w:val="BodyText"/>
      </w:pPr>
      <w:r>
        <w:t xml:space="preserve">Für Epitalon werden mehrere Mechanismen beschrieben, fast alle aus Labor- und Tierversuchen der Entwicklergruppe:</w:t>
      </w:r>
    </w:p>
    <w:p>
      <w:pPr>
        <w:numPr>
          <w:ilvl w:val="0"/>
          <w:numId w:val="1216"/>
        </w:numPr>
        <w:pStyle w:val="Compact"/>
      </w:pPr>
      <w:r>
        <w:rPr>
          <w:bCs/>
          <w:b/>
        </w:rPr>
        <w:t xml:space="preserve">Telomerase und Telomere:</w:t>
      </w:r>
      <w:r>
        <w:t xml:space="preserve"> </w:t>
      </w:r>
      <w:r>
        <w:t xml:space="preserve">Telomere sind schützende Endstücke der Chromosomen, die bei jeder Zellteilung etwas kürzer werden. Das Enzym Telomerase kann sie wieder verlängern; in den meisten Körperzellen ist es abgeschaltet. In Kulturen menschlicher Fibroblasten (Bindegewebszellen) aus Feten soll Epitalon die Telomerase eingeschaltet und die Telomere verlängert haben (Khavinson 2003, PMID 12937682).</w:t>
      </w:r>
    </w:p>
    <w:p>
      <w:pPr>
        <w:numPr>
          <w:ilvl w:val="0"/>
          <w:numId w:val="1216"/>
        </w:numPr>
        <w:pStyle w:val="Compact"/>
      </w:pPr>
      <w:r>
        <w:rPr>
          <w:bCs/>
          <w:b/>
        </w:rPr>
        <w:t xml:space="preserve">Chromatin und Gene:</w:t>
      </w:r>
      <w:r>
        <w:t xml:space="preserve"> </w:t>
      </w:r>
      <w:r>
        <w:t xml:space="preserve">In Lymphozyten 76- bis 80-jähriger Menschen soll Epitalon im Reagenzglas „verdichtetes“ Erbgut wieder aufgelockert und stillgelegte Gene aktiviert haben (Khavinson 2003, PMID 14647006). Die Gruppe postuliert, dass kurze Peptide direkt an die DNA binden.</w:t>
      </w:r>
    </w:p>
    <w:p>
      <w:pPr>
        <w:numPr>
          <w:ilvl w:val="0"/>
          <w:numId w:val="1216"/>
        </w:numPr>
        <w:pStyle w:val="Compact"/>
      </w:pPr>
      <w:r>
        <w:rPr>
          <w:bCs/>
          <w:b/>
        </w:rPr>
        <w:t xml:space="preserve">Melatonin:</w:t>
      </w:r>
      <w:r>
        <w:t xml:space="preserve"> </w:t>
      </w:r>
      <w:r>
        <w:t xml:space="preserve">In Zellkulturen und bei Tieren beeinflusste Epitalon die Melatoninbildung.</w:t>
      </w:r>
    </w:p>
    <w:p>
      <w:pPr>
        <w:pStyle w:val="FirstParagraph"/>
      </w:pPr>
      <w:r>
        <w:t xml:space="preserve">Eine Übersichtsarbeit von 2025 fasst zusammen, dass trotz 25 Jahren Forschung unklar bleibe, ob diese Mechanismen die einzigen sind, und dass es nur wenige grundlegende physikalisch-chemische und strukturelle Untersuchungen des Peptids gibt (Araj 2025, PMID 40141333).</w:t>
      </w:r>
    </w:p>
    <w:bookmarkEnd w:id="662"/>
    <w:bookmarkStart w:id="666" w:name="studien-am-menschen-39"/>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nur</w:t>
      </w:r>
      <w:r>
        <w:t xml:space="preserve"> </w:t>
      </w:r>
      <w:r>
        <w:rPr>
          <w:bCs/>
          <w:b/>
        </w:rPr>
        <w:t xml:space="preserve">eine</w:t>
      </w:r>
      <w:r>
        <w:t xml:space="preserve"> </w:t>
      </w:r>
      <w:r>
        <w:t xml:space="preserve">als Humanstudie klassifizierte Veröffentlichung zu Epitalon; insgesamt führt PubMed rund 120 Arbeiten mit den Suchbegriffen, ganz überwiegend Tier- und Zellstudien aus St. Petersburg. Auf ClinicalTrials.gov ist eine Studie registriert (siehe Ausblick). Eine aktuelle unabhängige Übersicht kommt zum selben Ergebnis: Die Humandaten zu synthetischem Epitalon beschränken sich auf kleine physiologische oder Biomarker-Studien und eine ältere kontrollierte Studie bei Retinitis pigmentosa; keine ausreichend große randomisierte Studie hat eine therapeutische Wirksamkeit belegt (Jain 2026, PMID 42884164).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Untersuchte Substanz und Design</w:t>
            </w:r>
          </w:p>
        </w:tc>
        <w:tc>
          <w:tcPr/>
          <w:p>
            <w:pPr>
              <w:pStyle w:val="Compact"/>
              <w:jc w:val="left"/>
            </w:pPr>
            <w:r>
              <w:t xml:space="preserve">Teilnehmende</w:t>
            </w:r>
          </w:p>
        </w:tc>
        <w:tc>
          <w:tcPr/>
          <w:p>
            <w:pPr>
              <w:pStyle w:val="Compact"/>
              <w:jc w:val="left"/>
            </w:pPr>
            <w:r>
              <w:t xml:space="preserve">Ergebnis</w:t>
            </w:r>
          </w:p>
        </w:tc>
      </w:tr>
      <w:tr>
        <w:tc>
          <w:tcPr/>
          <w:p>
            <w:pPr>
              <w:pStyle w:val="Compact"/>
              <w:jc w:val="left"/>
            </w:pPr>
            <w:r>
              <w:t xml:space="preserve">Khavinson 2002, PMID 12195242</w:t>
            </w:r>
          </w:p>
        </w:tc>
        <w:tc>
          <w:tcPr/>
          <w:p>
            <w:pPr>
              <w:pStyle w:val="Compact"/>
              <w:jc w:val="left"/>
            </w:pPr>
            <w:r>
              <w:t xml:space="preserve">Epitalon, kontrollierte Studie bei erblicher Netzhautdegeneration (Retinitis pigmentosa)</w:t>
            </w:r>
          </w:p>
        </w:tc>
        <w:tc>
          <w:tcPr/>
          <w:p>
            <w:pPr>
              <w:pStyle w:val="Compact"/>
              <w:jc w:val="left"/>
            </w:pPr>
            <w:r>
              <w:t xml:space="preserve">im Abstract nicht angegeben</w:t>
            </w:r>
          </w:p>
        </w:tc>
        <w:tc>
          <w:tcPr/>
          <w:p>
            <w:pPr>
              <w:pStyle w:val="Compact"/>
              <w:jc w:val="left"/>
            </w:pPr>
            <w:r>
              <w:t xml:space="preserve">„positiver klinischer Effekt in 90 % der Fälle“</w:t>
            </w:r>
          </w:p>
        </w:tc>
      </w:tr>
      <w:tr>
        <w:tc>
          <w:tcPr/>
          <w:p>
            <w:pPr>
              <w:pStyle w:val="Compact"/>
              <w:jc w:val="left"/>
            </w:pPr>
            <w:r>
              <w:t xml:space="preserve">Khavinson 2003, PMID 14523363</w:t>
            </w:r>
          </w:p>
        </w:tc>
        <w:tc>
          <w:tcPr/>
          <w:p>
            <w:pPr>
              <w:pStyle w:val="Compact"/>
              <w:jc w:val="left"/>
            </w:pPr>
            <w:r>
              <w:t xml:space="preserve">Epithalamin (Extrakt) und Thymalin bei älteren Menschen, Kontrollgruppe</w:t>
            </w:r>
          </w:p>
        </w:tc>
        <w:tc>
          <w:tcPr/>
          <w:p>
            <w:pPr>
              <w:pStyle w:val="Compact"/>
              <w:jc w:val="left"/>
            </w:pPr>
            <w:r>
              <w:t xml:space="preserve">266 Personen, 6–8 Jahre</w:t>
            </w:r>
          </w:p>
        </w:tc>
        <w:tc>
          <w:tcPr/>
          <w:p>
            <w:pPr>
              <w:pStyle w:val="Compact"/>
              <w:jc w:val="left"/>
            </w:pPr>
            <w:r>
              <w:t xml:space="preserve">laut Autoren 1,6- bis 1,8-fach geringere Sterblichkeit unter Epithalamin</w:t>
            </w:r>
          </w:p>
        </w:tc>
      </w:tr>
      <w:tr>
        <w:tc>
          <w:tcPr/>
          <w:p>
            <w:pPr>
              <w:pStyle w:val="Compact"/>
              <w:jc w:val="left"/>
            </w:pPr>
            <w:r>
              <w:t xml:space="preserve">Labunets 2004, PMID 15455130</w:t>
            </w:r>
          </w:p>
        </w:tc>
        <w:tc>
          <w:tcPr/>
          <w:p>
            <w:pPr>
              <w:pStyle w:val="Compact"/>
              <w:jc w:val="left"/>
            </w:pPr>
            <w:r>
              <w:t xml:space="preserve">Epithalamin, Kurs bei älteren Menschen</w:t>
            </w:r>
          </w:p>
        </w:tc>
        <w:tc>
          <w:tcPr/>
          <w:p>
            <w:pPr>
              <w:pStyle w:val="Compact"/>
              <w:jc w:val="left"/>
            </w:pPr>
            <w:r>
              <w:t xml:space="preserve">im Abstract nicht angegeben</w:t>
            </w:r>
          </w:p>
        </w:tc>
        <w:tc>
          <w:tcPr/>
          <w:p>
            <w:pPr>
              <w:pStyle w:val="Compact"/>
              <w:jc w:val="left"/>
            </w:pPr>
            <w:r>
              <w:t xml:space="preserve">Melatonin-Rhythmus und Thymusfaktor „jünger“</w:t>
            </w:r>
          </w:p>
        </w:tc>
      </w:tr>
      <w:tr>
        <w:tc>
          <w:tcPr/>
          <w:p>
            <w:pPr>
              <w:pStyle w:val="Compact"/>
              <w:jc w:val="left"/>
            </w:pPr>
            <w:r>
              <w:t xml:space="preserve">Khavinson 2019, PMID 31761987</w:t>
            </w:r>
          </w:p>
        </w:tc>
        <w:tc>
          <w:tcPr/>
          <w:p>
            <w:pPr>
              <w:pStyle w:val="Compact"/>
              <w:jc w:val="left"/>
            </w:pPr>
            <w:r>
              <w:t xml:space="preserve">AEDG im Reagenzglas an Blutzellen</w:t>
            </w:r>
          </w:p>
        </w:tc>
        <w:tc>
          <w:tcPr/>
          <w:p>
            <w:pPr>
              <w:pStyle w:val="Compact"/>
              <w:jc w:val="left"/>
            </w:pPr>
            <w:r>
              <w:t xml:space="preserve">11 Männer (Zellproben)</w:t>
            </w:r>
          </w:p>
        </w:tc>
        <w:tc>
          <w:tcPr/>
          <w:p>
            <w:pPr>
              <w:pStyle w:val="Compact"/>
              <w:jc w:val="left"/>
            </w:pPr>
            <w:r>
              <w:t xml:space="preserve">Telomerlänge in 5 Fällen länger, in 2 Fällen kürzer</w:t>
            </w:r>
          </w:p>
        </w:tc>
      </w:tr>
    </w:tbl>
    <w:bookmarkStart w:id="663" w:name="die-eine-studie-mit-epitalon"/>
    <w:p>
      <w:pPr>
        <w:pStyle w:val="Heading4"/>
      </w:pPr>
      <w:r>
        <w:t xml:space="preserve">Die eine Studie mit Epitalon</w:t>
      </w:r>
    </w:p>
    <w:p>
      <w:pPr>
        <w:pStyle w:val="FirstParagraph"/>
      </w:pPr>
      <w:r>
        <w:t xml:space="preserve">In der einzigen klinischen Studie mit synthetischem Epitalon wurden Personen mit Retinitis pigmentosa behandelt, einer erblichen Erkrankung, bei der die Netzhaut schrittweise abstirbt. Das Abstract berichtet einen „positiven klinischen Effekt in 90 % der Fälle“, nennt aber weder die Zahl der Teilnehmenden noch das Kriterium für „positiv“ oder die Ergebnisse der Kontrollgruppe (Khavinson 2002, PMID 12195242). Unabhängig bestätigt wurde der Befund nicht; in der Behandlung der Retinitis pigmentosa spielt Epitalon keine Rolle.</w:t>
      </w:r>
    </w:p>
    <w:bookmarkEnd w:id="663"/>
    <w:bookmarkStart w:id="664" w:name="die-langlebigkeitsstudie-mit-epithalamin"/>
    <w:p>
      <w:pPr>
        <w:pStyle w:val="Heading4"/>
      </w:pPr>
      <w:r>
        <w:t xml:space="preserve">Die Langlebigkeitsstudie mit Epithalamin</w:t>
      </w:r>
    </w:p>
    <w:p>
      <w:pPr>
        <w:pStyle w:val="FirstParagraph"/>
      </w:pPr>
      <w:r>
        <w:t xml:space="preserve">Die meistzitierte Humanstudie im Internet – „Zirbeldrüsen-Peptide verlängern das menschliche Leben“ – betrifft nicht Epitalon, sondern den tierischen Extrakt Epithalamin. Forschende aus St. Petersburg und Kiew begleiteten 266 ältere Menschen sechs bis acht Jahre lang; in den ersten zwei bis drei Jahren erhielten Teile der Gruppe Thymalin, Epithalamin oder beides. Laut Abstract sank die Sterblichkeit unter Epithalamin um das 1,6- bis 1,8-Fache, unter der Kombination um das 2,5-Fache, und bei jährlicher Kombinationsbehandlung über sechs Jahre sogar um das 4,1-Fache (Khavinson 2003, PMID 14523363).</w:t>
      </w:r>
    </w:p>
    <w:p>
      <w:pPr>
        <w:pStyle w:val="BodyText"/>
      </w:pPr>
      <w:r>
        <w:t xml:space="preserve">Solche Effekte wären außergewöhnlich – größer als bei fast jeder Maßnahme der modernen Medizin. Umso wichtiger sind die Grenzen:</w:t>
      </w:r>
    </w:p>
    <w:p>
      <w:pPr>
        <w:numPr>
          <w:ilvl w:val="0"/>
          <w:numId w:val="1217"/>
        </w:numPr>
        <w:pStyle w:val="Compact"/>
      </w:pPr>
      <w:r>
        <w:t xml:space="preserve">Das Abstract beschreibt weder eine Zufallszuteilung noch eine Verblindung. Es ist nicht erkennbar, wie die Kontrollgruppe ausgewählt wurde.</w:t>
      </w:r>
    </w:p>
    <w:p>
      <w:pPr>
        <w:numPr>
          <w:ilvl w:val="0"/>
          <w:numId w:val="1217"/>
        </w:numPr>
        <w:pStyle w:val="Compact"/>
      </w:pPr>
      <w:r>
        <w:t xml:space="preserve">Die Gruppengrößen der einzelnen Arme und absolute Todeszahlen sind nicht angegeben.</w:t>
      </w:r>
    </w:p>
    <w:p>
      <w:pPr>
        <w:numPr>
          <w:ilvl w:val="0"/>
          <w:numId w:val="1217"/>
        </w:numPr>
        <w:pStyle w:val="Compact"/>
      </w:pPr>
      <w:r>
        <w:t xml:space="preserve">Die Studie wurde nie registriert, und eine unabhängige Wiederholung gibt es nicht.</w:t>
      </w:r>
    </w:p>
    <w:p>
      <w:pPr>
        <w:numPr>
          <w:ilvl w:val="0"/>
          <w:numId w:val="1217"/>
        </w:numPr>
        <w:pStyle w:val="Compact"/>
      </w:pPr>
      <w:r>
        <w:t xml:space="preserve">Die Ergebnisse stammen von den Entwicklern der Präparate.</w:t>
      </w:r>
    </w:p>
    <w:p>
      <w:pPr>
        <w:pStyle w:val="FirstParagraph"/>
      </w:pPr>
      <w:r>
        <w:t xml:space="preserve">Bei nicht randomisierten Beobachtungen können schon kleine Unterschiede zwischen den Gruppen – etwa wer gesünder oder besser betreut war – große scheinbare Effekte auf die Sterblichkeit erzeugen. Für Epitalon selbst lässt sich aus dieser Studie ohnehin nichts ableiten, weil eine andere Substanz untersucht wurde.</w:t>
      </w:r>
    </w:p>
    <w:bookmarkEnd w:id="664"/>
    <w:bookmarkStart w:id="665" w:name="die-telomer-behauptung-im-faktencheck"/>
    <w:p>
      <w:pPr>
        <w:pStyle w:val="Heading4"/>
      </w:pPr>
      <w:r>
        <w:t xml:space="preserve">Die Telomer-Behauptung im Faktencheck</w:t>
      </w:r>
    </w:p>
    <w:p>
      <w:pPr>
        <w:pStyle w:val="FirstParagraph"/>
      </w:pPr>
      <w:r>
        <w:t xml:space="preserve">Im Internet wird Epitalon häufig als Mittel beworben, das „die Telomere verlängert“ und damit „die biologische Uhr zurückdreht“. Was ist daran belegt?</w:t>
      </w:r>
    </w:p>
    <w:p>
      <w:pPr>
        <w:numPr>
          <w:ilvl w:val="0"/>
          <w:numId w:val="1218"/>
        </w:numPr>
        <w:pStyle w:val="Compact"/>
      </w:pPr>
      <w:r>
        <w:rPr>
          <w:bCs/>
          <w:b/>
        </w:rPr>
        <w:t xml:space="preserve">Zellkultur aus St. Petersburg:</w:t>
      </w:r>
      <w:r>
        <w:t xml:space="preserve"> </w:t>
      </w:r>
      <w:r>
        <w:t xml:space="preserve">In menschlichen fetalen Fibroblasten löste Epitalon Telomerase-Aktivität und Telomerverlängerung aus (Khavinson 2003, PMID 12937682); in einer Folgearbeit machten behandelte Zellen zehn zusätzliche Teilungen über ihre übliche Grenze hinaus (Khavinson 2004, PMID 15455129). Beide Arbeiten sind sehr kurz publiziert, ohne detaillierte Methoden im Abstract.</w:t>
      </w:r>
    </w:p>
    <w:p>
      <w:pPr>
        <w:numPr>
          <w:ilvl w:val="0"/>
          <w:numId w:val="1218"/>
        </w:numPr>
        <w:pStyle w:val="Compact"/>
      </w:pPr>
      <w:r>
        <w:rPr>
          <w:bCs/>
          <w:b/>
        </w:rPr>
        <w:t xml:space="preserve">Unabhängige Zellstudie:</w:t>
      </w:r>
      <w:r>
        <w:t xml:space="preserve"> </w:t>
      </w:r>
      <w:r>
        <w:t xml:space="preserve">Eine Arbeitsgruppe außerhalb Russlands fand 2025 ebenfalls dosisabhängig längere Telomere in normalen menschlichen Epithel- und Bindegewebszellen. In Brustkrebs-Zelllinien verlängerten sich die Telomere ebenfalls – dort über einen alternativen Mechanismus (ALT), der typisch für Krebszellen ist (Al-Dulaimi 2025, PMID 40908429).</w:t>
      </w:r>
    </w:p>
    <w:p>
      <w:pPr>
        <w:numPr>
          <w:ilvl w:val="0"/>
          <w:numId w:val="1218"/>
        </w:numPr>
        <w:pStyle w:val="Compact"/>
      </w:pPr>
      <w:r>
        <w:rPr>
          <w:bCs/>
          <w:b/>
        </w:rPr>
        <w:t xml:space="preserve">Blutzellen von Menschen im Reagenzglas:</w:t>
      </w:r>
      <w:r>
        <w:t xml:space="preserve"> </w:t>
      </w:r>
      <w:r>
        <w:t xml:space="preserve">Bei Blutzellen von elf Männern verlängerten sich die Telomere nach Kontakt mit dem Peptid in fünf Fällen, in zwei Fällen wurden sie kürzer; die Autoren deuten das als „Normalisierung“ (Khavinson 2019, PMID 31761987).</w:t>
      </w:r>
    </w:p>
    <w:p>
      <w:pPr>
        <w:numPr>
          <w:ilvl w:val="0"/>
          <w:numId w:val="1218"/>
        </w:numPr>
        <w:pStyle w:val="Compact"/>
      </w:pPr>
      <w:r>
        <w:rPr>
          <w:bCs/>
          <w:b/>
        </w:rPr>
        <w:t xml:space="preserve">Am lebenden Menschen:</w:t>
      </w:r>
      <w:r>
        <w:t xml:space="preserve"> </w:t>
      </w:r>
      <w:r>
        <w:t xml:space="preserve">Es gibt keine veröffentlichte kontrollierte Studie, die gezeigt hätte, dass Epitalon die Telomerlänge in Blut oder Gewebe von Menschen verändert – und erst recht keine, die einen gesundheitlichen Nutzen einer solchen Veränderung belegt.</w:t>
      </w:r>
    </w:p>
    <w:p>
      <w:pPr>
        <w:pStyle w:val="FirstParagraph"/>
      </w:pPr>
      <w:r>
        <w:t xml:space="preserve">Hinzu kommt: Die Telomerlänge ist zwar mit dem Alter verknüpft, aber kein verlässliches Maß für die „biologische Uhr“ eines einzelnen Menschen. Und eine dauerhaft aktivierte Telomerase ist ein Kennzeichen der allermeisten Krebsarten. Die Fähigkeit, Telomere zu verlängern, ist deshalb nicht automatisch ein Vorteil (siehe Risiken).</w:t>
      </w:r>
    </w:p>
    <w:bookmarkEnd w:id="665"/>
    <w:bookmarkEnd w:id="666"/>
    <w:bookmarkStart w:id="667" w:name="tier--und-laborstudien-39"/>
    <w:p>
      <w:pPr>
        <w:pStyle w:val="Heading3"/>
      </w:pPr>
      <w:r>
        <w:t xml:space="preserve">Tier- und Laborstudien</w:t>
      </w:r>
    </w:p>
    <w:p>
      <w:pPr>
        <w:numPr>
          <w:ilvl w:val="0"/>
          <w:numId w:val="1219"/>
        </w:numPr>
        <w:pStyle w:val="Compact"/>
      </w:pPr>
      <w:r>
        <w:rPr>
          <w:bCs/>
          <w:b/>
        </w:rPr>
        <w:t xml:space="preserve">Lebensdauer bei Mäusen:</w:t>
      </w:r>
      <w:r>
        <w:t xml:space="preserve"> </w:t>
      </w:r>
      <w:r>
        <w:t xml:space="preserve">In der wichtigsten Tierstudie erhielten je 54 weibliche Mäuse lebenslang monatlich Epitalon oder Kochsalzlösung. Die</w:t>
      </w:r>
      <w:r>
        <w:t xml:space="preserve"> </w:t>
      </w:r>
      <w:r>
        <w:rPr>
          <w:bCs/>
          <w:b/>
        </w:rPr>
        <w:t xml:space="preserve">mittlere Lebensdauer</w:t>
      </w:r>
      <w:r>
        <w:t xml:space="preserve"> </w:t>
      </w:r>
      <w:r>
        <w:t xml:space="preserve">unterschied sich</w:t>
      </w:r>
      <w:r>
        <w:t xml:space="preserve"> </w:t>
      </w:r>
      <w:r>
        <w:rPr>
          <w:bCs/>
          <w:b/>
        </w:rPr>
        <w:t xml:space="preserve">nicht</w:t>
      </w:r>
      <w:r>
        <w:t xml:space="preserve">; nur die letzten 10 % der Überlebenden lebten 13,3 % länger, die maximale Lebensdauer lag 12,3 % höher. Die Gesamtzahl spontaner Tumoren war gleich, Leukämien traten seltener auf (Anisimov 2003, PMID 14501183).</w:t>
      </w:r>
    </w:p>
    <w:p>
      <w:pPr>
        <w:numPr>
          <w:ilvl w:val="0"/>
          <w:numId w:val="1219"/>
        </w:numPr>
        <w:pStyle w:val="Compact"/>
      </w:pPr>
      <w:r>
        <w:rPr>
          <w:bCs/>
          <w:b/>
        </w:rPr>
        <w:t xml:space="preserve">Fruchtfliegen:</w:t>
      </w:r>
      <w:r>
        <w:t xml:space="preserve"> </w:t>
      </w:r>
      <w:r>
        <w:t xml:space="preserve">Auch bei Taufliegen wurde eine längere Lebensdauer berichtet (Khavinson 2000, PMID 11087911).</w:t>
      </w:r>
    </w:p>
    <w:p>
      <w:pPr>
        <w:numPr>
          <w:ilvl w:val="0"/>
          <w:numId w:val="1219"/>
        </w:numPr>
        <w:pStyle w:val="Compact"/>
      </w:pPr>
      <w:r>
        <w:rPr>
          <w:bCs/>
          <w:b/>
        </w:rPr>
        <w:t xml:space="preserve">Netzhaut:</w:t>
      </w:r>
      <w:r>
        <w:t xml:space="preserve"> </w:t>
      </w:r>
      <w:r>
        <w:t xml:space="preserve">Bei Ratten mit erblicher Netzhautdegeneration blieb die Netzhautstruktur unter Epitalon besser erhalten (Khavinson 2003, PMID 12910293).</w:t>
      </w:r>
    </w:p>
    <w:p>
      <w:pPr>
        <w:numPr>
          <w:ilvl w:val="0"/>
          <w:numId w:val="1219"/>
        </w:numPr>
        <w:pStyle w:val="Compact"/>
      </w:pPr>
      <w:r>
        <w:rPr>
          <w:bCs/>
          <w:b/>
        </w:rPr>
        <w:t xml:space="preserve">Eizellen:</w:t>
      </w:r>
      <w:r>
        <w:t xml:space="preserve"> </w:t>
      </w:r>
      <w:r>
        <w:t xml:space="preserve">In Kulturen gealterter Mäuse-Eizellen verringerte Epitalon Schäden durch oxidativen Stress (Yue 2022, PMID 35413689).</w:t>
      </w:r>
    </w:p>
    <w:p>
      <w:pPr>
        <w:pStyle w:val="FirstParagraph"/>
      </w:pPr>
      <w:r>
        <w:t xml:space="preserve">Die überwiegende Zahl dieser Studien stammt aus der Gruppe um Chavinson und Anisimov, meist in russischen Zeitschriften oder in Zeitschriften, in denen die Gruppe selbst häufig publizierte. Unabhängige Wiederholungen sind selten.</w:t>
      </w:r>
    </w:p>
    <w:bookmarkEnd w:id="667"/>
    <w:bookmarkStart w:id="668" w:name="risiken-und-nebenwirkungen-39"/>
    <w:p>
      <w:pPr>
        <w:pStyle w:val="Heading3"/>
      </w:pPr>
      <w:r>
        <w:t xml:space="preserve">Risiken und Nebenwirkungen</w:t>
      </w:r>
    </w:p>
    <w:p>
      <w:pPr>
        <w:pStyle w:val="FirstParagraph"/>
      </w:pPr>
      <w:r>
        <w:rPr>
          <w:bCs/>
          <w:b/>
        </w:rPr>
        <w:t xml:space="preserve">Belegt:</w:t>
      </w:r>
      <w:r>
        <w:t xml:space="preserve"> </w:t>
      </w:r>
      <w:r>
        <w:t xml:space="preserve">Es gibt keine systematisch erhobenen Sicherheitsdaten zu Epitalon am Menschen.</w:t>
      </w:r>
    </w:p>
    <w:p>
      <w:pPr>
        <w:pStyle w:val="BodyText"/>
      </w:pPr>
      <w:r>
        <w:rPr>
          <w:bCs/>
          <w:b/>
        </w:rPr>
        <w:t xml:space="preserve">Theoretisch:</w:t>
      </w:r>
    </w:p>
    <w:p>
      <w:pPr>
        <w:numPr>
          <w:ilvl w:val="0"/>
          <w:numId w:val="1220"/>
        </w:numPr>
        <w:pStyle w:val="Compact"/>
      </w:pPr>
      <w:r>
        <w:rPr>
          <w:bCs/>
          <w:b/>
        </w:rPr>
        <w:t xml:space="preserve">Krebs:</w:t>
      </w:r>
      <w:r>
        <w:t xml:space="preserve"> </w:t>
      </w:r>
      <w:r>
        <w:t xml:space="preserve">Telomerase-Aktivierung ist ein zentrales Merkmal von Krebszellen. Eine Substanz, die Telomerase einschalten soll, könnte theoretisch das Wachstum bereits vorhandener, unentdeckter Krebszellen begünstigen. In der unabhängigen Zellstudie verlängerten sich auch die Telomere von Brustkrebszellen (Al-Dulaimi 2025, PMID 40908429). Die Mäusestudie fand keine Zunahme spontaner Tumoren (Anisimov 2003, PMID 14501183), doch Tierdaten lassen sich nicht auf Jahrzehnte menschlicher Anwendung übertragen.</w:t>
      </w:r>
    </w:p>
    <w:p>
      <w:pPr>
        <w:numPr>
          <w:ilvl w:val="0"/>
          <w:numId w:val="1220"/>
        </w:numPr>
        <w:pStyle w:val="Compact"/>
      </w:pPr>
      <w:r>
        <w:rPr>
          <w:bCs/>
          <w:b/>
        </w:rPr>
        <w:t xml:space="preserve">Hormonsystem:</w:t>
      </w:r>
      <w:r>
        <w:t xml:space="preserve"> </w:t>
      </w:r>
      <w:r>
        <w:t xml:space="preserve">Ein Einfluss auf Melatonin und Zirbeldrüse kann Schlaf und Hormonrhythmen verändern; das ist am Menschen nicht untersucht.</w:t>
      </w:r>
    </w:p>
    <w:p>
      <w:pPr>
        <w:pStyle w:val="FirstParagraph"/>
      </w:pPr>
      <w:r>
        <w:rPr>
          <w:bCs/>
          <w:b/>
        </w:rPr>
        <w:t xml:space="preserve">Graumarkt:</w:t>
      </w:r>
      <w:r>
        <w:t xml:space="preserve"> </w:t>
      </w:r>
      <w:r>
        <w:t xml:space="preserve">Epitalon gehört zu den meistverkauften „Longevity-Peptiden“ und wird als Pulver zur Injektion oder als Nasenspray angeboten. Reinheit, Gehalt und Keimfreiheit sind ungeprüft. Eine unabhängige Übersicht nennt ungelöste Fragen zu Produktqualität, Immunreaktionen und Krebsrisiko (Jain 2026, PMID 42884164).</w:t>
      </w:r>
    </w:p>
    <w:bookmarkEnd w:id="668"/>
    <w:bookmarkStart w:id="669" w:name="rechtslage-39"/>
    <w:p>
      <w:pPr>
        <w:pStyle w:val="Heading3"/>
      </w:pPr>
      <w:r>
        <w:t xml:space="preserve">Rechtslage</w:t>
      </w:r>
    </w:p>
    <w:p>
      <w:pPr>
        <w:numPr>
          <w:ilvl w:val="0"/>
          <w:numId w:val="1221"/>
        </w:numPr>
        <w:pStyle w:val="Compact"/>
      </w:pPr>
      <w:r>
        <w:rPr>
          <w:bCs/>
          <w:b/>
        </w:rPr>
        <w:t xml:space="preserve">EU / Österreich / Deutschland:</w:t>
      </w:r>
      <w:r>
        <w:t xml:space="preserve"> </w:t>
      </w:r>
      <w:r>
        <w:t xml:space="preserve">nicht zugelassen; als Stoff mit pharmakologischer Wirkung gilt Epitalon als Arzneimittel, der Verkauf zur Anwendung am Menschen ist nicht erlaubt (Stand 2026, bitte aktuell prüfen).</w:t>
      </w:r>
    </w:p>
    <w:p>
      <w:pPr>
        <w:numPr>
          <w:ilvl w:val="0"/>
          <w:numId w:val="1221"/>
        </w:numPr>
        <w:pStyle w:val="Compact"/>
      </w:pPr>
      <w:r>
        <w:rPr>
          <w:bCs/>
          <w:b/>
        </w:rPr>
        <w:t xml:space="preserve">USA:</w:t>
      </w:r>
      <w:r>
        <w:t xml:space="preserve"> </w:t>
      </w:r>
      <w:r>
        <w:t xml:space="preserve">nicht zugelassen. Nach dem Votum des Beratungsausschusses PCAC im Juli 2026 könnte Epitalon künftig in Apotheken-Rezepturen verwendet werden dürfen, wenn die FDA dem folgt; das Verfahren war bei Redaktionsschluss nicht abgeschlossen (Stand Oktober 2026, bitte aktuell prüfen).</w:t>
      </w:r>
    </w:p>
    <w:p>
      <w:pPr>
        <w:numPr>
          <w:ilvl w:val="0"/>
          <w:numId w:val="1221"/>
        </w:numPr>
        <w:pStyle w:val="Compact"/>
      </w:pPr>
      <w:r>
        <w:rPr>
          <w:bCs/>
          <w:b/>
        </w:rPr>
        <w:t xml:space="preserve">Russland:</w:t>
      </w:r>
      <w:r>
        <w:t xml:space="preserve"> </w:t>
      </w:r>
      <w:r>
        <w:t xml:space="preserve">In Russland werden Peptid-Bioregulatoren teils als Nahrungsergänzungsmittel vermarktet; Epitalon selbst ist dort nach unserem Kenntnisstand nicht als Arzneimittel registriert (bitte aktuell prüfen).</w:t>
      </w:r>
    </w:p>
    <w:p>
      <w:pPr>
        <w:numPr>
          <w:ilvl w:val="0"/>
          <w:numId w:val="1221"/>
        </w:numPr>
        <w:pStyle w:val="Compact"/>
      </w:pPr>
      <w:r>
        <w:rPr>
          <w:bCs/>
          <w:b/>
        </w:rPr>
        <w:t xml:space="preserve">Sport:</w:t>
      </w:r>
      <w:r>
        <w:t xml:space="preserve"> </w:t>
      </w:r>
      <w:r>
        <w:t xml:space="preserve">nach unserer Einschätzung WADA-Kategorie S0 (Stand 2026, bitte aktuell prüfen).</w:t>
      </w:r>
    </w:p>
    <w:bookmarkEnd w:id="669"/>
    <w:bookmarkStart w:id="670" w:name="laufende-studien-und-ausblick-39"/>
    <w:p>
      <w:pPr>
        <w:pStyle w:val="Heading3"/>
      </w:pPr>
      <w:r>
        <w:t xml:space="preserve">Laufende Studien und Ausblick</w:t>
      </w:r>
    </w:p>
    <w:p>
      <w:pPr>
        <w:pStyle w:val="FirstParagraph"/>
      </w:pPr>
      <w:r>
        <w:rPr>
          <w:bCs/>
          <w:b/>
        </w:rPr>
        <w:t xml:space="preserve">Gesichert:</w:t>
      </w:r>
      <w:r>
        <w:t xml:space="preserve"> </w:t>
      </w:r>
      <w:r>
        <w:t xml:space="preserve">Auf ClinicalTrials.gov ist eine frühe Studie registriert, in der „systemische und örtliche“ Verjüngungsmaßnahmen mit sogenannten Alterungsuhren (epigenetischen Messverfahren) bewertet werden sollen; geplant sind 48 Teilnehmende, Start Oktober 2026 (NCT07888595). Laut Registereintrag ist Epitalon dort nur einer von fünf Bestandteilen eines Peptid-Serums, das auf die Haut aufgetragen wird; zusätzlich werden Medikamente und Nahrungsergänzungsmittel eingenommen. Die Studie hat nur eine Gruppe, keine Verblindung und keine Placebo-Kontrolle. Sie kann daher keine Aussage über die Wirkung von Epitalon selbst liefern.</w:t>
      </w:r>
    </w:p>
    <w:p>
      <w:pPr>
        <w:pStyle w:val="BodyText"/>
      </w:pPr>
      <w:r>
        <w:rPr>
          <w:bCs/>
          <w:b/>
        </w:rPr>
        <w:t xml:space="preserve">Einschätzung:</w:t>
      </w:r>
      <w:r>
        <w:t xml:space="preserve"> </w:t>
      </w:r>
      <w:r>
        <w:t xml:space="preserve">Die Aufnahme in die US-Rezeptur-Liste würde die Verbreitung erhöhen, ohne die Datenlage zu verbessern. Entscheidend wäre eine unabhängige, randomisierte Studie, die zumindest Telomerlänge, Melatonin und Sicherheitsparameter am Menschen über längere Zeit misst.</w:t>
      </w:r>
    </w:p>
    <w:bookmarkEnd w:id="670"/>
    <w:bookmarkStart w:id="671" w:name="fazit-39"/>
    <w:p>
      <w:pPr>
        <w:pStyle w:val="Heading3"/>
      </w:pPr>
      <w:r>
        <w:t xml:space="preserve">Fazit</w:t>
      </w:r>
    </w:p>
    <w:p>
      <w:pPr>
        <w:pStyle w:val="FirstParagraph"/>
      </w:pPr>
      <w:r>
        <w:t xml:space="preserve">Epitalon ist ein synthetisches Tetrapeptid aus St. Petersburg, das in Zellkulturen die Telomerase aktivierte und bei Mäusen die maximale, nicht aber die mittlere Lebensdauer verlängerte. Die oft zitierte Studie zu längerem Leben betraf den Rinder-Extrakt Epithalamin, war nicht randomisiert und wurde nie unabhängig wiederholt. Dass Epitalon beim Menschen Telomere verlängert oder das Altern verlangsamt, ist nicht belegt; die Telomerase-Aktivierung wirft zudem eine ungeklärte Krebsfrage auf. Die Daten reichen nicht aus, um Nutzen oder Sicherheit beim Menschen zu beurteilen.</w:t>
      </w:r>
    </w:p>
    <w:bookmarkEnd w:id="671"/>
    <w:bookmarkEnd w:id="672"/>
    <w:bookmarkStart w:id="681" w:name="pinealon"/>
    <w:p>
      <w:pPr>
        <w:pStyle w:val="Heading2"/>
      </w:pPr>
      <w:r>
        <w:t xml:space="preserve">Pinealon</w:t>
      </w:r>
    </w:p>
    <w:bookmarkStart w:id="673" w:name="steckbrief-40"/>
    <w:p>
      <w:pPr>
        <w:pStyle w:val="Heading3"/>
      </w:pPr>
      <w:r>
        <w:t xml:space="preserve">Steckbrief</w:t>
      </w:r>
    </w:p>
    <w:p>
      <w:pPr>
        <w:numPr>
          <w:ilvl w:val="0"/>
          <w:numId w:val="1222"/>
        </w:numPr>
        <w:pStyle w:val="Compact"/>
      </w:pPr>
      <w:r>
        <w:rPr>
          <w:bCs/>
          <w:b/>
        </w:rPr>
        <w:t xml:space="preserve">Art und Struktur:</w:t>
      </w:r>
      <w:r>
        <w:t xml:space="preserve"> </w:t>
      </w:r>
      <w:r>
        <w:t xml:space="preserve">synthetisches Tripeptid aus drei Aminosäuren: Glu-Asp-Arg (abgekürzt EDR).</w:t>
      </w:r>
    </w:p>
    <w:p>
      <w:pPr>
        <w:numPr>
          <w:ilvl w:val="0"/>
          <w:numId w:val="1222"/>
        </w:numPr>
        <w:pStyle w:val="Compact"/>
      </w:pPr>
      <w:r>
        <w:rPr>
          <w:bCs/>
          <w:b/>
        </w:rPr>
        <w:t xml:space="preserve">Herkunft:</w:t>
      </w:r>
      <w:r>
        <w:t xml:space="preserve"> </w:t>
      </w:r>
      <w:r>
        <w:t xml:space="preserve">entwickelt am St. Petersburger Institut für Bioregulation und Gerontologie (Gruppe um Wladimir Chavinson, die auch Epitalon entwickelt hat). Der Name verweist auf die Zirbeldrüse (Glandula pinealis), obwohl das Peptid vor allem als Schutzstoff für Nervenzellen beschrieben wird.</w:t>
      </w:r>
    </w:p>
    <w:p>
      <w:pPr>
        <w:numPr>
          <w:ilvl w:val="0"/>
          <w:numId w:val="1222"/>
        </w:numPr>
        <w:pStyle w:val="Compact"/>
      </w:pPr>
      <w:r>
        <w:rPr>
          <w:bCs/>
          <w:b/>
        </w:rPr>
        <w:t xml:space="preserve">Wirkprinzip:</w:t>
      </w:r>
      <w:r>
        <w:t xml:space="preserve"> </w:t>
      </w:r>
      <w:r>
        <w:t xml:space="preserve">soll als „kurzer Peptid-Bioregulator“ in Zellen und Zellkerne eindringen, an DNA oder Histone binden und so die Aktivität von Genen beeinflussen, die Nervenzellen vor oxidativem Stress und Zelltod schützen.</w:t>
      </w:r>
    </w:p>
    <w:p>
      <w:pPr>
        <w:numPr>
          <w:ilvl w:val="0"/>
          <w:numId w:val="1222"/>
        </w:numPr>
        <w:pStyle w:val="Compact"/>
      </w:pPr>
      <w:r>
        <w:rPr>
          <w:bCs/>
          <w:b/>
        </w:rPr>
        <w:t xml:space="preserve">Zulassung EU:</w:t>
      </w:r>
      <w:r>
        <w:t xml:space="preserve"> </w:t>
      </w:r>
      <w:r>
        <w:t xml:space="preserve">nein.</w:t>
      </w:r>
    </w:p>
    <w:p>
      <w:pPr>
        <w:numPr>
          <w:ilvl w:val="0"/>
          <w:numId w:val="1222"/>
        </w:numPr>
        <w:pStyle w:val="Compact"/>
      </w:pPr>
      <w:r>
        <w:rPr>
          <w:bCs/>
          <w:b/>
        </w:rPr>
        <w:t xml:space="preserve">Zulassung USA:</w:t>
      </w:r>
      <w:r>
        <w:t xml:space="preserve"> </w:t>
      </w:r>
      <w:r>
        <w:t xml:space="preserve">nein.</w:t>
      </w:r>
    </w:p>
    <w:p>
      <w:pPr>
        <w:numPr>
          <w:ilvl w:val="0"/>
          <w:numId w:val="1222"/>
        </w:numPr>
        <w:pStyle w:val="Compact"/>
      </w:pPr>
      <w:r>
        <w:rPr>
          <w:bCs/>
          <w:b/>
        </w:rPr>
        <w:t xml:space="preserve">Russland:</w:t>
      </w:r>
      <w:r>
        <w:t xml:space="preserve"> </w:t>
      </w:r>
      <w:r>
        <w:t xml:space="preserve">als Bestandteil sogenannter „Zytogene“ in Kapselform vermarktet, also eher als Nahrungsergänzungsmittel denn als geprüftes Arzneimittel.</w:t>
      </w:r>
    </w:p>
    <w:p>
      <w:pPr>
        <w:numPr>
          <w:ilvl w:val="0"/>
          <w:numId w:val="1222"/>
        </w:numPr>
        <w:pStyle w:val="Compact"/>
      </w:pPr>
      <w:r>
        <w:rPr>
          <w:bCs/>
          <w:b/>
        </w:rPr>
        <w:t xml:space="preserve">WADA:</w:t>
      </w:r>
      <w:r>
        <w:t xml:space="preserve"> </w:t>
      </w:r>
      <w:r>
        <w:t xml:space="preserve">nicht namentlich gelistet; ein nicht als Arzneimittel zugelassener Wirkstoff kann unter die Sammelkategorie S0 fallen (Stand 2026, bitte aktuell prüfen).</w:t>
      </w:r>
    </w:p>
    <w:p>
      <w:pPr>
        <w:numPr>
          <w:ilvl w:val="0"/>
          <w:numId w:val="1222"/>
        </w:numPr>
        <w:pStyle w:val="Compact"/>
      </w:pPr>
      <w:r>
        <w:rPr>
          <w:bCs/>
          <w:b/>
        </w:rPr>
        <w:t xml:space="preserve">Evidenzstufe:</w:t>
      </w:r>
      <w:r>
        <w:t xml:space="preserve"> </w:t>
      </w:r>
      <w:r>
        <w:rPr>
          <w:bCs/>
          <w:b/>
        </w:rPr>
        <w:t xml:space="preserve">C</w:t>
      </w:r>
      <w:r>
        <w:t xml:space="preserve"> </w:t>
      </w:r>
      <w:r>
        <w:t xml:space="preserve">– einige kleine, nicht randomisierte russische Beobachtungsstudien mit Ersatzmesswerten wie „biologischem Alter“.</w:t>
      </w:r>
    </w:p>
    <w:bookmarkEnd w:id="673"/>
    <w:bookmarkStart w:id="674" w:name="wie-es-wirken-soll-40"/>
    <w:p>
      <w:pPr>
        <w:pStyle w:val="Heading3"/>
      </w:pPr>
      <w:r>
        <w:t xml:space="preserve">Wie es wirken soll</w:t>
      </w:r>
    </w:p>
    <w:p>
      <w:pPr>
        <w:pStyle w:val="FirstParagraph"/>
      </w:pPr>
      <w:r>
        <w:t xml:space="preserve">Pinealon gehört zu einer Familie sehr kurzer Peptide (zwei bis vier Aminosäuren), die die St. Petersburger Gruppe als „Peptid-Bioregulatoren“ bezeichnet. Die zentrale Hypothese lautet: Solche Mini-Peptide gelangen bis in den Zellkern, binden dort an bestimmte DNA-Abschnitte und regulieren auf diese Weise Gene – ähnlich wie Transkriptionsfaktoren, also Eiweiße, die Gene an- und abschalten.</w:t>
      </w:r>
    </w:p>
    <w:p>
      <w:pPr>
        <w:pStyle w:val="BodyText"/>
      </w:pPr>
      <w:r>
        <w:t xml:space="preserve">Belege dafür stammen aus dem Labor:</w:t>
      </w:r>
    </w:p>
    <w:p>
      <w:pPr>
        <w:numPr>
          <w:ilvl w:val="0"/>
          <w:numId w:val="1223"/>
        </w:numPr>
        <w:pStyle w:val="Compact"/>
      </w:pPr>
      <w:r>
        <w:t xml:space="preserve">In Krebszellen (HeLa) drangen fluoreszenzmarkierte Pinealon-, Epitalon- und verwandte Peptide in Zytoplasma, Zellkern und Kernkörperchen ein; im Reagenzglas veränderten sie die Fluoreszenz markierter DNA-Stücke je nach deren Sequenz (Fedoreyeva 2011, PMID 22117547).</w:t>
      </w:r>
    </w:p>
    <w:p>
      <w:pPr>
        <w:numPr>
          <w:ilvl w:val="0"/>
          <w:numId w:val="1223"/>
        </w:numPr>
        <w:pStyle w:val="Compact"/>
      </w:pPr>
      <w:r>
        <w:t xml:space="preserve">In Nervenzellen aus dem Kleinhirn von Ratten und in anderen Zellkulturen begrenzte Pinealon die Anhäufung reaktiver Sauerstoffverbindungen und verringerte das Absterben von Zellen (Khavinson 2011, PMID 21978084).</w:t>
      </w:r>
    </w:p>
    <w:p>
      <w:pPr>
        <w:pStyle w:val="FirstParagraph"/>
      </w:pPr>
      <w:r>
        <w:t xml:space="preserve">Eine Übersicht der Entwickler fasst zusammen, dass das EDR-Peptid in Zell- und Tierversuchen Gene und Eiweiße beeinflusse, die bei der Alzheimer-Krankheit eine Rolle spielen, etwa Enzyme der antioxidativen Abwehr und Zelltod-Signale (Khavinson 2020, PMID 33396470). Das ist eine Hypothese, die von anderen Forschungsgruppen bisher kaum geprüft wurde. Aus der klassischen Pharmakologie ist zudem bekannt, dass so kurze Peptide im Verdauungstrakt und im Blut rasch zerlegt werden; wie viel unverändertes Pinealon nach Einnahme einer Kapsel die Nervenzellen erreicht, ist nicht untersucht.</w:t>
      </w:r>
    </w:p>
    <w:bookmarkEnd w:id="674"/>
    <w:bookmarkStart w:id="675" w:name="studien-am-menschen-40"/>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w:t>
      </w:r>
      <w:r>
        <w:t xml:space="preserve"> </w:t>
      </w:r>
      <w:r>
        <w:rPr>
          <w:bCs/>
          <w:b/>
        </w:rPr>
        <w:t xml:space="preserve">eine</w:t>
      </w:r>
      <w:r>
        <w:t xml:space="preserve"> </w:t>
      </w:r>
      <w:r>
        <w:t xml:space="preserve">als Humanstudie klassifizierte Veröffentlichung; insgesamt führt PubMed nur 15 Arbeiten mit „Pinealon“ im Titel oder Abstract. Auf ClinicalTrials.gov ist keine Studie registriert. Bei einer Nachsuche fanden sich drei weitere kleine russische Arbeiten mit Menschen, alle in der Zeitschrift „Uspekhi Gerontologii“ (Fortschritte der Gerontologie).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Bashkireva 2012, PMID 23734521</w:t>
            </w:r>
          </w:p>
        </w:tc>
        <w:tc>
          <w:tcPr/>
          <w:p>
            <w:pPr>
              <w:pStyle w:val="Compact"/>
              <w:jc w:val="left"/>
            </w:pPr>
            <w:r>
              <w:t xml:space="preserve">150 Lkw-Fahrer, 150 Metallarbeiter als Vergleich; Peptide in Teilgruppen</w:t>
            </w:r>
          </w:p>
        </w:tc>
        <w:tc>
          <w:tcPr/>
          <w:p>
            <w:pPr>
              <w:pStyle w:val="Compact"/>
              <w:jc w:val="left"/>
            </w:pPr>
            <w:r>
              <w:t xml:space="preserve">nicht angegeben</w:t>
            </w:r>
          </w:p>
        </w:tc>
        <w:tc>
          <w:tcPr/>
          <w:p>
            <w:pPr>
              <w:pStyle w:val="Compact"/>
              <w:jc w:val="left"/>
            </w:pPr>
            <w:r>
              <w:t xml:space="preserve">laut Autoren bessere psychoemotionale Werte, beste Wirkung bei Kombination zweier Peptide</w:t>
            </w:r>
          </w:p>
        </w:tc>
      </w:tr>
      <w:tr>
        <w:tc>
          <w:tcPr/>
          <w:p>
            <w:pPr>
              <w:pStyle w:val="Compact"/>
              <w:jc w:val="left"/>
            </w:pPr>
            <w:r>
              <w:t xml:space="preserve">Nazimko 2012, PMID 22708445</w:t>
            </w:r>
          </w:p>
        </w:tc>
        <w:tc>
          <w:tcPr/>
          <w:p>
            <w:pPr>
              <w:pStyle w:val="Compact"/>
              <w:jc w:val="left"/>
            </w:pPr>
            <w:r>
              <w:t xml:space="preserve">Lokführer-Teams, Pinealon-Kapseln</w:t>
            </w:r>
          </w:p>
        </w:tc>
        <w:tc>
          <w:tcPr/>
          <w:p>
            <w:pPr>
              <w:pStyle w:val="Compact"/>
              <w:jc w:val="left"/>
            </w:pPr>
            <w:r>
              <w:t xml:space="preserve">2 Wochen</w:t>
            </w:r>
          </w:p>
        </w:tc>
        <w:tc>
          <w:tcPr/>
          <w:p>
            <w:pPr>
              <w:pStyle w:val="Compact"/>
              <w:jc w:val="left"/>
            </w:pPr>
            <w:r>
              <w:t xml:space="preserve">laut Autoren besseres „biologisches Alter“ und bessere Anpassungsreaktionen</w:t>
            </w:r>
          </w:p>
        </w:tc>
      </w:tr>
      <w:tr>
        <w:tc>
          <w:tcPr/>
          <w:p>
            <w:pPr>
              <w:pStyle w:val="Compact"/>
              <w:jc w:val="left"/>
            </w:pPr>
            <w:r>
              <w:t xml:space="preserve">Meshchaninov 2015, PMID 26390612</w:t>
            </w:r>
          </w:p>
        </w:tc>
        <w:tc>
          <w:tcPr/>
          <w:p>
            <w:pPr>
              <w:pStyle w:val="Compact"/>
              <w:jc w:val="left"/>
            </w:pPr>
            <w:r>
              <w:t xml:space="preserve">32 Personen (41–83 Jahre) mit Mehrfacherkrankung und organischem Psychosyndrom</w:t>
            </w:r>
          </w:p>
        </w:tc>
        <w:tc>
          <w:tcPr/>
          <w:p>
            <w:pPr>
              <w:pStyle w:val="Compact"/>
              <w:jc w:val="left"/>
            </w:pPr>
            <w:r>
              <w:t xml:space="preserve">nicht angegeben</w:t>
            </w:r>
          </w:p>
        </w:tc>
        <w:tc>
          <w:tcPr/>
          <w:p>
            <w:pPr>
              <w:pStyle w:val="Compact"/>
              <w:jc w:val="left"/>
            </w:pPr>
            <w:r>
              <w:t xml:space="preserve">„anaboler“ Effekt; Hinweise auf oxidierende Wirkung und Hemmung der Blutbildung</w:t>
            </w:r>
          </w:p>
        </w:tc>
      </w:tr>
      <w:tr>
        <w:tc>
          <w:tcPr/>
          <w:p>
            <w:pPr>
              <w:pStyle w:val="Compact"/>
              <w:jc w:val="left"/>
            </w:pPr>
            <w:r>
              <w:t xml:space="preserve">Myakotnykh 2016, PMID 28539017</w:t>
            </w:r>
          </w:p>
        </w:tc>
        <w:tc>
          <w:tcPr/>
          <w:p>
            <w:pPr>
              <w:pStyle w:val="Compact"/>
              <w:jc w:val="left"/>
            </w:pPr>
            <w:r>
              <w:t xml:space="preserve">110 Personen, Vergleich verschiedener „Anti-Aging“-Methoden</w:t>
            </w:r>
          </w:p>
        </w:tc>
        <w:tc>
          <w:tcPr/>
          <w:p>
            <w:pPr>
              <w:pStyle w:val="Compact"/>
              <w:jc w:val="left"/>
            </w:pPr>
            <w:r>
              <w:t xml:space="preserve">nicht angegeben</w:t>
            </w:r>
          </w:p>
        </w:tc>
        <w:tc>
          <w:tcPr/>
          <w:p>
            <w:pPr>
              <w:pStyle w:val="Compact"/>
              <w:jc w:val="left"/>
            </w:pPr>
            <w:r>
              <w:t xml:space="preserve">stärkster Effekt auf das „biologische Alter“ bei Kombination zweier Peptide</w:t>
            </w:r>
          </w:p>
        </w:tc>
      </w:tr>
    </w:tbl>
    <w:p>
      <w:pPr>
        <w:pStyle w:val="BodyText"/>
      </w:pPr>
      <w:r>
        <w:t xml:space="preserve">Alle vier Arbeiten haben gemeinsame Schwächen:</w:t>
      </w:r>
    </w:p>
    <w:p>
      <w:pPr>
        <w:numPr>
          <w:ilvl w:val="0"/>
          <w:numId w:val="1224"/>
        </w:numPr>
        <w:pStyle w:val="Compact"/>
      </w:pPr>
      <w:r>
        <w:rPr>
          <w:bCs/>
          <w:b/>
        </w:rPr>
        <w:t xml:space="preserve">Kein Placebo, keine Verblindung, keine Zufallszuteilung</w:t>
      </w:r>
      <w:r>
        <w:t xml:space="preserve"> </w:t>
      </w:r>
      <w:r>
        <w:t xml:space="preserve">erkennbar. Bei Fragebögen zu Stimmung und Stressbelastung ist der Erwartungseffekt erheblich.</w:t>
      </w:r>
    </w:p>
    <w:p>
      <w:pPr>
        <w:numPr>
          <w:ilvl w:val="0"/>
          <w:numId w:val="1224"/>
        </w:numPr>
        <w:pStyle w:val="Compact"/>
      </w:pPr>
      <w:r>
        <w:rPr>
          <w:bCs/>
          <w:b/>
        </w:rPr>
        <w:t xml:space="preserve">Ersatzmesswerte statt klinischer Endpunkte:</w:t>
      </w:r>
      <w:r>
        <w:t xml:space="preserve"> </w:t>
      </w:r>
      <w:r>
        <w:t xml:space="preserve">Das „biologische Alter“ wird in der russischen Gerontologie aus einer Kombination von Messungen wie Blutdruck, Lungenfunktion, Reaktionszeit und Selbstauskunft berechnet. Es ist kein international standardisiertes Maß, und eine Verbesserung bedeutet nicht automatisch mehr Gesundheit oder ein längeres Leben.</w:t>
      </w:r>
    </w:p>
    <w:p>
      <w:pPr>
        <w:numPr>
          <w:ilvl w:val="0"/>
          <w:numId w:val="1224"/>
        </w:numPr>
        <w:pStyle w:val="Compact"/>
      </w:pPr>
      <w:r>
        <w:rPr>
          <w:bCs/>
          <w:b/>
        </w:rPr>
        <w:t xml:space="preserve">Kombinationen:</w:t>
      </w:r>
      <w:r>
        <w:t xml:space="preserve"> </w:t>
      </w:r>
      <w:r>
        <w:t xml:space="preserve">In mehreren Studien wurde Pinealon zusammen mit dem Peptid Vesugen (Lys-Glu-Asp) gegeben, sodass sich die Wirkung nicht einem Stoff zuordnen lässt.</w:t>
      </w:r>
    </w:p>
    <w:p>
      <w:pPr>
        <w:numPr>
          <w:ilvl w:val="0"/>
          <w:numId w:val="1224"/>
        </w:numPr>
        <w:pStyle w:val="Compact"/>
      </w:pPr>
      <w:r>
        <w:rPr>
          <w:bCs/>
          <w:b/>
        </w:rPr>
        <w:t xml:space="preserve">Unklare Zahlen:</w:t>
      </w:r>
      <w:r>
        <w:t xml:space="preserve"> </w:t>
      </w:r>
      <w:r>
        <w:t xml:space="preserve">Die Abstracts nennen kaum Effektgrößen.</w:t>
      </w:r>
    </w:p>
    <w:p>
      <w:pPr>
        <w:pStyle w:val="FirstParagraph"/>
      </w:pPr>
      <w:r>
        <w:t xml:space="preserve">Bemerkenswert ist ein Befund, der in der Werbung nicht vorkommt: In der Studie mit 32 älteren Menschen beobachteten die Autoren unter Pinealon und Vesugen eine</w:t>
      </w:r>
      <w:r>
        <w:t xml:space="preserve"> </w:t>
      </w:r>
      <w:r>
        <w:rPr>
          <w:bCs/>
          <w:b/>
        </w:rPr>
        <w:t xml:space="preserve">prooxidative</w:t>
      </w:r>
      <w:r>
        <w:t xml:space="preserve"> </w:t>
      </w:r>
      <w:r>
        <w:t xml:space="preserve">Aktivität – also das Gegenteil der behaupteten antioxidativen Wirkung – und einen Rückgang blutbildender Stammzellen (CD34+) im Blut, den sie als deutliche Hemmung der Blutbildung beschreiben. Trotzdem empfehlen sie die Peptide für die geriatrische Praxis (Meshchaninov 2015, PMID 26390612).</w:t>
      </w:r>
    </w:p>
    <w:bookmarkEnd w:id="675"/>
    <w:bookmarkStart w:id="676" w:name="tier--und-laborstudien-40"/>
    <w:p>
      <w:pPr>
        <w:pStyle w:val="Heading3"/>
      </w:pPr>
      <w:r>
        <w:t xml:space="preserve">Tier- und Laborstudien</w:t>
      </w:r>
    </w:p>
    <w:p>
      <w:pPr>
        <w:numPr>
          <w:ilvl w:val="0"/>
          <w:numId w:val="1225"/>
        </w:numPr>
        <w:pStyle w:val="Compact"/>
      </w:pPr>
      <w:r>
        <w:t xml:space="preserve">Bei Ratten, deren Mütter in der Schwangerschaft durch methioninreiches Futter erhöhte Homocysteinwerte hatten, verbesserte Pinealon (den Müttern gegeben) Orientierung und Lernfähigkeit der Nachkommen; deren Kleinhirn-Nervenzellen waren widerstandsfähiger gegen oxidativen Stress (Arutjunyan 2012, PMID 22567179).</w:t>
      </w:r>
    </w:p>
    <w:p>
      <w:pPr>
        <w:numPr>
          <w:ilvl w:val="0"/>
          <w:numId w:val="1225"/>
        </w:numPr>
        <w:pStyle w:val="Compact"/>
      </w:pPr>
      <w:r>
        <w:t xml:space="preserve">Bei 18 Monate alten Ratten beeinflussten Pinealon und Cortexin (ein russisches Hirnextrakt-Präparat) unter Sauerstoffmangel und Unterkühlung Verhalten und Botenstoffe im Gehirn; Cortexin wirkte dabei stärker auf Radikalprozesse und Zelltod-Enzyme (Mendzheritsky 2015, PMID 28509493).</w:t>
      </w:r>
    </w:p>
    <w:p>
      <w:pPr>
        <w:numPr>
          <w:ilvl w:val="0"/>
          <w:numId w:val="1225"/>
        </w:numPr>
        <w:pStyle w:val="Compact"/>
      </w:pPr>
      <w:r>
        <w:t xml:space="preserve">In Zellkulturen schützte Pinealon verschiedene Zelltypen vor oxidativem Stress (Khavinson 2011, PMID 21978084).</w:t>
      </w:r>
    </w:p>
    <w:p>
      <w:pPr>
        <w:pStyle w:val="FirstParagraph"/>
      </w:pPr>
      <w:r>
        <w:t xml:space="preserve">Fast alle Arbeiten stammen aus der Entwicklergruppe oder kooperierenden russischen Instituten.</w:t>
      </w:r>
    </w:p>
    <w:bookmarkEnd w:id="676"/>
    <w:bookmarkStart w:id="677" w:name="risiken-und-nebenwirkungen-40"/>
    <w:p>
      <w:pPr>
        <w:pStyle w:val="Heading3"/>
      </w:pPr>
      <w:r>
        <w:t xml:space="preserve">Risiken und Nebenwirkungen</w:t>
      </w:r>
    </w:p>
    <w:p>
      <w:pPr>
        <w:pStyle w:val="FirstParagraph"/>
      </w:pPr>
      <w:r>
        <w:rPr>
          <w:bCs/>
          <w:b/>
        </w:rPr>
        <w:t xml:space="preserve">Belegt:</w:t>
      </w:r>
      <w:r>
        <w:t xml:space="preserve"> </w:t>
      </w:r>
      <w:r>
        <w:t xml:space="preserve">Systematische Sicherheitsdaten gibt es nicht. Die einzige Studie, die Laborwerte ausführlicher berichtet, beschreibt eine prooxidative Aktivität und einen Rückgang blutbildender Stammzellen im Blut (Meshchaninov 2015, PMID 26390612). Was das bedeutet, ist unklar – es ist aber ein Warnsignal, das nicht weiter untersucht wurde.</w:t>
      </w:r>
    </w:p>
    <w:p>
      <w:pPr>
        <w:pStyle w:val="BodyText"/>
      </w:pPr>
      <w:r>
        <w:rPr>
          <w:bCs/>
          <w:b/>
        </w:rPr>
        <w:t xml:space="preserve">Theoretisch:</w:t>
      </w:r>
      <w:r>
        <w:t xml:space="preserve"> </w:t>
      </w:r>
      <w:r>
        <w:t xml:space="preserve">Wenn die Hypothese der Entwickler stimmt und Pinealon tatsächlich an DNA bindet und Gene reguliert, wären auch unerwünschte genetische Effekte denkbar. Untersuchungen zu Erbgutschäden, Krebsrisiko oder Langzeitwirkungen liegen nicht vor.</w:t>
      </w:r>
    </w:p>
    <w:p>
      <w:pPr>
        <w:pStyle w:val="BodyText"/>
      </w:pPr>
      <w:r>
        <w:rPr>
          <w:bCs/>
          <w:b/>
        </w:rPr>
        <w:t xml:space="preserve">Graumarkt:</w:t>
      </w:r>
      <w:r>
        <w:t xml:space="preserve"> </w:t>
      </w:r>
      <w:r>
        <w:t xml:space="preserve">Pinealon wird online als Kapsel, Nasenspray oder Injektionspulver angeboten, meist mit Versprechen zu Gedächtnis, Schlaf und „Gehirnverjüngung“. Gehalt und Reinheit sind ungeprüft.</w:t>
      </w:r>
    </w:p>
    <w:bookmarkEnd w:id="677"/>
    <w:bookmarkStart w:id="678" w:name="rechtslage-40"/>
    <w:p>
      <w:pPr>
        <w:pStyle w:val="Heading3"/>
      </w:pPr>
      <w:r>
        <w:t xml:space="preserve">Rechtslage</w:t>
      </w:r>
    </w:p>
    <w:p>
      <w:pPr>
        <w:numPr>
          <w:ilvl w:val="0"/>
          <w:numId w:val="1226"/>
        </w:numPr>
        <w:pStyle w:val="Compact"/>
      </w:pPr>
      <w:r>
        <w:rPr>
          <w:bCs/>
          <w:b/>
        </w:rPr>
        <w:t xml:space="preserve">EU / Österreich / Deutschland:</w:t>
      </w:r>
      <w:r>
        <w:t xml:space="preserve"> </w:t>
      </w:r>
      <w:r>
        <w:t xml:space="preserve">nicht als Arzneimittel zugelassen. Ein Verkauf als Nahrungsergänzungsmittel wäre nur zulässig, wenn der Stoff lebensmittelrechtlich erlaubt ist; als neuartiger, synthetischer Stoff mit beabsichtigter pharmakologischer Wirkung ist das nach unserer Einschätzung nicht der Fall (Stand 2026, bitte aktuell prüfen).</w:t>
      </w:r>
    </w:p>
    <w:p>
      <w:pPr>
        <w:numPr>
          <w:ilvl w:val="0"/>
          <w:numId w:val="1226"/>
        </w:numPr>
        <w:pStyle w:val="Compact"/>
      </w:pPr>
      <w:r>
        <w:rPr>
          <w:bCs/>
          <w:b/>
        </w:rPr>
        <w:t xml:space="preserve">USA:</w:t>
      </w:r>
      <w:r>
        <w:t xml:space="preserve"> </w:t>
      </w:r>
      <w:r>
        <w:t xml:space="preserve">nicht zugelassen.</w:t>
      </w:r>
    </w:p>
    <w:p>
      <w:pPr>
        <w:numPr>
          <w:ilvl w:val="0"/>
          <w:numId w:val="1226"/>
        </w:numPr>
        <w:pStyle w:val="Compact"/>
      </w:pPr>
      <w:r>
        <w:rPr>
          <w:bCs/>
          <w:b/>
        </w:rPr>
        <w:t xml:space="preserve">Russland:</w:t>
      </w:r>
      <w:r>
        <w:t xml:space="preserve"> </w:t>
      </w:r>
      <w:r>
        <w:t xml:space="preserve">als Bestandteil von Peptid-Präparaten im Handel, die nicht das Zulassungsverfahren für Arzneimittel durchlaufen haben.</w:t>
      </w:r>
    </w:p>
    <w:p>
      <w:pPr>
        <w:numPr>
          <w:ilvl w:val="0"/>
          <w:numId w:val="1226"/>
        </w:numPr>
        <w:pStyle w:val="Compact"/>
      </w:pPr>
      <w:r>
        <w:rPr>
          <w:bCs/>
          <w:b/>
        </w:rPr>
        <w:t xml:space="preserve">Sport:</w:t>
      </w:r>
      <w:r>
        <w:t xml:space="preserve"> </w:t>
      </w:r>
      <w:r>
        <w:t xml:space="preserve">nicht namentlich gelistet; mögliche Erfassung durch WADA-Kategorie S0 (Stand 2026, bitte aktuell prüfen).</w:t>
      </w:r>
    </w:p>
    <w:bookmarkEnd w:id="678"/>
    <w:bookmarkStart w:id="679" w:name="laufende-studien-und-ausblick-40"/>
    <w:p>
      <w:pPr>
        <w:pStyle w:val="Heading3"/>
      </w:pPr>
      <w:r>
        <w:t xml:space="preserve">Laufende Studien und Ausblick</w:t>
      </w:r>
    </w:p>
    <w:p>
      <w:pPr>
        <w:pStyle w:val="FirstParagraph"/>
      </w:pPr>
      <w:r>
        <w:rPr>
          <w:bCs/>
          <w:b/>
        </w:rPr>
        <w:t xml:space="preserve">Gesichert:</w:t>
      </w:r>
      <w:r>
        <w:t xml:space="preserve"> </w:t>
      </w:r>
      <w:r>
        <w:t xml:space="preserve">Keine registrierte Studie (Abfrage Oktober 2026).</w:t>
      </w:r>
    </w:p>
    <w:p>
      <w:pPr>
        <w:pStyle w:val="BodyText"/>
      </w:pPr>
      <w:r>
        <w:rPr>
          <w:bCs/>
          <w:b/>
        </w:rPr>
        <w:t xml:space="preserve">Einschätzung:</w:t>
      </w:r>
      <w:r>
        <w:t xml:space="preserve"> </w:t>
      </w:r>
      <w:r>
        <w:t xml:space="preserve">Solange die Forschung auf einen kleinen Kreis russischer Institute beschränkt bleibt und keine randomisierten, placebokontrollierten Studien mit klinischen Endpunkten durchgeführt werden, bleibt Pinealon ein Laborkonzept mit Marketing-Überbau.</w:t>
      </w:r>
    </w:p>
    <w:bookmarkEnd w:id="679"/>
    <w:bookmarkStart w:id="680" w:name="fazit-40"/>
    <w:p>
      <w:pPr>
        <w:pStyle w:val="Heading3"/>
      </w:pPr>
      <w:r>
        <w:t xml:space="preserve">Fazit</w:t>
      </w:r>
    </w:p>
    <w:p>
      <w:pPr>
        <w:pStyle w:val="FirstParagraph"/>
      </w:pPr>
      <w:r>
        <w:t xml:space="preserve">Pinealon ist ein synthetisches Tripeptid aus St. Petersburg, das in Zellkulturen und bei Ratten Nervenzellen vor oxidativem Stress schützte; die Entwickler vermuten eine direkte Wirkung auf Gene. Die wenigen Studien am Menschen sind klein, unkontrolliert und messen vor allem ein nicht standardisiertes „biologisches Alter“. Eine davon fand sogar Hinweise auf eine prooxidative Wirkung und eine Hemmung der Blutbildung. Die Daten reichen nicht aus, um einen Nutzen oder die Sicherheit beim Menschen zu beurteilen.</w:t>
      </w:r>
    </w:p>
    <w:bookmarkEnd w:id="680"/>
    <w:bookmarkEnd w:id="681"/>
    <w:bookmarkStart w:id="692" w:name="mots-c"/>
    <w:p>
      <w:pPr>
        <w:pStyle w:val="Heading2"/>
      </w:pPr>
      <w:r>
        <w:t xml:space="preserve">MOTS-c</w:t>
      </w:r>
    </w:p>
    <w:bookmarkStart w:id="682" w:name="steckbrief-41"/>
    <w:p>
      <w:pPr>
        <w:pStyle w:val="Heading3"/>
      </w:pPr>
      <w:r>
        <w:t xml:space="preserve">Steckbrief</w:t>
      </w:r>
    </w:p>
    <w:p>
      <w:pPr>
        <w:numPr>
          <w:ilvl w:val="0"/>
          <w:numId w:val="1227"/>
        </w:numPr>
        <w:pStyle w:val="Compact"/>
      </w:pPr>
      <w:r>
        <w:rPr>
          <w:bCs/>
          <w:b/>
        </w:rPr>
        <w:t xml:space="preserve">Art und Struktur:</w:t>
      </w:r>
      <w:r>
        <w:t xml:space="preserve"> </w:t>
      </w:r>
      <w:r>
        <w:t xml:space="preserve">Peptid aus 16 Aminosäuren. Der Name steht für</w:t>
      </w:r>
      <w:r>
        <w:t xml:space="preserve"> </w:t>
      </w:r>
      <w:r>
        <w:rPr>
          <w:iCs/>
          <w:i/>
        </w:rPr>
        <w:t xml:space="preserve">mitochondrial open reading frame of the 12S rRNA-c</w:t>
      </w:r>
      <w:r>
        <w:t xml:space="preserve"> </w:t>
      </w:r>
      <w:r>
        <w:t xml:space="preserve">– es ist nicht im Zellkern, sondern im Erbgut der Mitochondrien verschlüsselt, der „Kraftwerke“ der Zelle.</w:t>
      </w:r>
    </w:p>
    <w:p>
      <w:pPr>
        <w:numPr>
          <w:ilvl w:val="0"/>
          <w:numId w:val="1227"/>
        </w:numPr>
        <w:pStyle w:val="Compact"/>
      </w:pPr>
      <w:r>
        <w:rPr>
          <w:bCs/>
          <w:b/>
        </w:rPr>
        <w:t xml:space="preserve">Herkunft:</w:t>
      </w:r>
      <w:r>
        <w:t xml:space="preserve"> </w:t>
      </w:r>
      <w:r>
        <w:t xml:space="preserve">2015 von einer Arbeitsgruppe um Pinchas Cohen an der University of Southern California beschrieben. Der Körper bildet es selbst, vor allem im Skelettmuskel.</w:t>
      </w:r>
    </w:p>
    <w:p>
      <w:pPr>
        <w:numPr>
          <w:ilvl w:val="0"/>
          <w:numId w:val="1227"/>
        </w:numPr>
        <w:pStyle w:val="Compact"/>
      </w:pPr>
      <w:r>
        <w:rPr>
          <w:bCs/>
          <w:b/>
        </w:rPr>
        <w:t xml:space="preserve">Wirkprinzip:</w:t>
      </w:r>
      <w:r>
        <w:t xml:space="preserve"> </w:t>
      </w:r>
      <w:r>
        <w:t xml:space="preserve">gilt als „Mitokin“ – ein Signalstoff der Mitochondrien. Bei Mäusen aktivierte es den Energiesensor AMPK, verbesserte die Insulinempfindlichkeit und die körperliche Leistungsfähigkeit; deshalb wird es als „Bewegungs-Nachahmer“ (exercise mimetic) diskutiert.</w:t>
      </w:r>
    </w:p>
    <w:p>
      <w:pPr>
        <w:numPr>
          <w:ilvl w:val="0"/>
          <w:numId w:val="1227"/>
        </w:numPr>
        <w:pStyle w:val="Compact"/>
      </w:pPr>
      <w:r>
        <w:rPr>
          <w:bCs/>
          <w:b/>
        </w:rPr>
        <w:t xml:space="preserve">Zulassung EU:</w:t>
      </w:r>
      <w:r>
        <w:t xml:space="preserve"> </w:t>
      </w:r>
      <w:r>
        <w:t xml:space="preserve">nein.</w:t>
      </w:r>
    </w:p>
    <w:p>
      <w:pPr>
        <w:numPr>
          <w:ilvl w:val="0"/>
          <w:numId w:val="1227"/>
        </w:numPr>
        <w:pStyle w:val="Compact"/>
      </w:pPr>
      <w:r>
        <w:rPr>
          <w:bCs/>
          <w:b/>
        </w:rPr>
        <w:t xml:space="preserve">Zulassung USA:</w:t>
      </w:r>
      <w:r>
        <w:t xml:space="preserve"> </w:t>
      </w:r>
      <w:r>
        <w:t xml:space="preserve">nein. Im April 2026 von der FDA-„Kategorie 2“ gestrichen; der Beratungsausschuss PCAC stimmte im Juli 2026 mit 7 zu 5 Stimmen für die Aufnahme in die Liste zulässiger Rezeptursubstanzen (Stand Oktober 2026, bitte aktuell prüfen).</w:t>
      </w:r>
    </w:p>
    <w:p>
      <w:pPr>
        <w:numPr>
          <w:ilvl w:val="0"/>
          <w:numId w:val="1227"/>
        </w:numPr>
        <w:pStyle w:val="Compact"/>
      </w:pPr>
      <w:r>
        <w:rPr>
          <w:bCs/>
          <w:b/>
        </w:rPr>
        <w:t xml:space="preserve">WADA:</w:t>
      </w:r>
      <w:r>
        <w:t xml:space="preserve"> </w:t>
      </w:r>
      <w:r>
        <w:rPr>
          <w:bCs/>
          <w:b/>
        </w:rPr>
        <w:t xml:space="preserve">verboten</w:t>
      </w:r>
      <w:r>
        <w:t xml:space="preserve"> </w:t>
      </w:r>
      <w:r>
        <w:t xml:space="preserve">– ausdrücklich in Kategorie S4 (Hormon- und Stoffwechselmodulatoren) als Beispiel eines AMPK-Aktivators genannt, im und außerhalb des Wettkampfs (Stand 2026, bitte aktuell prüfen).</w:t>
      </w:r>
    </w:p>
    <w:p>
      <w:pPr>
        <w:numPr>
          <w:ilvl w:val="0"/>
          <w:numId w:val="1227"/>
        </w:numPr>
        <w:pStyle w:val="Compact"/>
      </w:pPr>
      <w:r>
        <w:rPr>
          <w:bCs/>
          <w:b/>
        </w:rPr>
        <w:t xml:space="preserve">Evidenzstufe:</w:t>
      </w:r>
      <w:r>
        <w:t xml:space="preserve"> </w:t>
      </w:r>
      <w:r>
        <w:rPr>
          <w:bCs/>
          <w:b/>
        </w:rPr>
        <w:t xml:space="preserve">D</w:t>
      </w:r>
      <w:r>
        <w:t xml:space="preserve"> </w:t>
      </w:r>
      <w:r>
        <w:t xml:space="preserve">für die Gabe als Wirkstoff – veröffentlichte Ergebnisse kontrollierter Studien am Menschen gibt es nicht; beim Menschen existieren nur Beobachtungsstudien zu den körpereigenen Spiegeln.</w:t>
      </w:r>
    </w:p>
    <w:bookmarkEnd w:id="682"/>
    <w:bookmarkStart w:id="683" w:name="wie-es-wirken-soll-41"/>
    <w:p>
      <w:pPr>
        <w:pStyle w:val="Heading3"/>
      </w:pPr>
      <w:r>
        <w:t xml:space="preserve">Wie es wirken soll</w:t>
      </w:r>
    </w:p>
    <w:p>
      <w:pPr>
        <w:pStyle w:val="FirstParagraph"/>
      </w:pPr>
      <w:r>
        <w:t xml:space="preserve">Mitochondrien besitzen ein eigenes, kleines Erbgut. Lange galt es als „Bauplan“ für nur 13 Eiweiße der Energiegewinnung. Seit Anfang der 2000er-Jahre wurden darin zusätzlich kurze Leseabschnitte entdeckt, die kleine Signalpeptide verschlüsseln – zuerst Humanin (siehe nächstes Kapitel), dann MOTS-c.</w:t>
      </w:r>
    </w:p>
    <w:p>
      <w:pPr>
        <w:pStyle w:val="BodyText"/>
      </w:pPr>
      <w:r>
        <w:t xml:space="preserve">Die Erstbeschreibung zeigte bei Mäusen, dass MOTS-c vor allem auf den Skelettmuskel wirkt: Es hemmt einen Stoffwechselweg (Folatzyklus und Purin-Neubildung), wodurch sich der Botenstoff AICAR anreichert und das Enzym AMPK aktiviert wird – derselbe Energiesensor, auf den auch Bewegung und das Diabetesmedikament Metformin wirken. Mäuse, die MOTS-c gespritzt bekamen, entwickelten bei fettreicher Kost weniger Übergewicht und weniger Insulinresistenz (Lee 2015, PMID 25738459). Unter Stoffwechselstress wanderte MOTS-c in Zellkulturen in den Zellkern und beeinflusste dort Gene (Kim 2018, PMID 29983246).</w:t>
      </w:r>
    </w:p>
    <w:p>
      <w:pPr>
        <w:pStyle w:val="BodyText"/>
      </w:pPr>
      <w:r>
        <w:t xml:space="preserve">In einer zweiten großen Arbeit steigerte MOTS-c die körperliche Leistungsfähigkeit junger, mittelalter und alter Mäuse; eine erst im hohen Alter begonnene Behandlung verbesserte Leistungsfähigkeit und „gesunde Lebensspanne“. Beim Menschen stiegen die MOTS-c-Spiegel in Muskel und Blut nach körperlicher Belastung an (Reynolds 2021, PMID 33473109).</w:t>
      </w:r>
    </w:p>
    <w:p>
      <w:pPr>
        <w:pStyle w:val="BodyText"/>
      </w:pPr>
      <w:r>
        <w:t xml:space="preserve">Daraus entstand das Bild von MOTS-c als „Sport in der Spritze“. Wichtig ist aber die Reihenfolge: Dass Bewegung MOTS-c erhöht, heißt nicht, dass MOTS-c-Spritzen die Wirkungen von Bewegung beim Menschen nachbilden.</w:t>
      </w:r>
    </w:p>
    <w:bookmarkEnd w:id="683"/>
    <w:bookmarkStart w:id="686" w:name="studien-am-menschen-41"/>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5 als Humanstudien klassifizierte Veröffentlichungen; keine davon verabreichte MOTS-c. Insgesamt führt PubMed rund 260 Arbeiten mit „MOTS-c“, überwiegend Tier- und Zellversuche sowie Beobachtungsstudien zu den körpereigenen Blutspiegeln. Auf ClinicalTrials.gov ergab die Suche 5 Einträge. Vier davon messen nur Spiegel oder betreffen andere Fragestellungen. Der fünfte, eine angebliche Phase-2-Studie mit MOTS-c bei Prädiabetes, stammt von einem Sponsor, unter dessen Namen offenbar fiktive Beispiel-Einträge im Register stehen. Wir werten ihn deshalb nicht als echte Studie und zählen ihn nicht mit; eine registrierte Studie mit MOTS-c selbst als Wirkstoff ist damit nicht belegt. Hinzu kommt eine abgeschlossene Studie mit dem MOTS-c-Abkömmling CB4211 (NCT03998514).</w:t>
      </w:r>
    </w:p>
    <w:p>
      <w:pPr>
        <w:pStyle w:val="BodyText"/>
      </w:pPr>
      <w:r>
        <w:t xml:space="preserve">Für das Verständnis dieses Kapitels ist eine Unterscheidung zentral:</w:t>
      </w:r>
    </w:p>
    <w:p>
      <w:pPr>
        <w:numPr>
          <w:ilvl w:val="0"/>
          <w:numId w:val="1228"/>
        </w:numPr>
        <w:pStyle w:val="Compact"/>
      </w:pPr>
      <w:r>
        <w:rPr>
          <w:bCs/>
          <w:b/>
        </w:rPr>
        <w:t xml:space="preserve">Beobachtungsstudien zu körpereigenen Spiegeln:</w:t>
      </w:r>
      <w:r>
        <w:t xml:space="preserve"> </w:t>
      </w:r>
      <w:r>
        <w:t xml:space="preserve">Hier wird gemessen, wie viel MOTS-c Menschen im Blut haben, und das mit Krankheiten oder Verhalten in Beziehung gesetzt.</w:t>
      </w:r>
    </w:p>
    <w:p>
      <w:pPr>
        <w:numPr>
          <w:ilvl w:val="0"/>
          <w:numId w:val="1228"/>
        </w:numPr>
        <w:pStyle w:val="Compact"/>
      </w:pPr>
      <w:r>
        <w:rPr>
          <w:bCs/>
          <w:b/>
        </w:rPr>
        <w:t xml:space="preserve">Studien, in denen MOTS-c (oder ein Abkömmling) als Wirkstoff gegeben wird:</w:t>
      </w:r>
      <w:r>
        <w:t xml:space="preserve"> </w:t>
      </w:r>
      <w:r>
        <w:t xml:space="preserve">Nur sie können zeigen, ob eine Zufuhr etwas bewirkt.</w:t>
      </w:r>
    </w:p>
    <w:p>
      <w:pPr>
        <w:pStyle w:val="FirstParagraph"/>
      </w:pPr>
      <w:r>
        <w:t xml:space="preserve">Ergebnisse der ersten Art werden im Internet häufig so dargestellt, als belegten sie die Wirkung der zweiten Art. Das ist ein Kurzschluss.</w:t>
      </w:r>
    </w:p>
    <w:bookmarkStart w:id="684" w:name="körpereigene-spiegel-beobachtungen"/>
    <w:p>
      <w:pPr>
        <w:pStyle w:val="Heading4"/>
      </w:pPr>
      <w:r>
        <w:t xml:space="preserve">1. Körpereigene Spiegel: Beobachtungen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Du 2018, PMID 29691953</w:t>
            </w:r>
          </w:p>
        </w:tc>
        <w:tc>
          <w:tcPr/>
          <w:p>
            <w:pPr>
              <w:pStyle w:val="Compact"/>
              <w:jc w:val="left"/>
            </w:pPr>
            <w:r>
              <w:t xml:space="preserve">40 übergewichtige Kinder und Jugendliche, 57 Kontrollen, Fall-Kontroll-Studie</w:t>
            </w:r>
          </w:p>
        </w:tc>
        <w:tc>
          <w:tcPr/>
          <w:p>
            <w:pPr>
              <w:pStyle w:val="Compact"/>
              <w:jc w:val="left"/>
            </w:pPr>
            <w:r>
              <w:t xml:space="preserve">Querschnitt</w:t>
            </w:r>
          </w:p>
        </w:tc>
        <w:tc>
          <w:tcPr/>
          <w:p>
            <w:pPr>
              <w:pStyle w:val="Compact"/>
              <w:jc w:val="left"/>
            </w:pPr>
            <w:r>
              <w:t xml:space="preserve">niedrigere Spiegel bei übergewichtigen Jungen, nicht bei Mädchen</w:t>
            </w:r>
          </w:p>
        </w:tc>
      </w:tr>
      <w:tr>
        <w:tc>
          <w:tcPr/>
          <w:p>
            <w:pPr>
              <w:pStyle w:val="Compact"/>
              <w:jc w:val="left"/>
            </w:pPr>
            <w:r>
              <w:t xml:space="preserve">Kirik 2023, PMID 37750635</w:t>
            </w:r>
          </w:p>
        </w:tc>
        <w:tc>
          <w:tcPr/>
          <w:p>
            <w:pPr>
              <w:pStyle w:val="Compact"/>
              <w:jc w:val="left"/>
            </w:pPr>
            <w:r>
              <w:t xml:space="preserve">150 Personen mit Fettleber, 84 Gesunde</w:t>
            </w:r>
          </w:p>
        </w:tc>
        <w:tc>
          <w:tcPr/>
          <w:p>
            <w:pPr>
              <w:pStyle w:val="Compact"/>
              <w:jc w:val="left"/>
            </w:pPr>
            <w:r>
              <w:t xml:space="preserve">Querschnitt</w:t>
            </w:r>
          </w:p>
        </w:tc>
        <w:tc>
          <w:tcPr/>
          <w:p>
            <w:pPr>
              <w:pStyle w:val="Compact"/>
              <w:jc w:val="left"/>
            </w:pPr>
            <w:r>
              <w:t xml:space="preserve">niedrigere Spiegel bei Fettleber und metabolischem Syndrom</w:t>
            </w:r>
          </w:p>
        </w:tc>
      </w:tr>
      <w:tr>
        <w:tc>
          <w:tcPr/>
          <w:p>
            <w:pPr>
              <w:pStyle w:val="Compact"/>
              <w:jc w:val="left"/>
            </w:pPr>
            <w:r>
              <w:t xml:space="preserve">Ikonomidis 2020, PMID 32052315</w:t>
            </w:r>
          </w:p>
        </w:tc>
        <w:tc>
          <w:tcPr/>
          <w:p>
            <w:pPr>
              <w:pStyle w:val="Compact"/>
              <w:jc w:val="left"/>
            </w:pPr>
            <w:r>
              <w:t xml:space="preserve">121 Menschen mit Typ-2-Diabetes nach Gefäßeingriff</w:t>
            </w:r>
          </w:p>
        </w:tc>
        <w:tc>
          <w:tcPr/>
          <w:p>
            <w:pPr>
              <w:pStyle w:val="Compact"/>
              <w:jc w:val="left"/>
            </w:pPr>
            <w:r>
              <w:t xml:space="preserve">2 Jahre</w:t>
            </w:r>
          </w:p>
        </w:tc>
        <w:tc>
          <w:tcPr/>
          <w:p>
            <w:pPr>
              <w:pStyle w:val="Compact"/>
              <w:jc w:val="left"/>
            </w:pPr>
            <w:r>
              <w:t xml:space="preserve">niedriges MOTS-c (unter 167 ng/ml) sagte Herz-Kreislauf-Ereignisse voraus (relatives Risiko 3,8)</w:t>
            </w:r>
          </w:p>
        </w:tc>
      </w:tr>
      <w:tr>
        <w:tc>
          <w:tcPr/>
          <w:p>
            <w:pPr>
              <w:pStyle w:val="Compact"/>
              <w:jc w:val="left"/>
            </w:pPr>
            <w:r>
              <w:t xml:space="preserve">von Walden 2021, PMID 34351816</w:t>
            </w:r>
          </w:p>
        </w:tc>
        <w:tc>
          <w:tcPr/>
          <w:p>
            <w:pPr>
              <w:pStyle w:val="Compact"/>
              <w:jc w:val="left"/>
            </w:pPr>
            <w:r>
              <w:t xml:space="preserve">30 Personen, Ausdauer- oder Krafttraining oder Kontrolle, randomisiert</w:t>
            </w:r>
          </w:p>
        </w:tc>
        <w:tc>
          <w:tcPr/>
          <w:p>
            <w:pPr>
              <w:pStyle w:val="Compact"/>
              <w:jc w:val="left"/>
            </w:pPr>
            <w:r>
              <w:t xml:space="preserve">einmalige Belastung</w:t>
            </w:r>
          </w:p>
        </w:tc>
        <w:tc>
          <w:tcPr/>
          <w:p>
            <w:pPr>
              <w:pStyle w:val="Compact"/>
              <w:jc w:val="left"/>
            </w:pPr>
            <w:r>
              <w:t xml:space="preserve">Humanin stieg nach Ausdauerbelastung an, MOTS-c zeigte nur einen Trend</w:t>
            </w:r>
          </w:p>
        </w:tc>
      </w:tr>
      <w:tr>
        <w:tc>
          <w:tcPr/>
          <w:p>
            <w:pPr>
              <w:pStyle w:val="Compact"/>
              <w:jc w:val="left"/>
            </w:pPr>
            <w:r>
              <w:t xml:space="preserve">Dieli-Conwright 2021, PMID 34413391</w:t>
            </w:r>
          </w:p>
        </w:tc>
        <w:tc>
          <w:tcPr/>
          <w:p>
            <w:pPr>
              <w:pStyle w:val="Compact"/>
              <w:jc w:val="left"/>
            </w:pPr>
            <w:r>
              <w:t xml:space="preserve">49 Frauen nach Brustkrebs, Training oder Standardversorgung, randomisiert</w:t>
            </w:r>
          </w:p>
        </w:tc>
        <w:tc>
          <w:tcPr/>
          <w:p>
            <w:pPr>
              <w:pStyle w:val="Compact"/>
              <w:jc w:val="left"/>
            </w:pPr>
            <w:r>
              <w:t xml:space="preserve">16 Wochen</w:t>
            </w:r>
          </w:p>
        </w:tc>
        <w:tc>
          <w:tcPr/>
          <w:p>
            <w:pPr>
              <w:pStyle w:val="Compact"/>
              <w:jc w:val="left"/>
            </w:pPr>
            <w:r>
              <w:t xml:space="preserve">Anstieg von MOTS-c bei nicht-hispanischen weißen Frauen, nicht bei hispanischen Frauen</w:t>
            </w:r>
          </w:p>
        </w:tc>
      </w:tr>
      <w:tr>
        <w:tc>
          <w:tcPr/>
          <w:p>
            <w:pPr>
              <w:pStyle w:val="Compact"/>
              <w:jc w:val="left"/>
            </w:pPr>
            <w:r>
              <w:t xml:space="preserve">Elhusseiny 2025, PMID 40674654</w:t>
            </w:r>
          </w:p>
        </w:tc>
        <w:tc>
          <w:tcPr/>
          <w:p>
            <w:pPr>
              <w:pStyle w:val="Compact"/>
              <w:jc w:val="left"/>
            </w:pPr>
            <w:r>
              <w:t xml:space="preserve">19 aktive Männer mit ruhiggestelltem Unterschenkel, Wärmebehandlung oder Schein</w:t>
            </w:r>
          </w:p>
        </w:tc>
        <w:tc>
          <w:tcPr/>
          <w:p>
            <w:pPr>
              <w:pStyle w:val="Compact"/>
              <w:jc w:val="left"/>
            </w:pPr>
            <w:r>
              <w:t xml:space="preserve">2 Wochen</w:t>
            </w:r>
          </w:p>
        </w:tc>
        <w:tc>
          <w:tcPr/>
          <w:p>
            <w:pPr>
              <w:pStyle w:val="Compact"/>
              <w:jc w:val="left"/>
            </w:pPr>
            <w:r>
              <w:t xml:space="preserve">Wärme erhöhte MOTS-c im Blut</w:t>
            </w:r>
          </w:p>
        </w:tc>
      </w:tr>
    </w:tbl>
    <w:p>
      <w:pPr>
        <w:pStyle w:val="BodyText"/>
      </w:pPr>
      <w:r>
        <w:t xml:space="preserve">Diese Studien zeigen, dass niedrige MOTS-c-Spiegel häufig mit Übergewicht, Insulinresistenz, Fettleber oder Gefäßproblemen einhergehen (Du 2018, PMID 29691953; Kirik 2023, PMID 37750635; Qin 2018, PMID 29242099) und dass Bewegung oder Wärme die Spiegel erhöhen können. Was sie</w:t>
      </w:r>
      <w:r>
        <w:t xml:space="preserve"> </w:t>
      </w:r>
      <w:r>
        <w:rPr>
          <w:bCs/>
          <w:b/>
        </w:rPr>
        <w:t xml:space="preserve">nicht</w:t>
      </w:r>
      <w:r>
        <w:t xml:space="preserve"> </w:t>
      </w:r>
      <w:r>
        <w:t xml:space="preserve">zeigen: dass niedrige Spiegel die Erkrankungen verursachen, oder dass zugeführtes MOTS-c sie verhindert. Es kann ebenso gut umgekehrt sein – die Erkrankung senkt den Spiegel.</w:t>
      </w:r>
    </w:p>
    <w:p>
      <w:pPr>
        <w:pStyle w:val="BodyText"/>
      </w:pPr>
      <w:r>
        <w:t xml:space="preserve">Eine weitere Schwierigkeit ist die Messung selbst. Die Studien verwenden unterschiedliche Testverfahren (ELISA), deren Ergebnisse sich stark unterscheiden: Bei Kindern lagen die Mittelwerte um 470 bis 560 ng/ml (Du 2018, PMID 29691953), in der griechischen Diabetesstudie galt ein Wert unter 167 ng/ml als niedrig (Ikonomidis 2020, PMID 32052315). In einer Studie mit Brustkrebspatientinnen veränderte selbst Metformin – das auf denselben Energiesensor wirkt – die mit einem handelsüblichen Test gemessenen Spiegel nicht (Cuyàs 2022, PMID 36490309).</w:t>
      </w:r>
    </w:p>
    <w:p>
      <w:pPr>
        <w:pStyle w:val="BodyText"/>
      </w:pPr>
      <w:r>
        <w:rPr>
          <w:bCs/>
          <w:b/>
        </w:rPr>
        <w:t xml:space="preserve">Genetische Hinweise:</w:t>
      </w:r>
      <w:r>
        <w:t xml:space="preserve"> </w:t>
      </w:r>
      <w:r>
        <w:t xml:space="preserve">Eine in Nordostasien verbreitete Variante im Mitochondrien-Erbgut verändert einen Baustein von MOTS-c (K14Q). In drei Kohorten mit zusammen 27.527 Personen hatten Männer mit dieser Variante häufiger Typ-2-Diabetes, vor allem wenn sie körperlich wenig aktiv waren. Bei Mäusen wirkte die veränderte MOTS-c-Form schwächer (Zempo 2021, PMID 33468709). Das ist ein interessanter Hinweis, dass MOTS-c beim Menschen eine Rolle im Stoffwechsel spielen könnte – aber kein Beleg für den Nutzen einer Zufuhr.</w:t>
      </w:r>
    </w:p>
    <w:bookmarkEnd w:id="684"/>
    <w:bookmarkStart w:id="685" w:name="gabe-als-wirkstoff-cb4211"/>
    <w:p>
      <w:pPr>
        <w:pStyle w:val="Heading4"/>
      </w:pPr>
      <w:r>
        <w:t xml:space="preserve">2. Gabe als Wirkstoff: CB4211</w:t>
      </w:r>
    </w:p>
    <w:p>
      <w:pPr>
        <w:pStyle w:val="FirstParagraph"/>
      </w:pPr>
      <w:r>
        <w:rPr>
          <w:bCs/>
          <w:b/>
        </w:rPr>
        <w:t xml:space="preserve">CB4211</w:t>
      </w:r>
      <w:r>
        <w:t xml:space="preserve"> </w:t>
      </w:r>
      <w:r>
        <w:t xml:space="preserve">ist ein vom Unternehmen CohBar entwickelter Abkömmling von MOTS-c. Die Phase-1a/1b-Studie (NCT03998514) war randomisiert, doppelblind und placebokontrolliert und umfasste 88 Teilnehmende: Gesunde erhielten einzelne bzw. sieben Tage lang tägliche Injektionen unter die Haut, Menschen mit Adipositas und Fettleber 28 Tage lang. Hauptendpunkte waren Sicherheit und Verträglichkeit; Nebenziele waren unter anderem Leberfett und Körpergewicht. Die Studie wurde im April 2021 abgeschlossen. Im Register sind keine Ergebnisse hinterlegt, und eine Veröffentlichung in einer Fachzeitschrift ließ sich bei unserer Recherche nicht finden. Das Unternehmen meldete 2021 per Pressemitteilung günstige Veränderungen einzelner Leber- und Blutzuckerwerte bei guter Verträglichkeit; solche Mitteilungen sind nicht unabhängig begutachtet. Eine Weiterentwicklung in größeren Studien ist nicht bekannt.</w:t>
      </w:r>
    </w:p>
    <w:p>
      <w:pPr>
        <w:pStyle w:val="BodyText"/>
      </w:pPr>
      <w:r>
        <w:rPr>
          <w:bCs/>
          <w:b/>
        </w:rPr>
        <w:t xml:space="preserve">MOTS-c selbst</w:t>
      </w:r>
      <w:r>
        <w:t xml:space="preserve"> </w:t>
      </w:r>
      <w:r>
        <w:t xml:space="preserve">wurde nach unserer Recherche bisher in keiner veröffentlichten oder verlässlich registrierten Studie am Menschen als Wirkstoff gegeben. Ein Registereintrag, der eine solche Phase-2-Studie beschreibt, erwies sich als zweifelhaft (siehe oben).</w:t>
      </w:r>
    </w:p>
    <w:p>
      <w:pPr>
        <w:pStyle w:val="BodyText"/>
      </w:pPr>
      <w:r>
        <w:t xml:space="preserve">Bis dahin gilt: Es gibt</w:t>
      </w:r>
      <w:r>
        <w:t xml:space="preserve"> </w:t>
      </w:r>
      <w:r>
        <w:rPr>
          <w:bCs/>
          <w:b/>
        </w:rPr>
        <w:t xml:space="preserve">keine veröffentlichten Daten</w:t>
      </w:r>
      <w:r>
        <w:t xml:space="preserve"> </w:t>
      </w:r>
      <w:r>
        <w:t xml:space="preserve">dazu, ob MOTS-c-Injektionen beim Menschen den Stoffwechsel, die Leistung oder das Altern beeinflussen.</w:t>
      </w:r>
    </w:p>
    <w:bookmarkEnd w:id="685"/>
    <w:bookmarkEnd w:id="686"/>
    <w:bookmarkStart w:id="687" w:name="tier--und-laborstudien-41"/>
    <w:p>
      <w:pPr>
        <w:pStyle w:val="Heading3"/>
      </w:pPr>
      <w:r>
        <w:t xml:space="preserve">Tier- und Laborstudien</w:t>
      </w:r>
    </w:p>
    <w:p>
      <w:pPr>
        <w:pStyle w:val="FirstParagraph"/>
      </w:pPr>
      <w:r>
        <w:t xml:space="preserve">Die präklinische Forschung ist umfangreich und wächst schnell:</w:t>
      </w:r>
    </w:p>
    <w:p>
      <w:pPr>
        <w:numPr>
          <w:ilvl w:val="0"/>
          <w:numId w:val="1229"/>
        </w:numPr>
        <w:pStyle w:val="Compact"/>
      </w:pPr>
      <w:r>
        <w:rPr>
          <w:bCs/>
          <w:b/>
        </w:rPr>
        <w:t xml:space="preserve">Stoffwechsel:</w:t>
      </w:r>
      <w:r>
        <w:t xml:space="preserve"> </w:t>
      </w:r>
      <w:r>
        <w:t xml:space="preserve">Bei Mäusen verhinderte MOTS-c ernährungsbedingtes Übergewicht und Insulinresistenz (Lee 2015, PMID 25738459).</w:t>
      </w:r>
    </w:p>
    <w:p>
      <w:pPr>
        <w:numPr>
          <w:ilvl w:val="0"/>
          <w:numId w:val="1229"/>
        </w:numPr>
        <w:pStyle w:val="Compact"/>
      </w:pPr>
      <w:r>
        <w:rPr>
          <w:bCs/>
          <w:b/>
        </w:rPr>
        <w:t xml:space="preserve">Muskel:</w:t>
      </w:r>
      <w:r>
        <w:t xml:space="preserve"> </w:t>
      </w:r>
      <w:r>
        <w:t xml:space="preserve">MOTS-c verringerte bei übergewichtigen Mäusen den Muskelabbau-Botenstoff Myostatin; beim Menschen waren MOTS-c- und Myostatin-Spiegel im Blut gegenläufig (Kumagai 2021, PMID 33554779).</w:t>
      </w:r>
    </w:p>
    <w:p>
      <w:pPr>
        <w:numPr>
          <w:ilvl w:val="0"/>
          <w:numId w:val="1229"/>
        </w:numPr>
        <w:pStyle w:val="Compact"/>
      </w:pPr>
      <w:r>
        <w:rPr>
          <w:bCs/>
          <w:b/>
        </w:rPr>
        <w:t xml:space="preserve">Leistung und Alter:</w:t>
      </w:r>
      <w:r>
        <w:t xml:space="preserve"> </w:t>
      </w:r>
      <w:r>
        <w:t xml:space="preserve">MOTS-c steigerte die körperliche Leistung von Mäusen unterschiedlichen Alters (Reynolds 2021, PMID 33473109).</w:t>
      </w:r>
    </w:p>
    <w:p>
      <w:pPr>
        <w:numPr>
          <w:ilvl w:val="0"/>
          <w:numId w:val="1229"/>
        </w:numPr>
        <w:pStyle w:val="Compact"/>
      </w:pPr>
      <w:r>
        <w:rPr>
          <w:bCs/>
          <w:b/>
        </w:rPr>
        <w:t xml:space="preserve">Bauchspeicheldrüse:</w:t>
      </w:r>
      <w:r>
        <w:t xml:space="preserve"> </w:t>
      </w:r>
      <w:r>
        <w:t xml:space="preserve">Bei Mäusen verzögerte MOTS-c die Alterung insulinbildender Zellen und den Beginn eines Diabetes (Kong 2025, PMID 40855115).</w:t>
      </w:r>
    </w:p>
    <w:p>
      <w:pPr>
        <w:numPr>
          <w:ilvl w:val="0"/>
          <w:numId w:val="1229"/>
        </w:numPr>
        <w:pStyle w:val="Compact"/>
      </w:pPr>
      <w:r>
        <w:t xml:space="preserve">Zahlreiche weitere Arbeiten, überwiegend aus China, beschreiben Schutzwirkungen in Modellen von Lungen-, Herz-, Leber-, Knochen- und Nierenschäden.</w:t>
      </w:r>
    </w:p>
    <w:p>
      <w:pPr>
        <w:pStyle w:val="FirstParagraph"/>
      </w:pPr>
      <w:r>
        <w:t xml:space="preserve">Die Fülle positiver Tierstudien ist auffällig. Sie zeigt, dass MOTS-c biologisch aktiv ist; über Wirkung und Sicherheit beim Menschen sagt sie wenig.</w:t>
      </w:r>
    </w:p>
    <w:bookmarkEnd w:id="687"/>
    <w:bookmarkStart w:id="688" w:name="risiken-und-nebenwirkungen-41"/>
    <w:p>
      <w:pPr>
        <w:pStyle w:val="Heading3"/>
      </w:pPr>
      <w:r>
        <w:t xml:space="preserve">Risiken und Nebenwirkungen</w:t>
      </w:r>
    </w:p>
    <w:p>
      <w:pPr>
        <w:pStyle w:val="FirstParagraph"/>
      </w:pPr>
      <w:r>
        <w:rPr>
          <w:bCs/>
          <w:b/>
        </w:rPr>
        <w:t xml:space="preserve">Belegt:</w:t>
      </w:r>
      <w:r>
        <w:t xml:space="preserve"> </w:t>
      </w:r>
      <w:r>
        <w:t xml:space="preserve">Es gibt keine veröffentlichten Sicherheitsdaten zur Gabe von MOTS-c am Menschen.</w:t>
      </w:r>
    </w:p>
    <w:p>
      <w:pPr>
        <w:pStyle w:val="BodyText"/>
      </w:pPr>
      <w:r>
        <w:rPr>
          <w:bCs/>
          <w:b/>
        </w:rPr>
        <w:t xml:space="preserve">Theoretisch:</w:t>
      </w:r>
    </w:p>
    <w:p>
      <w:pPr>
        <w:numPr>
          <w:ilvl w:val="0"/>
          <w:numId w:val="1230"/>
        </w:numPr>
        <w:pStyle w:val="Compact"/>
      </w:pPr>
      <w:r>
        <w:rPr>
          <w:bCs/>
          <w:b/>
        </w:rPr>
        <w:t xml:space="preserve">Blutzucker:</w:t>
      </w:r>
      <w:r>
        <w:t xml:space="preserve"> </w:t>
      </w:r>
      <w:r>
        <w:t xml:space="preserve">Ein Stoff, der die Insulinempfindlichkeit erhöht, könnte zusammen mit Diabetesmedikamenten Unterzuckerungen begünstigen.</w:t>
      </w:r>
    </w:p>
    <w:p>
      <w:pPr>
        <w:numPr>
          <w:ilvl w:val="0"/>
          <w:numId w:val="1230"/>
        </w:numPr>
        <w:pStyle w:val="Compact"/>
      </w:pPr>
      <w:r>
        <w:rPr>
          <w:bCs/>
          <w:b/>
        </w:rPr>
        <w:t xml:space="preserve">Krebs:</w:t>
      </w:r>
      <w:r>
        <w:t xml:space="preserve"> </w:t>
      </w:r>
      <w:r>
        <w:t xml:space="preserve">In Laborstudien bremste MOTS-c eher Krebszellen: Es hemmte das Wachstum von Eierstockkrebszellen (Yin 2024, PMID 39321430) und machte Leberkrebszellen unter Sauerstoffmangel empfindlicher für den programmierten Zelltod (Shen 2025, PMID 39581216). Ob das beim Menschen gilt und wie sich eine jahrelange Zufuhr eines stoffwechselaktiven Signalstoffs auswirkt, ist nicht untersucht.</w:t>
      </w:r>
    </w:p>
    <w:p>
      <w:pPr>
        <w:numPr>
          <w:ilvl w:val="0"/>
          <w:numId w:val="1230"/>
        </w:numPr>
        <w:pStyle w:val="Compact"/>
      </w:pPr>
      <w:r>
        <w:rPr>
          <w:bCs/>
          <w:b/>
        </w:rPr>
        <w:t xml:space="preserve">Immunreaktionen:</w:t>
      </w:r>
      <w:r>
        <w:t xml:space="preserve"> </w:t>
      </w:r>
      <w:r>
        <w:t xml:space="preserve">Bei wiederholten Injektionen eines Peptids können Antikörper entstehen; das wurde für MOTS-c nicht untersucht.</w:t>
      </w:r>
    </w:p>
    <w:p>
      <w:pPr>
        <w:pStyle w:val="FirstParagraph"/>
      </w:pPr>
      <w:r>
        <w:rPr>
          <w:bCs/>
          <w:b/>
        </w:rPr>
        <w:t xml:space="preserve">Graumarkt und Sport:</w:t>
      </w:r>
      <w:r>
        <w:t xml:space="preserve"> </w:t>
      </w:r>
      <w:r>
        <w:t xml:space="preserve">MOTS-c gehört zu den beliebtesten „Longevity-“ und Fitness-Peptiden im Internet und wird als Pulver zur Injektion verkauft. Reinheit und Gehalt sind ungeprüft. Für Sportlerinnen und Sportler ist die Anwendung ausdrücklich verboten (WADA S4).</w:t>
      </w:r>
    </w:p>
    <w:bookmarkEnd w:id="688"/>
    <w:bookmarkStart w:id="689" w:name="rechtslage-41"/>
    <w:p>
      <w:pPr>
        <w:pStyle w:val="Heading3"/>
      </w:pPr>
      <w:r>
        <w:t xml:space="preserve">Rechtslage</w:t>
      </w:r>
    </w:p>
    <w:p>
      <w:pPr>
        <w:numPr>
          <w:ilvl w:val="0"/>
          <w:numId w:val="1231"/>
        </w:numPr>
        <w:pStyle w:val="Compact"/>
      </w:pPr>
      <w:r>
        <w:rPr>
          <w:bCs/>
          <w:b/>
        </w:rPr>
        <w:t xml:space="preserve">EU / Österreich / Deutschland:</w:t>
      </w:r>
      <w:r>
        <w:t xml:space="preserve"> </w:t>
      </w:r>
      <w:r>
        <w:t xml:space="preserve">nicht zugelassen; als Stoff mit pharmakologischer Wirkung gilt MOTS-c als Arzneimittel, der Verkauf zur Anwendung am Menschen ist nicht erlaubt (Stand 2026, bitte aktuell prüfen).</w:t>
      </w:r>
    </w:p>
    <w:p>
      <w:pPr>
        <w:numPr>
          <w:ilvl w:val="0"/>
          <w:numId w:val="1231"/>
        </w:numPr>
        <w:pStyle w:val="Compact"/>
      </w:pPr>
      <w:r>
        <w:rPr>
          <w:bCs/>
          <w:b/>
        </w:rPr>
        <w:t xml:space="preserve">USA:</w:t>
      </w:r>
      <w:r>
        <w:t xml:space="preserve"> </w:t>
      </w:r>
      <w:r>
        <w:t xml:space="preserve">nicht zugelassen. Nach dem positiven PCAC-Votum vom Juli 2026 könnte MOTS-c künftig in Apotheken-Rezepturen verwendet werden, sofern die FDA dem folgt; die Entscheidung stand bei Redaktionsschluss aus (Stand Oktober 2026, bitte aktuell prüfen).</w:t>
      </w:r>
    </w:p>
    <w:p>
      <w:pPr>
        <w:numPr>
          <w:ilvl w:val="0"/>
          <w:numId w:val="1231"/>
        </w:numPr>
        <w:pStyle w:val="Compact"/>
      </w:pPr>
      <w:r>
        <w:rPr>
          <w:bCs/>
          <w:b/>
        </w:rPr>
        <w:t xml:space="preserve">Sport:</w:t>
      </w:r>
      <w:r>
        <w:t xml:space="preserve"> </w:t>
      </w:r>
      <w:r>
        <w:t xml:space="preserve">verboten nach WADA-Liste, Kategorie S4 (Stand 2026, bitte aktuell prüfen).</w:t>
      </w:r>
    </w:p>
    <w:bookmarkEnd w:id="689"/>
    <w:bookmarkStart w:id="690" w:name="laufende-studien-und-ausblick-41"/>
    <w:p>
      <w:pPr>
        <w:pStyle w:val="Heading3"/>
      </w:pPr>
      <w:r>
        <w:t xml:space="preserve">Laufende Studien und Ausblick</w:t>
      </w:r>
    </w:p>
    <w:p>
      <w:pPr>
        <w:pStyle w:val="FirstParagraph"/>
      </w:pPr>
      <w:r>
        <w:rPr>
          <w:bCs/>
          <w:b/>
        </w:rPr>
        <w:t xml:space="preserve">Gesichert (registrierte Studien, Stand Oktober 2026):</w:t>
      </w:r>
    </w:p>
    <w:p>
      <w:pPr>
        <w:numPr>
          <w:ilvl w:val="0"/>
          <w:numId w:val="1232"/>
        </w:numPr>
        <w:pStyle w:val="Compact"/>
      </w:pPr>
      <w:r>
        <w:t xml:space="preserve">Eine verlässlich registrierte Studie, in der MOTS-c als Wirkstoff gegeben wird, gibt es nicht.</w:t>
      </w:r>
    </w:p>
    <w:p>
      <w:pPr>
        <w:numPr>
          <w:ilvl w:val="0"/>
          <w:numId w:val="1232"/>
        </w:numPr>
        <w:pStyle w:val="Compact"/>
      </w:pPr>
      <w:r>
        <w:t xml:space="preserve">Mehrere Beobachtungsstudien messen MOTS-c-Spiegel, etwa bei Nierentransplantation (NCT07678073) oder bei Diabetes unter verschiedenen Medikamenten (NCT03878706).</w:t>
      </w:r>
    </w:p>
    <w:p>
      <w:pPr>
        <w:pStyle w:val="FirstParagraph"/>
      </w:pPr>
      <w:r>
        <w:rPr>
          <w:bCs/>
          <w:b/>
        </w:rPr>
        <w:t xml:space="preserve">Einschätzung:</w:t>
      </w:r>
      <w:r>
        <w:t xml:space="preserve"> </w:t>
      </w:r>
      <w:r>
        <w:t xml:space="preserve">Die zentrale Frage – verbessert zugeführtes MOTS-c beim Menschen die Insulinempfindlichkeit? – ist bisher von niemandem in einer veröffentlichten Studie geprüft worden. Dafür wäre zunächst eine kontrollierte Phase-1/2-Studie mit veröffentlichten Ergebnissen nötig. Bis dahin beruht jede Aussage über eine Wirkung beim Menschen auf Tierversuchen und Spiegelmessungen.</w:t>
      </w:r>
    </w:p>
    <w:bookmarkEnd w:id="690"/>
    <w:bookmarkStart w:id="691" w:name="fazit-41"/>
    <w:p>
      <w:pPr>
        <w:pStyle w:val="Heading3"/>
      </w:pPr>
      <w:r>
        <w:t xml:space="preserve">Fazit</w:t>
      </w:r>
    </w:p>
    <w:p>
      <w:pPr>
        <w:pStyle w:val="FirstParagraph"/>
      </w:pPr>
      <w:r>
        <w:t xml:space="preserve">MOTS-c ist ein körpereigenes, im Mitochondrien-Erbgut verschlüsseltes Peptid, das bei Mäusen Stoffwechsel und Leistungsfähigkeit verbesserte und beim Menschen nach Bewegung ansteigt. Beobachtungsstudien zeigen niedrigere Spiegel bei Übergewicht, Fettleber und Gefäßerkrankungen, belegen aber keine Ursache und keinen Nutzen einer Zufuhr. Die einzige abgeschlossene Studie mit einem MOTS-c-Abkömmling (CB4211) ist nicht in einer Fachzeitschrift veröffentlicht, und mit MOTS-c selbst gibt es keine veröffentlichte Studie am Menschen. Die Daten reichen nicht aus, um Nutzen oder Sicherheit beim Menschen zu beurteilen; im Sport ist MOTS-c verboten.</w:t>
      </w:r>
    </w:p>
    <w:bookmarkEnd w:id="691"/>
    <w:bookmarkEnd w:id="692"/>
    <w:bookmarkStart w:id="703" w:name="humanin"/>
    <w:p>
      <w:pPr>
        <w:pStyle w:val="Heading2"/>
      </w:pPr>
      <w:r>
        <w:t xml:space="preserve">Humanin</w:t>
      </w:r>
    </w:p>
    <w:bookmarkStart w:id="693" w:name="steckbrief-42"/>
    <w:p>
      <w:pPr>
        <w:pStyle w:val="Heading3"/>
      </w:pPr>
      <w:r>
        <w:t xml:space="preserve">Steckbrief</w:t>
      </w:r>
    </w:p>
    <w:p>
      <w:pPr>
        <w:numPr>
          <w:ilvl w:val="0"/>
          <w:numId w:val="1233"/>
        </w:numPr>
        <w:pStyle w:val="Compact"/>
      </w:pPr>
      <w:r>
        <w:rPr>
          <w:bCs/>
          <w:b/>
        </w:rPr>
        <w:t xml:space="preserve">Art und Struktur:</w:t>
      </w:r>
      <w:r>
        <w:t xml:space="preserve"> </w:t>
      </w:r>
      <w:r>
        <w:t xml:space="preserve">körpereigenes Peptid aus 24 Aminosäuren. Im Graumarkt und in der Forschung wird meist die abgewandelte Form</w:t>
      </w:r>
      <w:r>
        <w:t xml:space="preserve"> </w:t>
      </w:r>
      <w:r>
        <w:rPr>
          <w:bCs/>
          <w:b/>
        </w:rPr>
        <w:t xml:space="preserve">HNG</w:t>
      </w:r>
      <w:r>
        <w:t xml:space="preserve"> </w:t>
      </w:r>
      <w:r>
        <w:t xml:space="preserve">(Humanin-G, auch S14G-Humanin) verwendet, bei der an Position 14 Serin durch Glycin ersetzt ist; sie wirkt in Laborversuchen deutlich stärker.</w:t>
      </w:r>
    </w:p>
    <w:p>
      <w:pPr>
        <w:numPr>
          <w:ilvl w:val="0"/>
          <w:numId w:val="1233"/>
        </w:numPr>
        <w:pStyle w:val="Compact"/>
      </w:pPr>
      <w:r>
        <w:rPr>
          <w:bCs/>
          <w:b/>
        </w:rPr>
        <w:t xml:space="preserve">Herkunft:</w:t>
      </w:r>
      <w:r>
        <w:t xml:space="preserve"> </w:t>
      </w:r>
      <w:r>
        <w:t xml:space="preserve">2001 von japanischen Forschenden entdeckt, als sie in Hirngewebe eines Menschen mit Alzheimer-Krankheit nach Faktoren suchten, die Nervenzellen vor dem Absterben schützen – daher der Name. Es ist im Erbgut der Mitochondrien verschlüsselt; ähnliche Abschnitte gibt es auch im Erbgut des Zellkerns.</w:t>
      </w:r>
    </w:p>
    <w:p>
      <w:pPr>
        <w:numPr>
          <w:ilvl w:val="0"/>
          <w:numId w:val="1233"/>
        </w:numPr>
        <w:pStyle w:val="Compact"/>
      </w:pPr>
      <w:r>
        <w:rPr>
          <w:bCs/>
          <w:b/>
        </w:rPr>
        <w:t xml:space="preserve">Wirkprinzip:</w:t>
      </w:r>
      <w:r>
        <w:t xml:space="preserve"> </w:t>
      </w:r>
      <w:r>
        <w:t xml:space="preserve">„Mitokin“ (Signalstoff der Mitochondrien), das Zellen vor programmiertem Zelltod schützen soll. Es bindet unter anderem an einen Rezeptorkomplex aus CNTF-Rezeptor, WSX-1 und gp130 auf der Zelloberfläche.</w:t>
      </w:r>
    </w:p>
    <w:p>
      <w:pPr>
        <w:numPr>
          <w:ilvl w:val="0"/>
          <w:numId w:val="1233"/>
        </w:numPr>
        <w:pStyle w:val="Compact"/>
      </w:pPr>
      <w:r>
        <w:rPr>
          <w:bCs/>
          <w:b/>
        </w:rPr>
        <w:t xml:space="preserve">Zulassung EU:</w:t>
      </w:r>
      <w:r>
        <w:t xml:space="preserve"> </w:t>
      </w:r>
      <w:r>
        <w:t xml:space="preserve">nein.</w:t>
      </w:r>
    </w:p>
    <w:p>
      <w:pPr>
        <w:numPr>
          <w:ilvl w:val="0"/>
          <w:numId w:val="1233"/>
        </w:numPr>
        <w:pStyle w:val="Compact"/>
      </w:pPr>
      <w:r>
        <w:rPr>
          <w:bCs/>
          <w:b/>
        </w:rPr>
        <w:t xml:space="preserve">Zulassung USA:</w:t>
      </w:r>
      <w:r>
        <w:t xml:space="preserve"> </w:t>
      </w:r>
      <w:r>
        <w:t xml:space="preserve">nein.</w:t>
      </w:r>
    </w:p>
    <w:p>
      <w:pPr>
        <w:numPr>
          <w:ilvl w:val="0"/>
          <w:numId w:val="1233"/>
        </w:numPr>
        <w:pStyle w:val="Compact"/>
      </w:pPr>
      <w:r>
        <w:rPr>
          <w:bCs/>
          <w:b/>
        </w:rPr>
        <w:t xml:space="preserve">WADA:</w:t>
      </w:r>
      <w:r>
        <w:t xml:space="preserve"> </w:t>
      </w:r>
      <w:r>
        <w:t xml:space="preserve">nicht namentlich gelistet; als nirgends zugelassene Substanz fällt Humanin bzw. HNG nach unserer Einschätzung unter die Sammelkategorie S0 (Stand 2026, bitte aktuell prüfen).</w:t>
      </w:r>
    </w:p>
    <w:p>
      <w:pPr>
        <w:numPr>
          <w:ilvl w:val="0"/>
          <w:numId w:val="1233"/>
        </w:numPr>
        <w:pStyle w:val="Compact"/>
      </w:pPr>
      <w:r>
        <w:rPr>
          <w:bCs/>
          <w:b/>
        </w:rPr>
        <w:t xml:space="preserve">Evidenzstufe:</w:t>
      </w:r>
      <w:r>
        <w:t xml:space="preserve"> </w:t>
      </w:r>
      <w:r>
        <w:rPr>
          <w:bCs/>
          <w:b/>
        </w:rPr>
        <w:t xml:space="preserve">D</w:t>
      </w:r>
      <w:r>
        <w:t xml:space="preserve"> </w:t>
      </w:r>
      <w:r>
        <w:t xml:space="preserve">für die Gabe als Wirkstoff – keine einzige Studie, in der Menschen Humanin oder HNG erhielten; beim Menschen gibt es nur Messungen der körpereigenen Spiegel.</w:t>
      </w:r>
    </w:p>
    <w:bookmarkEnd w:id="693"/>
    <w:bookmarkStart w:id="694" w:name="wie-es-wirken-soll-42"/>
    <w:p>
      <w:pPr>
        <w:pStyle w:val="Heading3"/>
      </w:pPr>
      <w:r>
        <w:t xml:space="preserve">Wie es wirken soll</w:t>
      </w:r>
    </w:p>
    <w:p>
      <w:pPr>
        <w:pStyle w:val="FirstParagraph"/>
      </w:pPr>
      <w:r>
        <w:t xml:space="preserve">Die Entdecker suchten 2001 in einer Genbibliothek aus Hirngewebe nach Abschnitten, die Nervenzellen vor den giftigen Effekten von Alzheimer-Genen schützen. Sie fanden ein kurzes Peptid, das in Zellkulturen Nervenzellen vor zahlreichen Alzheimer-typischen Schädigungen bewahrte – gegen Amyloid-beta und gegen die Wirkung mehrerer erblicher Alzheimer-Mutationen, nicht aber gegen andere Giftstoffe wie Glutamat oder Prion-Bruchstücke (Hashimoto 2001, PMID 11717357). Die Variante HNG war dabei wirksamer als andere getestete Schutzfaktoren.</w:t>
      </w:r>
    </w:p>
    <w:p>
      <w:pPr>
        <w:pStyle w:val="BodyText"/>
      </w:pPr>
      <w:r>
        <w:t xml:space="preserve">Später zeigte dieselbe Gruppe, dass Humanin an einen Rezeptorkomplex bindet, der zur Familie der Zytokin-Rezeptoren gehört (CNTF-Rezeptor, WSX-1 und gp130) und über das Signalmolekül STAT3 wirkt (Hashimoto 2009, PMID 19386761). Darüber hinaus beschreiben Laborstudien Bindungen an Eiweiße, die den Zelltod steuern, und an den Wachstumsfaktor-Bindungspartner IGFBP-3.</w:t>
      </w:r>
    </w:p>
    <w:p>
      <w:pPr>
        <w:pStyle w:val="BodyText"/>
      </w:pPr>
      <w:r>
        <w:t xml:space="preserve">Eine Besonderheit: Humanin wird wie MOTS-c (siehe vorheriges Kapitel) im Erbgut der Mitochondrien verschlüsselt. Diese „mitochondrialen Peptide“ gelten als neue Signalebene, über die Mitochondrien mit dem Rest des Körpers kommunizieren (Miller 2022, PMID 35499074).</w:t>
      </w:r>
    </w:p>
    <w:bookmarkEnd w:id="694"/>
    <w:bookmarkStart w:id="697" w:name="studien-am-menschen-42"/>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8 als Humanstudien klassifizierte Veröffentlichungen; in keiner davon wurde Humanin verabreicht. Sie untersuchen, wie sich die körpereigenen Spiegel durch Training, Sauerstofftherapie oder Nahrungsergänzung verändern, oder betreffen Zellen von Patientinnen und Patienten im Labor. Insgesamt führt PubMed rund 550 Arbeiten zu Humanin. Auf ClinicalTrials.gov sind 3 Studien registriert, alle Beobachtungsstudien zu Humanin-Spiegeln (bei Herzoperationen, akutem Nierenversagen und Nierentransplantation).</w:t>
      </w:r>
    </w:p>
    <w:bookmarkStart w:id="695" w:name="spiegel-und-alter"/>
    <w:p>
      <w:pPr>
        <w:pStyle w:val="Heading4"/>
      </w:pPr>
      <w:r>
        <w:t xml:space="preserve">Spiegel und Alter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Lee 2014, PMID 25040290</w:t>
            </w:r>
          </w:p>
        </w:tc>
        <w:tc>
          <w:tcPr/>
          <w:p>
            <w:pPr>
              <w:pStyle w:val="Compact"/>
              <w:jc w:val="left"/>
            </w:pPr>
            <w:r>
              <w:t xml:space="preserve">Mäuse und Menschen, Beobachtung und Hormongabe</w:t>
            </w:r>
          </w:p>
        </w:tc>
        <w:tc>
          <w:tcPr/>
          <w:p>
            <w:pPr>
              <w:pStyle w:val="Compact"/>
              <w:jc w:val="left"/>
            </w:pPr>
            <w:r>
              <w:t xml:space="preserve">–</w:t>
            </w:r>
          </w:p>
        </w:tc>
        <w:tc>
          <w:tcPr/>
          <w:p>
            <w:pPr>
              <w:pStyle w:val="Compact"/>
              <w:jc w:val="left"/>
            </w:pPr>
            <w:r>
              <w:t xml:space="preserve">Humanin-Spiegel sinken mit dem Alter; Wachstumshormon und IGF-1 senkten sie bei Mäusen und Menschen</w:t>
            </w:r>
          </w:p>
        </w:tc>
      </w:tr>
      <w:tr>
        <w:tc>
          <w:tcPr/>
          <w:p>
            <w:pPr>
              <w:pStyle w:val="Compact"/>
              <w:jc w:val="left"/>
            </w:pPr>
            <w:r>
              <w:t xml:space="preserve">Yen 2020, PMID 32575074</w:t>
            </w:r>
          </w:p>
        </w:tc>
        <w:tc>
          <w:tcPr/>
          <w:p>
            <w:pPr>
              <w:pStyle w:val="Compact"/>
              <w:jc w:val="left"/>
            </w:pPr>
            <w:r>
              <w:t xml:space="preserve">Kinder von 100-Jährigen und Vergleichspersonen; Tiermodelle</w:t>
            </w:r>
          </w:p>
        </w:tc>
        <w:tc>
          <w:tcPr/>
          <w:p>
            <w:pPr>
              <w:pStyle w:val="Compact"/>
              <w:jc w:val="left"/>
            </w:pPr>
            <w:r>
              <w:t xml:space="preserve">Querschnitt</w:t>
            </w:r>
          </w:p>
        </w:tc>
        <w:tc>
          <w:tcPr/>
          <w:p>
            <w:pPr>
              <w:pStyle w:val="Compact"/>
              <w:jc w:val="left"/>
            </w:pPr>
            <w:r>
              <w:t xml:space="preserve">deutlich höhere Spiegel bei Kindern von 100-Jährigen; niedriger bei Alzheimer und MELAS</w:t>
            </w:r>
          </w:p>
        </w:tc>
      </w:tr>
      <w:tr>
        <w:tc>
          <w:tcPr/>
          <w:p>
            <w:pPr>
              <w:pStyle w:val="Compact"/>
              <w:jc w:val="left"/>
            </w:pPr>
            <w:r>
              <w:t xml:space="preserve">Miller 2024, PMID 38520065</w:t>
            </w:r>
          </w:p>
        </w:tc>
        <w:tc>
          <w:tcPr/>
          <w:p>
            <w:pPr>
              <w:pStyle w:val="Compact"/>
              <w:jc w:val="left"/>
            </w:pPr>
            <w:r>
              <w:t xml:space="preserve">100-Jährige mit dem Alzheimer-Risikogen APOE4; Mausmodell</w:t>
            </w:r>
          </w:p>
        </w:tc>
        <w:tc>
          <w:tcPr/>
          <w:p>
            <w:pPr>
              <w:pStyle w:val="Compact"/>
              <w:jc w:val="left"/>
            </w:pPr>
            <w:r>
              <w:t xml:space="preserve">genetische Analyse</w:t>
            </w:r>
          </w:p>
        </w:tc>
        <w:tc>
          <w:tcPr/>
          <w:p>
            <w:pPr>
              <w:pStyle w:val="Compact"/>
              <w:jc w:val="left"/>
            </w:pPr>
            <w:r>
              <w:t xml:space="preserve">seltene Humanin-Variante P3S bei langlebigen APOE4-Trägern gehäuft</w:t>
            </w:r>
          </w:p>
        </w:tc>
      </w:tr>
      <w:tr>
        <w:tc>
          <w:tcPr/>
          <w:p>
            <w:pPr>
              <w:pStyle w:val="Compact"/>
              <w:jc w:val="left"/>
            </w:pPr>
            <w:r>
              <w:t xml:space="preserve">Gidlund 2016, PMID 27923980</w:t>
            </w:r>
          </w:p>
        </w:tc>
        <w:tc>
          <w:tcPr/>
          <w:p>
            <w:pPr>
              <w:pStyle w:val="Compact"/>
              <w:jc w:val="left"/>
            </w:pPr>
            <w:r>
              <w:t xml:space="preserve">55 Männer mit gestörtem Zuckerstoffwechsel, Krafttraining, Nordic Walking oder Kontrolle, randomisiert</w:t>
            </w:r>
          </w:p>
        </w:tc>
        <w:tc>
          <w:tcPr/>
          <w:p>
            <w:pPr>
              <w:pStyle w:val="Compact"/>
              <w:jc w:val="left"/>
            </w:pPr>
            <w:r>
              <w:t xml:space="preserve">12 Wochen</w:t>
            </w:r>
          </w:p>
        </w:tc>
        <w:tc>
          <w:tcPr/>
          <w:p>
            <w:pPr>
              <w:pStyle w:val="Compact"/>
              <w:jc w:val="left"/>
            </w:pPr>
            <w:r>
              <w:t xml:space="preserve">Humanin im Muskel nach Krafttraining um 35 % höher, im Blut unverändert</w:t>
            </w:r>
          </w:p>
        </w:tc>
      </w:tr>
      <w:tr>
        <w:tc>
          <w:tcPr/>
          <w:p>
            <w:pPr>
              <w:pStyle w:val="Compact"/>
              <w:jc w:val="left"/>
            </w:pPr>
            <w:r>
              <w:t xml:space="preserve">von Walden 2021, PMID 34351816</w:t>
            </w:r>
          </w:p>
        </w:tc>
        <w:tc>
          <w:tcPr/>
          <w:p>
            <w:pPr>
              <w:pStyle w:val="Compact"/>
              <w:jc w:val="left"/>
            </w:pPr>
            <w:r>
              <w:t xml:space="preserve">30 Personen, eine Ausdauer- oder Krafteinheit oder Kontrolle, randomisiert</w:t>
            </w:r>
          </w:p>
        </w:tc>
        <w:tc>
          <w:tcPr/>
          <w:p>
            <w:pPr>
              <w:pStyle w:val="Compact"/>
              <w:jc w:val="left"/>
            </w:pPr>
            <w:r>
              <w:t xml:space="preserve">einmalig</w:t>
            </w:r>
          </w:p>
        </w:tc>
        <w:tc>
          <w:tcPr/>
          <w:p>
            <w:pPr>
              <w:pStyle w:val="Compact"/>
              <w:jc w:val="left"/>
            </w:pPr>
            <w:r>
              <w:t xml:space="preserve">Humanin im Blut nach Ausdauerbelastung erhöht</w:t>
            </w:r>
          </w:p>
        </w:tc>
      </w:tr>
      <w:tr>
        <w:tc>
          <w:tcPr/>
          <w:p>
            <w:pPr>
              <w:pStyle w:val="Compact"/>
              <w:jc w:val="left"/>
            </w:pPr>
            <w:r>
              <w:t xml:space="preserve">Xu 2019, PMID 31134827</w:t>
            </w:r>
          </w:p>
        </w:tc>
        <w:tc>
          <w:tcPr/>
          <w:p>
            <w:pPr>
              <w:pStyle w:val="Compact"/>
              <w:jc w:val="left"/>
            </w:pPr>
            <w:r>
              <w:t xml:space="preserve">158 Personen mit vaskulärer Demenz, Sauerstoff-Überdrucktherapie oder Standard</w:t>
            </w:r>
          </w:p>
        </w:tc>
        <w:tc>
          <w:tcPr/>
          <w:p>
            <w:pPr>
              <w:pStyle w:val="Compact"/>
              <w:jc w:val="left"/>
            </w:pPr>
            <w:r>
              <w:t xml:space="preserve">12 Wochen</w:t>
            </w:r>
          </w:p>
        </w:tc>
        <w:tc>
          <w:tcPr/>
          <w:p>
            <w:pPr>
              <w:pStyle w:val="Compact"/>
              <w:jc w:val="left"/>
            </w:pPr>
            <w:r>
              <w:t xml:space="preserve">höhere Humanin-Spiegel und MMSE-Werte unter Überdrucktherapie</w:t>
            </w:r>
          </w:p>
        </w:tc>
      </w:tr>
    </w:tbl>
    <w:p>
      <w:pPr>
        <w:pStyle w:val="BodyText"/>
      </w:pPr>
      <w:r>
        <w:t xml:space="preserve">Die Beobachtungen ergeben ein in sich stimmiges Bild: Humanin-Spiegel sinken mit dem Alter, sind bei Kindern sehr alter Menschen höher, bei manchen Erkrankungen niedriger und steigen durch Bewegung. Interessant ist der Zusammenhang mit dem Wachstumshormon-System: Wachstumshormon und IGF-1 senkten die Humanin-Spiegel bei Mäusen und Menschen, und langlebige Mäuse mit Wachstumshormonmangel hatten erhöhte Spiegel (Lee 2014, PMID 25040290). Das ist bemerkenswert, weil im selben Graumarkt häufig Wachstumshormon-Freisetzer angeboten werden (siehe Teil II · C).</w:t>
      </w:r>
    </w:p>
    <w:p>
      <w:pPr>
        <w:pStyle w:val="BodyText"/>
      </w:pPr>
      <w:r>
        <w:t xml:space="preserve">Doch auch hier gilt: Ein Spiegel, der mit Gesundheit einhergeht, ist kein Beleg dafür, dass eine Zufuhr gesünder macht. Ebenso gut kann Humanin ein Begleitzeichen gesunder Mitochondrien sein, ohne selbst die Ursache zu sein.</w:t>
      </w:r>
    </w:p>
    <w:bookmarkEnd w:id="695"/>
    <w:bookmarkStart w:id="696" w:name="gabe-als-wirkstoff"/>
    <w:p>
      <w:pPr>
        <w:pStyle w:val="Heading4"/>
      </w:pPr>
      <w:r>
        <w:t xml:space="preserve">Gabe als Wirkstoff</w:t>
      </w:r>
    </w:p>
    <w:p>
      <w:pPr>
        <w:pStyle w:val="FirstParagraph"/>
      </w:pPr>
      <w:r>
        <w:t xml:space="preserve">Es gibt keine veröffentlichte Studie und keinen Registereintrag, in dem Menschen Humanin oder HNG erhielten (Abfrage Oktober 2026). Auch Fallberichte über Nebenwirkungen nach Selbstanwendung fanden sich nicht.</w:t>
      </w:r>
    </w:p>
    <w:bookmarkEnd w:id="696"/>
    <w:bookmarkEnd w:id="697"/>
    <w:bookmarkStart w:id="698" w:name="tier--und-laborstudien-42"/>
    <w:p>
      <w:pPr>
        <w:pStyle w:val="Heading3"/>
      </w:pPr>
      <w:r>
        <w:t xml:space="preserve">Tier- und Laborstudien</w:t>
      </w:r>
    </w:p>
    <w:p>
      <w:pPr>
        <w:pStyle w:val="FirstParagraph"/>
      </w:pPr>
      <w:r>
        <w:t xml:space="preserve">Die präklinische Literatur ist umfangreich:</w:t>
      </w:r>
    </w:p>
    <w:p>
      <w:pPr>
        <w:numPr>
          <w:ilvl w:val="0"/>
          <w:numId w:val="1234"/>
        </w:numPr>
        <w:pStyle w:val="Compact"/>
      </w:pPr>
      <w:r>
        <w:rPr>
          <w:bCs/>
          <w:b/>
        </w:rPr>
        <w:t xml:space="preserve">Lebensdauer:</w:t>
      </w:r>
      <w:r>
        <w:t xml:space="preserve"> </w:t>
      </w:r>
      <w:r>
        <w:t xml:space="preserve">Bei Fadenwürmern verlängerte eine vermehrte Humanin-Bildung die Lebensdauer; bei Mäusen im mittleren Alter verbesserte HNG Stoffwechselwerte und senkte Entzündungsmarker (Yen 2020, PMID 32575074).</w:t>
      </w:r>
    </w:p>
    <w:p>
      <w:pPr>
        <w:numPr>
          <w:ilvl w:val="0"/>
          <w:numId w:val="1234"/>
        </w:numPr>
        <w:pStyle w:val="Compact"/>
      </w:pPr>
      <w:r>
        <w:rPr>
          <w:bCs/>
          <w:b/>
        </w:rPr>
        <w:t xml:space="preserve">Herz:</w:t>
      </w:r>
      <w:r>
        <w:t xml:space="preserve"> </w:t>
      </w:r>
      <w:r>
        <w:t xml:space="preserve">Bei Mäusen verringerte HNG nach einem künstlich ausgelösten Herzinfarkt die Infarktgröße (Muzumdar 2010, PMID 20651283); eine 14-monatige Behandlung alter Mäuse verringerte die altersbedingte Vernarbung des Herzmuskels (Qin 2018, PMID 30004252).</w:t>
      </w:r>
    </w:p>
    <w:p>
      <w:pPr>
        <w:numPr>
          <w:ilvl w:val="0"/>
          <w:numId w:val="1234"/>
        </w:numPr>
        <w:pStyle w:val="Compact"/>
      </w:pPr>
      <w:r>
        <w:rPr>
          <w:bCs/>
          <w:b/>
        </w:rPr>
        <w:t xml:space="preserve">Alzheimer-Modelle:</w:t>
      </w:r>
      <w:r>
        <w:t xml:space="preserve"> </w:t>
      </w:r>
      <w:r>
        <w:t xml:space="preserve">Die seltene Variante P3S verringerte bei Mäusen mit APOE4 die Amyloid-Ablagerungen stärker als normales Humanin (Miller 2024, PMID 38520065).</w:t>
      </w:r>
    </w:p>
    <w:p>
      <w:pPr>
        <w:numPr>
          <w:ilvl w:val="0"/>
          <w:numId w:val="1234"/>
        </w:numPr>
        <w:pStyle w:val="Compact"/>
      </w:pPr>
      <w:r>
        <w:rPr>
          <w:bCs/>
          <w:b/>
        </w:rPr>
        <w:t xml:space="preserve">Netzhaut:</w:t>
      </w:r>
      <w:r>
        <w:t xml:space="preserve"> </w:t>
      </w:r>
      <w:r>
        <w:t xml:space="preserve">In Zellmodellen mit Mitochondrien von Menschen mit altersbedingter Makuladegeneration schützte HNG vor Zellschäden (Nashine 2017, PMID 28726777).</w:t>
      </w:r>
    </w:p>
    <w:bookmarkEnd w:id="698"/>
    <w:bookmarkStart w:id="699" w:name="risiken-und-nebenwirkungen-42"/>
    <w:p>
      <w:pPr>
        <w:pStyle w:val="Heading3"/>
      </w:pPr>
      <w:r>
        <w:t xml:space="preserve">Risiken und Nebenwirkungen</w:t>
      </w:r>
    </w:p>
    <w:p>
      <w:pPr>
        <w:pStyle w:val="FirstParagraph"/>
      </w:pPr>
      <w:r>
        <w:rPr>
          <w:bCs/>
          <w:b/>
        </w:rPr>
        <w:t xml:space="preserve">Belegt:</w:t>
      </w:r>
      <w:r>
        <w:t xml:space="preserve"> </w:t>
      </w:r>
      <w:r>
        <w:t xml:space="preserve">Es gibt keine Sicherheitsdaten zur Gabe am Menschen.</w:t>
      </w:r>
    </w:p>
    <w:p>
      <w:pPr>
        <w:pStyle w:val="BodyText"/>
      </w:pPr>
      <w:r>
        <w:rPr>
          <w:bCs/>
          <w:b/>
        </w:rPr>
        <w:t xml:space="preserve">Theoretisch – mit konkreten Warnzeichen aus dem Labor:</w:t>
      </w:r>
    </w:p>
    <w:p>
      <w:pPr>
        <w:numPr>
          <w:ilvl w:val="0"/>
          <w:numId w:val="1235"/>
        </w:numPr>
        <w:pStyle w:val="Compact"/>
      </w:pPr>
      <w:r>
        <w:rPr>
          <w:bCs/>
          <w:b/>
        </w:rPr>
        <w:t xml:space="preserve">Krebs:</w:t>
      </w:r>
      <w:r>
        <w:t xml:space="preserve"> </w:t>
      </w:r>
      <w:r>
        <w:t xml:space="preserve">Humanin schützt Zellen vor dem programmierten Zelltod – und das gilt auch für Krebszellen. Bei Mäusen mit dreifach-negativem Brustkrebs verringerte zugeführtes Humanin den Zelltod im Tumor, schwächte die Wirkung der Chemotherapie ab und beschleunigte Tumorwachstum und Lungenmetastasen. In Biopsien dieses Brustkrebstyps war Humanin vermehrt nachweisbar. Die Autoren raten ausdrücklich zur Vorsicht beim Einsatz von Humanin gegen degenerative Erkrankungen (Moreno Ayala 2020, PMID 32444831).</w:t>
      </w:r>
    </w:p>
    <w:p>
      <w:pPr>
        <w:numPr>
          <w:ilvl w:val="0"/>
          <w:numId w:val="1235"/>
        </w:numPr>
        <w:pStyle w:val="Compact"/>
      </w:pPr>
      <w:r>
        <w:rPr>
          <w:bCs/>
          <w:b/>
        </w:rPr>
        <w:t xml:space="preserve">Entzündung bei gealterten Zellen:</w:t>
      </w:r>
      <w:r>
        <w:t xml:space="preserve"> </w:t>
      </w:r>
      <w:r>
        <w:t xml:space="preserve">In Zellversuchen verstärkten Humanin und MOTS-c die Ausschüttung entzündlicher Botenstoffe durch gealterte („seneszente“) Zellen (Mendelsohn 2018, PMID 30058454).</w:t>
      </w:r>
    </w:p>
    <w:p>
      <w:pPr>
        <w:numPr>
          <w:ilvl w:val="0"/>
          <w:numId w:val="1235"/>
        </w:numPr>
        <w:pStyle w:val="Compact"/>
      </w:pPr>
      <w:r>
        <w:rPr>
          <w:bCs/>
          <w:b/>
        </w:rPr>
        <w:t xml:space="preserve">Immunreaktionen:</w:t>
      </w:r>
      <w:r>
        <w:t xml:space="preserve"> </w:t>
      </w:r>
      <w:r>
        <w:t xml:space="preserve">Bei wiederholter Injektion eines Peptids können Antikörper entstehen; nicht untersucht.</w:t>
      </w:r>
    </w:p>
    <w:p>
      <w:pPr>
        <w:pStyle w:val="FirstParagraph"/>
      </w:pPr>
      <w:r>
        <w:rPr>
          <w:bCs/>
          <w:b/>
        </w:rPr>
        <w:t xml:space="preserve">Graumarkt:</w:t>
      </w:r>
      <w:r>
        <w:t xml:space="preserve"> </w:t>
      </w:r>
      <w:r>
        <w:t xml:space="preserve">Humanin und HNG werden als „Longevity-Peptide“ zur Injektion angeboten. Gehalt, Reinheit und Keimfreiheit sind ungeprüft.</w:t>
      </w:r>
    </w:p>
    <w:bookmarkEnd w:id="699"/>
    <w:bookmarkStart w:id="700" w:name="rechtslage-42"/>
    <w:p>
      <w:pPr>
        <w:pStyle w:val="Heading3"/>
      </w:pPr>
      <w:r>
        <w:t xml:space="preserve">Rechtslage</w:t>
      </w:r>
    </w:p>
    <w:p>
      <w:pPr>
        <w:numPr>
          <w:ilvl w:val="0"/>
          <w:numId w:val="1236"/>
        </w:numPr>
        <w:pStyle w:val="Compact"/>
      </w:pPr>
      <w:r>
        <w:rPr>
          <w:bCs/>
          <w:b/>
        </w:rPr>
        <w:t xml:space="preserve">EU / Österreich / Deutschland:</w:t>
      </w:r>
      <w:r>
        <w:t xml:space="preserve"> </w:t>
      </w:r>
      <w:r>
        <w:t xml:space="preserve">nicht zugelassen; als Stoff mit pharmakologischer Wirkung gilt Humanin als Arzneimittel, ein Verkauf zur Anwendung am Menschen ist nicht erlaubt (Stand 2026, bitte aktuell prüfen).</w:t>
      </w:r>
    </w:p>
    <w:p>
      <w:pPr>
        <w:numPr>
          <w:ilvl w:val="0"/>
          <w:numId w:val="1236"/>
        </w:numPr>
        <w:pStyle w:val="Compact"/>
      </w:pPr>
      <w:r>
        <w:rPr>
          <w:bCs/>
          <w:b/>
        </w:rPr>
        <w:t xml:space="preserve">USA:</w:t>
      </w:r>
      <w:r>
        <w:t xml:space="preserve"> </w:t>
      </w:r>
      <w:r>
        <w:t xml:space="preserve">nicht zugelassen.</w:t>
      </w:r>
    </w:p>
    <w:p>
      <w:pPr>
        <w:numPr>
          <w:ilvl w:val="0"/>
          <w:numId w:val="1236"/>
        </w:numPr>
        <w:pStyle w:val="Compact"/>
      </w:pPr>
      <w:r>
        <w:rPr>
          <w:bCs/>
          <w:b/>
        </w:rPr>
        <w:t xml:space="preserve">Sport:</w:t>
      </w:r>
      <w:r>
        <w:t xml:space="preserve"> </w:t>
      </w:r>
      <w:r>
        <w:t xml:space="preserve">nach unserer Einschätzung WADA-Kategorie S0 (Stand 2026, bitte aktuell prüfen).</w:t>
      </w:r>
    </w:p>
    <w:bookmarkEnd w:id="700"/>
    <w:bookmarkStart w:id="701" w:name="laufende-studien-und-ausblick-42"/>
    <w:p>
      <w:pPr>
        <w:pStyle w:val="Heading3"/>
      </w:pPr>
      <w:r>
        <w:t xml:space="preserve">Laufende Studien und Ausblick</w:t>
      </w:r>
    </w:p>
    <w:p>
      <w:pPr>
        <w:pStyle w:val="FirstParagraph"/>
      </w:pPr>
      <w:r>
        <w:rPr>
          <w:bCs/>
          <w:b/>
        </w:rPr>
        <w:t xml:space="preserve">Gesichert:</w:t>
      </w:r>
      <w:r>
        <w:t xml:space="preserve"> </w:t>
      </w:r>
      <w:r>
        <w:t xml:space="preserve">Registriert sind nur Beobachtungsstudien zu Humanin-Spiegeln, etwa nach Herzoperationen (NCT03431844, 106 Teilnehmende, abgeschlossen) und bei Nierentransplantation (NCT07678073). Eine Studie zur Gabe von Humanin gibt es nicht.</w:t>
      </w:r>
    </w:p>
    <w:p>
      <w:pPr>
        <w:pStyle w:val="BodyText"/>
      </w:pPr>
      <w:r>
        <w:rPr>
          <w:bCs/>
          <w:b/>
        </w:rPr>
        <w:t xml:space="preserve">Einschätzung:</w:t>
      </w:r>
      <w:r>
        <w:t xml:space="preserve"> </w:t>
      </w:r>
      <w:r>
        <w:t xml:space="preserve">Humanin ist ein wissenschaftlich spannendes Signalpeptid und ein möglicher Biomarker des Alterns. Ob es je als Medikament geprüft wird, ist offen; die Krebsbefunde aus dem Tiermodell müssten vor jeder Anwendung am Menschen sorgfältig geklärt werden.</w:t>
      </w:r>
    </w:p>
    <w:bookmarkEnd w:id="701"/>
    <w:bookmarkStart w:id="702" w:name="fazit-42"/>
    <w:p>
      <w:pPr>
        <w:pStyle w:val="Heading3"/>
      </w:pPr>
      <w:r>
        <w:t xml:space="preserve">Fazit</w:t>
      </w:r>
    </w:p>
    <w:p>
      <w:pPr>
        <w:pStyle w:val="FirstParagraph"/>
      </w:pPr>
      <w:r>
        <w:t xml:space="preserve">Humanin ist ein körpereigenes, mitochondriales Peptid, das 2001 als Schutzfaktor für Nervenzellen entdeckt wurde. Seine Spiegel sinken mit dem Alter, sind bei Kindern von 100-Jährigen höher und steigen durch Bewegung; in Tierversuchen schützte die Variante HNG Herz, Gehirn und Stoffwechsel. Am Menschen wurde Humanin nie als Wirkstoff gegeben, und bei Mäusen förderte es das Wachstum von Brustkrebs. Die Daten reichen nicht aus, um Nutzen oder Sicherheit einer Zufuhr zu beurteilen.</w:t>
      </w:r>
    </w:p>
    <w:bookmarkEnd w:id="702"/>
    <w:bookmarkEnd w:id="703"/>
    <w:bookmarkStart w:id="715" w:name="ss-31-elamipretid"/>
    <w:p>
      <w:pPr>
        <w:pStyle w:val="Heading2"/>
      </w:pPr>
      <w:r>
        <w:t xml:space="preserve">SS-31 (Elamipretid)</w:t>
      </w:r>
    </w:p>
    <w:bookmarkStart w:id="704" w:name="steckbrief-43"/>
    <w:p>
      <w:pPr>
        <w:pStyle w:val="Heading3"/>
      </w:pPr>
      <w:r>
        <w:t xml:space="preserve">Steckbrief</w:t>
      </w:r>
    </w:p>
    <w:p>
      <w:pPr>
        <w:numPr>
          <w:ilvl w:val="0"/>
          <w:numId w:val="1237"/>
        </w:numPr>
        <w:pStyle w:val="Compact"/>
      </w:pPr>
      <w:r>
        <w:rPr>
          <w:bCs/>
          <w:b/>
        </w:rPr>
        <w:t xml:space="preserve">Art und Struktur:</w:t>
      </w:r>
      <w:r>
        <w:t xml:space="preserve"> </w:t>
      </w:r>
      <w:r>
        <w:t xml:space="preserve">synthetisches Tetrapeptid aus vier Bausteinen (D-Arginin, Dimethyltyrosin, Lysin, Phenylalanin), das durch eine ungewöhnliche Abfolge positiv geladener und ringförmiger Aminosäuren Zellmembranen durchdringt. Forschungsbezeichnungen SS-31, MTP-131 und Bendavia; Wirkstoffname Elamipretid; Handelsname Forzinity.</w:t>
      </w:r>
    </w:p>
    <w:p>
      <w:pPr>
        <w:numPr>
          <w:ilvl w:val="0"/>
          <w:numId w:val="1237"/>
        </w:numPr>
        <w:pStyle w:val="Compact"/>
      </w:pPr>
      <w:r>
        <w:rPr>
          <w:bCs/>
          <w:b/>
        </w:rPr>
        <w:t xml:space="preserve">Herkunft:</w:t>
      </w:r>
      <w:r>
        <w:t xml:space="preserve"> </w:t>
      </w:r>
      <w:r>
        <w:t xml:space="preserve">entwickelt von Hazel Szeto und Peter Schiller (daher „SS“-Peptide), klinisch weiterentwickelt vom US-Unternehmen Stealth BioTherapeutics.</w:t>
      </w:r>
    </w:p>
    <w:p>
      <w:pPr>
        <w:numPr>
          <w:ilvl w:val="0"/>
          <w:numId w:val="1237"/>
        </w:numPr>
        <w:pStyle w:val="Compact"/>
      </w:pPr>
      <w:r>
        <w:rPr>
          <w:bCs/>
          <w:b/>
        </w:rPr>
        <w:t xml:space="preserve">Wirkprinzip:</w:t>
      </w:r>
      <w:r>
        <w:t xml:space="preserve"> </w:t>
      </w:r>
      <w:r>
        <w:t xml:space="preserve">reichert sich an der inneren Membran der Mitochondrien an und bindet dort an Cardiolipin, ein Fett, das für die Energiegewinnung unverzichtbar ist. Es soll die Atmungskette stabilisieren und schädliche Oxidation begrenzen.</w:t>
      </w:r>
    </w:p>
    <w:p>
      <w:pPr>
        <w:numPr>
          <w:ilvl w:val="0"/>
          <w:numId w:val="1237"/>
        </w:numPr>
        <w:pStyle w:val="Compact"/>
      </w:pPr>
      <w:r>
        <w:rPr>
          <w:bCs/>
          <w:b/>
        </w:rPr>
        <w:t xml:space="preserve">Zulassung EU:</w:t>
      </w:r>
      <w:r>
        <w:t xml:space="preserve"> </w:t>
      </w:r>
      <w:r>
        <w:t xml:space="preserve">nein (Stand 2026, bitte aktuell prüfen).</w:t>
      </w:r>
    </w:p>
    <w:p>
      <w:pPr>
        <w:numPr>
          <w:ilvl w:val="0"/>
          <w:numId w:val="1237"/>
        </w:numPr>
        <w:pStyle w:val="Compact"/>
      </w:pPr>
      <w:r>
        <w:rPr>
          <w:bCs/>
          <w:b/>
        </w:rPr>
        <w:t xml:space="preserve">Zulassung USA:</w:t>
      </w:r>
      <w:r>
        <w:t xml:space="preserve"> </w:t>
      </w:r>
      <w:r>
        <w:t xml:space="preserve">ja – im September 2025</w:t>
      </w:r>
      <w:r>
        <w:t xml:space="preserve"> </w:t>
      </w:r>
      <w:r>
        <w:rPr>
          <w:bCs/>
          <w:b/>
        </w:rPr>
        <w:t xml:space="preserve">beschleunigte Zulassung</w:t>
      </w:r>
      <w:r>
        <w:t xml:space="preserve"> </w:t>
      </w:r>
      <w:r>
        <w:t xml:space="preserve">(accelerated approval) als Forzinity zur Verbesserung der Muskelkraft bei Barth-Syndrom für Erwachsene und Kinder ab 30 kg Körpergewicht. Die Zulassung ist an eine Bestätigungsstudie gebunden.</w:t>
      </w:r>
    </w:p>
    <w:p>
      <w:pPr>
        <w:numPr>
          <w:ilvl w:val="0"/>
          <w:numId w:val="1237"/>
        </w:numPr>
        <w:pStyle w:val="Compact"/>
      </w:pPr>
      <w:r>
        <w:rPr>
          <w:bCs/>
          <w:b/>
        </w:rPr>
        <w:t xml:space="preserve">WADA:</w:t>
      </w:r>
      <w:r>
        <w:t xml:space="preserve"> </w:t>
      </w:r>
      <w:r>
        <w:t xml:space="preserve">nicht namentlich gelistet (Stand 2026, bitte aktuell prüfen).</w:t>
      </w:r>
    </w:p>
    <w:p>
      <w:pPr>
        <w:numPr>
          <w:ilvl w:val="0"/>
          <w:numId w:val="1237"/>
        </w:numPr>
        <w:pStyle w:val="Compact"/>
      </w:pPr>
      <w:r>
        <w:rPr>
          <w:bCs/>
          <w:b/>
        </w:rPr>
        <w:t xml:space="preserve">Evidenzstufe:</w:t>
      </w:r>
      <w:r>
        <w:t xml:space="preserve"> </w:t>
      </w:r>
      <w:r>
        <w:rPr>
          <w:bCs/>
          <w:b/>
        </w:rPr>
        <w:t xml:space="preserve">B</w:t>
      </w:r>
      <w:r>
        <w:t xml:space="preserve"> </w:t>
      </w:r>
      <w:r>
        <w:t xml:space="preserve">– zahlreiche randomisierte Studien, darunter eine Phase-3-Studie mit 218 Teilnehmenden; die meisten großen Studien verfehlten jedoch ihren Hauptendpunkt, und die Zulassung beruht auf einer sehr kleinen Studie bei einer äußerst seltenen Erkrankung.</w:t>
      </w:r>
    </w:p>
    <w:bookmarkEnd w:id="704"/>
    <w:bookmarkStart w:id="705" w:name="wie-es-wirken-soll-43"/>
    <w:p>
      <w:pPr>
        <w:pStyle w:val="Heading3"/>
      </w:pPr>
      <w:r>
        <w:t xml:space="preserve">Wie es wirken soll</w:t>
      </w:r>
    </w:p>
    <w:p>
      <w:pPr>
        <w:pStyle w:val="FirstParagraph"/>
      </w:pPr>
      <w:r>
        <w:t xml:space="preserve">Mitochondrien gewinnen Energie über eine Kette von Eiweißkomplexen in ihrer inneren Membran. Damit diese Komplexe richtig zusammenarbeiten, braucht es Cardiolipin – ein besonderes Fett, das nur in dieser Membran vorkommt. Wird Cardiolipin geschädigt oder fehlt es, arbeitet die Atmungskette schlechter, und das Eiweiß Cytochrom c kann von einem Elektronenträger zu einem schädlichen Enzym (einer Peroxidase) werden.</w:t>
      </w:r>
    </w:p>
    <w:p>
      <w:pPr>
        <w:pStyle w:val="BodyText"/>
      </w:pPr>
      <w:r>
        <w:t xml:space="preserve">SS-31 bindet laut seiner Entwicklerin über elektrische und wasserabweisende Kräfte selektiv an Cardiolipin, verhindert diese Umwandlung von Cytochrom c und schützt so die Struktur der Mitochondrien (Szeto 2014, PMID 24117165). Das Prinzip ist in vielen Tiermodellen von Herz-, Nieren-, Muskel- und Augenerkrankungen untersucht worden.</w:t>
      </w:r>
    </w:p>
    <w:p>
      <w:pPr>
        <w:pStyle w:val="BodyText"/>
      </w:pPr>
      <w:r>
        <w:t xml:space="preserve">Am klarsten ist der Bezug beim</w:t>
      </w:r>
      <w:r>
        <w:t xml:space="preserve"> </w:t>
      </w:r>
      <w:r>
        <w:rPr>
          <w:bCs/>
          <w:b/>
        </w:rPr>
        <w:t xml:space="preserve">Barth-Syndrom</w:t>
      </w:r>
      <w:r>
        <w:t xml:space="preserve">: Bei dieser sehr seltenen, X-chromosomal vererbten Erkrankung, die fast nur Jungen und Männer betrifft, ist das Gen</w:t>
      </w:r>
      <w:r>
        <w:t xml:space="preserve"> </w:t>
      </w:r>
      <w:r>
        <w:rPr>
          <w:iCs/>
          <w:i/>
        </w:rPr>
        <w:t xml:space="preserve">TAZ</w:t>
      </w:r>
      <w:r>
        <w:t xml:space="preserve"> </w:t>
      </w:r>
      <w:r>
        <w:t xml:space="preserve">defekt, das für den Umbau von Cardiolipin nötig ist. Betroffene haben Herzmuskelschwäche, Muskelschwäche, starke Erschöpfbarkeit und eine verminderte Zahl bestimmter weißer Blutkörperchen. Ein Wirkstoff, der gezielt an Cardiolipin ansetzt, ist hier biologisch besonders naheliegend.</w:t>
      </w:r>
    </w:p>
    <w:bookmarkEnd w:id="705"/>
    <w:bookmarkStart w:id="709" w:name="studien-am-menschen-43"/>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19 als Humanstudien klassifizierte Veröffentlichungen; vier davon betreffen bei näherer Prüfung andere Wirkstoffe (das Kürzel „SS-31“ taucht auch anderswo auf). Auf ClinicalTrials.gov waren 21 Studien registriert, fast alle vom Hersteller, zu Barth-Syndrom, mitochondrialen Myopathien, Herzinsuffizienz, Herzinfarkt, Nierenarterienstenose, trockener Makuladegeneration und Augenerkrankungen. Elamipretid ist damit das am besten untersuchte Peptid dieses Teils.</w:t>
      </w:r>
    </w:p>
    <w:bookmarkStart w:id="706" w:name="barth-syndrom-tazpower-und-die-zulassung"/>
    <w:p>
      <w:pPr>
        <w:pStyle w:val="Heading4"/>
      </w:pPr>
      <w:r>
        <w:t xml:space="preserve">Barth-Syndrom: TAZPOWER und die Zulassung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TAZPOWER Teil 1 (Reid Thompson 2021), PMID 33077895</w:t>
            </w:r>
          </w:p>
        </w:tc>
        <w:tc>
          <w:tcPr/>
          <w:p>
            <w:pPr>
              <w:pStyle w:val="Compact"/>
              <w:jc w:val="left"/>
            </w:pPr>
            <w:r>
              <w:t xml:space="preserve">12 Personen, doppelblind, Überkreuz gegen Placebo</w:t>
            </w:r>
          </w:p>
        </w:tc>
        <w:tc>
          <w:tcPr/>
          <w:p>
            <w:pPr>
              <w:pStyle w:val="Compact"/>
              <w:jc w:val="left"/>
            </w:pPr>
            <w:r>
              <w:t xml:space="preserve">je 12 Wochen</w:t>
            </w:r>
          </w:p>
        </w:tc>
        <w:tc>
          <w:tcPr/>
          <w:p>
            <w:pPr>
              <w:pStyle w:val="Compact"/>
              <w:jc w:val="left"/>
            </w:pPr>
            <w:r>
              <w:t xml:space="preserve">beide Hauptendpunkte (6-Minuten-Gehtest, Symptomskala) verfehlt</w:t>
            </w:r>
          </w:p>
        </w:tc>
      </w:tr>
      <w:tr>
        <w:tc>
          <w:tcPr/>
          <w:p>
            <w:pPr>
              <w:pStyle w:val="Compact"/>
              <w:jc w:val="left"/>
            </w:pPr>
            <w:r>
              <w:t xml:space="preserve">TAZPOWER offene Verlängerung, PMID 33077895</w:t>
            </w:r>
          </w:p>
        </w:tc>
        <w:tc>
          <w:tcPr/>
          <w:p>
            <w:pPr>
              <w:pStyle w:val="Compact"/>
              <w:jc w:val="left"/>
            </w:pPr>
            <w:r>
              <w:t xml:space="preserve">10 Personen, alle mit Elamipretid</w:t>
            </w:r>
          </w:p>
        </w:tc>
        <w:tc>
          <w:tcPr/>
          <w:p>
            <w:pPr>
              <w:pStyle w:val="Compact"/>
              <w:jc w:val="left"/>
            </w:pPr>
            <w:r>
              <w:t xml:space="preserve">36 Wochen</w:t>
            </w:r>
          </w:p>
        </w:tc>
        <w:tc>
          <w:tcPr/>
          <w:p>
            <w:pPr>
              <w:pStyle w:val="Compact"/>
              <w:jc w:val="left"/>
            </w:pPr>
            <w:r>
              <w:t xml:space="preserve">Gehstrecke +95,9 m, Symptomskala −2,1 Punkte</w:t>
            </w:r>
          </w:p>
        </w:tc>
      </w:tr>
      <w:tr>
        <w:tc>
          <w:tcPr/>
          <w:p>
            <w:pPr>
              <w:pStyle w:val="Compact"/>
              <w:jc w:val="left"/>
            </w:pPr>
            <w:r>
              <w:t xml:space="preserve">Verlängerung bis 168 Wochen (Thompson 2024), PMID 38602181</w:t>
            </w:r>
          </w:p>
        </w:tc>
        <w:tc>
          <w:tcPr/>
          <w:p>
            <w:pPr>
              <w:pStyle w:val="Compact"/>
              <w:jc w:val="left"/>
            </w:pPr>
            <w:r>
              <w:t xml:space="preserve">10 eingeschlossen, 8 bis Woche 168</w:t>
            </w:r>
          </w:p>
        </w:tc>
        <w:tc>
          <w:tcPr/>
          <w:p>
            <w:pPr>
              <w:pStyle w:val="Compact"/>
              <w:jc w:val="left"/>
            </w:pPr>
            <w:r>
              <w:t xml:space="preserve">168 Wochen</w:t>
            </w:r>
          </w:p>
        </w:tc>
        <w:tc>
          <w:tcPr/>
          <w:p>
            <w:pPr>
              <w:pStyle w:val="Compact"/>
              <w:jc w:val="left"/>
            </w:pPr>
            <w:r>
              <w:t xml:space="preserve">Gehstrecke kumuliert +96,1 m; Herzvolumina verbessert</w:t>
            </w:r>
          </w:p>
        </w:tc>
      </w:tr>
      <w:tr>
        <w:tc>
          <w:tcPr/>
          <w:p>
            <w:pPr>
              <w:pStyle w:val="Compact"/>
              <w:jc w:val="left"/>
            </w:pPr>
            <w:r>
              <w:t xml:space="preserve">Vergleich mit natürlichem Verlauf (Hornby 2022), PMID 36056411</w:t>
            </w:r>
          </w:p>
        </w:tc>
        <w:tc>
          <w:tcPr/>
          <w:p>
            <w:pPr>
              <w:pStyle w:val="Compact"/>
              <w:jc w:val="left"/>
            </w:pPr>
            <w:r>
              <w:t xml:space="preserve">8 behandelte vs. 19 unbehandelte Personen aus Krankheitsregister</w:t>
            </w:r>
          </w:p>
        </w:tc>
        <w:tc>
          <w:tcPr/>
          <w:p>
            <w:pPr>
              <w:pStyle w:val="Compact"/>
              <w:jc w:val="left"/>
            </w:pPr>
            <w:r>
              <w:t xml:space="preserve">64–76 Wochen</w:t>
            </w:r>
          </w:p>
        </w:tc>
        <w:tc>
          <w:tcPr/>
          <w:p>
            <w:pPr>
              <w:pStyle w:val="Compact"/>
              <w:jc w:val="left"/>
            </w:pPr>
            <w:r>
              <w:t xml:space="preserve">Unterschied im Gehtest 79,7 bzw. 91,0 m zugunsten Elamipretid</w:t>
            </w:r>
          </w:p>
        </w:tc>
      </w:tr>
    </w:tbl>
    <w:p>
      <w:pPr>
        <w:pStyle w:val="BodyText"/>
      </w:pPr>
      <w:r>
        <w:t xml:space="preserve">Die Geschichte der Zulassung zeigt exemplarisch, wie bei extrem seltenen Krankheiten entschieden wird:</w:t>
      </w:r>
    </w:p>
    <w:p>
      <w:pPr>
        <w:pStyle w:val="BodyText"/>
      </w:pPr>
      <w:r>
        <w:rPr>
          <w:bCs/>
          <w:b/>
        </w:rPr>
        <w:t xml:space="preserve">Der kontrollierte Teil scheiterte.</w:t>
      </w:r>
      <w:r>
        <w:t xml:space="preserve"> </w:t>
      </w:r>
      <w:r>
        <w:t xml:space="preserve">In TAZPOWER (NCT03098797) erhielten zwölf Personen mit Barth-Syndrom zwölf Wochen lang täglich Elamipretid unter die Haut oder Placebo und danach jeweils das andere. In diesem verblindeten Teil wurde weder beim 6-Minuten-Gehtest noch bei der Symptomskala ein signifikanter Unterschied erreicht (Reid Thompson 2021, PMID 33077895).</w:t>
      </w:r>
    </w:p>
    <w:p>
      <w:pPr>
        <w:pStyle w:val="BodyText"/>
      </w:pPr>
      <w:r>
        <w:rPr>
          <w:bCs/>
          <w:b/>
        </w:rPr>
        <w:t xml:space="preserve">Die offene Verlängerung war positiv.</w:t>
      </w:r>
      <w:r>
        <w:t xml:space="preserve"> </w:t>
      </w:r>
      <w:r>
        <w:t xml:space="preserve">Zehn Personen setzten die Behandlung offen fort. Nach 36 Wochen gingen sie im Mittel 95,9 m weiter als zu Beginn, auch Kniestreckkraft und einzelne Herzparameter verbesserten sich (Reid Thompson 2021, PMID 33077895). Die Verbesserung hielt bis Woche 168 an; acht Personen erreichten diesen Zeitpunkt (Thompson 2024, PMID 38602181). Ohne Kontrollgruppe lässt sich aber nicht trennen, welcher Anteil auf das Medikament und welcher auf Gewöhnung an den Test, Motivation oder Zufall entfällt.</w:t>
      </w:r>
    </w:p>
    <w:p>
      <w:pPr>
        <w:pStyle w:val="BodyText"/>
      </w:pPr>
      <w:r>
        <w:rPr>
          <w:bCs/>
          <w:b/>
        </w:rPr>
        <w:t xml:space="preserve">Vergleich mit einer Registerkontrolle.</w:t>
      </w:r>
      <w:r>
        <w:t xml:space="preserve"> </w:t>
      </w:r>
      <w:r>
        <w:t xml:space="preserve">Um das zu klären, verglich der Hersteller acht behandelte Personen mit 19 unbehandelten aus einer Verlaufsbeobachtung. Der Vorteil im Gehtest betrug nach 64 Wochen 79,7 m (Hornby 2022, PMID 36056411). Solche „historischen Kontrollen“ sind bei seltenen Krankheiten oft die einzige Möglichkeit, gelten aber als deutlich schwächer als eine Randomisierung.</w:t>
      </w:r>
    </w:p>
    <w:p>
      <w:pPr>
        <w:pStyle w:val="BodyText"/>
      </w:pPr>
      <w:r>
        <w:rPr>
          <w:bCs/>
          <w:b/>
        </w:rPr>
        <w:t xml:space="preserve">Die FDA-Entscheidung 2025.</w:t>
      </w:r>
      <w:r>
        <w:t xml:space="preserve"> </w:t>
      </w:r>
      <w:r>
        <w:t xml:space="preserve">Die US-Arzneimittelbehörde lehnte den Antrag im Mai 2025 zunächst ab (Complete Response Letter). Im September 2025 erteilte sie dann eine</w:t>
      </w:r>
      <w:r>
        <w:t xml:space="preserve"> </w:t>
      </w:r>
      <w:r>
        <w:rPr>
          <w:bCs/>
          <w:b/>
        </w:rPr>
        <w:t xml:space="preserve">beschleunigte Zulassung</w:t>
      </w:r>
      <w:r>
        <w:t xml:space="preserve"> </w:t>
      </w:r>
      <w:r>
        <w:t xml:space="preserve">für Elamipretid (Forzinity) zur Verbesserung der Muskelkraft bei Barth-Syndrom für Patientinnen und Patienten ab 30 kg – als erste krankheitsspezifische Behandlung dieser Erkrankung (Shirley 2026, PMID 41335372). Grundlage war die Verbesserung der Kniestreckkraft, die die Behörde als Ersatzmesswert betrachtet, der einen klinischen Nutzen „hinreichend wahrscheinlich“ macht. Eine beschleunigte Zulassung verpflichtet den Hersteller zu einer Bestätigungsstudie; bleibt der Nutzen dort aus, kann die Zulassung zurückgezogen werden. Eine entsprechende Studie mit 48 geplanten Teilnehmenden rekrutiert seit Juli 2026 (NCT07531251).</w:t>
      </w:r>
    </w:p>
    <w:bookmarkEnd w:id="706"/>
    <w:bookmarkStart w:id="707" w:name="Xa3c286c4a87616f1e7dba815be24c935a679f09"/>
    <w:p>
      <w:pPr>
        <w:pStyle w:val="Heading4"/>
      </w:pPr>
      <w:r>
        <w:t xml:space="preserve">Primäre mitochondriale Myopathie: MMPOWER-3</w:t>
      </w:r>
    </w:p>
    <w:p>
      <w:pPr>
        <w:pStyle w:val="FirstParagraph"/>
      </w:pPr>
      <w:r>
        <w:t xml:space="preserve">Mitochondriale Myopathien sind erbliche Erkrankungen, bei denen die Energiegewinnung in den Muskeln gestört ist; Betroffene leiden an Muskelschwäche und starker Erschöpfbarkeit.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MMPOWER (Karaa 2018), PMID 29500292</w:t>
            </w:r>
          </w:p>
        </w:tc>
        <w:tc>
          <w:tcPr/>
          <w:p>
            <w:pPr>
              <w:pStyle w:val="Compact"/>
              <w:jc w:val="left"/>
            </w:pPr>
            <w:r>
              <w:t xml:space="preserve">36 Personen, Infusion in steigender Dosis gegen Placebo</w:t>
            </w:r>
          </w:p>
        </w:tc>
        <w:tc>
          <w:tcPr/>
          <w:p>
            <w:pPr>
              <w:pStyle w:val="Compact"/>
              <w:jc w:val="left"/>
            </w:pPr>
            <w:r>
              <w:t xml:space="preserve">5 Tage</w:t>
            </w:r>
          </w:p>
        </w:tc>
        <w:tc>
          <w:tcPr/>
          <w:p>
            <w:pPr>
              <w:pStyle w:val="Compact"/>
              <w:jc w:val="left"/>
            </w:pPr>
            <w:r>
              <w:t xml:space="preserve">höchste Dosis +64,5 m im Gehtest vs. +20,4 m (p = 0,053)</w:t>
            </w:r>
          </w:p>
        </w:tc>
      </w:tr>
      <w:tr>
        <w:tc>
          <w:tcPr/>
          <w:p>
            <w:pPr>
              <w:pStyle w:val="Compact"/>
              <w:jc w:val="left"/>
            </w:pPr>
            <w:r>
              <w:t xml:space="preserve">MMPOWER-2 (Karaa 2020), PMID 32096613</w:t>
            </w:r>
          </w:p>
        </w:tc>
        <w:tc>
          <w:tcPr/>
          <w:p>
            <w:pPr>
              <w:pStyle w:val="Compact"/>
              <w:jc w:val="left"/>
            </w:pPr>
            <w:r>
              <w:t xml:space="preserve">30 Personen, Überkreuz gegen Placebo</w:t>
            </w:r>
          </w:p>
        </w:tc>
        <w:tc>
          <w:tcPr/>
          <w:p>
            <w:pPr>
              <w:pStyle w:val="Compact"/>
              <w:jc w:val="left"/>
            </w:pPr>
            <w:r>
              <w:t xml:space="preserve">je 4 Wochen</w:t>
            </w:r>
          </w:p>
        </w:tc>
        <w:tc>
          <w:tcPr/>
          <w:p>
            <w:pPr>
              <w:pStyle w:val="Compact"/>
              <w:jc w:val="left"/>
            </w:pPr>
            <w:r>
              <w:t xml:space="preserve">Gehtest +19,8 m (nicht signifikant); weniger Erschöpfung</w:t>
            </w:r>
          </w:p>
        </w:tc>
      </w:tr>
      <w:tr>
        <w:tc>
          <w:tcPr/>
          <w:p>
            <w:pPr>
              <w:pStyle w:val="Compact"/>
              <w:jc w:val="left"/>
            </w:pPr>
            <w:r>
              <w:t xml:space="preserve">MMPOWER-3 (Karaa 2023), PMID 37268435</w:t>
            </w:r>
          </w:p>
        </w:tc>
        <w:tc>
          <w:tcPr/>
          <w:p>
            <w:pPr>
              <w:pStyle w:val="Compact"/>
              <w:jc w:val="left"/>
            </w:pPr>
            <w:r>
              <w:t xml:space="preserve">218 Personen, Phase 3 gegen Placebo</w:t>
            </w:r>
          </w:p>
        </w:tc>
        <w:tc>
          <w:tcPr/>
          <w:p>
            <w:pPr>
              <w:pStyle w:val="Compact"/>
              <w:jc w:val="left"/>
            </w:pPr>
            <w:r>
              <w:t xml:space="preserve">24 Wochen</w:t>
            </w:r>
          </w:p>
        </w:tc>
        <w:tc>
          <w:tcPr/>
          <w:p>
            <w:pPr>
              <w:pStyle w:val="Compact"/>
              <w:jc w:val="left"/>
            </w:pPr>
            <w:r>
              <w:t xml:space="preserve">beide Hauptendpunkte verfehlt; Gehtest −3,2 m Unterschied</w:t>
            </w:r>
          </w:p>
        </w:tc>
      </w:tr>
    </w:tbl>
    <w:p>
      <w:pPr>
        <w:pStyle w:val="BodyText"/>
      </w:pPr>
      <w:r>
        <w:t xml:space="preserve">Nach ermutigenden kleinen Studien sollte</w:t>
      </w:r>
      <w:r>
        <w:t xml:space="preserve"> </w:t>
      </w:r>
      <w:r>
        <w:rPr>
          <w:bCs/>
          <w:b/>
        </w:rPr>
        <w:t xml:space="preserve">MMPOWER-3</w:t>
      </w:r>
      <w:r>
        <w:t xml:space="preserve"> </w:t>
      </w:r>
      <w:r>
        <w:t xml:space="preserve">(NCT03323749) die Wirksamkeit belegen. 218 Erwachsene mit genetisch gesicherter mitochondrialer Myopathie erhielten 24 Wochen lang Elamipretid oder Placebo. Die Studie verfehlte beide Hauptendpunkte: Beim 6-Minuten-Gehtest lag der Unterschied bei −3,2 m (95-%-KI −18,7 bis 12,3), bei der Erschöpfungsskala gab es ebenfalls keinen Unterschied. Die Verträglichkeit war gut (Karaa 2023, PMID 37268435). Die Autorinnen und Autoren stufen das als Evidenz der höchsten Klasse dafür ein, dass Elamipretid Gehstrecke und Erschöpfung in dieser Gruppe nicht verbessert.</w:t>
      </w:r>
    </w:p>
    <w:p>
      <w:pPr>
        <w:pStyle w:val="BodyText"/>
      </w:pPr>
      <w:r>
        <w:t xml:space="preserve">Eine nachträgliche Auswertung fand Hinweise auf einen Nutzen in einer Untergruppe: Personen mit Defekten in Genen des Zellkerns, die für die Vervielfältigung der Mitochondrien-DNA nötig sind (etwa</w:t>
      </w:r>
      <w:r>
        <w:t xml:space="preserve"> </w:t>
      </w:r>
      <w:r>
        <w:rPr>
          <w:iCs/>
          <w:i/>
        </w:rPr>
        <w:t xml:space="preserve">POLG</w:t>
      </w:r>
      <w:r>
        <w:t xml:space="preserve"> </w:t>
      </w:r>
      <w:r>
        <w:t xml:space="preserve">und</w:t>
      </w:r>
      <w:r>
        <w:t xml:space="preserve"> </w:t>
      </w:r>
      <w:r>
        <w:rPr>
          <w:iCs/>
          <w:i/>
        </w:rPr>
        <w:t xml:space="preserve">TWNK</w:t>
      </w:r>
      <w:r>
        <w:t xml:space="preserve">), gingen unter Elamipretid 25,2 m weiter gegenüber 2,0 m unter Placebo (p = 0,06) (Karaa 2024, PMID 39574155). Nachträgliche Untergruppen-Analysen erzeugen Hypothesen, keine Belege. Auf dieser Grundlage wurde die Phase-3-Studie NuPOWER (NCT05162768) mit 102 Teilnehmenden durchgeführt; sie ist laut Register seit Dezember 2024 abgeschlossen, Ergebnisse waren bei unserer Recherche nicht veröffentlicht.</w:t>
      </w:r>
    </w:p>
    <w:bookmarkEnd w:id="707"/>
    <w:bookmarkStart w:id="708" w:name="herz-niere-auge-und-alter"/>
    <w:p>
      <w:pPr>
        <w:pStyle w:val="Heading4"/>
      </w:pPr>
      <w:r>
        <w:t xml:space="preserve">Herz, Niere, Auge und Alter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EMBRACE STEMI (Gibson 2016), PMID 26586786</w:t>
            </w:r>
          </w:p>
        </w:tc>
        <w:tc>
          <w:tcPr/>
          <w:p>
            <w:pPr>
              <w:pStyle w:val="Compact"/>
              <w:jc w:val="left"/>
            </w:pPr>
            <w:r>
              <w:t xml:space="preserve">Personen mit erstem Vorderwandinfarkt, Infusion bei Katheterbehandlung, doppelblind</w:t>
            </w:r>
          </w:p>
        </w:tc>
        <w:tc>
          <w:tcPr/>
          <w:p>
            <w:pPr>
              <w:pStyle w:val="Compact"/>
              <w:jc w:val="left"/>
            </w:pPr>
            <w:r>
              <w:t xml:space="preserve">72 Stunden</w:t>
            </w:r>
          </w:p>
        </w:tc>
        <w:tc>
          <w:tcPr/>
          <w:p>
            <w:pPr>
              <w:pStyle w:val="Compact"/>
              <w:jc w:val="left"/>
            </w:pPr>
            <w:r>
              <w:t xml:space="preserve">Infarktgröße nicht verringert</w:t>
            </w:r>
          </w:p>
        </w:tc>
      </w:tr>
      <w:tr>
        <w:tc>
          <w:tcPr/>
          <w:p>
            <w:pPr>
              <w:pStyle w:val="Compact"/>
              <w:jc w:val="left"/>
            </w:pPr>
            <w:r>
              <w:t xml:space="preserve">PROGRESS-HF (Butler 2020), PMID 32068002</w:t>
            </w:r>
          </w:p>
        </w:tc>
        <w:tc>
          <w:tcPr/>
          <w:p>
            <w:pPr>
              <w:pStyle w:val="Compact"/>
              <w:jc w:val="left"/>
            </w:pPr>
            <w:r>
              <w:t xml:space="preserve">71 Personen mit Herzschwäche (HFrEF), gegen Placebo</w:t>
            </w:r>
          </w:p>
        </w:tc>
        <w:tc>
          <w:tcPr/>
          <w:p>
            <w:pPr>
              <w:pStyle w:val="Compact"/>
              <w:jc w:val="left"/>
            </w:pPr>
            <w:r>
              <w:t xml:space="preserve">4 Wochen</w:t>
            </w:r>
          </w:p>
        </w:tc>
        <w:tc>
          <w:tcPr/>
          <w:p>
            <w:pPr>
              <w:pStyle w:val="Compact"/>
              <w:jc w:val="left"/>
            </w:pPr>
            <w:r>
              <w:t xml:space="preserve">keine Verbesserung der Herzvolumina</w:t>
            </w:r>
          </w:p>
        </w:tc>
      </w:tr>
      <w:tr>
        <w:tc>
          <w:tcPr/>
          <w:p>
            <w:pPr>
              <w:pStyle w:val="Compact"/>
              <w:jc w:val="left"/>
            </w:pPr>
            <w:r>
              <w:t xml:space="preserve">Daubert 2017, PMID 29217757</w:t>
            </w:r>
          </w:p>
        </w:tc>
        <w:tc>
          <w:tcPr/>
          <w:p>
            <w:pPr>
              <w:pStyle w:val="Compact"/>
              <w:jc w:val="left"/>
            </w:pPr>
            <w:r>
              <w:t xml:space="preserve">36 Personen mit Herzschwäche, einmalige Infusion</w:t>
            </w:r>
          </w:p>
        </w:tc>
        <w:tc>
          <w:tcPr/>
          <w:p>
            <w:pPr>
              <w:pStyle w:val="Compact"/>
              <w:jc w:val="left"/>
            </w:pPr>
            <w:r>
              <w:t xml:space="preserve">24 Stunden</w:t>
            </w:r>
          </w:p>
        </w:tc>
        <w:tc>
          <w:tcPr/>
          <w:p>
            <w:pPr>
              <w:pStyle w:val="Compact"/>
              <w:jc w:val="left"/>
            </w:pPr>
            <w:r>
              <w:t xml:space="preserve">kurzfristig kleinere Herzvolumina bei höchster Dosis</w:t>
            </w:r>
          </w:p>
        </w:tc>
      </w:tr>
      <w:tr>
        <w:tc>
          <w:tcPr/>
          <w:p>
            <w:pPr>
              <w:pStyle w:val="Compact"/>
              <w:jc w:val="left"/>
            </w:pPr>
            <w:r>
              <w:t xml:space="preserve">Saad 2017, PMID 28916603</w:t>
            </w:r>
          </w:p>
        </w:tc>
        <w:tc>
          <w:tcPr/>
          <w:p>
            <w:pPr>
              <w:pStyle w:val="Compact"/>
              <w:jc w:val="left"/>
            </w:pPr>
            <w:r>
              <w:t xml:space="preserve">14 Personen mit Nierenarterienverengung bei Stentbehandlung</w:t>
            </w:r>
          </w:p>
        </w:tc>
        <w:tc>
          <w:tcPr/>
          <w:p>
            <w:pPr>
              <w:pStyle w:val="Compact"/>
              <w:jc w:val="left"/>
            </w:pPr>
            <w:r>
              <w:t xml:space="preserve">3 Monate</w:t>
            </w:r>
          </w:p>
        </w:tc>
        <w:tc>
          <w:tcPr/>
          <w:p>
            <w:pPr>
              <w:pStyle w:val="Compact"/>
              <w:jc w:val="left"/>
            </w:pPr>
            <w:r>
              <w:t xml:space="preserve">weniger Sauerstoffmangel, bessere Nierendurchblutung (Pilotstudie)</w:t>
            </w:r>
          </w:p>
        </w:tc>
      </w:tr>
      <w:tr>
        <w:tc>
          <w:tcPr/>
          <w:p>
            <w:pPr>
              <w:pStyle w:val="Compact"/>
              <w:jc w:val="left"/>
            </w:pPr>
            <w:r>
              <w:t xml:space="preserve">ReCLAIM-2 (Ehlers 2025), PMID 39605874</w:t>
            </w:r>
          </w:p>
        </w:tc>
        <w:tc>
          <w:tcPr/>
          <w:p>
            <w:pPr>
              <w:pStyle w:val="Compact"/>
              <w:jc w:val="left"/>
            </w:pPr>
            <w:r>
              <w:t xml:space="preserve">176 Personen mit trockener Makuladegeneration, gegen Placebo</w:t>
            </w:r>
          </w:p>
        </w:tc>
        <w:tc>
          <w:tcPr/>
          <w:p>
            <w:pPr>
              <w:pStyle w:val="Compact"/>
              <w:jc w:val="left"/>
            </w:pPr>
            <w:r>
              <w:t xml:space="preserve">48 Wochen</w:t>
            </w:r>
          </w:p>
        </w:tc>
        <w:tc>
          <w:tcPr/>
          <w:p>
            <w:pPr>
              <w:pStyle w:val="Compact"/>
              <w:jc w:val="left"/>
            </w:pPr>
            <w:r>
              <w:t xml:space="preserve">Hauptendpunkte verfehlt; langsamerer Verlust von Fotorezeptor-Strukturen (Nebenendpunkt)</w:t>
            </w:r>
          </w:p>
        </w:tc>
      </w:tr>
      <w:tr>
        <w:tc>
          <w:tcPr/>
          <w:p>
            <w:pPr>
              <w:pStyle w:val="Compact"/>
              <w:jc w:val="left"/>
            </w:pPr>
            <w:r>
              <w:t xml:space="preserve">Roshanravan 2021, PMID 34264994</w:t>
            </w:r>
          </w:p>
        </w:tc>
        <w:tc>
          <w:tcPr/>
          <w:p>
            <w:pPr>
              <w:pStyle w:val="Compact"/>
              <w:jc w:val="left"/>
            </w:pPr>
            <w:r>
              <w:t xml:space="preserve">39 ältere Gesunde, einmalige Infusion gegen Placebo</w:t>
            </w:r>
          </w:p>
        </w:tc>
        <w:tc>
          <w:tcPr/>
          <w:p>
            <w:pPr>
              <w:pStyle w:val="Compact"/>
              <w:jc w:val="left"/>
            </w:pPr>
            <w:r>
              <w:t xml:space="preserve">7 Tage</w:t>
            </w:r>
          </w:p>
        </w:tc>
        <w:tc>
          <w:tcPr/>
          <w:p>
            <w:pPr>
              <w:pStyle w:val="Compact"/>
              <w:jc w:val="left"/>
            </w:pPr>
            <w:r>
              <w:t xml:space="preserve">kurzfristig höhere Energiekapazität im Handmuskel, aber keine bessere Ermüdungsresistenz</w:t>
            </w:r>
          </w:p>
        </w:tc>
      </w:tr>
    </w:tbl>
    <w:p>
      <w:pPr>
        <w:pStyle w:val="BodyText"/>
      </w:pPr>
      <w:r>
        <w:t xml:space="preserve">Das Muster ist auffällig: Bei</w:t>
      </w:r>
      <w:r>
        <w:t xml:space="preserve"> </w:t>
      </w:r>
      <w:r>
        <w:rPr>
          <w:bCs/>
          <w:b/>
        </w:rPr>
        <w:t xml:space="preserve">Herzinfarkt</w:t>
      </w:r>
      <w:r>
        <w:t xml:space="preserve"> </w:t>
      </w:r>
      <w:r>
        <w:t xml:space="preserve">und</w:t>
      </w:r>
      <w:r>
        <w:t xml:space="preserve"> </w:t>
      </w:r>
      <w:r>
        <w:rPr>
          <w:bCs/>
          <w:b/>
        </w:rPr>
        <w:t xml:space="preserve">Herzschwäche</w:t>
      </w:r>
      <w:r>
        <w:t xml:space="preserve"> </w:t>
      </w:r>
      <w:r>
        <w:t xml:space="preserve">zeigten die größeren kontrollierten Studien keinen Nutzen (Gibson 2016, PMID 26586786; Butler 2020, PMID 32068002). Bei der</w:t>
      </w:r>
      <w:r>
        <w:t xml:space="preserve"> </w:t>
      </w:r>
      <w:r>
        <w:rPr>
          <w:bCs/>
          <w:b/>
        </w:rPr>
        <w:t xml:space="preserve">trockenen Makuladegeneration</w:t>
      </w:r>
      <w:r>
        <w:t xml:space="preserve">, einer häufigen Ursache für Sehverlust im Alter, verfehlte ReCLAIM-2 beide Hauptendpunkte (Sehschärfe bei schwachem Licht und Wachstum der geschädigten Netzhautfläche); ein vorab festgelegter Nebenendpunkt – der Verlust der Fotorezeptor-Schicht – schritt unter Elamipretid langsamer fort (Ehlers 2025, PMID 39605874). Dieser Messwert dient nun als Hauptendpunkt der laufenden Phase-3-Studie ReNEW (NCT06373731).</w:t>
      </w:r>
    </w:p>
    <w:p>
      <w:pPr>
        <w:pStyle w:val="BodyText"/>
      </w:pPr>
      <w:r>
        <w:t xml:space="preserve">Für die Langlebigkeits-Szene interessant ist die Studie an älteren Menschen: Eine einzige Infusion steigerte die Energiekapazität eines Handmuskels unmittelbar danach; nach sieben Tagen war der Effekt verschwunden, und die Muskelausdauer verbesserte sich nicht (Roshanravan 2021, PMID 34264994). Daraus lässt sich kein „Anti-Aging“-Nutzen ableiten.</w:t>
      </w:r>
    </w:p>
    <w:bookmarkEnd w:id="708"/>
    <w:bookmarkEnd w:id="709"/>
    <w:bookmarkStart w:id="710" w:name="tier--und-laborstudien-43"/>
    <w:p>
      <w:pPr>
        <w:pStyle w:val="Heading3"/>
      </w:pPr>
      <w:r>
        <w:t xml:space="preserve">Tier- und Laborstudien</w:t>
      </w:r>
    </w:p>
    <w:p>
      <w:pPr>
        <w:pStyle w:val="FirstParagraph"/>
      </w:pPr>
      <w:r>
        <w:t xml:space="preserve">In Tiermodellen wurden günstige Effekte bei Herzinsuffizienz, Nierenschäden, Muskelschwäche, Augen- und Nervenerkrankungen beschrieben (Szeto 2014, PMID 24117165). Bei Hunden mit fortgeschrittener Herzschwäche verbesserte eine Dauerbehandlung Pumpfunktion und Mitochondrienfunktion (Sabbah 2016, PMID 26839394). In einem Rattenmodell der Herzschwäche mit erhaltener Pumpfunktion verbesserte Elamipretid zwar den Energiestoffwechsel des Herzmuskels, aber nicht die Herzfunktion (Schauer 2026, PMID 41596703). Diese Diskrepanz zwischen besserem Energiestoffwechsel und fehlendem klinischen Nutzen spiegelt sich in den Studien am Menschen.</w:t>
      </w:r>
    </w:p>
    <w:bookmarkEnd w:id="710"/>
    <w:bookmarkStart w:id="711" w:name="risiken-und-nebenwirkungen-43"/>
    <w:p>
      <w:pPr>
        <w:pStyle w:val="Heading3"/>
      </w:pPr>
      <w:r>
        <w:t xml:space="preserve">Risiken und Nebenwirkungen</w:t>
      </w:r>
    </w:p>
    <w:p>
      <w:pPr>
        <w:pStyle w:val="FirstParagraph"/>
      </w:pPr>
      <w:r>
        <w:rPr>
          <w:bCs/>
          <w:b/>
        </w:rPr>
        <w:t xml:space="preserve">Belegt:</w:t>
      </w:r>
    </w:p>
    <w:p>
      <w:pPr>
        <w:numPr>
          <w:ilvl w:val="0"/>
          <w:numId w:val="1238"/>
        </w:numPr>
        <w:pStyle w:val="Compact"/>
      </w:pPr>
      <w:r>
        <w:t xml:space="preserve">Die häufigsten Nebenwirkungen sind</w:t>
      </w:r>
      <w:r>
        <w:t xml:space="preserve"> </w:t>
      </w:r>
      <w:r>
        <w:rPr>
          <w:bCs/>
          <w:b/>
        </w:rPr>
        <w:t xml:space="preserve">Reaktionen an der Einstichstelle</w:t>
      </w:r>
      <w:r>
        <w:t xml:space="preserve"> </w:t>
      </w:r>
      <w:r>
        <w:t xml:space="preserve">(Juckreiz, Schmerzen, Blutergüsse, Rötung). In MMPOWER-2 traten sie bei 80 % der Behandelten auf, meist leicht (Karaa 2020, PMID 32096613). In ReCLAIM-2 berichteten 86 % unter Elamipretid und 71 % unter Placebo irgendein unerwünschtes Ereignis (Ehlers 2025, PMID 39605874).</w:t>
      </w:r>
    </w:p>
    <w:p>
      <w:pPr>
        <w:numPr>
          <w:ilvl w:val="0"/>
          <w:numId w:val="1238"/>
        </w:numPr>
        <w:pStyle w:val="Compact"/>
      </w:pPr>
      <w:r>
        <w:t xml:space="preserve">Schwere Nebenwirkungen waren in den Studien nicht gehäuft; in MMPOWER-3 waren die Ereignisse überwiegend leicht bis mittelschwer (Karaa 2023, PMID 37268435).</w:t>
      </w:r>
    </w:p>
    <w:p>
      <w:pPr>
        <w:numPr>
          <w:ilvl w:val="0"/>
          <w:numId w:val="1238"/>
        </w:numPr>
        <w:pStyle w:val="Compact"/>
      </w:pPr>
      <w:r>
        <w:t xml:space="preserve">Langzeitdaten gibt es nur für wenige Personen mit Barth-Syndrom über gut drei Jahre (Thompson 2024, PMID 38602181).</w:t>
      </w:r>
    </w:p>
    <w:p>
      <w:pPr>
        <w:pStyle w:val="FirstParagraph"/>
      </w:pPr>
      <w:r>
        <w:rPr>
          <w:bCs/>
          <w:b/>
        </w:rPr>
        <w:t xml:space="preserve">Theoretisch:</w:t>
      </w:r>
      <w:r>
        <w:t xml:space="preserve"> </w:t>
      </w:r>
      <w:r>
        <w:t xml:space="preserve">Ein Wirkstoff, der dauerhaft in die Mitochondrien aller Körperzellen eingreift, könnte bei jahrelanger Anwendung bei Gesunden unbekannte Effekte haben; dazu gibt es keine Daten.</w:t>
      </w:r>
    </w:p>
    <w:p>
      <w:pPr>
        <w:pStyle w:val="BodyText"/>
      </w:pPr>
      <w:r>
        <w:rPr>
          <w:bCs/>
          <w:b/>
        </w:rPr>
        <w:t xml:space="preserve">Graumarkt:</w:t>
      </w:r>
      <w:r>
        <w:t xml:space="preserve"> </w:t>
      </w:r>
      <w:r>
        <w:t xml:space="preserve">„SS-31“ wird online als Pulver zur Injektion für „Mitochondrien-Verjüngung“ verkauft. Diese Produkte sind nicht das zugelassene Arzneimittel; Gehalt und Reinheit sind ungeprüft. Für Gesunde ist kein Nutzen belegt.</w:t>
      </w:r>
    </w:p>
    <w:bookmarkEnd w:id="711"/>
    <w:bookmarkStart w:id="712" w:name="rechtslage-43"/>
    <w:p>
      <w:pPr>
        <w:pStyle w:val="Heading3"/>
      </w:pPr>
      <w:r>
        <w:t xml:space="preserve">Rechtslage</w:t>
      </w:r>
    </w:p>
    <w:p>
      <w:pPr>
        <w:numPr>
          <w:ilvl w:val="0"/>
          <w:numId w:val="1239"/>
        </w:numPr>
        <w:pStyle w:val="Compact"/>
      </w:pPr>
      <w:r>
        <w:rPr>
          <w:bCs/>
          <w:b/>
        </w:rPr>
        <w:t xml:space="preserve">EU / Österreich / Deutschland:</w:t>
      </w:r>
      <w:r>
        <w:t xml:space="preserve"> </w:t>
      </w:r>
      <w:r>
        <w:t xml:space="preserve">nicht zugelassen. Elamipretid ist ein Arzneimittel; eine Anwendung ist nur im Rahmen von Studien oder Härtefallprogrammen möglich (Stand 2026, bitte aktuell prüfen).</w:t>
      </w:r>
    </w:p>
    <w:p>
      <w:pPr>
        <w:numPr>
          <w:ilvl w:val="0"/>
          <w:numId w:val="1239"/>
        </w:numPr>
        <w:pStyle w:val="Compact"/>
      </w:pPr>
      <w:r>
        <w:rPr>
          <w:bCs/>
          <w:b/>
        </w:rPr>
        <w:t xml:space="preserve">USA:</w:t>
      </w:r>
      <w:r>
        <w:t xml:space="preserve"> </w:t>
      </w:r>
      <w:r>
        <w:t xml:space="preserve">beschleunigt zugelassen (Forzinity, September 2025) nur für Barth-Syndrom ab 30 kg Körpergewicht; Verweis auf die Fachinformation und ärztliche Begleitung. Für andere Erkrankungen gibt es ein Härtefallprogramm (NCT04689360).</w:t>
      </w:r>
    </w:p>
    <w:p>
      <w:pPr>
        <w:numPr>
          <w:ilvl w:val="0"/>
          <w:numId w:val="1239"/>
        </w:numPr>
        <w:pStyle w:val="Compact"/>
      </w:pPr>
      <w:r>
        <w:rPr>
          <w:bCs/>
          <w:b/>
        </w:rPr>
        <w:t xml:space="preserve">Sport:</w:t>
      </w:r>
      <w:r>
        <w:t xml:space="preserve"> </w:t>
      </w:r>
      <w:r>
        <w:t xml:space="preserve">nicht namentlich auf der WADA-Liste (Stand 2026, bitte aktuell prüfen).</w:t>
      </w:r>
    </w:p>
    <w:bookmarkEnd w:id="712"/>
    <w:bookmarkStart w:id="713" w:name="laufende-studien-und-ausblick-43"/>
    <w:p>
      <w:pPr>
        <w:pStyle w:val="Heading3"/>
      </w:pPr>
      <w:r>
        <w:t xml:space="preserve">Laufende Studien und Ausblick</w:t>
      </w:r>
    </w:p>
    <w:p>
      <w:pPr>
        <w:pStyle w:val="FirstParagraph"/>
      </w:pPr>
      <w:r>
        <w:rPr>
          <w:bCs/>
          <w:b/>
        </w:rPr>
        <w:t xml:space="preserve">Gesichert (registrierte Studien, Stand Oktober 2026):</w:t>
      </w:r>
    </w:p>
    <w:p>
      <w:pPr>
        <w:numPr>
          <w:ilvl w:val="0"/>
          <w:numId w:val="1240"/>
        </w:numPr>
        <w:pStyle w:val="Compact"/>
      </w:pPr>
      <w:r>
        <w:rPr>
          <w:bCs/>
          <w:b/>
        </w:rPr>
        <w:t xml:space="preserve">ReNEW</w:t>
      </w:r>
      <w:r>
        <w:t xml:space="preserve"> </w:t>
      </w:r>
      <w:r>
        <w:t xml:space="preserve">(NCT06373731): Phase 3 bei trockener Makuladegeneration, 313 Teilnehmende, Rekrutierung abgeschlossen, geplantes Ende 2027.</w:t>
      </w:r>
    </w:p>
    <w:p>
      <w:pPr>
        <w:numPr>
          <w:ilvl w:val="0"/>
          <w:numId w:val="1240"/>
        </w:numPr>
        <w:pStyle w:val="Compact"/>
      </w:pPr>
      <w:r>
        <w:rPr>
          <w:bCs/>
          <w:b/>
        </w:rPr>
        <w:t xml:space="preserve">4TAZPower</w:t>
      </w:r>
      <w:r>
        <w:t xml:space="preserve"> </w:t>
      </w:r>
      <w:r>
        <w:t xml:space="preserve">(NCT07531251): Bestätigungsstudie bei Barth-Syndrom mit 48 geplanten Teilnehmenden, in Rekrutierung.</w:t>
      </w:r>
    </w:p>
    <w:p>
      <w:pPr>
        <w:numPr>
          <w:ilvl w:val="0"/>
          <w:numId w:val="1240"/>
        </w:numPr>
        <w:pStyle w:val="Compact"/>
      </w:pPr>
      <w:r>
        <w:rPr>
          <w:bCs/>
          <w:b/>
        </w:rPr>
        <w:t xml:space="preserve">NuPOWER</w:t>
      </w:r>
      <w:r>
        <w:t xml:space="preserve"> </w:t>
      </w:r>
      <w:r>
        <w:t xml:space="preserve">(NCT05162768): Phase 3 bei mitochondrialer Erkrankung durch Kern-DNA-Mutationen, 102 Teilnehmende, abgeschlossen; Ergebnisse ausstehend.</w:t>
      </w:r>
    </w:p>
    <w:p>
      <w:pPr>
        <w:numPr>
          <w:ilvl w:val="0"/>
          <w:numId w:val="1240"/>
        </w:numPr>
        <w:pStyle w:val="Compact"/>
      </w:pPr>
      <w:r>
        <w:t xml:space="preserve">Eine kleine Phase-2-Studie bei gesunden älteren Menschen untersucht körperliche Funktion (NCT07275424).</w:t>
      </w:r>
    </w:p>
    <w:p>
      <w:pPr>
        <w:pStyle w:val="FirstParagraph"/>
      </w:pPr>
      <w:r>
        <w:rPr>
          <w:bCs/>
          <w:b/>
        </w:rPr>
        <w:t xml:space="preserve">Einschätzung:</w:t>
      </w:r>
      <w:r>
        <w:t xml:space="preserve"> </w:t>
      </w:r>
      <w:r>
        <w:t xml:space="preserve">Ob Elamipretid über das Barth-Syndrom hinaus einen Platz findet, entscheiden ReNEW und NuPOWER. Die Erfahrung aus MMPOWER-3, EMBRACE und PROGRESS-HF mahnt zur Vorsicht: Ein überzeugender Mechanismus garantiert keinen klinischen Nutzen.</w:t>
      </w:r>
    </w:p>
    <w:bookmarkEnd w:id="713"/>
    <w:bookmarkStart w:id="714" w:name="fazit-43"/>
    <w:p>
      <w:pPr>
        <w:pStyle w:val="Heading3"/>
      </w:pPr>
      <w:r>
        <w:t xml:space="preserve">Fazit</w:t>
      </w:r>
    </w:p>
    <w:p>
      <w:pPr>
        <w:pStyle w:val="FirstParagraph"/>
      </w:pPr>
      <w:r>
        <w:t xml:space="preserve">Elamipretid (SS-31) ist ein Tetrapeptid, das an Cardiolipin in den Mitochondrien bindet und als erstes Mitochondrien-Medikament 2025 in den USA eine beschleunigte Zulassung für das sehr seltene Barth-Syndrom erhielt – auf Grundlage einer Studie mit zwölf Personen, deren kontrollierter Teil seine Hauptendpunkte verfehlte, und offener Langzeitdaten. In größeren randomisierten Studien bei mitochondrialer Myopathie, Herzinfarkt, Herzschwäche und Makuladegeneration wurden die Hauptendpunkte nicht erreicht. Das Medikament ist gut verträglich, vor allem Reaktionen an der Einstichstelle sind häufig. Für Gesunde oder als „Anti-Aging“-Mittel gibt es keinen belegten Nutzen.</w:t>
      </w:r>
    </w:p>
    <w:bookmarkEnd w:id="714"/>
    <w:bookmarkEnd w:id="715"/>
    <w:bookmarkStart w:id="725" w:name="foxo4-dri"/>
    <w:p>
      <w:pPr>
        <w:pStyle w:val="Heading2"/>
      </w:pPr>
      <w:r>
        <w:t xml:space="preserve">FOXO4-DRI</w:t>
      </w:r>
    </w:p>
    <w:bookmarkStart w:id="716" w:name="steckbrief-44"/>
    <w:p>
      <w:pPr>
        <w:pStyle w:val="Heading3"/>
      </w:pPr>
      <w:r>
        <w:t xml:space="preserve">Steckbrief</w:t>
      </w:r>
    </w:p>
    <w:p>
      <w:pPr>
        <w:numPr>
          <w:ilvl w:val="0"/>
          <w:numId w:val="1241"/>
        </w:numPr>
        <w:pStyle w:val="Compact"/>
      </w:pPr>
      <w:r>
        <w:rPr>
          <w:bCs/>
          <w:b/>
        </w:rPr>
        <w:t xml:space="preserve">Art und Struktur:</w:t>
      </w:r>
      <w:r>
        <w:t xml:space="preserve"> </w:t>
      </w:r>
      <w:r>
        <w:t xml:space="preserve">vergleichsweise langes synthetisches Peptid, abgeleitet von einem Abschnitt des Eiweißes FOXO4. „DRI“ steht für</w:t>
      </w:r>
      <w:r>
        <w:t xml:space="preserve"> </w:t>
      </w:r>
      <w:r>
        <w:rPr>
          <w:iCs/>
          <w:i/>
        </w:rPr>
        <w:t xml:space="preserve">D-retro-inverso</w:t>
      </w:r>
      <w:r>
        <w:t xml:space="preserve">: Das Peptid ist aus spiegelbildlichen D-Aminosäuren in umgekehrter Reihenfolge aufgebaut. Dadurch wird es von körpereigenen Enzymen kaum abgebaut. Ein angehängter, positiv geladener Abschnitt (abgeleitet aus einem Virus-Eiweiß) soll es in Zellen einschleusen.</w:t>
      </w:r>
    </w:p>
    <w:p>
      <w:pPr>
        <w:numPr>
          <w:ilvl w:val="0"/>
          <w:numId w:val="1241"/>
        </w:numPr>
        <w:pStyle w:val="Compact"/>
      </w:pPr>
      <w:r>
        <w:rPr>
          <w:bCs/>
          <w:b/>
        </w:rPr>
        <w:t xml:space="preserve">Herkunft:</w:t>
      </w:r>
      <w:r>
        <w:t xml:space="preserve"> </w:t>
      </w:r>
      <w:r>
        <w:t xml:space="preserve">2017 von einer niederländischen Arbeitsgruppe um Peter de Keizer (Erasmus MC Rotterdam) vorgestellt.</w:t>
      </w:r>
    </w:p>
    <w:p>
      <w:pPr>
        <w:numPr>
          <w:ilvl w:val="0"/>
          <w:numId w:val="1241"/>
        </w:numPr>
        <w:pStyle w:val="Compact"/>
      </w:pPr>
      <w:r>
        <w:rPr>
          <w:bCs/>
          <w:b/>
        </w:rPr>
        <w:t xml:space="preserve">Wirkprinzip:</w:t>
      </w:r>
      <w:r>
        <w:t xml:space="preserve"> </w:t>
      </w:r>
      <w:r>
        <w:rPr>
          <w:bCs/>
          <w:b/>
        </w:rPr>
        <w:t xml:space="preserve">Senolytikum</w:t>
      </w:r>
      <w:r>
        <w:t xml:space="preserve"> </w:t>
      </w:r>
      <w:r>
        <w:t xml:space="preserve">– ein Stoff, der gezielt gealterte, sogenannte seneszente Zellen in den programmierten Zelltod treiben soll, indem er die Bindung zwischen FOXO4 und dem Schutzeiweiß p53 stört.</w:t>
      </w:r>
    </w:p>
    <w:p>
      <w:pPr>
        <w:numPr>
          <w:ilvl w:val="0"/>
          <w:numId w:val="1241"/>
        </w:numPr>
        <w:pStyle w:val="Compact"/>
      </w:pPr>
      <w:r>
        <w:rPr>
          <w:bCs/>
          <w:b/>
        </w:rPr>
        <w:t xml:space="preserve">Zulassung EU:</w:t>
      </w:r>
      <w:r>
        <w:t xml:space="preserve"> </w:t>
      </w:r>
      <w:r>
        <w:t xml:space="preserve">nein.</w:t>
      </w:r>
    </w:p>
    <w:p>
      <w:pPr>
        <w:numPr>
          <w:ilvl w:val="0"/>
          <w:numId w:val="1241"/>
        </w:numPr>
        <w:pStyle w:val="Compact"/>
      </w:pPr>
      <w:r>
        <w:rPr>
          <w:bCs/>
          <w:b/>
        </w:rPr>
        <w:t xml:space="preserve">Zulassung USA:</w:t>
      </w:r>
      <w:r>
        <w:t xml:space="preserve"> </w:t>
      </w:r>
      <w:r>
        <w:t xml:space="preserve">nein.</w:t>
      </w:r>
    </w:p>
    <w:p>
      <w:pPr>
        <w:numPr>
          <w:ilvl w:val="0"/>
          <w:numId w:val="1241"/>
        </w:numPr>
        <w:pStyle w:val="Compact"/>
      </w:pPr>
      <w:r>
        <w:rPr>
          <w:bCs/>
          <w:b/>
        </w:rPr>
        <w:t xml:space="preserve">WADA:</w:t>
      </w:r>
      <w:r>
        <w:t xml:space="preserve"> </w:t>
      </w:r>
      <w:r>
        <w:t xml:space="preserve">nicht namentlich gelistet; als nirgends zugelassene Substanz fällt FOXO4-DRI nach unserer Einschätzung unter die Sammelkategorie S0 (Stand 2026, bitte aktuell prüfen).</w:t>
      </w:r>
    </w:p>
    <w:p>
      <w:pPr>
        <w:numPr>
          <w:ilvl w:val="0"/>
          <w:numId w:val="1241"/>
        </w:numPr>
        <w:pStyle w:val="Compact"/>
      </w:pPr>
      <w:r>
        <w:rPr>
          <w:bCs/>
          <w:b/>
        </w:rPr>
        <w:t xml:space="preserve">Evidenzstufe:</w:t>
      </w:r>
      <w:r>
        <w:t xml:space="preserve"> </w:t>
      </w:r>
      <w:r>
        <w:rPr>
          <w:bCs/>
          <w:b/>
        </w:rPr>
        <w:t xml:space="preserve">D</w:t>
      </w:r>
      <w:r>
        <w:t xml:space="preserve"> </w:t>
      </w:r>
      <w:r>
        <w:t xml:space="preserve">– ausschließlich Tier- und Laborstudien.</w:t>
      </w:r>
    </w:p>
    <w:bookmarkEnd w:id="716"/>
    <w:bookmarkStart w:id="718" w:name="wie-es-wirken-soll-44"/>
    <w:p>
      <w:pPr>
        <w:pStyle w:val="Heading3"/>
      </w:pPr>
      <w:r>
        <w:t xml:space="preserve">Wie es wirken soll</w:t>
      </w:r>
    </w:p>
    <w:p>
      <w:pPr>
        <w:pStyle w:val="FirstParagraph"/>
      </w:pPr>
      <w:r>
        <w:rPr>
          <w:bCs/>
          <w:b/>
        </w:rPr>
        <w:t xml:space="preserve">Seneszente Zellen</w:t>
      </w:r>
      <w:r>
        <w:t xml:space="preserve"> </w:t>
      </w:r>
      <w:r>
        <w:t xml:space="preserve">sind Zellen, die sich nach Schäden – etwa durch Strahlung, Chemotherapie, oxidativen Stress oder einfach durch viele Teilungen – nicht mehr teilen, aber auch nicht absterben. Sie verbleiben im Gewebe und geben eine Mischung aus Entzündungsbotenstoffen und gewebeabbauenden Enzymen ab, die man als SASP bezeichnet (</w:t>
      </w:r>
      <w:r>
        <w:rPr>
          <w:iCs/>
          <w:i/>
        </w:rPr>
        <w:t xml:space="preserve">senescence-associated secretory phenotype</w:t>
      </w:r>
      <w:r>
        <w:t xml:space="preserve">). Mit dem Alter nehmen sie in vielen Organen zu. In Mäusen, bei denen solche Zellen genetisch gezielt entfernt wurden, verzögerten sich verschiedene Alterserscheinungen. Daraus entstand die Idee der</w:t>
      </w:r>
      <w:r>
        <w:t xml:space="preserve"> </w:t>
      </w:r>
      <w:r>
        <w:rPr>
          <w:bCs/>
          <w:b/>
        </w:rPr>
        <w:t xml:space="preserve">Senolytika</w:t>
      </w:r>
      <w:r>
        <w:t xml:space="preserve">: Medikamente, die seneszente Zellen beseitigen.</w:t>
      </w:r>
    </w:p>
    <w:p>
      <w:pPr>
        <w:pStyle w:val="BodyText"/>
      </w:pPr>
      <w:r>
        <w:t xml:space="preserve">Seneszente Zellen überleben unter anderem, weil sie Selbstmordprogramme unterdrücken. Die Rotterdamer Gruppe fand, dass dabei das Eiweiß FOXO4 eine Schlüsselrolle spielt: Es hält das Eiweiß p53, das sonst den Zelltod auslösen würde, im Zellkern fest. Das Peptid FOXO4-DRI stört diese Bindung; p53 wird aus dem Kern verdrängt, und die seneszente Zelle stirbt. Gesunde, sich normal teilende Zellen sollen davon weitgehend verschont bleiben (Baar 2017, PMID 28340339). Strukturuntersuchungen von 2025 bestätigten, dass FOXO4-DRI an einen ungeordneten Abschnitt von p53 bindet – wobei auch der zelleinschleusende Abschnitt des Peptids an der Bindung beteiligt ist (Bourgeois 2025, PMID 40593617).</w:t>
      </w:r>
    </w:p>
    <w:bookmarkStart w:id="717" w:name="senolytika-beim-menschen-der-kontext"/>
    <w:p>
      <w:pPr>
        <w:pStyle w:val="Heading4"/>
      </w:pPr>
      <w:r>
        <w:t xml:space="preserve">Senolytika beim Menschen: der Kontext</w:t>
      </w:r>
    </w:p>
    <w:p>
      <w:pPr>
        <w:pStyle w:val="FirstParagraph"/>
      </w:pPr>
      <w:r>
        <w:t xml:space="preserve">FOXO4-DRI selbst wurde nie am Menschen geprüft. Zur Einordnung hilft ein Blick auf andere Senolytika, die schon klinisch untersucht wurden – vor allem die Kombination aus dem Krebsmedikament Dasatinib und dem Pflanzenstoff Quercetin (kurz D+Q):</w:t>
      </w:r>
    </w:p>
    <w:p>
      <w:pPr>
        <w:numPr>
          <w:ilvl w:val="0"/>
          <w:numId w:val="1242"/>
        </w:numPr>
        <w:pStyle w:val="Compact"/>
      </w:pPr>
      <w:r>
        <w:t xml:space="preserve">In einer ersten offenen Pilotstudie mit 14 Personen mit idiopathischer Lungenfibrose verbesserten sich Gehstrecke und Gehgeschwindigkeit, die Lungenfunktion jedoch nicht; ein schweres unerwünschtes Ereignis trat auf (Justice 2019, PMID 30616998).</w:t>
      </w:r>
    </w:p>
    <w:p>
      <w:pPr>
        <w:numPr>
          <w:ilvl w:val="0"/>
          <w:numId w:val="1242"/>
        </w:numPr>
        <w:pStyle w:val="Compact"/>
      </w:pPr>
      <w:r>
        <w:t xml:space="preserve">In einer randomisierten Phase-2-Studie mit 60 Frauen nach den Wechseljahren verringerte D+Q den Knochenabbau-Marker nicht (Hauptendpunkt verfehlt); nur in einer nachträglich betrachteten Untergruppe mit vielen seneszenten Zellen zeigten sich günstige Effekte (Farr 2024, PMID 38956196).</w:t>
      </w:r>
    </w:p>
    <w:p>
      <w:pPr>
        <w:pStyle w:val="FirstParagraph"/>
      </w:pPr>
      <w:r>
        <w:t xml:space="preserve">Die klinische Senolytika-Forschung steht also noch am Anfang, und erste kontrollierte Ergebnisse fallen zurückhaltend aus. Das ist der Hintergrund, vor dem FOXO4-DRI im Internet als „Verjüngungspeptid“ verkauft wird.</w:t>
      </w:r>
    </w:p>
    <w:bookmarkEnd w:id="717"/>
    <w:bookmarkEnd w:id="718"/>
    <w:bookmarkStart w:id="719" w:name="studien-am-menschen-44"/>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w:t>
      </w:r>
      <w:r>
        <w:t xml:space="preserve"> </w:t>
      </w:r>
      <w:r>
        <w:rPr>
          <w:bCs/>
          <w:b/>
        </w:rPr>
        <w:t xml:space="preserve">keine</w:t>
      </w:r>
      <w:r>
        <w:t xml:space="preserve"> </w:t>
      </w:r>
      <w:r>
        <w:t xml:space="preserve">Humanstudie mit FOXO4-DRI; insgesamt führt PubMed rund 20 Arbeiten mit dem Begriff. Auf ClinicalTrials.gov ist keine Studie registriert. Auch Fallberichte über die Anwendung am Menschen oder Analysen von Graumarktprodukten fanden sich nicht.</w:t>
      </w:r>
    </w:p>
    <w:p>
      <w:pPr>
        <w:pStyle w:val="BodyText"/>
      </w:pPr>
      <w:r>
        <w:t xml:space="preserve">Am nächsten an den Menschen heran kommt eine Laborstudie mit menschlichen Knorpelzellen: Bei Zellen, die für eine Knorpeltransplantation im Labor vermehrt worden waren, entfernte FOXO4-DRI mehr als die Hälfte der stark vermehrten (und damit häufiger seneszenten) Zellen, verbesserte aber die Fähigkeit, neuen Knorpel zu bilden, nicht (Huang 2021, PMID 33996787).</w:t>
      </w:r>
    </w:p>
    <w:bookmarkEnd w:id="719"/>
    <w:bookmarkStart w:id="720" w:name="tier--und-laborstudien-44"/>
    <w:p>
      <w:pPr>
        <w:pStyle w:val="Heading3"/>
      </w:pPr>
      <w:r>
        <w:t xml:space="preserve">Tier- und Laborstudien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Modell</w:t>
            </w:r>
          </w:p>
        </w:tc>
        <w:tc>
          <w:tcPr/>
          <w:p>
            <w:pPr>
              <w:pStyle w:val="Compact"/>
              <w:jc w:val="left"/>
            </w:pPr>
            <w:r>
              <w:t xml:space="preserve">Ergebnis</w:t>
            </w:r>
          </w:p>
        </w:tc>
      </w:tr>
      <w:tr>
        <w:tc>
          <w:tcPr/>
          <w:p>
            <w:pPr>
              <w:pStyle w:val="Compact"/>
              <w:jc w:val="left"/>
            </w:pPr>
            <w:r>
              <w:t xml:space="preserve">Baar 2017, PMID 28340339</w:t>
            </w:r>
          </w:p>
        </w:tc>
        <w:tc>
          <w:tcPr/>
          <w:p>
            <w:pPr>
              <w:pStyle w:val="Compact"/>
              <w:jc w:val="left"/>
            </w:pPr>
            <w:r>
              <w:t xml:space="preserve">schnell alternde und natürlich gealterte Mäuse; Chemotherapie-Schäden</w:t>
            </w:r>
          </w:p>
        </w:tc>
        <w:tc>
          <w:tcPr/>
          <w:p>
            <w:pPr>
              <w:pStyle w:val="Compact"/>
              <w:jc w:val="left"/>
            </w:pPr>
            <w:r>
              <w:t xml:space="preserve">bessere Fitness, dichteres Fell, bessere Nierenfunktion; Schutz vor Doxorubicin-Schäden</w:t>
            </w:r>
          </w:p>
        </w:tc>
      </w:tr>
      <w:tr>
        <w:tc>
          <w:tcPr/>
          <w:p>
            <w:pPr>
              <w:pStyle w:val="Compact"/>
              <w:jc w:val="left"/>
            </w:pPr>
            <w:r>
              <w:t xml:space="preserve">Zhang 2020, PMID 31959736</w:t>
            </w:r>
          </w:p>
        </w:tc>
        <w:tc>
          <w:tcPr/>
          <w:p>
            <w:pPr>
              <w:pStyle w:val="Compact"/>
              <w:jc w:val="left"/>
            </w:pPr>
            <w:r>
              <w:t xml:space="preserve">natürlich gealterte Mäuse</w:t>
            </w:r>
          </w:p>
        </w:tc>
        <w:tc>
          <w:tcPr/>
          <w:p>
            <w:pPr>
              <w:pStyle w:val="Compact"/>
              <w:jc w:val="left"/>
            </w:pPr>
            <w:r>
              <w:t xml:space="preserve">Testosteronbildung in den Hoden verbessert</w:t>
            </w:r>
          </w:p>
        </w:tc>
      </w:tr>
      <w:tr>
        <w:tc>
          <w:tcPr/>
          <w:p>
            <w:pPr>
              <w:pStyle w:val="Compact"/>
              <w:jc w:val="left"/>
            </w:pPr>
            <w:r>
              <w:t xml:space="preserve">Han 2022, PMID 35510614</w:t>
            </w:r>
          </w:p>
        </w:tc>
        <w:tc>
          <w:tcPr/>
          <w:p>
            <w:pPr>
              <w:pStyle w:val="Compact"/>
              <w:jc w:val="left"/>
            </w:pPr>
            <w:r>
              <w:t xml:space="preserve">Lungenfibrose bei Mäusen</w:t>
            </w:r>
          </w:p>
        </w:tc>
        <w:tc>
          <w:tcPr/>
          <w:p>
            <w:pPr>
              <w:pStyle w:val="Compact"/>
              <w:jc w:val="left"/>
            </w:pPr>
            <w:r>
              <w:t xml:space="preserve">weniger Vernarbung</w:t>
            </w:r>
          </w:p>
        </w:tc>
      </w:tr>
      <w:tr>
        <w:tc>
          <w:tcPr/>
          <w:p>
            <w:pPr>
              <w:pStyle w:val="Compact"/>
              <w:jc w:val="left"/>
            </w:pPr>
            <w:r>
              <w:t xml:space="preserve">Kong 2025, PMID 39994346</w:t>
            </w:r>
          </w:p>
        </w:tc>
        <w:tc>
          <w:tcPr/>
          <w:p>
            <w:pPr>
              <w:pStyle w:val="Compact"/>
              <w:jc w:val="left"/>
            </w:pPr>
            <w:r>
              <w:t xml:space="preserve">Keloid-Gewebe (überschießende Narben) im Labor</w:t>
            </w:r>
          </w:p>
        </w:tc>
        <w:tc>
          <w:tcPr/>
          <w:p>
            <w:pPr>
              <w:pStyle w:val="Compact"/>
              <w:jc w:val="left"/>
            </w:pPr>
            <w:r>
              <w:t xml:space="preserve">mehr Zelltod seneszenter Bindegewebszellen</w:t>
            </w:r>
          </w:p>
        </w:tc>
      </w:tr>
      <w:tr>
        <w:tc>
          <w:tcPr/>
          <w:p>
            <w:pPr>
              <w:pStyle w:val="Compact"/>
              <w:jc w:val="left"/>
            </w:pPr>
            <w:r>
              <w:t xml:space="preserve">Born 2023, PMID 36515093</w:t>
            </w:r>
          </w:p>
        </w:tc>
        <w:tc>
          <w:tcPr/>
          <w:p>
            <w:pPr>
              <w:pStyle w:val="Compact"/>
              <w:jc w:val="left"/>
            </w:pPr>
            <w:r>
              <w:t xml:space="preserve">Lungenhochdruck-Modelle bei Mäusen und Ratten</w:t>
            </w:r>
          </w:p>
        </w:tc>
        <w:tc>
          <w:tcPr/>
          <w:p>
            <w:pPr>
              <w:pStyle w:val="Compact"/>
              <w:jc w:val="left"/>
            </w:pPr>
            <w:r>
              <w:t xml:space="preserve">Entfernung seneszenter Zellen, auch mit FOXO4-DRI,</w:t>
            </w:r>
            <w:r>
              <w:t xml:space="preserve"> </w:t>
            </w:r>
            <w:r>
              <w:rPr>
                <w:bCs/>
                <w:b/>
              </w:rPr>
              <w:t xml:space="preserve">verschlechterte</w:t>
            </w:r>
            <w:r>
              <w:t xml:space="preserve"> </w:t>
            </w:r>
            <w:r>
              <w:t xml:space="preserve">den Lungenkreislauf</w:t>
            </w:r>
          </w:p>
        </w:tc>
      </w:tr>
    </w:tbl>
    <w:p>
      <w:pPr>
        <w:pStyle w:val="BodyText"/>
      </w:pPr>
      <w:r>
        <w:t xml:space="preserve">Die Erstbeschreibung erregte große Aufmerksamkeit: Bei schnell alternden Mäusen und bei natürlich gealterten Tieren verbesserten sich körperliche Fitness, Fellbild und Nierenfunktion (Baar 2017, PMID 28340339). Spätere Arbeiten anderer Gruppen, überwiegend aus China, beschrieben Effekte auf Hoden, Lunge und Haut.</w:t>
      </w:r>
    </w:p>
    <w:p>
      <w:pPr>
        <w:pStyle w:val="BodyText"/>
      </w:pPr>
      <w:r>
        <w:t xml:space="preserve">Ein wichtiger Gegenbefund kommt aus der Herz-Kreislauf-Forschung: In Modellen des Lungenhochdrucks verschlechterte die Beseitigung seneszenter Zellen – sowohl genetisch als auch mit den Senolytika ABT263 oder FOXO4-DRI – den Druck im Lungenkreislauf und führte zum Verlust von Gefäßinnenzellen der Lunge. Die Autoren folgern, dass Senolytika den Lungengefäßen schaden könnten (Born 2023, PMID 36515093). Das zeigt: Seneszente Zellen sind nicht nur „Altlast“, sondern können in manchen Geweben auch stabilisierende Aufgaben haben.</w:t>
      </w:r>
    </w:p>
    <w:bookmarkEnd w:id="720"/>
    <w:bookmarkStart w:id="721" w:name="risiken-und-nebenwirkungen-44"/>
    <w:p>
      <w:pPr>
        <w:pStyle w:val="Heading3"/>
      </w:pPr>
      <w:r>
        <w:t xml:space="preserve">Risiken und Nebenwirkungen</w:t>
      </w:r>
    </w:p>
    <w:p>
      <w:pPr>
        <w:pStyle w:val="FirstParagraph"/>
      </w:pPr>
      <w:r>
        <w:rPr>
          <w:bCs/>
          <w:b/>
        </w:rPr>
        <w:t xml:space="preserve">Belegt:</w:t>
      </w:r>
      <w:r>
        <w:t xml:space="preserve"> </w:t>
      </w:r>
      <w:r>
        <w:t xml:space="preserve">Keine Daten am Menschen.</w:t>
      </w:r>
    </w:p>
    <w:p>
      <w:pPr>
        <w:pStyle w:val="BodyText"/>
      </w:pPr>
      <w:r>
        <w:rPr>
          <w:bCs/>
          <w:b/>
        </w:rPr>
        <w:t xml:space="preserve">Theoretisch – und teils durch Tierdaten gestützt:</w:t>
      </w:r>
    </w:p>
    <w:p>
      <w:pPr>
        <w:numPr>
          <w:ilvl w:val="0"/>
          <w:numId w:val="1243"/>
        </w:numPr>
        <w:pStyle w:val="Compact"/>
      </w:pPr>
      <w:r>
        <w:rPr>
          <w:bCs/>
          <w:b/>
        </w:rPr>
        <w:t xml:space="preserve">Gefäße und Lunge:</w:t>
      </w:r>
      <w:r>
        <w:t xml:space="preserve"> </w:t>
      </w:r>
      <w:r>
        <w:t xml:space="preserve">Im Tiermodell verschlechterte FOXO4-DRI einen bestehenden Lungenhochdruck (Born 2023, PMID 36515093).</w:t>
      </w:r>
    </w:p>
    <w:p>
      <w:pPr>
        <w:numPr>
          <w:ilvl w:val="0"/>
          <w:numId w:val="1243"/>
        </w:numPr>
        <w:pStyle w:val="Compact"/>
      </w:pPr>
      <w:r>
        <w:rPr>
          <w:bCs/>
          <w:b/>
        </w:rPr>
        <w:t xml:space="preserve">p53 und Krebs:</w:t>
      </w:r>
      <w:r>
        <w:t xml:space="preserve"> </w:t>
      </w:r>
      <w:r>
        <w:t xml:space="preserve">p53 ist einer der wichtigsten Tumor-Unterdrücker des Körpers. FOXO4-DRI verändert gezielt, wo sich p53 in der Zelle aufhält. Welche Folgen das langfristig für die Krebsabwehr hat, ist nicht untersucht. Die Entwickler sehen das Prinzip umgekehrt auch als Ansatz für die Krebstherapie (Bourgeois 2025, PMID 40593617).</w:t>
      </w:r>
    </w:p>
    <w:p>
      <w:pPr>
        <w:numPr>
          <w:ilvl w:val="0"/>
          <w:numId w:val="1243"/>
        </w:numPr>
        <w:pStyle w:val="Compact"/>
      </w:pPr>
      <w:r>
        <w:rPr>
          <w:bCs/>
          <w:b/>
        </w:rPr>
        <w:t xml:space="preserve">Wundheilung und Gewebereparatur:</w:t>
      </w:r>
      <w:r>
        <w:t xml:space="preserve"> </w:t>
      </w:r>
      <w:r>
        <w:t xml:space="preserve">Seneszente Zellen wirken auch an Wundheilung und Gewebeumbau mit; deren Beseitigung kann diese Prozesse stören.</w:t>
      </w:r>
    </w:p>
    <w:p>
      <w:pPr>
        <w:numPr>
          <w:ilvl w:val="0"/>
          <w:numId w:val="1243"/>
        </w:numPr>
        <w:pStyle w:val="Compact"/>
      </w:pPr>
      <w:r>
        <w:rPr>
          <w:bCs/>
          <w:b/>
        </w:rPr>
        <w:t xml:space="preserve">Immunreaktionen:</w:t>
      </w:r>
      <w:r>
        <w:t xml:space="preserve"> </w:t>
      </w:r>
      <w:r>
        <w:t xml:space="preserve">Das Peptid enthält einen Abschnitt aus einem Virus-Eiweiß und ist relativ groß; Immunreaktionen bei wiederholter Gabe sind denkbar, aber nicht untersucht.</w:t>
      </w:r>
    </w:p>
    <w:p>
      <w:pPr>
        <w:pStyle w:val="FirstParagraph"/>
      </w:pPr>
      <w:r>
        <w:rPr>
          <w:bCs/>
          <w:b/>
        </w:rPr>
        <w:t xml:space="preserve">Graumarkt:</w:t>
      </w:r>
      <w:r>
        <w:t xml:space="preserve"> </w:t>
      </w:r>
      <w:r>
        <w:t xml:space="preserve">FOXO4-DRI wird online als „Senolytikum“ zur Injektion angeboten, oft zu hohen Preisen. Die Herstellung eines langen Peptids aus D-Aminosäuren ist anspruchsvoll; ob verkaufte Produkte tatsächlich die richtige Sequenz und Reinheit haben, ist ungeprüft.</w:t>
      </w:r>
    </w:p>
    <w:bookmarkEnd w:id="721"/>
    <w:bookmarkStart w:id="722" w:name="rechtslage-44"/>
    <w:p>
      <w:pPr>
        <w:pStyle w:val="Heading3"/>
      </w:pPr>
      <w:r>
        <w:t xml:space="preserve">Rechtslage</w:t>
      </w:r>
    </w:p>
    <w:p>
      <w:pPr>
        <w:numPr>
          <w:ilvl w:val="0"/>
          <w:numId w:val="1244"/>
        </w:numPr>
        <w:pStyle w:val="Compact"/>
      </w:pPr>
      <w:r>
        <w:rPr>
          <w:bCs/>
          <w:b/>
        </w:rPr>
        <w:t xml:space="preserve">EU / Österreich / Deutschland:</w:t>
      </w:r>
      <w:r>
        <w:t xml:space="preserve"> </w:t>
      </w:r>
      <w:r>
        <w:t xml:space="preserve">nicht zugelassen; als Stoff mit pharmakologischer Wirkung gilt FOXO4-DRI als Arzneimittel, ein Verkauf zur Anwendung am Menschen ist nicht erlaubt (Stand 2026, bitte aktuell prüfen).</w:t>
      </w:r>
    </w:p>
    <w:p>
      <w:pPr>
        <w:numPr>
          <w:ilvl w:val="0"/>
          <w:numId w:val="1244"/>
        </w:numPr>
        <w:pStyle w:val="Compact"/>
      </w:pPr>
      <w:r>
        <w:rPr>
          <w:bCs/>
          <w:b/>
        </w:rPr>
        <w:t xml:space="preserve">USA:</w:t>
      </w:r>
      <w:r>
        <w:t xml:space="preserve"> </w:t>
      </w:r>
      <w:r>
        <w:t xml:space="preserve">nicht zugelassen.</w:t>
      </w:r>
    </w:p>
    <w:p>
      <w:pPr>
        <w:numPr>
          <w:ilvl w:val="0"/>
          <w:numId w:val="1244"/>
        </w:numPr>
        <w:pStyle w:val="Compact"/>
      </w:pPr>
      <w:r>
        <w:rPr>
          <w:bCs/>
          <w:b/>
        </w:rPr>
        <w:t xml:space="preserve">Sport:</w:t>
      </w:r>
      <w:r>
        <w:t xml:space="preserve"> </w:t>
      </w:r>
      <w:r>
        <w:t xml:space="preserve">nach unserer Einschätzung WADA-Kategorie S0 (Stand 2026, bitte aktuell prüfen).</w:t>
      </w:r>
    </w:p>
    <w:bookmarkEnd w:id="722"/>
    <w:bookmarkStart w:id="723" w:name="laufende-studien-und-ausblick-44"/>
    <w:p>
      <w:pPr>
        <w:pStyle w:val="Heading3"/>
      </w:pPr>
      <w:r>
        <w:t xml:space="preserve">Laufende Studien und Ausblick</w:t>
      </w:r>
    </w:p>
    <w:p>
      <w:pPr>
        <w:pStyle w:val="FirstParagraph"/>
      </w:pPr>
      <w:r>
        <w:rPr>
          <w:bCs/>
          <w:b/>
        </w:rPr>
        <w:t xml:space="preserve">Gesichert:</w:t>
      </w:r>
      <w:r>
        <w:t xml:space="preserve"> </w:t>
      </w:r>
      <w:r>
        <w:t xml:space="preserve">Keine registrierte klinische Studie mit FOXO4-DRI (Abfrage Oktober 2026). Die Entwicklergruppe arbeitet an Weiterentwicklungen des Prinzips; klinische Studien mit Senolytika laufen vor allem mit anderen Wirkstoffen.</w:t>
      </w:r>
    </w:p>
    <w:p>
      <w:pPr>
        <w:pStyle w:val="BodyText"/>
      </w:pPr>
      <w:r>
        <w:rPr>
          <w:bCs/>
          <w:b/>
        </w:rPr>
        <w:t xml:space="preserve">Einschätzung:</w:t>
      </w:r>
      <w:r>
        <w:t xml:space="preserve"> </w:t>
      </w:r>
      <w:r>
        <w:t xml:space="preserve">Die Senolytika-Forschung ist eines der spannendsten Felder der Altersforschung, aber die ersten kontrollierten Studien am Menschen waren ernüchternd. Für FOXO4-DRI wären zunächst systematische Toxizitätsstudien und eine erste vorsichtige Studie am Menschen nötig – idealerweise bei einer klar definierten Erkrankung, nicht als allgemeines „Anti-Aging“.</w:t>
      </w:r>
    </w:p>
    <w:bookmarkEnd w:id="723"/>
    <w:bookmarkStart w:id="724" w:name="fazit-44"/>
    <w:p>
      <w:pPr>
        <w:pStyle w:val="Heading3"/>
      </w:pPr>
      <w:r>
        <w:t xml:space="preserve">Fazit</w:t>
      </w:r>
    </w:p>
    <w:p>
      <w:pPr>
        <w:pStyle w:val="FirstParagraph"/>
      </w:pPr>
      <w:r>
        <w:t xml:space="preserve">FOXO4-DRI ist ein künstliches Peptid, das in Zellkulturen und bei Mäusen gezielt seneszente Zellen beseitigte und bei gealterten Tieren Fitness, Fell und Nierenfunktion verbesserte. Am Menschen wurde es nie untersucht. In Tiermodellen des Lungenhochdrucks verschlechterte die Entfernung seneszenter Zellen mit FOXO4-DRI den Krankheitsverlauf, und der Eingriff in das Krebsschutz-Eiweiß p53 wirft offene Fragen auf. Die Daten reichen nicht aus, um Nutzen oder Sicherheit beim Menschen zu beurteilen.</w:t>
      </w:r>
    </w:p>
    <w:bookmarkEnd w:id="724"/>
    <w:bookmarkEnd w:id="725"/>
    <w:bookmarkStart w:id="737" w:name="glutathion"/>
    <w:p>
      <w:pPr>
        <w:pStyle w:val="Heading2"/>
      </w:pPr>
      <w:r>
        <w:t xml:space="preserve">Glutathion</w:t>
      </w:r>
    </w:p>
    <w:bookmarkStart w:id="726" w:name="steckbrief-45"/>
    <w:p>
      <w:pPr>
        <w:pStyle w:val="Heading3"/>
      </w:pPr>
      <w:r>
        <w:t xml:space="preserve">Steckbrief</w:t>
      </w:r>
    </w:p>
    <w:p>
      <w:pPr>
        <w:numPr>
          <w:ilvl w:val="0"/>
          <w:numId w:val="1245"/>
        </w:numPr>
        <w:pStyle w:val="Compact"/>
      </w:pPr>
      <w:r>
        <w:rPr>
          <w:bCs/>
          <w:b/>
        </w:rPr>
        <w:t xml:space="preserve">Art und Struktur:</w:t>
      </w:r>
      <w:r>
        <w:t xml:space="preserve"> </w:t>
      </w:r>
      <w:r>
        <w:t xml:space="preserve">Tripeptid aus drei Aminosäuren – Glutaminsäure, Cystein und Glycin (γ-Glutamyl-Cysteinyl-Glycin, abgekürzt GSH). Die reduzierte Form (GSH) ist die aktive; bei der Abwehr von Oxidation werden zwei Moleküle zu oxidiertem Glutathion (GSSG) verbunden.</w:t>
      </w:r>
    </w:p>
    <w:p>
      <w:pPr>
        <w:numPr>
          <w:ilvl w:val="0"/>
          <w:numId w:val="1245"/>
        </w:numPr>
        <w:pStyle w:val="Compact"/>
      </w:pPr>
      <w:r>
        <w:rPr>
          <w:bCs/>
          <w:b/>
        </w:rPr>
        <w:t xml:space="preserve">Herkunft:</w:t>
      </w:r>
      <w:r>
        <w:t xml:space="preserve"> </w:t>
      </w:r>
      <w:r>
        <w:t xml:space="preserve">wird von praktisch allen Körperzellen selbst gebildet, besonders viel in der Leber. Als Präparat wird es meist durch Fermentation mit Hefen hergestellt.</w:t>
      </w:r>
    </w:p>
    <w:p>
      <w:pPr>
        <w:numPr>
          <w:ilvl w:val="0"/>
          <w:numId w:val="1245"/>
        </w:numPr>
        <w:pStyle w:val="Compact"/>
      </w:pPr>
      <w:r>
        <w:rPr>
          <w:bCs/>
          <w:b/>
        </w:rPr>
        <w:t xml:space="preserve">Wirkprinzip:</w:t>
      </w:r>
      <w:r>
        <w:t xml:space="preserve"> </w:t>
      </w:r>
      <w:r>
        <w:t xml:space="preserve">wichtigster körpereigener Schutzstoff gegen Oxidation in Zellen; beteiligt an der Entgiftung von Medikamenten und Schadstoffen (etwa beim Abbau von Paracetamol) und an der Regulation von Immunzellen. In der Haut verschiebt es die Pigmentbildung vom dunklen zum helleren Melanin.</w:t>
      </w:r>
    </w:p>
    <w:p>
      <w:pPr>
        <w:numPr>
          <w:ilvl w:val="0"/>
          <w:numId w:val="1245"/>
        </w:numPr>
        <w:pStyle w:val="Compact"/>
      </w:pPr>
      <w:r>
        <w:rPr>
          <w:bCs/>
          <w:b/>
        </w:rPr>
        <w:t xml:space="preserve">Zulassung EU:</w:t>
      </w:r>
      <w:r>
        <w:t xml:space="preserve"> </w:t>
      </w:r>
      <w:r>
        <w:t xml:space="preserve">als Nahrungsergänzungsmittel verbreitet im Handel; als Arzneimittel zur Injektion nur in einzelnen Ländern für eng umrissene Anwendungsgebiete, nicht zur Hautaufhellung (Stand 2026, bitte aktuell prüfen).</w:t>
      </w:r>
    </w:p>
    <w:p>
      <w:pPr>
        <w:numPr>
          <w:ilvl w:val="0"/>
          <w:numId w:val="1245"/>
        </w:numPr>
        <w:pStyle w:val="Compact"/>
      </w:pPr>
      <w:r>
        <w:rPr>
          <w:bCs/>
          <w:b/>
        </w:rPr>
        <w:t xml:space="preserve">Zulassung USA:</w:t>
      </w:r>
      <w:r>
        <w:t xml:space="preserve"> </w:t>
      </w:r>
      <w:r>
        <w:t xml:space="preserve">kein von der FDA zugelassenes Glutathion-Arzneimittel; erhältlich als Nahrungsergänzungsmittel und als Apotheken-Rezeptur.</w:t>
      </w:r>
    </w:p>
    <w:p>
      <w:pPr>
        <w:numPr>
          <w:ilvl w:val="0"/>
          <w:numId w:val="1245"/>
        </w:numPr>
        <w:pStyle w:val="Compact"/>
      </w:pPr>
      <w:r>
        <w:rPr>
          <w:bCs/>
          <w:b/>
        </w:rPr>
        <w:t xml:space="preserve">WADA:</w:t>
      </w:r>
      <w:r>
        <w:t xml:space="preserve"> </w:t>
      </w:r>
      <w:r>
        <w:t xml:space="preserve">Glutathion selbst ist nicht verboten. Infusionen oder Injektionen von mehr als 100 ml innerhalb von zwölf Stunden sind jedoch als verbotene Methode (M2) erfasst, außer im Rahmen einer Krankenhausbehandlung oder Untersuchung (Stand 2026, bitte aktuell prüfen).</w:t>
      </w:r>
    </w:p>
    <w:p>
      <w:pPr>
        <w:numPr>
          <w:ilvl w:val="0"/>
          <w:numId w:val="1245"/>
        </w:numPr>
        <w:pStyle w:val="Compact"/>
      </w:pPr>
      <w:r>
        <w:rPr>
          <w:bCs/>
          <w:b/>
        </w:rPr>
        <w:t xml:space="preserve">Evidenzstufe:</w:t>
      </w:r>
      <w:r>
        <w:t xml:space="preserve"> </w:t>
      </w:r>
      <w:r>
        <w:rPr>
          <w:bCs/>
          <w:b/>
        </w:rPr>
        <w:t xml:space="preserve">B</w:t>
      </w:r>
      <w:r>
        <w:t xml:space="preserve"> </w:t>
      </w:r>
      <w:r>
        <w:t xml:space="preserve">– zahlreiche randomisierte, überwiegend kleine Studien mit wechselnden Ergebnissen; keine Zulassung auf Basis großer Endpunktstudien.</w:t>
      </w:r>
    </w:p>
    <w:bookmarkEnd w:id="726"/>
    <w:bookmarkStart w:id="727" w:name="wie-es-wirken-soll-45"/>
    <w:p>
      <w:pPr>
        <w:pStyle w:val="Heading3"/>
      </w:pPr>
      <w:r>
        <w:t xml:space="preserve">Wie es wirken soll</w:t>
      </w:r>
    </w:p>
    <w:p>
      <w:pPr>
        <w:pStyle w:val="FirstParagraph"/>
      </w:pPr>
      <w:r>
        <w:t xml:space="preserve">Glutathion ist ein ganz gewöhnlicher Bestandteil jeder Zelle. Es fängt reaktive Sauerstoffverbindungen ab, hilft Enzymen bei der Entgiftung und hält andere Schutzstoffe wie Vitamin C und E in ihrer aktiven Form. Bei vielen Erkrankungen – etwa Diabetes, Lebererkrankungen, HIV, Parkinson – und mit zunehmendem Alter sind die Glutathion-Spiegel in Blut oder Gewebe niedriger. Daraus entstand die naheliegende Idee, Glutathion von außen zuzuführen.</w:t>
      </w:r>
    </w:p>
    <w:p>
      <w:pPr>
        <w:pStyle w:val="BodyText"/>
      </w:pPr>
      <w:r>
        <w:t xml:space="preserve">Das ist aus drei Gründen schwieriger, als es klingt:</w:t>
      </w:r>
    </w:p>
    <w:p>
      <w:pPr>
        <w:numPr>
          <w:ilvl w:val="0"/>
          <w:numId w:val="1246"/>
        </w:numPr>
        <w:pStyle w:val="Compact"/>
      </w:pPr>
      <w:r>
        <w:rPr>
          <w:bCs/>
          <w:b/>
        </w:rPr>
        <w:t xml:space="preserve">Verdauung:</w:t>
      </w:r>
      <w:r>
        <w:t xml:space="preserve"> </w:t>
      </w:r>
      <w:r>
        <w:t xml:space="preserve">Als Peptid wird Glutathion im Darm teilweise zerlegt; lange galt es deshalb als kaum wirksam beim Schlucken.</w:t>
      </w:r>
    </w:p>
    <w:p>
      <w:pPr>
        <w:numPr>
          <w:ilvl w:val="0"/>
          <w:numId w:val="1246"/>
        </w:numPr>
        <w:pStyle w:val="Compact"/>
      </w:pPr>
      <w:r>
        <w:rPr>
          <w:bCs/>
          <w:b/>
        </w:rPr>
        <w:t xml:space="preserve">Aufnahme in Zellen:</w:t>
      </w:r>
      <w:r>
        <w:t xml:space="preserve"> </w:t>
      </w:r>
      <w:r>
        <w:t xml:space="preserve">Glutathion wird überwiegend</w:t>
      </w:r>
      <w:r>
        <w:t xml:space="preserve"> </w:t>
      </w:r>
      <w:r>
        <w:rPr>
          <w:iCs/>
          <w:i/>
        </w:rPr>
        <w:t xml:space="preserve">in</w:t>
      </w:r>
      <w:r>
        <w:t xml:space="preserve"> </w:t>
      </w:r>
      <w:r>
        <w:t xml:space="preserve">den Zellen gebildet; aus dem Blut gelangt es nur begrenzt hinein.</w:t>
      </w:r>
    </w:p>
    <w:p>
      <w:pPr>
        <w:numPr>
          <w:ilvl w:val="0"/>
          <w:numId w:val="1246"/>
        </w:numPr>
        <w:pStyle w:val="Compact"/>
      </w:pPr>
      <w:r>
        <w:rPr>
          <w:bCs/>
          <w:b/>
        </w:rPr>
        <w:t xml:space="preserve">Kurze Verweildauer:</w:t>
      </w:r>
      <w:r>
        <w:t xml:space="preserve"> </w:t>
      </w:r>
      <w:r>
        <w:t xml:space="preserve">Infundiertes Glutathion wird im Blut rasch abgebaut.</w:t>
      </w:r>
    </w:p>
    <w:p>
      <w:pPr>
        <w:pStyle w:val="FirstParagraph"/>
      </w:pPr>
      <w:r>
        <w:t xml:space="preserve">Deshalb werden verschiedene Darreichungsformen angeboten: Kapseln und Tabletten,</w:t>
      </w:r>
      <w:r>
        <w:t xml:space="preserve"> </w:t>
      </w:r>
      <w:r>
        <w:rPr>
          <w:bCs/>
          <w:b/>
        </w:rPr>
        <w:t xml:space="preserve">liposomales</w:t>
      </w:r>
      <w:r>
        <w:t xml:space="preserve"> </w:t>
      </w:r>
      <w:r>
        <w:t xml:space="preserve">Glutathion (in Fettbläschen verpackt), Lutschtabletten und Filme für die Mundschleimhaut, Nasenspray, Cremes – und</w:t>
      </w:r>
      <w:r>
        <w:t xml:space="preserve"> </w:t>
      </w:r>
      <w:r>
        <w:rPr>
          <w:bCs/>
          <w:b/>
        </w:rPr>
        <w:t xml:space="preserve">Infusionen</w:t>
      </w:r>
      <w:r>
        <w:t xml:space="preserve"> </w:t>
      </w:r>
      <w:r>
        <w:t xml:space="preserve">in die Vene. Außerdem gibt es Vorstufen wie N-Acetylcystein (NAC) oder Glycin plus NAC, die der Körper zur Eigenbildung nutzt; sie sind nicht Thema dieses Kapitels.</w:t>
      </w:r>
    </w:p>
    <w:p>
      <w:pPr>
        <w:pStyle w:val="BodyText"/>
      </w:pPr>
      <w:r>
        <w:t xml:space="preserve">Für die Hautaufhellung wird ein weiterer Mechanismus angenommen: Glutathion hemmt in Laborversuchen das Enzym Tyrosinase und lenkt die Pigmentbildung von dunklem Eumelanin zu hellerem Phäomelanin um.</w:t>
      </w:r>
    </w:p>
    <w:bookmarkEnd w:id="727"/>
    <w:bookmarkStart w:id="731" w:name="studien-am-menschen-45"/>
    <w:p>
      <w:pPr>
        <w:pStyle w:val="Heading3"/>
      </w:pPr>
      <w:r>
        <w:t xml:space="preserve">Studien am Menschen</w:t>
      </w:r>
    </w:p>
    <w:p>
      <w:pPr>
        <w:pStyle w:val="FirstParagraph"/>
      </w:pPr>
      <w:r>
        <w:rPr>
          <w:bCs/>
          <w:b/>
        </w:rPr>
        <w:t xml:space="preserve">Größenordnung der Studienlage:</w:t>
      </w:r>
      <w:r>
        <w:t xml:space="preserve"> </w:t>
      </w:r>
      <w:r>
        <w:t xml:space="preserve">Die automatisierte PubMed-Abfrage (Oktober 2026) ergab 161 als Humanstudien klassifizierte Veröffentlichungen, dazu 15 Übersichten und Meta-Analysen. Auf ClinicalTrials.gov waren 273 Studien registriert. Beide Zahlen überschätzen die direkte Datenlage deutlich: Viele Treffer messen nur Glutathion als Laborwert (etwa unter Selen, Vitaminen, Sport oder NAC) oder betreffen das Enzym Glutathion-S-Transferase. Studien, in denen Glutathion selbst gegeben wurde, sind eine Minderheit – aber immerhin einige Dutzend.</w:t>
      </w:r>
    </w:p>
    <w:bookmarkStart w:id="728" w:name="X8ea8cc8fd3be10399d99ee61b14185a7298e01b"/>
    <w:p>
      <w:pPr>
        <w:pStyle w:val="Heading4"/>
      </w:pPr>
      <w:r>
        <w:t xml:space="preserve">Kommt geschlucktes Glutathion überhaupt 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Allen 2011, PMID 21875351</w:t>
            </w:r>
          </w:p>
        </w:tc>
        <w:tc>
          <w:tcPr/>
          <w:p>
            <w:pPr>
              <w:pStyle w:val="Compact"/>
              <w:jc w:val="left"/>
            </w:pPr>
            <w:r>
              <w:t xml:space="preserve">40 Gesunde, Kapseln gegen Placebo, doppelblind</w:t>
            </w:r>
          </w:p>
        </w:tc>
        <w:tc>
          <w:tcPr/>
          <w:p>
            <w:pPr>
              <w:pStyle w:val="Compact"/>
              <w:jc w:val="left"/>
            </w:pPr>
            <w:r>
              <w:t xml:space="preserve">4 Wochen</w:t>
            </w:r>
          </w:p>
        </w:tc>
        <w:tc>
          <w:tcPr/>
          <w:p>
            <w:pPr>
              <w:pStyle w:val="Compact"/>
              <w:jc w:val="left"/>
            </w:pPr>
            <w:r>
              <w:t xml:space="preserve">keine Veränderung der Glutathion-Spiegel oder Oxidationsmarker</w:t>
            </w:r>
          </w:p>
        </w:tc>
      </w:tr>
      <w:tr>
        <w:tc>
          <w:tcPr/>
          <w:p>
            <w:pPr>
              <w:pStyle w:val="Compact"/>
              <w:jc w:val="left"/>
            </w:pPr>
            <w:r>
              <w:t xml:space="preserve">Richie 2015, PMID 24791752</w:t>
            </w:r>
          </w:p>
        </w:tc>
        <w:tc>
          <w:tcPr/>
          <w:p>
            <w:pPr>
              <w:pStyle w:val="Compact"/>
              <w:jc w:val="left"/>
            </w:pPr>
            <w:r>
              <w:t xml:space="preserve">54 Gesunde, zwei Dosen gegen Placebo, doppelblind</w:t>
            </w:r>
          </w:p>
        </w:tc>
        <w:tc>
          <w:tcPr/>
          <w:p>
            <w:pPr>
              <w:pStyle w:val="Compact"/>
              <w:jc w:val="left"/>
            </w:pPr>
            <w:r>
              <w:t xml:space="preserve">6 Monate</w:t>
            </w:r>
          </w:p>
        </w:tc>
        <w:tc>
          <w:tcPr/>
          <w:p>
            <w:pPr>
              <w:pStyle w:val="Compact"/>
              <w:jc w:val="left"/>
            </w:pPr>
            <w:r>
              <w:t xml:space="preserve">Spiegel in Blutzellen und Plasma um 30–35 % höher (hohe Dosis); nach Absetzen zurück</w:t>
            </w:r>
          </w:p>
        </w:tc>
      </w:tr>
      <w:tr>
        <w:tc>
          <w:tcPr/>
          <w:p>
            <w:pPr>
              <w:pStyle w:val="Compact"/>
              <w:jc w:val="left"/>
            </w:pPr>
            <w:r>
              <w:t xml:space="preserve">Sinha 2018, PMID 28853742</w:t>
            </w:r>
          </w:p>
        </w:tc>
        <w:tc>
          <w:tcPr/>
          <w:p>
            <w:pPr>
              <w:pStyle w:val="Compact"/>
              <w:jc w:val="left"/>
            </w:pPr>
            <w:r>
              <w:t xml:space="preserve">12 Gesunde, liposomales Glutathion, ohne Placebo</w:t>
            </w:r>
          </w:p>
        </w:tc>
        <w:tc>
          <w:tcPr/>
          <w:p>
            <w:pPr>
              <w:pStyle w:val="Compact"/>
              <w:jc w:val="left"/>
            </w:pPr>
            <w:r>
              <w:t xml:space="preserve">4 Wochen</w:t>
            </w:r>
          </w:p>
        </w:tc>
        <w:tc>
          <w:tcPr/>
          <w:p>
            <w:pPr>
              <w:pStyle w:val="Compact"/>
              <w:jc w:val="left"/>
            </w:pPr>
            <w:r>
              <w:t xml:space="preserve">Spiegel in Vollblut bis 40 % höher, in Immunzellen bis 100 %</w:t>
            </w:r>
          </w:p>
        </w:tc>
      </w:tr>
      <w:tr>
        <w:tc>
          <w:tcPr/>
          <w:p>
            <w:pPr>
              <w:pStyle w:val="Compact"/>
              <w:jc w:val="left"/>
            </w:pPr>
            <w:r>
              <w:t xml:space="preserve">Schmitt 2015, PMID 26262996</w:t>
            </w:r>
          </w:p>
        </w:tc>
        <w:tc>
          <w:tcPr/>
          <w:p>
            <w:pPr>
              <w:pStyle w:val="Compact"/>
              <w:jc w:val="left"/>
            </w:pPr>
            <w:r>
              <w:t xml:space="preserve">20 Personen mit metabolischem Syndrom, Überkreuz: Kapsel, Sublingual-Form, NAC</w:t>
            </w:r>
          </w:p>
        </w:tc>
        <w:tc>
          <w:tcPr/>
          <w:p>
            <w:pPr>
              <w:pStyle w:val="Compact"/>
              <w:jc w:val="left"/>
            </w:pPr>
            <w:r>
              <w:t xml:space="preserve">je 3 Wochen</w:t>
            </w:r>
          </w:p>
        </w:tc>
        <w:tc>
          <w:tcPr/>
          <w:p>
            <w:pPr>
              <w:pStyle w:val="Compact"/>
              <w:jc w:val="left"/>
            </w:pPr>
            <w:r>
              <w:t xml:space="preserve">Sublingual-Form erhöhte Plasmaspiegel stärker als Kapseln</w:t>
            </w:r>
          </w:p>
        </w:tc>
      </w:tr>
      <w:tr>
        <w:tc>
          <w:tcPr/>
          <w:p>
            <w:pPr>
              <w:pStyle w:val="Compact"/>
              <w:jc w:val="left"/>
            </w:pPr>
            <w:r>
              <w:t xml:space="preserve">Jung 2026, PMID 42392376</w:t>
            </w:r>
          </w:p>
        </w:tc>
        <w:tc>
          <w:tcPr/>
          <w:p>
            <w:pPr>
              <w:pStyle w:val="Compact"/>
              <w:jc w:val="left"/>
            </w:pPr>
            <w:r>
              <w:t xml:space="preserve">Gesunde, Film zum Auflösen im Mund gegen Tablette</w:t>
            </w:r>
          </w:p>
        </w:tc>
        <w:tc>
          <w:tcPr/>
          <w:p>
            <w:pPr>
              <w:pStyle w:val="Compact"/>
              <w:jc w:val="left"/>
            </w:pPr>
            <w:r>
              <w:t xml:space="preserve">Einzeldosis und 4 Wochen</w:t>
            </w:r>
          </w:p>
        </w:tc>
        <w:tc>
          <w:tcPr/>
          <w:p>
            <w:pPr>
              <w:pStyle w:val="Compact"/>
              <w:jc w:val="left"/>
            </w:pPr>
            <w:r>
              <w:t xml:space="preserve">beide Formen erhöhten Blutspiegel; keine Änderung der Oxidationsmarker</w:t>
            </w:r>
          </w:p>
        </w:tc>
      </w:tr>
    </w:tbl>
    <w:p>
      <w:pPr>
        <w:pStyle w:val="BodyText"/>
      </w:pPr>
      <w:r>
        <w:t xml:space="preserve">Die Frage war lange umstritten. Eine kurze Studie mit 40 Gesunden fand nach vier Wochen keinerlei Veränderung (Allen 2011, PMID 21875351). Eine längere, ebenfalls doppelblinde Studie mit 54 Gesunden fand dagegen nach sechs Monaten dosisabhängig höhere Glutathion-Spiegel in Blut, Blutzellen und Mundschleimhaut; einen Monat nach dem Absetzen waren die Werte wieder auf dem Ausgangsniveau (Richie 2015, PMID 24791752). Eine kleine Pilotstudie ohne Placebogruppe berichtete für liposomales Glutathion bereits nach ein bis zwei Wochen Anstiege (Sinha 2018, PMID 28853742).</w:t>
      </w:r>
    </w:p>
    <w:p>
      <w:pPr>
        <w:pStyle w:val="BodyText"/>
      </w:pPr>
      <w:r>
        <w:t xml:space="preserve">Zusammengefasst: Geschlucktes Glutathion kann die Spiegel im Blut messbar erhöhen, vermutlich abhängig von Dosis, Dauer und Darreichungsform. Ob höhere Spiegel im Blut auch zu gesundheitlichem Nutzen führen, ist eine andere Frage.</w:t>
      </w:r>
    </w:p>
    <w:bookmarkEnd w:id="728"/>
    <w:bookmarkStart w:id="729" w:name="krankheitsbezogene-studien"/>
    <w:p>
      <w:pPr>
        <w:pStyle w:val="Heading4"/>
      </w:pPr>
      <w:r>
        <w:t xml:space="preserve">Krankheitsbezogene 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Leal 2014, PMID 24619793</w:t>
            </w:r>
          </w:p>
        </w:tc>
        <w:tc>
          <w:tcPr/>
          <w:p>
            <w:pPr>
              <w:pStyle w:val="Compact"/>
              <w:jc w:val="left"/>
            </w:pPr>
            <w:r>
              <w:t xml:space="preserve">185 Krebspatientinnen und -patienten unter Paclitaxel/Carboplatin, Infusion gegen Placebo, Phase 3</w:t>
            </w:r>
          </w:p>
        </w:tc>
        <w:tc>
          <w:tcPr/>
          <w:p>
            <w:pPr>
              <w:pStyle w:val="Compact"/>
              <w:jc w:val="left"/>
            </w:pPr>
            <w:r>
              <w:t xml:space="preserve">Chemotherapie-Dauer</w:t>
            </w:r>
          </w:p>
        </w:tc>
        <w:tc>
          <w:tcPr/>
          <w:p>
            <w:pPr>
              <w:pStyle w:val="Compact"/>
              <w:jc w:val="left"/>
            </w:pPr>
            <w:r>
              <w:rPr>
                <w:bCs/>
                <w:b/>
              </w:rPr>
              <w:t xml:space="preserve">keine</w:t>
            </w:r>
            <w:r>
              <w:t xml:space="preserve"> </w:t>
            </w:r>
            <w:r>
              <w:t xml:space="preserve">Verringerung der Nervenschäden durch Chemotherapie</w:t>
            </w:r>
          </w:p>
        </w:tc>
      </w:tr>
      <w:tr>
        <w:tc>
          <w:tcPr/>
          <w:p>
            <w:pPr>
              <w:pStyle w:val="Compact"/>
              <w:jc w:val="left"/>
            </w:pPr>
            <w:r>
              <w:t xml:space="preserve">Hauser 2009, PMID 19230029</w:t>
            </w:r>
          </w:p>
        </w:tc>
        <w:tc>
          <w:tcPr/>
          <w:p>
            <w:pPr>
              <w:pStyle w:val="Compact"/>
              <w:jc w:val="left"/>
            </w:pPr>
            <w:r>
              <w:t xml:space="preserve">21 Personen mit Parkinson, Infusion gegen Placebo</w:t>
            </w:r>
          </w:p>
        </w:tc>
        <w:tc>
          <w:tcPr/>
          <w:p>
            <w:pPr>
              <w:pStyle w:val="Compact"/>
              <w:jc w:val="left"/>
            </w:pPr>
            <w:r>
              <w:t xml:space="preserve">4 Wochen</w:t>
            </w:r>
          </w:p>
        </w:tc>
        <w:tc>
          <w:tcPr/>
          <w:p>
            <w:pPr>
              <w:pStyle w:val="Compact"/>
              <w:jc w:val="left"/>
            </w:pPr>
            <w:r>
              <w:t xml:space="preserve">kein signifikanter Unterschied in der Parkinson-Skala</w:t>
            </w:r>
          </w:p>
        </w:tc>
      </w:tr>
      <w:tr>
        <w:tc>
          <w:tcPr/>
          <w:p>
            <w:pPr>
              <w:pStyle w:val="Compact"/>
              <w:jc w:val="left"/>
            </w:pPr>
            <w:r>
              <w:t xml:space="preserve">Mischley 2017, PMID 28436395</w:t>
            </w:r>
          </w:p>
        </w:tc>
        <w:tc>
          <w:tcPr/>
          <w:p>
            <w:pPr>
              <w:pStyle w:val="Compact"/>
              <w:jc w:val="left"/>
            </w:pPr>
            <w:r>
              <w:t xml:space="preserve">45 Personen mit Parkinson, Nasenspray in zwei Dosen gegen Placebo</w:t>
            </w:r>
          </w:p>
        </w:tc>
        <w:tc>
          <w:tcPr/>
          <w:p>
            <w:pPr>
              <w:pStyle w:val="Compact"/>
              <w:jc w:val="left"/>
            </w:pPr>
            <w:r>
              <w:t xml:space="preserve">3 Monate</w:t>
            </w:r>
          </w:p>
        </w:tc>
        <w:tc>
          <w:tcPr/>
          <w:p>
            <w:pPr>
              <w:pStyle w:val="Compact"/>
              <w:jc w:val="left"/>
            </w:pPr>
            <w:r>
              <w:t xml:space="preserve">alle Gruppen besserten sich, Glutathion nicht besser als Placebo</w:t>
            </w:r>
          </w:p>
        </w:tc>
      </w:tr>
      <w:tr>
        <w:tc>
          <w:tcPr/>
          <w:p>
            <w:pPr>
              <w:pStyle w:val="Compact"/>
              <w:jc w:val="left"/>
            </w:pPr>
            <w:r>
              <w:t xml:space="preserve">Bozic 2020, PMID 32960827</w:t>
            </w:r>
          </w:p>
        </w:tc>
        <w:tc>
          <w:tcPr/>
          <w:p>
            <w:pPr>
              <w:pStyle w:val="Compact"/>
              <w:jc w:val="left"/>
            </w:pPr>
            <w:r>
              <w:t xml:space="preserve">58 Kinder mit Mukoviszidose, Kapseln gegen Placebo</w:t>
            </w:r>
          </w:p>
        </w:tc>
        <w:tc>
          <w:tcPr/>
          <w:p>
            <w:pPr>
              <w:pStyle w:val="Compact"/>
              <w:jc w:val="left"/>
            </w:pPr>
            <w:r>
              <w:t xml:space="preserve">24 Wochen</w:t>
            </w:r>
          </w:p>
        </w:tc>
        <w:tc>
          <w:tcPr/>
          <w:p>
            <w:pPr>
              <w:pStyle w:val="Compact"/>
              <w:jc w:val="left"/>
            </w:pPr>
            <w:r>
              <w:t xml:space="preserve">kein Effekt auf Wachstum und Entzündungsmarker</w:t>
            </w:r>
          </w:p>
        </w:tc>
      </w:tr>
      <w:tr>
        <w:tc>
          <w:tcPr/>
          <w:p>
            <w:pPr>
              <w:pStyle w:val="Compact"/>
              <w:jc w:val="left"/>
            </w:pPr>
            <w:r>
              <w:t xml:space="preserve">Søndergård 2021, PMID 33740389</w:t>
            </w:r>
          </w:p>
        </w:tc>
        <w:tc>
          <w:tcPr/>
          <w:p>
            <w:pPr>
              <w:pStyle w:val="Compact"/>
              <w:jc w:val="left"/>
            </w:pPr>
            <w:r>
              <w:t xml:space="preserve">20 übergewichtige Männer mit und ohne Typ-2-Diabetes, gegen Placebo</w:t>
            </w:r>
          </w:p>
        </w:tc>
        <w:tc>
          <w:tcPr/>
          <w:p>
            <w:pPr>
              <w:pStyle w:val="Compact"/>
              <w:jc w:val="left"/>
            </w:pPr>
            <w:r>
              <w:t xml:space="preserve">3 Wochen</w:t>
            </w:r>
          </w:p>
        </w:tc>
        <w:tc>
          <w:tcPr/>
          <w:p>
            <w:pPr>
              <w:pStyle w:val="Compact"/>
              <w:jc w:val="left"/>
            </w:pPr>
            <w:r>
              <w:t xml:space="preserve">Insulinempfindlichkeit verbessert; Oxidationsmarker unverändert</w:t>
            </w:r>
          </w:p>
        </w:tc>
      </w:tr>
      <w:tr>
        <w:tc>
          <w:tcPr/>
          <w:p>
            <w:pPr>
              <w:pStyle w:val="Compact"/>
              <w:jc w:val="left"/>
            </w:pPr>
            <w:r>
              <w:t xml:space="preserve">Honda 2017, PMID 28789631</w:t>
            </w:r>
          </w:p>
        </w:tc>
        <w:tc>
          <w:tcPr/>
          <w:p>
            <w:pPr>
              <w:pStyle w:val="Compact"/>
              <w:jc w:val="left"/>
            </w:pPr>
            <w:r>
              <w:t xml:space="preserve">34 Personen mit Fettleber, offen, ohne Kontrollgruppe</w:t>
            </w:r>
          </w:p>
        </w:tc>
        <w:tc>
          <w:tcPr/>
          <w:p>
            <w:pPr>
              <w:pStyle w:val="Compact"/>
              <w:jc w:val="left"/>
            </w:pPr>
            <w:r>
              <w:t xml:space="preserve">4 Monate</w:t>
            </w:r>
          </w:p>
        </w:tc>
        <w:tc>
          <w:tcPr/>
          <w:p>
            <w:pPr>
              <w:pStyle w:val="Compact"/>
              <w:jc w:val="left"/>
            </w:pPr>
            <w:r>
              <w:t xml:space="preserve">Leberwert ALT gesunken</w:t>
            </w:r>
          </w:p>
        </w:tc>
      </w:tr>
      <w:tr>
        <w:tc>
          <w:tcPr/>
          <w:p>
            <w:pPr>
              <w:pStyle w:val="Compact"/>
              <w:jc w:val="left"/>
            </w:pPr>
            <w:r>
              <w:t xml:space="preserve">Arrivi 2023, PMID 36083043</w:t>
            </w:r>
          </w:p>
        </w:tc>
        <w:tc>
          <w:tcPr/>
          <w:p>
            <w:pPr>
              <w:pStyle w:val="Compact"/>
              <w:jc w:val="left"/>
            </w:pPr>
            <w:r>
              <w:t xml:space="preserve">100 Personen mit Herzinfarkt, Infusion gegen Placebo (Nachauswertung)</w:t>
            </w:r>
          </w:p>
        </w:tc>
        <w:tc>
          <w:tcPr/>
          <w:p>
            <w:pPr>
              <w:pStyle w:val="Compact"/>
              <w:jc w:val="left"/>
            </w:pPr>
            <w:r>
              <w:t xml:space="preserve">Krankenhausaufenthalt</w:t>
            </w:r>
          </w:p>
        </w:tc>
        <w:tc>
          <w:tcPr/>
          <w:p>
            <w:pPr>
              <w:pStyle w:val="Compact"/>
              <w:jc w:val="left"/>
            </w:pPr>
            <w:r>
              <w:t xml:space="preserve">Klinikaufenthalt 8,6 statt 10,8 Tage</w:t>
            </w:r>
          </w:p>
        </w:tc>
      </w:tr>
    </w:tbl>
    <w:p>
      <w:pPr>
        <w:pStyle w:val="BodyText"/>
      </w:pPr>
      <w:r>
        <w:t xml:space="preserve">Das Bild ist ernüchternd: Die größte und methodisch stärkste Studie – eine Phase-3-Studie mit 185 Krebspatientinnen und -patienten – fand keinen Schutz vor chemotherapiebedingten Nervenschäden; bei einzelnen Nebenzielen schnitt Placebo sogar besser ab (Leal 2014, PMID 24619793). Bei Parkinson war Glutathion weder als Infusion (Hauser 2009, PMID 19230029) noch als Nasenspray besser als Placebo; in der Nasenspray-Studie entwickelte eine Person unter der höheren Dosis eine Herzmuskelerkrankung (Mischley 2017, PMID 28436395). Bei Kindern mit Mukoviszidose blieb das Wachstum unbeeinflusst (Bozic 2020, PMID 32960827).</w:t>
      </w:r>
    </w:p>
    <w:p>
      <w:pPr>
        <w:pStyle w:val="BodyText"/>
      </w:pPr>
      <w:r>
        <w:t xml:space="preserve">Positive Signale stammen aus kleinen Studien: Bei 20 übergewichtigen Männern verbesserte sich nach drei Wochen die Insulinempfindlichkeit (Søndergård 2021, PMID 33740389); bei Fettleber sanken in einer unkontrollierten Studie die Leberwerte (Honda 2017, PMID 28789631); nach Herzinfarkt war die Klinikverweildauer in einer Nachauswertung kürzer (Arrivi 2023, PMID 36083043). Keiner dieser Befunde ist bisher in einer größeren Studie bestätigt.</w:t>
      </w:r>
    </w:p>
    <w:bookmarkEnd w:id="729"/>
    <w:bookmarkStart w:id="730" w:name="hautaufhellung-oral-örtlich-intravenös"/>
    <w:p>
      <w:pPr>
        <w:pStyle w:val="Heading4"/>
      </w:pPr>
      <w:r>
        <w:t xml:space="preserve">Hautaufhellung: oral, örtlich, intravenös</w:t>
      </w:r>
    </w:p>
    <w:p>
      <w:pPr>
        <w:pStyle w:val="FirstParagraph"/>
      </w:pPr>
      <w:r>
        <w:t xml:space="preserve">In Teilen Asiens, Afrikas und zunehmend auch in Europa wird Glutathion vor allem als „Hautaufheller“ vermarktet – in Kapseln, Cremes und in Form von Infusionen in Schönheitskliniken.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Arjinpathana 2012, PMID 20524875</w:t>
            </w:r>
          </w:p>
        </w:tc>
        <w:tc>
          <w:tcPr/>
          <w:p>
            <w:pPr>
              <w:pStyle w:val="Compact"/>
              <w:jc w:val="left"/>
            </w:pPr>
            <w:r>
              <w:t xml:space="preserve">60 Medizinstudierende in Thailand, Kapseln gegen Placebo</w:t>
            </w:r>
          </w:p>
        </w:tc>
        <w:tc>
          <w:tcPr/>
          <w:p>
            <w:pPr>
              <w:pStyle w:val="Compact"/>
              <w:jc w:val="left"/>
            </w:pPr>
            <w:r>
              <w:t xml:space="preserve">4 Wochen</w:t>
            </w:r>
          </w:p>
        </w:tc>
        <w:tc>
          <w:tcPr/>
          <w:p>
            <w:pPr>
              <w:pStyle w:val="Compact"/>
              <w:jc w:val="left"/>
            </w:pPr>
            <w:r>
              <w:t xml:space="preserve">Melanin-Index an 2 von 6 Messstellen stärker gesenkt</w:t>
            </w:r>
          </w:p>
        </w:tc>
      </w:tr>
      <w:tr>
        <w:tc>
          <w:tcPr/>
          <w:p>
            <w:pPr>
              <w:pStyle w:val="Compact"/>
              <w:jc w:val="left"/>
            </w:pPr>
            <w:r>
              <w:t xml:space="preserve">Weschawalit 2017, PMID 28490897</w:t>
            </w:r>
          </w:p>
        </w:tc>
        <w:tc>
          <w:tcPr/>
          <w:p>
            <w:pPr>
              <w:pStyle w:val="Compact"/>
              <w:jc w:val="left"/>
            </w:pPr>
            <w:r>
              <w:t xml:space="preserve">gesunde Frauen, reduziertes oder oxidiertes Glutathion gegen Placebo</w:t>
            </w:r>
          </w:p>
        </w:tc>
        <w:tc>
          <w:tcPr/>
          <w:p>
            <w:pPr>
              <w:pStyle w:val="Compact"/>
              <w:jc w:val="left"/>
            </w:pPr>
            <w:r>
              <w:t xml:space="preserve">12 Wochen</w:t>
            </w:r>
          </w:p>
        </w:tc>
        <w:tc>
          <w:tcPr/>
          <w:p>
            <w:pPr>
              <w:pStyle w:val="Compact"/>
              <w:jc w:val="left"/>
            </w:pPr>
            <w:r>
              <w:t xml:space="preserve">Melanin-Index tendenziell niedriger; teils weniger Falten</w:t>
            </w:r>
          </w:p>
        </w:tc>
      </w:tr>
      <w:tr>
        <w:tc>
          <w:tcPr/>
          <w:p>
            <w:pPr>
              <w:pStyle w:val="Compact"/>
              <w:jc w:val="left"/>
            </w:pPr>
            <w:r>
              <w:t xml:space="preserve">Handog 2016, PMID 26148180</w:t>
            </w:r>
          </w:p>
        </w:tc>
        <w:tc>
          <w:tcPr/>
          <w:p>
            <w:pPr>
              <w:pStyle w:val="Compact"/>
              <w:jc w:val="left"/>
            </w:pPr>
            <w:r>
              <w:t xml:space="preserve">30 Frauen auf den Philippinen, Lutschtablette, ohne Kontrollgruppe</w:t>
            </w:r>
          </w:p>
        </w:tc>
        <w:tc>
          <w:tcPr/>
          <w:p>
            <w:pPr>
              <w:pStyle w:val="Compact"/>
              <w:jc w:val="left"/>
            </w:pPr>
            <w:r>
              <w:t xml:space="preserve">8 Wochen</w:t>
            </w:r>
          </w:p>
        </w:tc>
        <w:tc>
          <w:tcPr/>
          <w:p>
            <w:pPr>
              <w:pStyle w:val="Compact"/>
              <w:jc w:val="left"/>
            </w:pPr>
            <w:r>
              <w:t xml:space="preserve">Melanin-Index gesunken</w:t>
            </w:r>
          </w:p>
        </w:tc>
      </w:tr>
      <w:tr>
        <w:tc>
          <w:tcPr/>
          <w:p>
            <w:pPr>
              <w:pStyle w:val="Compact"/>
              <w:jc w:val="left"/>
            </w:pPr>
            <w:r>
              <w:t xml:space="preserve">Wahab 2021, PMID 33871071</w:t>
            </w:r>
          </w:p>
        </w:tc>
        <w:tc>
          <w:tcPr/>
          <w:p>
            <w:pPr>
              <w:pStyle w:val="Compact"/>
              <w:jc w:val="left"/>
            </w:pPr>
            <w:r>
              <w:t xml:space="preserve">46 Personen, Kombination Creme und Kapsel gegen Placebo</w:t>
            </w:r>
          </w:p>
        </w:tc>
        <w:tc>
          <w:tcPr/>
          <w:p>
            <w:pPr>
              <w:pStyle w:val="Compact"/>
              <w:jc w:val="left"/>
            </w:pPr>
            <w:r>
              <w:t xml:space="preserve">8 Wochen</w:t>
            </w:r>
          </w:p>
        </w:tc>
        <w:tc>
          <w:tcPr/>
          <w:p>
            <w:pPr>
              <w:pStyle w:val="Compact"/>
              <w:jc w:val="left"/>
            </w:pPr>
            <w:r>
              <w:t xml:space="preserve">Kombination wirksamer als Einzelanwendung</w:t>
            </w:r>
          </w:p>
        </w:tc>
      </w:tr>
    </w:tbl>
    <w:p>
      <w:pPr>
        <w:pStyle w:val="BodyText"/>
      </w:pPr>
      <w:r>
        <w:rPr>
          <w:bCs/>
          <w:b/>
        </w:rPr>
        <w:t xml:space="preserve">Oral und örtlich:</w:t>
      </w:r>
      <w:r>
        <w:t xml:space="preserve"> </w:t>
      </w:r>
      <w:r>
        <w:t xml:space="preserve">Mehrere kleine randomisierte Studien zeigen eine leichte Aufhellung, vor allem an sonnenexponierten Stellen. In der ersten Studie war der Effekt nur an zwei von sechs Messstellen statistisch signifikant (Arjinpathana 2012, PMID 20524875). Eine systematische Übersicht kam 2019 zu dem Schluss, die Belege seien wegen Studienqualität und widersprüchlicher Befunde „noch nicht eindeutig“ (Dilokthornsakul 2019, PMID 30895708). Eine neuere Übersicht bewertet Cremes und Kapseln als mäßig wirksam, mit Effekten, die nach dem Absetzen nicht anhalten (Sarkar 2025, PMID 39444151).</w:t>
      </w:r>
    </w:p>
    <w:p>
      <w:pPr>
        <w:pStyle w:val="BodyText"/>
      </w:pPr>
      <w:r>
        <w:rPr>
          <w:bCs/>
          <w:b/>
        </w:rPr>
        <w:t xml:space="preserve">Intravenös:</w:t>
      </w:r>
      <w:r>
        <w:t xml:space="preserve"> </w:t>
      </w:r>
      <w:r>
        <w:t xml:space="preserve">Für Infusionen zur Hautaufhellung gibt es laut derselben Übersicht nur eine placebokontrollierte Studie, die keinen signifikanten Unterschied fand (37,5 % gegenüber 18,7 %, p = 0,054). Die Autorinnen und Autoren halten intravenöses Glutathion zur Hautaufhellung wegen fehlender Wirksamkeit und Nebenwirkungen für</w:t>
      </w:r>
      <w:r>
        <w:t xml:space="preserve"> </w:t>
      </w:r>
      <w:r>
        <w:rPr>
          <w:bCs/>
          <w:b/>
        </w:rPr>
        <w:t xml:space="preserve">kontraindiziert</w:t>
      </w:r>
      <w:r>
        <w:t xml:space="preserve">, also nicht vertretbar (Sarkar 2025, PMID 39444151). Eine südafrikanische Übersicht fand keine einzige Studie zur Sicherheit wiederholter Infusionen bei irgendeiner Anwendung (Davids 2016, PMID 27499402). Im British Medical Journal wurde die Praxis als „unethisches Bleichen“ kritisiert (Dadzie 2016, PMID 27581922).</w:t>
      </w:r>
    </w:p>
    <w:bookmarkEnd w:id="730"/>
    <w:bookmarkEnd w:id="731"/>
    <w:bookmarkStart w:id="732" w:name="tier--und-laborstudien-45"/>
    <w:p>
      <w:pPr>
        <w:pStyle w:val="Heading3"/>
      </w:pPr>
      <w:r>
        <w:t xml:space="preserve">Tier- und Laborstudien</w:t>
      </w:r>
    </w:p>
    <w:p>
      <w:pPr>
        <w:pStyle w:val="FirstParagraph"/>
      </w:pPr>
      <w:r>
        <w:t xml:space="preserve">Die Laborforschung zu Glutathion ist enorm umfangreich und betrifft fast jeden Bereich der Zellbiologie. Für dieses Buch relevant ist vor allem, dass in Zell- und Tierversuchen Glutathion bzw. seine Vorstufen vor oxidativen Schäden, Medikamentengiftigkeit und Entzündungsreaktionen schützen konnten – Effekte, die sich in den klinischen Studien am Menschen nur teilweise und meist schwach wiederfinden.</w:t>
      </w:r>
    </w:p>
    <w:bookmarkEnd w:id="732"/>
    <w:bookmarkStart w:id="733" w:name="risiken-und-nebenwirkungen-45"/>
    <w:p>
      <w:pPr>
        <w:pStyle w:val="Heading3"/>
      </w:pPr>
      <w:r>
        <w:t xml:space="preserve">Risiken und Nebenwirkungen</w:t>
      </w:r>
    </w:p>
    <w:p>
      <w:pPr>
        <w:pStyle w:val="FirstParagraph"/>
      </w:pPr>
      <w:r>
        <w:rPr>
          <w:bCs/>
          <w:b/>
        </w:rPr>
        <w:t xml:space="preserve">Orale Einnahme:</w:t>
      </w:r>
      <w:r>
        <w:t xml:space="preserve"> </w:t>
      </w:r>
      <w:r>
        <w:t xml:space="preserve">In den Studien gut verträglich; berichtet werden vereinzelt Magen-Darm-Beschwerden. Langzeitdaten über mehr als sechs Monate fehlen weitgehend.</w:t>
      </w:r>
    </w:p>
    <w:p>
      <w:pPr>
        <w:pStyle w:val="BodyText"/>
      </w:pPr>
      <w:r>
        <w:rPr>
          <w:bCs/>
          <w:b/>
        </w:rPr>
        <w:t xml:space="preserve">Nasenspray:</w:t>
      </w:r>
      <w:r>
        <w:t xml:space="preserve"> </w:t>
      </w:r>
      <w:r>
        <w:t xml:space="preserve">In einer Parkinson-Studie trat bei einer Person unter der höheren Dosis eine Herzmuskelerkrankung auf; ein Zusammenhang ist nicht belegt (Mischley 2017, PMID 28436395).</w:t>
      </w:r>
    </w:p>
    <w:p>
      <w:pPr>
        <w:pStyle w:val="BodyText"/>
      </w:pPr>
      <w:r>
        <w:rPr>
          <w:bCs/>
          <w:b/>
        </w:rPr>
        <w:t xml:space="preserve">Infusionen – die eigentlichen Risiken:</w:t>
      </w:r>
    </w:p>
    <w:p>
      <w:pPr>
        <w:numPr>
          <w:ilvl w:val="0"/>
          <w:numId w:val="1247"/>
        </w:numPr>
        <w:pStyle w:val="Compact"/>
      </w:pPr>
      <w:r>
        <w:rPr>
          <w:bCs/>
          <w:b/>
        </w:rPr>
        <w:t xml:space="preserve">Verunreinigte Rezepturen:</w:t>
      </w:r>
      <w:r>
        <w:t xml:space="preserve"> </w:t>
      </w:r>
      <w:r>
        <w:t xml:space="preserve">Die US-Arzneimittelbehörde FDA warnte 2019 Apotheken davor, Glutathion eines bestimmten Großhändlers für Infusionen zu verwenden, nachdem Patientinnen und Patienten nach Infusionen Übelkeit, Erbrechen und Atemnot entwickelt hatten und erhöhte Endotoxin-Werte (Bestandteile von Bakterien, die Fieber und Schock auslösen können) gemessen wurden. Im August 2026 forderte die FDA Apotheken erneut auf, kein Glutathion in Nahrungsergänzungsmittel-Qualität für Injektionen zu verwenden; nach Infusionen aus einer bestimmten Charge war es zu Fieber, Schüttelfrost, schockähnlichen Zuständen und Krankenhausaufnahmen gekommen.</w:t>
      </w:r>
    </w:p>
    <w:p>
      <w:pPr>
        <w:numPr>
          <w:ilvl w:val="0"/>
          <w:numId w:val="1247"/>
        </w:numPr>
        <w:pStyle w:val="Compact"/>
      </w:pPr>
      <w:r>
        <w:rPr>
          <w:bCs/>
          <w:b/>
        </w:rPr>
        <w:t xml:space="preserve">Behördenwarnungen zur Hautaufhellung:</w:t>
      </w:r>
      <w:r>
        <w:t xml:space="preserve"> </w:t>
      </w:r>
      <w:r>
        <w:t xml:space="preserve">Die philippinische Arzneimittelbehörde warnte 2011 und 2019 vor Glutathion-Injektionen zur Hautaufhellung; sie nannte Nebenwirkungen von Hautausschlägen bis zu den lebensbedrohlichen Hautreaktionen Stevens-Johnson-Syndrom und toxische epidermale Nekrolyse sowie Risiken durch unsachgemäße Injektionen wie Blutvergiftung und Infektionsübertragung. Auch die US-FDA warnte Verbraucherinnen und Verbraucher, dass keine Injektionspräparate zur Hautaufhellung zugelassen sind und solche Produkte unbekannte, schädliche Bestandteile enthalten können.</w:t>
      </w:r>
    </w:p>
    <w:p>
      <w:pPr>
        <w:numPr>
          <w:ilvl w:val="0"/>
          <w:numId w:val="1247"/>
        </w:numPr>
        <w:pStyle w:val="Compact"/>
      </w:pPr>
      <w:r>
        <w:rPr>
          <w:bCs/>
          <w:b/>
        </w:rPr>
        <w:t xml:space="preserve">Hautkrebs (theoretisch):</w:t>
      </w:r>
      <w:r>
        <w:t xml:space="preserve"> </w:t>
      </w:r>
      <w:r>
        <w:t xml:space="preserve">Die Verschiebung von dunklem zu hellem Melanin könnte den natürlichen Sonnenschutz der Haut verringern (Davids 2016, PMID 27499402).</w:t>
      </w:r>
    </w:p>
    <w:p>
      <w:pPr>
        <w:pStyle w:val="FirstParagraph"/>
      </w:pPr>
      <w:r>
        <w:rPr>
          <w:bCs/>
          <w:b/>
        </w:rPr>
        <w:t xml:space="preserve">Wechselwirkungen:</w:t>
      </w:r>
      <w:r>
        <w:t xml:space="preserve"> </w:t>
      </w:r>
      <w:r>
        <w:t xml:space="preserve">In einer Krebsstudie wurde Glutathion vor der Chemotherapie gegeben; die Zeit bis zum Fortschreiten der Erkrankung unterschied sich dort nicht von Placebo (Leal 2014, PMID 24619793). Grundsätzlich wird diskutiert, ob Antioxidantien die Wirkung mancher Krebstherapien abschwächen könnten. Wer in Krebsbehandlung ist, sollte Glutathion nur nach Rücksprache mit dem Behandlungsteam einnehmen.</w:t>
      </w:r>
    </w:p>
    <w:bookmarkEnd w:id="733"/>
    <w:bookmarkStart w:id="734" w:name="rechtslage-45"/>
    <w:p>
      <w:pPr>
        <w:pStyle w:val="Heading3"/>
      </w:pPr>
      <w:r>
        <w:t xml:space="preserve">Rechtslage</w:t>
      </w:r>
    </w:p>
    <w:p>
      <w:pPr>
        <w:numPr>
          <w:ilvl w:val="0"/>
          <w:numId w:val="1248"/>
        </w:numPr>
        <w:pStyle w:val="Compact"/>
      </w:pPr>
      <w:r>
        <w:rPr>
          <w:bCs/>
          <w:b/>
        </w:rPr>
        <w:t xml:space="preserve">EU / Österreich / Deutschland:</w:t>
      </w:r>
      <w:r>
        <w:t xml:space="preserve"> </w:t>
      </w:r>
      <w:r>
        <w:t xml:space="preserve">Glutathion wird als Nahrungsergänzungsmittel in Kapseln und Pulvern verkauft; Gesundheitsversprechen in der Werbung sind ohne zugelassene Health Claims nicht erlaubt. Infusionen und Injektionen sind Arzneimittel; Präparate zur Hautaufhellung per Infusion sind nicht zugelassen. In einzelnen Ländern (nach unserem Kenntnisstand etwa Italien) gibt es zugelassene Glutathion-Injektionen für spezielle medizinische Anwendungen; Details bitte der jeweiligen Fachinformation entnehmen (Stand 2026, bitte aktuell prüfen).</w:t>
      </w:r>
    </w:p>
    <w:p>
      <w:pPr>
        <w:numPr>
          <w:ilvl w:val="0"/>
          <w:numId w:val="1248"/>
        </w:numPr>
        <w:pStyle w:val="Compact"/>
      </w:pPr>
      <w:r>
        <w:rPr>
          <w:bCs/>
          <w:b/>
        </w:rPr>
        <w:t xml:space="preserve">USA:</w:t>
      </w:r>
      <w:r>
        <w:t xml:space="preserve"> </w:t>
      </w:r>
      <w:r>
        <w:t xml:space="preserve">kein zugelassenes Glutathion-Arzneimittel; Nahrungsergänzungsmittel sind erlaubt, Infusionen werden als Apotheken-Rezeptur hergestellt und unterliegen den FDA-Vorgaben für sterile Zubereitungen.</w:t>
      </w:r>
    </w:p>
    <w:p>
      <w:pPr>
        <w:numPr>
          <w:ilvl w:val="0"/>
          <w:numId w:val="1248"/>
        </w:numPr>
        <w:pStyle w:val="Compact"/>
      </w:pPr>
      <w:r>
        <w:rPr>
          <w:bCs/>
          <w:b/>
        </w:rPr>
        <w:t xml:space="preserve">Sport:</w:t>
      </w:r>
      <w:r>
        <w:t xml:space="preserve"> </w:t>
      </w:r>
      <w:r>
        <w:t xml:space="preserve">Glutathion ist nicht verboten; Infusionen über 100 ml in zwölf Stunden fallen außerhalb von Klinikbehandlungen unter WADA-Methode M2 (Stand 2026, bitte aktuell prüfen).</w:t>
      </w:r>
    </w:p>
    <w:bookmarkEnd w:id="734"/>
    <w:bookmarkStart w:id="735" w:name="laufende-studien-und-ausblick-45"/>
    <w:p>
      <w:pPr>
        <w:pStyle w:val="Heading3"/>
      </w:pPr>
      <w:r>
        <w:t xml:space="preserve">Laufende Studien und Ausblick</w:t>
      </w:r>
    </w:p>
    <w:p>
      <w:pPr>
        <w:pStyle w:val="FirstParagraph"/>
      </w:pPr>
      <w:r>
        <w:rPr>
          <w:bCs/>
          <w:b/>
        </w:rPr>
        <w:t xml:space="preserve">Gesichert (registrierte Studien, Stand Oktober 2026):</w:t>
      </w:r>
    </w:p>
    <w:p>
      <w:pPr>
        <w:numPr>
          <w:ilvl w:val="0"/>
          <w:numId w:val="1249"/>
        </w:numPr>
        <w:pStyle w:val="Compact"/>
      </w:pPr>
      <w:r>
        <w:t xml:space="preserve">Eine Phase-1-Studie in China prüft Glutathion zusätzlich zu Immuntherapie und Chemotherapie bei fortgeschrittenem Lungenkrebs (NCT06896422, 80 geplante Teilnehmende).</w:t>
      </w:r>
    </w:p>
    <w:p>
      <w:pPr>
        <w:numPr>
          <w:ilvl w:val="0"/>
          <w:numId w:val="1249"/>
        </w:numPr>
        <w:pStyle w:val="Compact"/>
      </w:pPr>
      <w:r>
        <w:t xml:space="preserve">Eine Studie zu Glutathion-unterstütztem Microneedling bei Melasma (Pigmentflecken) ist registriert (NCT07448415).</w:t>
      </w:r>
    </w:p>
    <w:p>
      <w:pPr>
        <w:numPr>
          <w:ilvl w:val="0"/>
          <w:numId w:val="1249"/>
        </w:numPr>
        <w:pStyle w:val="Compact"/>
      </w:pPr>
      <w:r>
        <w:t xml:space="preserve">Mehrere kleine Studien untersuchen neue Darreichungsformen (liposomal, mizellar) und Sporterholung, häufig von Herstellern finanziert.</w:t>
      </w:r>
    </w:p>
    <w:p>
      <w:pPr>
        <w:pStyle w:val="FirstParagraph"/>
      </w:pPr>
      <w:r>
        <w:rPr>
          <w:bCs/>
          <w:b/>
        </w:rPr>
        <w:t xml:space="preserve">Einschätzung:</w:t>
      </w:r>
      <w:r>
        <w:t xml:space="preserve"> </w:t>
      </w:r>
      <w:r>
        <w:t xml:space="preserve">Die wichtigste offene Frage ist nicht mehr, ob Glutathion aufgenommen wird, sondern ob höhere Spiegel klinisch etwas bringen. Die bisherigen großen Studien sprechen eher dagegen. Bei Infusionen zur Hautaufhellung oder als „Wellness“-Drip übersteigen die Risiken einen nicht belegten Nutzen.</w:t>
      </w:r>
    </w:p>
    <w:bookmarkEnd w:id="735"/>
    <w:bookmarkStart w:id="736" w:name="fazit-45"/>
    <w:p>
      <w:pPr>
        <w:pStyle w:val="Heading3"/>
      </w:pPr>
      <w:r>
        <w:t xml:space="preserve">Fazit</w:t>
      </w:r>
    </w:p>
    <w:p>
      <w:pPr>
        <w:pStyle w:val="FirstParagraph"/>
      </w:pPr>
      <w:r>
        <w:t xml:space="preserve">Glutathion ist das wichtigste körpereigene Schutzpeptid gegen Oxidation; als Kapsel eingenommen kann es die Blutspiegel bei längerer Einnahme messbar erhöhen. Klinisch zeigten die größeren Studien jedoch keinen Nutzen – weder gegen chemotherapiebedingte Nervenschäden noch bei Parkinson oder Mukoviszidose; positive Hinweise stammen aus kleinen Studien. Kapseln und Cremes hellten die Haut in kleinen Studien leicht und vorübergehend auf. Infusionen zur Hautaufhellung sind nicht belegt wirksam, nicht zugelassen und wurden von mehreren Behörden wegen schwerer Nebenwirkungen und verunreinigter Präparate ausdrücklich gewarnt.</w:t>
      </w:r>
    </w:p>
    <w:bookmarkEnd w:id="736"/>
    <w:bookmarkEnd w:id="737"/>
    <w:bookmarkEnd w:id="738"/>
    <w:bookmarkStart w:id="853" w:name="X1785d8ee771a6b6b7859359fbef806a0d6deb64"/>
    <w:p>
      <w:pPr>
        <w:pStyle w:val="Heading1"/>
      </w:pPr>
      <w:r>
        <w:t xml:space="preserve">Teil II · E – Hormone, Sexualität und Pigmentierung</w:t>
      </w:r>
    </w:p>
    <w:p>
      <w:pPr>
        <w:pStyle w:val="FirstParagraph"/>
      </w:pPr>
      <w:r>
        <w:t xml:space="preserve">Die sechs Peptide dieser Gruppe wirken auf ganz unterschiedliche Dinge: Hautfarbe, sexuelles Verlangen, Fruchtbarkeit und soziales Verhalten. Gemeinsam ist ihnen, dass sie körpereigene Signalwege des Gehirns und der Hormondrüsen nachahmen, die eng miteinander verflochten sind. Drei von ihnen gehören zu einer einzigen Familie, dem Melanocortin-System; drei weitere steuern die Hormonachse der Fortpflanzung oder sind mit ihr verbunden.</w:t>
      </w:r>
    </w:p>
    <w:bookmarkStart w:id="739" w:name="das-melanocortin-system"/>
    <w:p>
      <w:pPr>
        <w:pStyle w:val="Heading3"/>
      </w:pPr>
      <w:r>
        <w:t xml:space="preserve">Das Melanocortin-System</w:t>
      </w:r>
    </w:p>
    <w:p>
      <w:pPr>
        <w:pStyle w:val="FirstParagraph"/>
      </w:pPr>
      <w:r>
        <w:t xml:space="preserve">Am Anfang steht ein großes Vorläufereiweiß namens Proopiomelanocortin (POMC). Aus ihm schneiden Enzyme mehrere kleinere Peptide heraus, darunter das Stresshormon ACTH und die melanozytenstimulierenden Hormone (MSH), vor allem Alpha-MSH. Diese Botenstoffe heißen zusammen Melanocortine. Sie wirken über fünf Rezeptoren, MC1R bis MC5R, die in verschiedenen Geweben sitzen:</w:t>
      </w:r>
    </w:p>
    <w:p>
      <w:pPr>
        <w:numPr>
          <w:ilvl w:val="0"/>
          <w:numId w:val="1250"/>
        </w:numPr>
        <w:pStyle w:val="Compact"/>
      </w:pPr>
      <w:r>
        <w:rPr>
          <w:bCs/>
          <w:b/>
        </w:rPr>
        <w:t xml:space="preserve">MC1R</w:t>
      </w:r>
      <w:r>
        <w:t xml:space="preserve"> </w:t>
      </w:r>
      <w:r>
        <w:t xml:space="preserve">auf den Pigmentzellen der Haut steuert, ob diese dunkles, schützendes Eumelanin bilden. Menschen mit roten Haaren und heller Haut tragen oft weniger wirksame Varianten dieses Rezeptors.</w:t>
      </w:r>
    </w:p>
    <w:p>
      <w:pPr>
        <w:numPr>
          <w:ilvl w:val="0"/>
          <w:numId w:val="1250"/>
        </w:numPr>
        <w:pStyle w:val="Compact"/>
      </w:pPr>
      <w:r>
        <w:rPr>
          <w:bCs/>
          <w:b/>
        </w:rPr>
        <w:t xml:space="preserve">MC2R</w:t>
      </w:r>
      <w:r>
        <w:t xml:space="preserve"> </w:t>
      </w:r>
      <w:r>
        <w:t xml:space="preserve">in der Nebenniere ist der Rezeptor für ACTH und regelt die Cortisolbildung.</w:t>
      </w:r>
    </w:p>
    <w:p>
      <w:pPr>
        <w:numPr>
          <w:ilvl w:val="0"/>
          <w:numId w:val="1250"/>
        </w:numPr>
        <w:pStyle w:val="Compact"/>
      </w:pPr>
      <w:r>
        <w:rPr>
          <w:bCs/>
          <w:b/>
        </w:rPr>
        <w:t xml:space="preserve">MC3R und MC4R</w:t>
      </w:r>
      <w:r>
        <w:t xml:space="preserve"> </w:t>
      </w:r>
      <w:r>
        <w:t xml:space="preserve">im Gehirn beeinflussen Appetit, Energieverbrauch und – wie sich zufällig zeigte – sexuelle Erregung. Defekte im MC4R sind die häufigste genetische Ursache schwerer Adipositas.</w:t>
      </w:r>
    </w:p>
    <w:p>
      <w:pPr>
        <w:numPr>
          <w:ilvl w:val="0"/>
          <w:numId w:val="1250"/>
        </w:numPr>
        <w:pStyle w:val="Compact"/>
      </w:pPr>
      <w:r>
        <w:rPr>
          <w:bCs/>
          <w:b/>
        </w:rPr>
        <w:t xml:space="preserve">MC5R</w:t>
      </w:r>
      <w:r>
        <w:t xml:space="preserve"> </w:t>
      </w:r>
      <w:r>
        <w:t xml:space="preserve">wirkt unter anderem auf Talg- und andere Drüsen.</w:t>
      </w:r>
    </w:p>
    <w:p>
      <w:pPr>
        <w:pStyle w:val="FirstParagraph"/>
      </w:pPr>
      <w:r>
        <w:t xml:space="preserve">Die Geschichte der drei Melanocortin-Peptide in diesem Teil beginnt an der Universität von Arizona. Dort entwickelten Forschende in den 1980er- und 1990er-Jahren zwei stabilisierte Abwandlungen von Alpha-MSH, um eine Bräunung ohne Sonne zu erzeugen: das lineare Melanotan I und das ringförmige Melanotan II (Hadley 2006, PMID 16412534). Bei Versuchen mit Melanotan II berichteten Männer über spontane Erektionen – die Entdeckung, dass Melanocortine im Gehirn die Sexualfunktion beeinflussen (Hadley 2005, PMID 15996790).</w:t>
      </w:r>
    </w:p>
    <w:p>
      <w:pPr>
        <w:pStyle w:val="BodyText"/>
      </w:pPr>
      <w:r>
        <w:t xml:space="preserve">Aus diesen Anfängen entstanden drei Wege:</w:t>
      </w:r>
    </w:p>
    <w:p>
      <w:pPr>
        <w:numPr>
          <w:ilvl w:val="0"/>
          <w:numId w:val="1251"/>
        </w:numPr>
        <w:pStyle w:val="Compact"/>
      </w:pPr>
      <w:r>
        <w:rPr>
          <w:bCs/>
          <w:b/>
        </w:rPr>
        <w:t xml:space="preserve">Melanotan I</w:t>
      </w:r>
      <w:r>
        <w:t xml:space="preserve"> </w:t>
      </w:r>
      <w:r>
        <w:t xml:space="preserve">wurde unter dem Namen</w:t>
      </w:r>
      <w:r>
        <w:t xml:space="preserve"> </w:t>
      </w:r>
      <w:r>
        <w:rPr>
          <w:bCs/>
          <w:b/>
        </w:rPr>
        <w:t xml:space="preserve">Afamelanotid</w:t>
      </w:r>
      <w:r>
        <w:t xml:space="preserve"> </w:t>
      </w:r>
      <w:r>
        <w:t xml:space="preserve">zum Implantat gegen eine seltene, schmerzhafte Lichtempfindlichkeit weiterentwickelt und ist in der EU und den USA zugelassen.</w:t>
      </w:r>
    </w:p>
    <w:p>
      <w:pPr>
        <w:numPr>
          <w:ilvl w:val="0"/>
          <w:numId w:val="1251"/>
        </w:numPr>
        <w:pStyle w:val="Compact"/>
      </w:pPr>
      <w:r>
        <w:rPr>
          <w:bCs/>
          <w:b/>
        </w:rPr>
        <w:t xml:space="preserve">Melanotan II</w:t>
      </w:r>
      <w:r>
        <w:t xml:space="preserve"> </w:t>
      </w:r>
      <w:r>
        <w:t xml:space="preserve">wurde nie zugelassen, ist aber als „Bräunungsspritze“ auf dem Graumarkt verbreitet.</w:t>
      </w:r>
    </w:p>
    <w:p>
      <w:pPr>
        <w:numPr>
          <w:ilvl w:val="0"/>
          <w:numId w:val="1251"/>
        </w:numPr>
        <w:pStyle w:val="Compact"/>
      </w:pPr>
      <w:r>
        <w:rPr>
          <w:bCs/>
          <w:b/>
        </w:rPr>
        <w:t xml:space="preserve">Bremelanotid</w:t>
      </w:r>
      <w:r>
        <w:t xml:space="preserve">, eine Abwandlung von Melanotan II, ist in den USA gegen geringes sexuelles Verlangen bei Frauen zugelassen.</w:t>
      </w:r>
    </w:p>
    <w:p>
      <w:pPr>
        <w:pStyle w:val="FirstParagraph"/>
      </w:pPr>
      <w:r>
        <w:t xml:space="preserve">Ein vierter Melanocortin-Wirkstoff, Setmelanotid, zielt gezielt auf MC4R und wird bei seltenen genetischen Formen der Adipositas eingesetzt; er wird in Teil II · A behandelt. Je selektiver ein Wirkstoff einen Rezeptor anspricht, desto gezielter wirkt er. Melanotan II spricht fast alle an und vereint deshalb Bräunung, Übelkeit, Appetitverlust und Erektionen in einem Molekül.</w:t>
      </w:r>
    </w:p>
    <w:bookmarkEnd w:id="739"/>
    <w:bookmarkStart w:id="740" w:name="die-hormonachse-der-fortpflanzung"/>
    <w:p>
      <w:pPr>
        <w:pStyle w:val="Heading3"/>
      </w:pPr>
      <w:r>
        <w:t xml:space="preserve">Die Hormonachse der Fortpflanzung</w:t>
      </w:r>
    </w:p>
    <w:p>
      <w:pPr>
        <w:pStyle w:val="FirstParagraph"/>
      </w:pPr>
      <w:r>
        <w:t xml:space="preserve">Die drei anderen Peptide dieses Teils setzen an der Achse an, die Pubertät, Zyklus und Fruchtbarkeit steuert.</w:t>
      </w:r>
      <w:r>
        <w:t xml:space="preserve"> </w:t>
      </w:r>
      <w:r>
        <w:rPr>
          <w:bCs/>
          <w:b/>
        </w:rPr>
        <w:t xml:space="preserve">Kisspeptin</w:t>
      </w:r>
      <w:r>
        <w:t xml:space="preserve"> </w:t>
      </w:r>
      <w:r>
        <w:t xml:space="preserve">schaltet im Hypothalamus die GnRH-Nervenzellen an.</w:t>
      </w:r>
      <w:r>
        <w:t xml:space="preserve"> </w:t>
      </w:r>
      <w:r>
        <w:rPr>
          <w:bCs/>
          <w:b/>
        </w:rPr>
        <w:t xml:space="preserve">Gonadorelin</w:t>
      </w:r>
      <w:r>
        <w:t xml:space="preserve"> </w:t>
      </w:r>
      <w:r>
        <w:t xml:space="preserve">ist die synthetische Form von GnRH selbst, das in Pulsen die Hirnanhangdrüse zur Ausschüttung von LH und FSH anregt. Beide zeigen ein gemeinsames Prinzip: Im richtigen Rhythmus gegeben, aktivieren sie die Achse; als Dauerreiz bremsen sie sie.</w:t>
      </w:r>
      <w:r>
        <w:t xml:space="preserve"> </w:t>
      </w:r>
      <w:r>
        <w:rPr>
          <w:bCs/>
          <w:b/>
        </w:rPr>
        <w:t xml:space="preserve">Oxytocin</w:t>
      </w:r>
      <w:r>
        <w:t xml:space="preserve"> </w:t>
      </w:r>
      <w:r>
        <w:t xml:space="preserve">schließlich stammt aus denselben Hirnregionen, steuert Geburt und Stillen und wird seit zwei Jahrzehnten als Nasenspray für soziales Verhalten untersucht – mit ernüchternden Ergebnissen.</w:t>
      </w:r>
    </w:p>
    <w:bookmarkEnd w:id="740"/>
    <w:bookmarkStart w:id="741" w:name="überblick-3"/>
    <w:p>
      <w:pPr>
        <w:pStyle w:val="Heading3"/>
      </w:pPr>
      <w:r>
        <w:t xml:space="preserve">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Bremelanotid (PT-141)</w:t>
            </w:r>
          </w:p>
        </w:tc>
        <w:tc>
          <w:tcPr/>
          <w:p>
            <w:pPr>
              <w:pStyle w:val="Compact"/>
              <w:jc w:val="left"/>
            </w:pPr>
            <w:r>
              <w:t xml:space="preserve">A</w:t>
            </w:r>
          </w:p>
        </w:tc>
        <w:tc>
          <w:tcPr/>
          <w:p>
            <w:pPr>
              <w:pStyle w:val="Compact"/>
              <w:jc w:val="left"/>
            </w:pPr>
            <w:r>
              <w:t xml:space="preserve">USA (Vyleesi), nicht EU</w:t>
            </w:r>
          </w:p>
        </w:tc>
        <w:tc>
          <w:tcPr/>
          <w:p>
            <w:pPr>
              <w:pStyle w:val="Compact"/>
              <w:jc w:val="left"/>
            </w:pPr>
            <w:r>
              <w:t xml:space="preserve">Lust bei Frauen mit HSDD; kleiner Effekt, viel Übelkeit</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keine</w:t>
            </w:r>
          </w:p>
        </w:tc>
        <w:tc>
          <w:tcPr/>
          <w:p>
            <w:pPr>
              <w:pStyle w:val="Compact"/>
              <w:jc w:val="left"/>
            </w:pPr>
            <w:r>
              <w:t xml:space="preserve">Graumarkt-Bräunung; Fallberichte zu Muttermalen und Priapismus</w:t>
            </w:r>
          </w:p>
        </w:tc>
      </w:tr>
      <w:tr>
        <w:tc>
          <w:tcPr/>
          <w:p>
            <w:pPr>
              <w:pStyle w:val="Compact"/>
              <w:jc w:val="left"/>
            </w:pPr>
            <w:r>
              <w:t xml:space="preserve">Afamelanotid</w:t>
            </w:r>
          </w:p>
        </w:tc>
        <w:tc>
          <w:tcPr/>
          <w:p>
            <w:pPr>
              <w:pStyle w:val="Compact"/>
              <w:jc w:val="left"/>
            </w:pPr>
            <w:r>
              <w:t xml:space="preserve">A</w:t>
            </w:r>
          </w:p>
        </w:tc>
        <w:tc>
          <w:tcPr/>
          <w:p>
            <w:pPr>
              <w:pStyle w:val="Compact"/>
              <w:jc w:val="left"/>
            </w:pPr>
            <w:r>
              <w:t xml:space="preserve">EU und USA (Scenesse)</w:t>
            </w:r>
          </w:p>
        </w:tc>
        <w:tc>
          <w:tcPr/>
          <w:p>
            <w:pPr>
              <w:pStyle w:val="Compact"/>
              <w:jc w:val="left"/>
            </w:pPr>
            <w:r>
              <w:t xml:space="preserve">Lichtschutz bei EPP; Vitiligo in Prüfung</w:t>
            </w:r>
          </w:p>
        </w:tc>
      </w:tr>
      <w:tr>
        <w:tc>
          <w:tcPr/>
          <w:p>
            <w:pPr>
              <w:pStyle w:val="Compact"/>
              <w:jc w:val="left"/>
            </w:pPr>
            <w:r>
              <w:t xml:space="preserve">Kisspeptin</w:t>
            </w:r>
          </w:p>
        </w:tc>
        <w:tc>
          <w:tcPr/>
          <w:p>
            <w:pPr>
              <w:pStyle w:val="Compact"/>
              <w:jc w:val="left"/>
            </w:pPr>
            <w:r>
              <w:t xml:space="preserve">B</w:t>
            </w:r>
          </w:p>
        </w:tc>
        <w:tc>
          <w:tcPr/>
          <w:p>
            <w:pPr>
              <w:pStyle w:val="Compact"/>
              <w:jc w:val="left"/>
            </w:pPr>
            <w:r>
              <w:t xml:space="preserve">keine</w:t>
            </w:r>
          </w:p>
        </w:tc>
        <w:tc>
          <w:tcPr/>
          <w:p>
            <w:pPr>
              <w:pStyle w:val="Compact"/>
              <w:jc w:val="left"/>
            </w:pPr>
            <w:r>
              <w:t xml:space="preserve">Eizellreifung bei IVF, Hormontests; Forschung</w:t>
            </w:r>
          </w:p>
        </w:tc>
      </w:tr>
      <w:tr>
        <w:tc>
          <w:tcPr/>
          <w:p>
            <w:pPr>
              <w:pStyle w:val="Compact"/>
              <w:jc w:val="left"/>
            </w:pPr>
            <w:r>
              <w:t xml:space="preserve">Oxytocin (Nasenspray)</w:t>
            </w:r>
          </w:p>
        </w:tc>
        <w:tc>
          <w:tcPr/>
          <w:p>
            <w:pPr>
              <w:pStyle w:val="Compact"/>
              <w:jc w:val="left"/>
            </w:pPr>
            <w:r>
              <w:t xml:space="preserve">B</w:t>
            </w:r>
          </w:p>
        </w:tc>
        <w:tc>
          <w:tcPr/>
          <w:p>
            <w:pPr>
              <w:pStyle w:val="Compact"/>
              <w:jc w:val="left"/>
            </w:pPr>
            <w:r>
              <w:t xml:space="preserve">nur als Infusion (Geburtshilfe)</w:t>
            </w:r>
          </w:p>
        </w:tc>
        <w:tc>
          <w:tcPr/>
          <w:p>
            <w:pPr>
              <w:pStyle w:val="Compact"/>
              <w:jc w:val="left"/>
            </w:pPr>
            <w:r>
              <w:t xml:space="preserve">Autismus und Vertrauen: große Studien negativ</w:t>
            </w:r>
          </w:p>
        </w:tc>
      </w:tr>
      <w:tr>
        <w:tc>
          <w:tcPr/>
          <w:p>
            <w:pPr>
              <w:pStyle w:val="Compact"/>
              <w:jc w:val="left"/>
            </w:pPr>
            <w:r>
              <w:t xml:space="preserve">Gonadorelin</w:t>
            </w:r>
          </w:p>
        </w:tc>
        <w:tc>
          <w:tcPr/>
          <w:p>
            <w:pPr>
              <w:pStyle w:val="Compact"/>
              <w:jc w:val="left"/>
            </w:pPr>
            <w:r>
              <w:t xml:space="preserve">B</w:t>
            </w:r>
          </w:p>
        </w:tc>
        <w:tc>
          <w:tcPr/>
          <w:p>
            <w:pPr>
              <w:pStyle w:val="Compact"/>
              <w:jc w:val="left"/>
            </w:pPr>
            <w:r>
              <w:t xml:space="preserve">national (EU), nicht mehr in den USA</w:t>
            </w:r>
          </w:p>
        </w:tc>
        <w:tc>
          <w:tcPr/>
          <w:p>
            <w:pPr>
              <w:pStyle w:val="Compact"/>
              <w:jc w:val="left"/>
            </w:pPr>
            <w:r>
              <w:t xml:space="preserve">GnRH-Test und Pumpe bei Kinderwunsch; Dopingverbot</w:t>
            </w:r>
          </w:p>
        </w:tc>
      </w:tr>
    </w:tbl>
    <w:p>
      <w:pPr>
        <w:pStyle w:val="BodyText"/>
      </w:pPr>
      <w:r>
        <w:t xml:space="preserve">Die Zulassungsangaben entsprechen dem Stand 2026 und sollten aktuell geprüft werden.</w:t>
      </w:r>
    </w:p>
    <w:bookmarkEnd w:id="741"/>
    <w:bookmarkStart w:id="742" w:name="lesehinweis-4"/>
    <w:p>
      <w:pPr>
        <w:pStyle w:val="Heading3"/>
      </w:pPr>
      <w:r>
        <w:t xml:space="preserve">Lesehinweis</w:t>
      </w:r>
    </w:p>
    <w:p>
      <w:pPr>
        <w:pStyle w:val="FirstParagraph"/>
      </w:pPr>
      <w:r>
        <w:t xml:space="preserve">Wer sich für Bräunungsmittel interessiert, sollte die Kapitel zu Melanotan II und Afamelanotid zusammen lesen: Sie zeigen, wie verschieden derselbe Grundgedanke ausfallen kann – einmal als geprüftes Arzneimittel in einer Spezialambulanz, einmal als ungeprüftes Pulver aus dem Internet. Für das Thema Sexualität lohnt der Vergleich von Bremelanotid, Kisspeptin und Oxytocin; alle drei zeigen, wie stark Placeboeffekte in diesem Feld sind. Kisspeptin und Gonadorelin erklären gemeinsam die Hormonachse der Fruchtbarkeit. Allgemeines zu Graumarkt-Produkten steht in Teil I, die Risiken im Vergleich in Teil IV.</w:t>
      </w:r>
    </w:p>
    <w:bookmarkEnd w:id="742"/>
    <w:bookmarkStart w:id="760" w:name="bremelanotid-pt-141"/>
    <w:p>
      <w:pPr>
        <w:pStyle w:val="Heading2"/>
      </w:pPr>
      <w:r>
        <w:t xml:space="preserve">Bremelanotid (PT-141)</w:t>
      </w:r>
    </w:p>
    <w:bookmarkStart w:id="743" w:name="steckbrief-46"/>
    <w:p>
      <w:pPr>
        <w:pStyle w:val="Heading3"/>
      </w:pPr>
      <w:r>
        <w:t xml:space="preserve">Steckbrief</w:t>
      </w:r>
    </w:p>
    <w:p>
      <w:pPr>
        <w:numPr>
          <w:ilvl w:val="0"/>
          <w:numId w:val="1252"/>
        </w:numPr>
        <w:pStyle w:val="Compact"/>
      </w:pPr>
      <w:r>
        <w:rPr>
          <w:bCs/>
          <w:b/>
        </w:rPr>
        <w:t xml:space="preserve">Art/Struktur:</w:t>
      </w:r>
      <w:r>
        <w:t xml:space="preserve"> </w:t>
      </w:r>
      <w:r>
        <w:t xml:space="preserve">ringförmiges (zyklisches) Peptid aus sieben Aminosäuren, synthetisch hergestellt. Es leitet sich vom körpereigenen Hormon Alpha-MSH (alpha-Melanozyten-stimulierendes Hormon) ab und ist ein naher Verwandter von Melanotan II (Kapitel 2E02). In der Literatur heißt es auch PT-141.</w:t>
      </w:r>
    </w:p>
    <w:p>
      <w:pPr>
        <w:numPr>
          <w:ilvl w:val="0"/>
          <w:numId w:val="1252"/>
        </w:numPr>
        <w:pStyle w:val="Compact"/>
      </w:pPr>
      <w:r>
        <w:rPr>
          <w:bCs/>
          <w:b/>
        </w:rPr>
        <w:t xml:space="preserve">Herkunft:</w:t>
      </w:r>
      <w:r>
        <w:t xml:space="preserve"> </w:t>
      </w:r>
      <w:r>
        <w:t xml:space="preserve">entstanden aus der Entwicklung von Melanotan II an der Universität von Arizona; weiterentwickelt von der Firma Palatin Technologies (Hadley 2006, PMID 16412534).</w:t>
      </w:r>
    </w:p>
    <w:p>
      <w:pPr>
        <w:numPr>
          <w:ilvl w:val="0"/>
          <w:numId w:val="1252"/>
        </w:numPr>
        <w:pStyle w:val="Compact"/>
      </w:pPr>
      <w:r>
        <w:rPr>
          <w:bCs/>
          <w:b/>
        </w:rPr>
        <w:t xml:space="preserve">Wirkprinzip:</w:t>
      </w:r>
      <w:r>
        <w:t xml:space="preserve"> </w:t>
      </w:r>
      <w:r>
        <w:t xml:space="preserve">Agonist an Melanocortin-Rezeptoren, vor allem MC4R im Gehirn. Es wirkt nicht an den Blutgefäßen der Geschlechtsorgane wie Sildenafil, sondern auf Hirnregionen, die an sexuellem Verlangen beteiligt sind.</w:t>
      </w:r>
    </w:p>
    <w:p>
      <w:pPr>
        <w:numPr>
          <w:ilvl w:val="0"/>
          <w:numId w:val="1252"/>
        </w:numPr>
        <w:pStyle w:val="Compact"/>
      </w:pPr>
      <w:r>
        <w:rPr>
          <w:bCs/>
          <w:b/>
        </w:rPr>
        <w:t xml:space="preserve">Darreichungsform:</w:t>
      </w:r>
      <w:r>
        <w:t xml:space="preserve"> </w:t>
      </w:r>
      <w:r>
        <w:t xml:space="preserve">Fertigspritze (Autoinjektor) zur Anwendung unter die Haut bei Bedarf, etwa 45 Minuten vor sexueller Aktivität. Frühe Studien nutzten ein Nasenspray.</w:t>
      </w:r>
    </w:p>
    <w:p>
      <w:pPr>
        <w:numPr>
          <w:ilvl w:val="0"/>
          <w:numId w:val="1252"/>
        </w:numPr>
        <w:pStyle w:val="Compact"/>
      </w:pPr>
      <w:r>
        <w:rPr>
          <w:bCs/>
          <w:b/>
        </w:rPr>
        <w:t xml:space="preserve">Zulassung EU:</w:t>
      </w:r>
      <w:r>
        <w:t xml:space="preserve"> </w:t>
      </w:r>
      <w:r>
        <w:t xml:space="preserve">nein.</w:t>
      </w:r>
    </w:p>
    <w:p>
      <w:pPr>
        <w:numPr>
          <w:ilvl w:val="0"/>
          <w:numId w:val="1252"/>
        </w:numPr>
        <w:pStyle w:val="Compact"/>
      </w:pPr>
      <w:r>
        <w:rPr>
          <w:bCs/>
          <w:b/>
        </w:rPr>
        <w:t xml:space="preserve">Zulassung USA:</w:t>
      </w:r>
      <w:r>
        <w:t xml:space="preserve"> </w:t>
      </w:r>
      <w:r>
        <w:t xml:space="preserve">ja, seit 2019 als Vyleesi für Frauen vor den Wechseljahren mit erworbener, generalisierter Störung des sexuellen Verlangens (hypoaktive sexuelle Luststörung, HSDD) (Dhillon 2019, PMID 31429064). Anwendung nur nach ärztlicher Verordnung und gemäß Fachinformation.</w:t>
      </w:r>
    </w:p>
    <w:p>
      <w:pPr>
        <w:numPr>
          <w:ilvl w:val="0"/>
          <w:numId w:val="1252"/>
        </w:numPr>
        <w:pStyle w:val="Compact"/>
      </w:pPr>
      <w:r>
        <w:rPr>
          <w:bCs/>
          <w:b/>
        </w:rPr>
        <w:t xml:space="preserve">WADA:</w:t>
      </w:r>
      <w:r>
        <w:t xml:space="preserve"> </w:t>
      </w:r>
      <w:r>
        <w:t xml:space="preserve">nicht namentlich gelistet (Stand 2026, bitte aktuell prüfen).</w:t>
      </w:r>
    </w:p>
    <w:p>
      <w:pPr>
        <w:numPr>
          <w:ilvl w:val="0"/>
          <w:numId w:val="1252"/>
        </w:numPr>
        <w:pStyle w:val="Compact"/>
      </w:pPr>
      <w:r>
        <w:rPr>
          <w:bCs/>
          <w:b/>
        </w:rPr>
        <w:t xml:space="preserve">Evidenzstufe:</w:t>
      </w:r>
      <w:r>
        <w:t xml:space="preserve"> </w:t>
      </w:r>
      <w:r>
        <w:rPr>
          <w:bCs/>
          <w:b/>
        </w:rPr>
        <w:t xml:space="preserve">A</w:t>
      </w:r>
      <w:r>
        <w:t xml:space="preserve"> </w:t>
      </w:r>
      <w:r>
        <w:t xml:space="preserve">– zwei große randomisierte Phase-3-Studien mit zusammen über 1.200 Teilnehmerinnen, Zulassung in den USA. Der klinische Nutzen ist allerdings klein und umstritten (siehe unten).</w:t>
      </w:r>
    </w:p>
    <w:bookmarkEnd w:id="743"/>
    <w:bookmarkStart w:id="744" w:name="wie-es-wirken-soll-46"/>
    <w:p>
      <w:pPr>
        <w:pStyle w:val="Heading3"/>
      </w:pPr>
      <w:r>
        <w:t xml:space="preserve">Wie es wirken soll</w:t>
      </w:r>
    </w:p>
    <w:p>
      <w:pPr>
        <w:pStyle w:val="FirstParagraph"/>
      </w:pPr>
      <w:r>
        <w:t xml:space="preserve">Das Melanocortin-System ist ein Netz aus Botenstoffen und fünf Rezeptoren (MC1R bis MC5R), das in der Einleitung zu diesem Teil näher beschrieben wird. Für Bremelanotid ist vor allem der Rezeptor MC4R wichtig. Er sitzt unter anderem im Hypothalamus, einer Steuerzentrale im Zwischenhirn, und beeinflusst dort Appetit, Energieverbrauch und – wie sich zufällig herausstellte – sexuelle Erregung.</w:t>
      </w:r>
    </w:p>
    <w:p>
      <w:pPr>
        <w:pStyle w:val="BodyText"/>
      </w:pPr>
      <w:r>
        <w:t xml:space="preserve">Die Entdeckung war ein Nebenprodukt der Bräunungsforschung: Männer, die in den 1990er-Jahren Melanotan II zur Hautbräunung erhielten, berichteten über spontane Erektionen (Hadley 2005, PMID 15996790). Bremelanotid ist eine leicht abgewandelte Form dieses Moleküls. Es aktiviert mehrere Melanocortin-Rezeptoren, bei den eingesetzten Dosen ist aber MC4R der wichtigste (Pfaus 2022, PMID 33455598). Ganz frei von Wirkung auf die Haut ist es aber nicht – das erklärt die beobachteten Pigmentflecken.</w:t>
      </w:r>
    </w:p>
    <w:p>
      <w:pPr>
        <w:pStyle w:val="BodyText"/>
      </w:pPr>
      <w:r>
        <w:t xml:space="preserve">Wie genau die Aktivierung von MC4R das sexuelle Verlangen beeinflusst, ist nur teilweise verstanden. Tierversuche deuten darauf hin, dass Bremelanotid in einer bestimmten Region des Hypothalamus (der medialen präoptischen Area) die Freisetzung des Botenstoffs Dopamin anregt, der sexuelles Verlangen fördert (Pfaus 2022, PMID 33455598). Eine britische Studie mit funktioneller Magnetresonanztomografie (fMRT) bei 31 Frauen mit HSDD fand unter einem MC4R-Agonisten veränderte Aktivität in Hirnregionen, die erotische Reize verarbeiten (Thurston 2022, PMID 36189794). Die Autorinnen und Autoren deuten das als verringerte Selbstbeobachtung und gesteigerte Empfänglichkeit für erotische Reize – eine Interpretation, keine bewiesene Erklärung.</w:t>
      </w:r>
    </w:p>
    <w:p>
      <w:pPr>
        <w:pStyle w:val="BodyText"/>
      </w:pPr>
      <w:r>
        <w:t xml:space="preserve">Wichtig für das Verständnis: Die Zulassung zielt nicht auf „mehr Lust“ bei Gesunden, sondern auf eine definierte Diagnose. HSDD bedeutet anhaltend geringes sexuelles Verlangen, das Leidensdruck verursacht und nicht durch eine andere Erkrankung, Medikamente oder Beziehungsprobleme erklärt wird.</w:t>
      </w:r>
    </w:p>
    <w:bookmarkEnd w:id="744"/>
    <w:bookmarkStart w:id="751" w:name="studien-am-menschen-46"/>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16</w:t>
      </w:r>
      <w:r>
        <w:t xml:space="preserve"> </w:t>
      </w:r>
      <w:r>
        <w:t xml:space="preserve">Humanstudien in PubMed (</w:t>
      </w:r>
      <w:r>
        <w:rPr>
          <w:rStyle w:val="VerbatimChar"/>
        </w:rPr>
        <w:t xml:space="preserve">humanstudien_alle</w:t>
      </w:r>
      <w:r>
        <w:t xml:space="preserve">) und</w:t>
      </w:r>
      <w:r>
        <w:t xml:space="preserve"> </w:t>
      </w:r>
      <w:r>
        <w:rPr>
          <w:bCs/>
          <w:b/>
        </w:rPr>
        <w:t xml:space="preserve">10</w:t>
      </w:r>
      <w:r>
        <w:t xml:space="preserve"> </w:t>
      </w:r>
      <w:r>
        <w:t xml:space="preserve">Einträge bei ClinicalTrials.gov. Dazu kommen mehrere Übersichtsarbeiten und Meta-Analysen. Für die Bewertung tragen vor allem die beiden Zulassungsstudien RECONNECT, ihre Verlängerung und die Sicherheitsauswertung des gesamten Entwicklungsprogramms.</w:t>
      </w:r>
    </w:p>
    <w:bookmarkStart w:id="745" w:name="frühe-studien-bei-männern"/>
    <w:p>
      <w:pPr>
        <w:pStyle w:val="Heading4"/>
      </w:pPr>
      <w:r>
        <w:t xml:space="preserve">Frühe Studien bei Männern</w:t>
      </w:r>
    </w:p>
    <w:p>
      <w:pPr>
        <w:pStyle w:val="FirstParagraph"/>
      </w:pPr>
      <w:r>
        <w:t xml:space="preserve">Bremelanotid wurde zuerst als Mittel gegen Erektionsstörungen entwickelt. In Phase-1-Studien mit Nasenspray (Diamond 2004, PMID 14963471) und Spritze (Rosen 2004, PMID 14999221) löste es bei gesunden Männern und bei Männern mit Erektionsstörung messbare Erektionen aus, auch bei solchen, die auf Viagra nur unzureichend ansprachen. In einer kleinen Studie mit 19 Patienten verstärkte eine niedrige Dosis Bremelanotid die Wirkung einer niedrigen Dosis Sildenafil (Diamond 2005, PMID 15833522).</w:t>
      </w:r>
    </w:p>
    <w:p>
      <w:pPr>
        <w:pStyle w:val="BodyText"/>
      </w:pPr>
      <w:r>
        <w:t xml:space="preserve">Eine iranische Studie mit 342 Männern, bei denen Sildenafil nicht gewirkt hatte, berichtete ein positives Ergebnis bei 33,5 % unter Bremelanotid-Nasenspray gegenüber 8,5 % unter Placebo (Safarinejad 2008, PMID 18206919). Diese Arbeit sollte mit Vorsicht gelesen werden: Eine zweite Bremelanotid-Studie desselben Erstautors an Frauen wurde von der Fachzeitschrift zurückgezogen, weil Methoden und Ergebnisse nicht überprüfbar waren (Safarinejad 2008, PMID 18179455); weitere Arbeiten des Autors wurden ebenfalls zurückgezogen.</w:t>
      </w:r>
    </w:p>
    <w:p>
      <w:pPr>
        <w:pStyle w:val="BodyText"/>
      </w:pPr>
      <w:r>
        <w:t xml:space="preserve">Die Entwicklung des Nasensprays wurde eingestellt, nachdem in Studien Blutdruckanstiege aufgefallen waren. Das Unternehmen wechselte zur Spritze und zur Zielgruppe Frauen.</w:t>
      </w:r>
    </w:p>
    <w:bookmarkEnd w:id="745"/>
    <w:bookmarkStart w:id="746" w:name="dosisfindung-bei-frauen"/>
    <w:p>
      <w:pPr>
        <w:pStyle w:val="Heading4"/>
      </w:pPr>
      <w:r>
        <w:t xml:space="preserve">Dosisfindung bei Frauen</w:t>
      </w:r>
    </w:p>
    <w:p>
      <w:pPr>
        <w:pStyle w:val="FirstParagraph"/>
      </w:pPr>
      <w:r>
        <w:t xml:space="preserve">Eine erste kleine Laborstudie mit 18 Frauen mit Erregungsstörung zeigte nach einer einzelnen Gabe häufiger moderates bis hohes Verlangen als nach Placebo, aber keine messbare Veränderung der Durchblutung der Scheide beim Betrachten erotischer Filme (Diamond 2006, PMID 16839319).</w:t>
      </w:r>
    </w:p>
    <w:p>
      <w:pPr>
        <w:pStyle w:val="BodyText"/>
      </w:pPr>
      <w:r>
        <w:t xml:space="preserve">Die entscheidende Phase-2b-Studie (Clayton 2016, PMID 27181790; NCT01382719) prüfte drei Dosierungen gegen Placebo über zwölf Wochen bei Frauen vor den Wechseljahren. Ausgewertet wurden 327 Teilnehmerinnen. Bei den beiden höheren Dosen zusammengefasst stieg die Zahl „befriedigender sexueller Ereignisse“ um 0,7 pro Monat gegenüber 0,2 unter Placebo. Auf dem Fragebogen FSFI (Female Sexual Function Index, ein Punktwert für sexuelle Funktion) betrug der Anstieg 3,6 gegenüber 1,9 Punkten. Eine nachträgliche Auswertung legte fest, ab welcher Veränderung ein Effekt als klinisch bedeutsam gilt; diese Schwellen wurden dann für die Phase-3-Studien übernommen (Althof 2019, PMID 31277966).</w:t>
      </w:r>
    </w:p>
    <w:bookmarkEnd w:id="746"/>
    <w:bookmarkStart w:id="747" w:name="die-zulassungsstudien-reconnect"/>
    <w:p>
      <w:pPr>
        <w:pStyle w:val="Heading4"/>
      </w:pPr>
      <w:r>
        <w:t xml:space="preserve">Die Zulassungsstudien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RECONNECT 301 und 302 (Kingsberg 2019), PMID 31599840</w:t>
            </w:r>
          </w:p>
        </w:tc>
        <w:tc>
          <w:tcPr/>
          <w:p>
            <w:pPr>
              <w:pStyle w:val="Compact"/>
              <w:jc w:val="left"/>
            </w:pPr>
            <w:r>
              <w:t xml:space="preserve">1.267 Frauen vor den Wechseljahren mit HSDD, zwei RCTs gegen Placebo, Anwendung bei Bedarf</w:t>
            </w:r>
          </w:p>
        </w:tc>
        <w:tc>
          <w:tcPr/>
          <w:p>
            <w:pPr>
              <w:pStyle w:val="Compact"/>
              <w:jc w:val="left"/>
            </w:pPr>
            <w:r>
              <w:t xml:space="preserve">24 Wochen</w:t>
            </w:r>
          </w:p>
        </w:tc>
        <w:tc>
          <w:tcPr/>
          <w:p>
            <w:pPr>
              <w:pStyle w:val="Compact"/>
              <w:jc w:val="left"/>
            </w:pPr>
            <w:r>
              <w:t xml:space="preserve">Verlangen (FSFI-Desire) +0,35 Punkte mehr als Placebo; Leidensdruck −0,33 Punkte stärker gesenkt</w:t>
            </w:r>
          </w:p>
        </w:tc>
      </w:tr>
      <w:tr>
        <w:tc>
          <w:tcPr/>
          <w:p>
            <w:pPr>
              <w:pStyle w:val="Compact"/>
              <w:jc w:val="left"/>
            </w:pPr>
            <w:r>
              <w:t xml:space="preserve">Offene Verlängerung (Simon 2019), PMID 31599847</w:t>
            </w:r>
          </w:p>
        </w:tc>
        <w:tc>
          <w:tcPr/>
          <w:p>
            <w:pPr>
              <w:pStyle w:val="Compact"/>
              <w:jc w:val="left"/>
            </w:pPr>
            <w:r>
              <w:t xml:space="preserve">684 Frauen aus beiden Studien, alle mit Bremelanotid</w:t>
            </w:r>
          </w:p>
        </w:tc>
        <w:tc>
          <w:tcPr/>
          <w:p>
            <w:pPr>
              <w:pStyle w:val="Compact"/>
              <w:jc w:val="left"/>
            </w:pPr>
            <w:r>
              <w:t xml:space="preserve">52 Wochen</w:t>
            </w:r>
          </w:p>
        </w:tc>
        <w:tc>
          <w:tcPr/>
          <w:p>
            <w:pPr>
              <w:pStyle w:val="Compact"/>
              <w:jc w:val="left"/>
            </w:pPr>
            <w:r>
              <w:t xml:space="preserve">272 beendeten die Verlängerung; keine neuen Sicherheitssignale</w:t>
            </w:r>
          </w:p>
        </w:tc>
      </w:tr>
      <w:tr>
        <w:tc>
          <w:tcPr/>
          <w:p>
            <w:pPr>
              <w:pStyle w:val="Compact"/>
              <w:jc w:val="left"/>
            </w:pPr>
            <w:r>
              <w:t xml:space="preserve">Untergruppenanalyse (Simon 2022), PMID 35230162</w:t>
            </w:r>
          </w:p>
        </w:tc>
        <w:tc>
          <w:tcPr/>
          <w:p>
            <w:pPr>
              <w:pStyle w:val="Compact"/>
              <w:jc w:val="left"/>
            </w:pPr>
            <w:r>
              <w:t xml:space="preserve">1.202 Frauen aus beiden Studien</w:t>
            </w:r>
          </w:p>
        </w:tc>
        <w:tc>
          <w:tcPr/>
          <w:p>
            <w:pPr>
              <w:pStyle w:val="Compact"/>
              <w:jc w:val="left"/>
            </w:pPr>
            <w:r>
              <w:t xml:space="preserve">24 Wochen</w:t>
            </w:r>
          </w:p>
        </w:tc>
        <w:tc>
          <w:tcPr/>
          <w:p>
            <w:pPr>
              <w:pStyle w:val="Compact"/>
              <w:jc w:val="left"/>
            </w:pPr>
            <w:r>
              <w:t xml:space="preserve">Effekt in fast allen Alters-, Gewichts- und Hormon-Untergruppen ähnlich</w:t>
            </w:r>
          </w:p>
        </w:tc>
      </w:tr>
      <w:tr>
        <w:tc>
          <w:tcPr/>
          <w:p>
            <w:pPr>
              <w:pStyle w:val="Compact"/>
              <w:jc w:val="left"/>
            </w:pPr>
            <w:r>
              <w:t xml:space="preserve">Sicherheitsauswertung (Clayton 2022), PMID 35147466</w:t>
            </w:r>
          </w:p>
        </w:tc>
        <w:tc>
          <w:tcPr/>
          <w:p>
            <w:pPr>
              <w:pStyle w:val="Compact"/>
              <w:jc w:val="left"/>
            </w:pPr>
            <w:r>
              <w:t xml:space="preserve">rund 3.500 Personen in 43 Studien</w:t>
            </w:r>
          </w:p>
        </w:tc>
        <w:tc>
          <w:tcPr/>
          <w:p>
            <w:pPr>
              <w:pStyle w:val="Compact"/>
              <w:jc w:val="left"/>
            </w:pPr>
            <w:r>
              <w:t xml:space="preserve">bis 18 Monate</w:t>
            </w:r>
          </w:p>
        </w:tc>
        <w:tc>
          <w:tcPr/>
          <w:p>
            <w:pPr>
              <w:pStyle w:val="Compact"/>
              <w:jc w:val="left"/>
            </w:pPr>
            <w:r>
              <w:t xml:space="preserve">Übelkeit 40,0 % vs. 1,3 %, Hitzegefühl 20,3 % vs. 1,3 %</w:t>
            </w:r>
          </w:p>
        </w:tc>
      </w:tr>
    </w:tbl>
    <w:p>
      <w:pPr>
        <w:pStyle w:val="BodyText"/>
      </w:pPr>
      <w:r>
        <w:t xml:space="preserve">Die beiden identischen Studien 301 und 302 (NCT02333071, NCT02338960) liefen 2015 und 2016 überwiegend in den USA. Die Teilnehmerinnen spritzten sich bei Bedarf vor sexueller Aktivität 1,75 mg Bremelanotid oder Placebo mit einem Autoinjektor. Gemessen wurden zwei Hauptzielgrößen: das sexuelle Verlangen (Desire-Bereich des FSFI, Skala von 1,2 bis 6) und der Leidensdruck wegen geringen Verlangens (eine Einzelfrage des Fragebogens FSDS-DAO, Skala 0 bis 4).</w:t>
      </w:r>
    </w:p>
    <w:p>
      <w:pPr>
        <w:pStyle w:val="BodyText"/>
      </w:pPr>
      <w:r>
        <w:t xml:space="preserve">Beide Studien erreichten ihre Hauptziele. In der gemeinsamen Auswertung stieg das Verlangen um 0,35 Punkte mehr als unter Placebo, der Leidensdruck sank um 0,33 Punkte mehr (Kingsberg 2019, PMID 31599840). Diese Zahlen sind statistisch eindeutig, aber klein: Auf einer Skala bis 6 bedeutet ein Drittel Punkt einen bescheidenen Unterschied. Auch unter Placebo verbesserten sich die Werte deutlich – ein in der Sexualmedizin bekanntes Muster.</w:t>
      </w:r>
    </w:p>
    <w:p>
      <w:pPr>
        <w:pStyle w:val="BodyText"/>
      </w:pPr>
      <w:r>
        <w:t xml:space="preserve">In Austrittsbefragungen mit 242 Teilnehmerinnen, die noch nicht wussten, was sie erhalten hatten, beschrieben Frauen unter Bremelanotid häufiger körperliche Erregung und mehr Verlangen; unter Placebo nannten sie eher bessere Kommunikation in der Partnerschaft (Koochaki 2021, PMID 33538638).</w:t>
      </w:r>
    </w:p>
    <w:bookmarkEnd w:id="747"/>
    <w:bookmarkStart w:id="748" w:name="die-kritik-an-den-zulassungsstudien"/>
    <w:p>
      <w:pPr>
        <w:pStyle w:val="Heading4"/>
      </w:pPr>
      <w:r>
        <w:t xml:space="preserve">Die Kritik an den Zulassungsstudien</w:t>
      </w:r>
    </w:p>
    <w:p>
      <w:pPr>
        <w:pStyle w:val="FirstParagraph"/>
      </w:pPr>
      <w:r>
        <w:t xml:space="preserve">Eine unabhängige Neuauswertung auf Basis der Unterlagen, die bei der US-Arzneimittelbehörde FDA eingereicht wurden, kam zu einem anderen Gesamturteil (Spielmans 2021, PMID 33678061). Der Autor bestätigt die kleinen Effekte, kritisiert aber, dass rund 73 % der im Studienprotokoll vorgesehenen Ergebnisse nicht veröffentlicht wurden. Zwei Befunde fehlten in der Hauptpublikation:</w:t>
      </w:r>
    </w:p>
    <w:p>
      <w:pPr>
        <w:numPr>
          <w:ilvl w:val="0"/>
          <w:numId w:val="1253"/>
        </w:numPr>
        <w:pStyle w:val="Compact"/>
      </w:pPr>
      <w:r>
        <w:t xml:space="preserve">Abbrüche wegen Nebenwirkungen waren unter Bremelanotid deutlich häufiger (Odds Ratio 11,98). Rechnerisch brach etwa eine von sechs behandelten Frauen wegen Nebenwirkungen ab, die es unter Placebo nicht getan hätte.</w:t>
      </w:r>
    </w:p>
    <w:p>
      <w:pPr>
        <w:numPr>
          <w:ilvl w:val="0"/>
          <w:numId w:val="1253"/>
        </w:numPr>
        <w:pStyle w:val="Compact"/>
      </w:pPr>
      <w:r>
        <w:t xml:space="preserve">Wer die Studie beendete und danach in die offene Verlängerung wechselte, kam häufiger aus der Placebogruppe. Auch die Sicherheitsauswertung des Herstellers nennt diese Zahlen: 70 % der Bremelanotid-Gruppe gegenüber 87 % der Placebogruppe gingen in die Verlängerung über (Clayton 2022, PMID 35147466).</w:t>
      </w:r>
    </w:p>
    <w:p>
      <w:pPr>
        <w:pStyle w:val="FirstParagraph"/>
      </w:pPr>
      <w:r>
        <w:t xml:space="preserve">Spielmans folgert, das Mittel sei für die meisten Frauen nicht nützlich. Das ist eine pointierte Einzelmeinung, die aber auf Daten beruht, die auch die Herstellerseite veröffentlicht hat.</w:t>
      </w:r>
    </w:p>
    <w:bookmarkEnd w:id="748"/>
    <w:bookmarkStart w:id="749" w:name="meta-analysen-1"/>
    <w:p>
      <w:pPr>
        <w:pStyle w:val="Heading4"/>
      </w:pPr>
      <w:r>
        <w:t xml:space="preserve">Meta-Analysen</w:t>
      </w:r>
    </w:p>
    <w:p>
      <w:pPr>
        <w:pStyle w:val="FirstParagraph"/>
      </w:pPr>
      <w:r>
        <w:t xml:space="preserve">Eine Meta-Analyse zu Medikamenten gegen sexuelle Funktionsstörungen der Frau (darunter Bremelanotid, Flibanserin und intranasales Oxytocin) fand, dass rund 67,7 % der Verbesserung in den Behandlungsgruppen auch unter Placebo auftrat (Weinberger 2018, PMID 29995725). Eine neuere Meta-Analyse bestätigt für Bremelanotid kleine Verbesserungen bei Verlangen und Erregung und eine Verringerung des Leidensdrucks, ohne Vergleich mit Psychotherapie (Toledo 2026, PMID 40543759). Eine Übersicht der bei ClinicalTrials.gov abgeschlossenen Studien bemängelt uneinheitliche Zielgrößen und unvollständige Berichte (Ashour 2026, PMID 42254382).</w:t>
      </w:r>
    </w:p>
    <w:bookmarkEnd w:id="749"/>
    <w:bookmarkStart w:id="750" w:name="weitere-fragestellungen"/>
    <w:p>
      <w:pPr>
        <w:pStyle w:val="Heading4"/>
      </w:pPr>
      <w:r>
        <w:t xml:space="preserve">Weitere Fragestellungen</w:t>
      </w:r>
    </w:p>
    <w:p>
      <w:pPr>
        <w:numPr>
          <w:ilvl w:val="0"/>
          <w:numId w:val="1254"/>
        </w:numPr>
        <w:pStyle w:val="Compact"/>
      </w:pPr>
      <w:r>
        <w:rPr>
          <w:bCs/>
          <w:b/>
        </w:rPr>
        <w:t xml:space="preserve">Alkohol:</w:t>
      </w:r>
      <w:r>
        <w:t xml:space="preserve"> </w:t>
      </w:r>
      <w:r>
        <w:t xml:space="preserve">In einer Phase-1-Studie mit 24 Gesunden traten bei gleichzeitigem Alkoholkonsum keine bedeutsamen Wechselwirkungen auf (Clayton 2017, PMID 28189361).</w:t>
      </w:r>
    </w:p>
    <w:p>
      <w:pPr>
        <w:numPr>
          <w:ilvl w:val="0"/>
          <w:numId w:val="1254"/>
        </w:numPr>
        <w:pStyle w:val="Compact"/>
      </w:pPr>
      <w:r>
        <w:rPr>
          <w:bCs/>
          <w:b/>
        </w:rPr>
        <w:t xml:space="preserve">Gewicht:</w:t>
      </w:r>
      <w:r>
        <w:t xml:space="preserve"> </w:t>
      </w:r>
      <w:r>
        <w:t xml:space="preserve">Weil MC4R auch den Appetit steuert, wurde Bremelanotid bei Frauen mit Adipositas getestet. In zwei kleinen Phase-1-Studien sank die Kalorienaufnahme um etwa 400 kcal pro Tag; nach 16 Tagen lag das Gewicht 1,3 kg unter dem der Placebogruppe (Spana 2022, PMID 35170192). Das sind Kurzzeitdaten ohne Aussage über eine Dauerbehandlung.</w:t>
      </w:r>
    </w:p>
    <w:p>
      <w:pPr>
        <w:numPr>
          <w:ilvl w:val="0"/>
          <w:numId w:val="1254"/>
        </w:numPr>
        <w:pStyle w:val="Compact"/>
      </w:pPr>
      <w:r>
        <w:rPr>
          <w:bCs/>
          <w:b/>
        </w:rPr>
        <w:t xml:space="preserve">Gehirn:</w:t>
      </w:r>
      <w:r>
        <w:t xml:space="preserve"> </w:t>
      </w:r>
      <w:r>
        <w:t xml:space="preserve">Die bereits erwähnte fMRT-Studie aus London (Thurston 2022, PMID 36189794; NCT04179734) ist eine der wenigen Arbeiten, die nicht vom Hersteller geleitet wurden.</w:t>
      </w:r>
    </w:p>
    <w:bookmarkEnd w:id="750"/>
    <w:bookmarkEnd w:id="751"/>
    <w:bookmarkStart w:id="752" w:name="tier--und-laborstudien-46"/>
    <w:p>
      <w:pPr>
        <w:pStyle w:val="Heading3"/>
      </w:pPr>
      <w:r>
        <w:t xml:space="preserve">Tier- und Laborstudien</w:t>
      </w:r>
    </w:p>
    <w:p>
      <w:pPr>
        <w:pStyle w:val="FirstParagraph"/>
      </w:pPr>
      <w:r>
        <w:t xml:space="preserve">Die Tierforschung zu Bremelanotid stammt überwiegend von Ratten. Eine Übersicht fasst sie so zusammen: Bremelanotid aktiviert MC4R an Nervenzellen im Hypothalamus, die daraufhin mehr Dopamin freisetzen; bei weiblichen Ratten nahm Verhalten zu, mit dem Weibchen sexuelles Interesse zeigen (Pfaus 2022, PMID 33455598). Die Übersicht stammt von Forschenden mit Verbindung zur Entwicklung des Mittels.</w:t>
      </w:r>
    </w:p>
    <w:p>
      <w:pPr>
        <w:pStyle w:val="BodyText"/>
      </w:pPr>
      <w:r>
        <w:t xml:space="preserve">Eine unabhängige Studie an weiblichen Hamstern kam zu einem ernüchternden Ergebnis: Bremelanotid veränderte weder die Rezeptoren im Belohnungssystem noch verstärkte es den „Belohnungswert“ sexueller Begegnungen in einem Verhaltenstest (Borland 2025, PMID 39793696). Die Autorinnen und Autoren schließen, dass das Mittel nicht über den klassischen Belohnungskreislauf wirkt. Wie es genau wirkt, bleibt also offen.</w:t>
      </w:r>
    </w:p>
    <w:p>
      <w:pPr>
        <w:pStyle w:val="BodyText"/>
      </w:pPr>
      <w:r>
        <w:t xml:space="preserve">In Zellkulturen hemmte Bremelanotid das Wachstum von Glioblastomzellen, einer Hirntumorart (Suzuki 2024, PMID 39197897). Das ist ein reiner Laborbefund ohne klinische Bedeutung.</w:t>
      </w:r>
    </w:p>
    <w:bookmarkEnd w:id="752"/>
    <w:bookmarkStart w:id="756" w:name="risiken-und-nebenwirkungen-46"/>
    <w:p>
      <w:pPr>
        <w:pStyle w:val="Heading3"/>
      </w:pPr>
      <w:r>
        <w:t xml:space="preserve">Risiken und Nebenwirkungen</w:t>
      </w:r>
    </w:p>
    <w:bookmarkStart w:id="753" w:name="belegt-7"/>
    <w:p>
      <w:pPr>
        <w:pStyle w:val="Heading4"/>
      </w:pPr>
      <w:r>
        <w:t xml:space="preserve">Belegt</w:t>
      </w:r>
    </w:p>
    <w:p>
      <w:pPr>
        <w:numPr>
          <w:ilvl w:val="0"/>
          <w:numId w:val="1255"/>
        </w:numPr>
        <w:pStyle w:val="Compact"/>
      </w:pPr>
      <w:r>
        <w:rPr>
          <w:bCs/>
          <w:b/>
        </w:rPr>
        <w:t xml:space="preserve">Übelkeit:</w:t>
      </w:r>
      <w:r>
        <w:t xml:space="preserve"> </w:t>
      </w:r>
      <w:r>
        <w:t xml:space="preserve">die häufigste Nebenwirkung. In den Phase-3-Studien betraf sie 40,0 % gegenüber 1,3 % unter Placebo und war der häufigste Abbruchgrund (Clayton 2022, PMID 35147466). Eine eigene Studie mit 228 gesunden Frauen prüfte, ob das Mittel gegen Übelkeit Ondansetron vorbeugend hilft (NCT03973047).</w:t>
      </w:r>
    </w:p>
    <w:p>
      <w:pPr>
        <w:numPr>
          <w:ilvl w:val="0"/>
          <w:numId w:val="1255"/>
        </w:numPr>
        <w:pStyle w:val="Compact"/>
      </w:pPr>
      <w:r>
        <w:rPr>
          <w:bCs/>
          <w:b/>
        </w:rPr>
        <w:t xml:space="preserve">Hitzegefühl (Flushing)</w:t>
      </w:r>
      <w:r>
        <w:t xml:space="preserve"> </w:t>
      </w:r>
      <w:r>
        <w:t xml:space="preserve">bei 20,3 %,</w:t>
      </w:r>
      <w:r>
        <w:t xml:space="preserve"> </w:t>
      </w:r>
      <w:r>
        <w:rPr>
          <w:bCs/>
          <w:b/>
        </w:rPr>
        <w:t xml:space="preserve">Kopfschmerzen</w:t>
      </w:r>
      <w:r>
        <w:t xml:space="preserve"> </w:t>
      </w:r>
      <w:r>
        <w:t xml:space="preserve">bei 11,3 %,</w:t>
      </w:r>
      <w:r>
        <w:t xml:space="preserve"> </w:t>
      </w:r>
      <w:r>
        <w:rPr>
          <w:bCs/>
          <w:b/>
        </w:rPr>
        <w:t xml:space="preserve">Reaktionen an der Einstichstelle</w:t>
      </w:r>
      <w:r>
        <w:t xml:space="preserve"> </w:t>
      </w:r>
      <w:r>
        <w:t xml:space="preserve">bei 5,4 % (gegenüber 1,3 %, 1,9 % und 0,5 % unter Placebo).</w:t>
      </w:r>
    </w:p>
    <w:p>
      <w:pPr>
        <w:numPr>
          <w:ilvl w:val="0"/>
          <w:numId w:val="1255"/>
        </w:numPr>
        <w:pStyle w:val="Compact"/>
      </w:pPr>
      <w:r>
        <w:rPr>
          <w:bCs/>
          <w:b/>
        </w:rPr>
        <w:t xml:space="preserve">Blutdruck:</w:t>
      </w:r>
      <w:r>
        <w:t xml:space="preserve"> </w:t>
      </w:r>
      <w:r>
        <w:t xml:space="preserve">In einer Studie mit 24-Stunden-Messung bei 397 Frauen stieg der obere Blutdruckwert nach der Gabe vorübergehend um 2,4 bis 3,2 mmHg; die Spitzen dauerten meist weniger als 15 Minuten. Gleichzeitig sank die Herzfrequenz um rund 4,6 Schläge pro Minute (White 2017, PMID 27977473). Die Fachinformation rät deshalb bei unkontrolliertem Bluthochdruck oder bekannter Herz-Kreislauf-Erkrankung von der Anwendung ab.</w:t>
      </w:r>
    </w:p>
    <w:p>
      <w:pPr>
        <w:numPr>
          <w:ilvl w:val="0"/>
          <w:numId w:val="1255"/>
        </w:numPr>
        <w:pStyle w:val="Compact"/>
      </w:pPr>
      <w:r>
        <w:rPr>
          <w:bCs/>
          <w:b/>
        </w:rPr>
        <w:t xml:space="preserve">Pigmentflecken:</w:t>
      </w:r>
      <w:r>
        <w:t xml:space="preserve"> </w:t>
      </w:r>
      <w:r>
        <w:t xml:space="preserve">Bei Anwendung gemäß Fachinformation selten. Wurde Bremelanotid jedoch an bis zu 16 aufeinanderfolgenden Tagen gegeben, entwickelte mehr als ein Drittel der Teilnehmenden umschriebene dunkle Flecken (Clayton 2022, PMID 35147466) – ein Hinweis auf die Restwirkung am Pigment-Rezeptor.</w:t>
      </w:r>
    </w:p>
    <w:p>
      <w:pPr>
        <w:numPr>
          <w:ilvl w:val="0"/>
          <w:numId w:val="1255"/>
        </w:numPr>
        <w:pStyle w:val="Compact"/>
      </w:pPr>
      <w:r>
        <w:rPr>
          <w:bCs/>
          <w:b/>
        </w:rPr>
        <w:t xml:space="preserve">Wechselwirkungen:</w:t>
      </w:r>
      <w:r>
        <w:t xml:space="preserve"> </w:t>
      </w:r>
      <w:r>
        <w:t xml:space="preserve">Bremelanotid verlangsamt die Magenentleerung kurzzeitig und senkte in Studien die Blutspiegel von Indometacin und Naltrexon (Clayton 2022, PMID 35147466).</w:t>
      </w:r>
    </w:p>
    <w:bookmarkEnd w:id="753"/>
    <w:bookmarkStart w:id="754" w:name="offen"/>
    <w:p>
      <w:pPr>
        <w:pStyle w:val="Heading4"/>
      </w:pPr>
      <w:r>
        <w:t xml:space="preserve">Offen</w:t>
      </w:r>
    </w:p>
    <w:p>
      <w:pPr>
        <w:pStyle w:val="FirstParagraph"/>
      </w:pPr>
      <w:r>
        <w:t xml:space="preserve">Für Schwangerschaft liegen keine ausreichenden Daten vor. Eine kleine Studie misst derzeit den Übergang in die Muttermilch (NCT06867835). Langzeitdaten über 18 Monate hinaus fehlen.</w:t>
      </w:r>
    </w:p>
    <w:bookmarkEnd w:id="754"/>
    <w:bookmarkStart w:id="755" w:name="graumarkt-1"/>
    <w:p>
      <w:pPr>
        <w:pStyle w:val="Heading4"/>
      </w:pPr>
      <w:r>
        <w:t xml:space="preserve">Graumarkt</w:t>
      </w:r>
    </w:p>
    <w:p>
      <w:pPr>
        <w:pStyle w:val="FirstParagraph"/>
      </w:pPr>
      <w:r>
        <w:t xml:space="preserve">Unter dem Namen „PT-141“ wird Bremelanotid im Internet als Pulver zur Selbstinjektion angeboten, häufig neben Melanotan II. Forensische Labore identifizierten beide Stoffe in von der Polizei beschlagnahmten Proben aus dem Bodybuilding-Umfeld (Mestria 2021, PMID 33245851). Für solche Produkte gelten dieselben Risiken wie bei anderen Graumarkt-Peptiden (Teil I, Kapitel „Der Graumarkt“): unbekannte Reinheit, falsche Mengen, Verunreinigungen, unsterile Herstellung. Vom Bremelanotid-Nasenspray ist bekannt, dass es stärker auf den Blutdruck wirkte; Graumarkt-Sprays sind nicht geprüft.</w:t>
      </w:r>
    </w:p>
    <w:bookmarkEnd w:id="755"/>
    <w:bookmarkEnd w:id="756"/>
    <w:bookmarkStart w:id="757" w:name="rechtslage-46"/>
    <w:p>
      <w:pPr>
        <w:pStyle w:val="Heading3"/>
      </w:pPr>
      <w:r>
        <w:t xml:space="preserve">Rechtslage</w:t>
      </w:r>
    </w:p>
    <w:p>
      <w:pPr>
        <w:pStyle w:val="FirstParagraph"/>
      </w:pPr>
      <w:r>
        <w:rPr>
          <w:iCs/>
          <w:i/>
        </w:rPr>
        <w:t xml:space="preserve">Stand 2026, bitte aktuell prüfen.</w:t>
      </w:r>
    </w:p>
    <w:p>
      <w:pPr>
        <w:numPr>
          <w:ilvl w:val="0"/>
          <w:numId w:val="1256"/>
        </w:numPr>
        <w:pStyle w:val="Compact"/>
      </w:pPr>
      <w:r>
        <w:rPr>
          <w:bCs/>
          <w:b/>
        </w:rPr>
        <w:t xml:space="preserve">EU:</w:t>
      </w:r>
      <w:r>
        <w:t xml:space="preserve"> </w:t>
      </w:r>
      <w:r>
        <w:t xml:space="preserve">keine Zulassung, auch kein laufendes Zulassungsverfahren bekannt. Der Verkauf zur Anwendung am Menschen ist in der EU unzulässig.</w:t>
      </w:r>
    </w:p>
    <w:p>
      <w:pPr>
        <w:numPr>
          <w:ilvl w:val="0"/>
          <w:numId w:val="1256"/>
        </w:numPr>
        <w:pStyle w:val="Compact"/>
      </w:pPr>
      <w:r>
        <w:rPr>
          <w:bCs/>
          <w:b/>
        </w:rPr>
        <w:t xml:space="preserve">Deutschland und Österreich:</w:t>
      </w:r>
      <w:r>
        <w:t xml:space="preserve"> </w:t>
      </w:r>
      <w:r>
        <w:t xml:space="preserve">keine Zulassung. Eine Einzeleinfuhr eines in den USA zugelassenen Arzneimittels auf ärztliche Verordnung ist rechtlich eng begrenzt möglich; Graumarkt-Produkte fallen nicht darunter.</w:t>
      </w:r>
    </w:p>
    <w:p>
      <w:pPr>
        <w:numPr>
          <w:ilvl w:val="0"/>
          <w:numId w:val="1256"/>
        </w:numPr>
        <w:pStyle w:val="Compact"/>
      </w:pPr>
      <w:r>
        <w:rPr>
          <w:bCs/>
          <w:b/>
        </w:rPr>
        <w:t xml:space="preserve">USA:</w:t>
      </w:r>
      <w:r>
        <w:t xml:space="preserve"> </w:t>
      </w:r>
      <w:r>
        <w:t xml:space="preserve">zugelassen seit Juni 2019 (Vyleesi) für Frauen vor den Wechseljahren mit erworbener, generalisierter HSDD. Nicht zugelassen für Männer, für Frauen nach den Wechseljahren oder zur Steigerung der Lust bei Gesunden. Die Vermarktungsrechte wechselten mehrfach; laut Registereinträgen ist inzwischen die Firma Cosette Pharmaceuticals verantwortlich.</w:t>
      </w:r>
    </w:p>
    <w:p>
      <w:pPr>
        <w:numPr>
          <w:ilvl w:val="0"/>
          <w:numId w:val="1256"/>
        </w:numPr>
        <w:pStyle w:val="Compact"/>
      </w:pPr>
      <w:r>
        <w:rPr>
          <w:bCs/>
          <w:b/>
        </w:rPr>
        <w:t xml:space="preserve">Andere Länder:</w:t>
      </w:r>
      <w:r>
        <w:t xml:space="preserve"> </w:t>
      </w:r>
      <w:r>
        <w:t xml:space="preserve">In Südkorea lief eine Brückenstudie mit 193 Frauen für eine dortige Zulassung (NCT04943068).</w:t>
      </w:r>
    </w:p>
    <w:p>
      <w:pPr>
        <w:numPr>
          <w:ilvl w:val="0"/>
          <w:numId w:val="1256"/>
        </w:numPr>
        <w:pStyle w:val="Compact"/>
      </w:pPr>
      <w:r>
        <w:rPr>
          <w:bCs/>
          <w:b/>
        </w:rPr>
        <w:t xml:space="preserve">WADA:</w:t>
      </w:r>
      <w:r>
        <w:t xml:space="preserve"> </w:t>
      </w:r>
      <w:r>
        <w:t xml:space="preserve">nicht namentlich gelistet. Bitte die aktuelle Verbotsliste prüfen.</w:t>
      </w:r>
    </w:p>
    <w:bookmarkEnd w:id="757"/>
    <w:bookmarkStart w:id="758" w:name="laufende-studien-und-ausblick-46"/>
    <w:p>
      <w:pPr>
        <w:pStyle w:val="Heading3"/>
      </w:pPr>
      <w:r>
        <w:t xml:space="preserve">Laufende Studien und Ausblick</w:t>
      </w:r>
    </w:p>
    <w:p>
      <w:pPr>
        <w:pStyle w:val="FirstParagraph"/>
      </w:pPr>
      <w:r>
        <w:rPr>
          <w:bCs/>
          <w:b/>
        </w:rPr>
        <w:t xml:space="preserve">Gesichert (registrierte Studien):</w:t>
      </w:r>
    </w:p>
    <w:p>
      <w:pPr>
        <w:numPr>
          <w:ilvl w:val="0"/>
          <w:numId w:val="1257"/>
        </w:numPr>
        <w:pStyle w:val="Compact"/>
      </w:pPr>
      <w:r>
        <w:t xml:space="preserve">Eine Phase-2-Studie mit 108 Personen prüft Bremelanotid zusätzlich zu Tirzepatid bei Adipositas (NCT06565611). Hintergrund ist die appetitsenkende Wirkung über MC4R. Veröffentlichte, begutachtete Ergebnisse lagen bei Redaktionsschluss nicht in PubMed vor.</w:t>
      </w:r>
    </w:p>
    <w:p>
      <w:pPr>
        <w:numPr>
          <w:ilvl w:val="0"/>
          <w:numId w:val="1257"/>
        </w:numPr>
        <w:pStyle w:val="Compact"/>
      </w:pPr>
      <w:r>
        <w:t xml:space="preserve">Eine kleine offene Phase-2-Studie mit 16 Personen bei diabetischer Nierenerkrankung ist abgeschlossen (NCT05709444), ebenfalls ohne veröffentlichtes Ergebnis in PubMed.</w:t>
      </w:r>
    </w:p>
    <w:p>
      <w:pPr>
        <w:numPr>
          <w:ilvl w:val="0"/>
          <w:numId w:val="1257"/>
        </w:numPr>
        <w:pStyle w:val="Compact"/>
      </w:pPr>
      <w:r>
        <w:t xml:space="preserve">Die Stillstudie (NCT06867835) mit 10 Frauen wurde 2025 abgeschlossen.</w:t>
      </w:r>
    </w:p>
    <w:p>
      <w:pPr>
        <w:pStyle w:val="FirstParagraph"/>
      </w:pPr>
      <w:r>
        <w:rPr>
          <w:bCs/>
          <w:b/>
        </w:rPr>
        <w:t xml:space="preserve">Einschätzung des Autors:</w:t>
      </w:r>
      <w:r>
        <w:t xml:space="preserve"> </w:t>
      </w:r>
      <w:r>
        <w:t xml:space="preserve">Für die Zulassung in Europa fehlt nach heutigem Stand das wirtschaftliche Interesse; ein Antrag ist nicht bekannt. Spannender ist die Rolle von MC4R in der Adipositasforschung, wo mit Setmelanotid (Kapitel in Teil II · A) bereits ein MC4R-Agonist für seltene genetische Formen zugelassen ist. Ob Bremelanotid hier eine Nische findet, entscheidet sich an den noch ausstehenden Studienergebnissen.</w:t>
      </w:r>
    </w:p>
    <w:bookmarkEnd w:id="758"/>
    <w:bookmarkStart w:id="759" w:name="fazit-46"/>
    <w:p>
      <w:pPr>
        <w:pStyle w:val="Heading3"/>
      </w:pPr>
      <w:r>
        <w:t xml:space="preserve">Fazit</w:t>
      </w:r>
    </w:p>
    <w:p>
      <w:pPr>
        <w:pStyle w:val="FirstParagraph"/>
      </w:pPr>
      <w:r>
        <w:t xml:space="preserve">Bremelanotid ist das einzige zugelassene Medikament, das über das Melanocortin-System im Gehirn auf das sexuelle Verlangen zielt – allerdings nur in den USA und nur für eine eng umrissene Gruppe von Frauen. In zwei großen Phase-3-Studien verbesserten sich Verlangen und Leidensdruck statistisch eindeutig, aber in kleinem Ausmaß und bei hohem Placeboeffekt. Übelkeit trifft fast die Hälfte der Anwenderinnen und führt häufig zum Abbruch; kurzzeitige Blutdruckanstiege erfordern Vorsicht bei Herz-Kreislauf-Risiken. Graumarkt-Produkte unter dem Namen „PT-141“ sind ungeprüft, und für Männer oder Menschen ohne Diagnose fehlt jede zulassungsreife Evidenz.</w:t>
      </w:r>
    </w:p>
    <w:bookmarkEnd w:id="759"/>
    <w:bookmarkEnd w:id="760"/>
    <w:bookmarkStart w:id="776" w:name="melanotan-ii"/>
    <w:p>
      <w:pPr>
        <w:pStyle w:val="Heading2"/>
      </w:pPr>
      <w:r>
        <w:t xml:space="preserve">Melanotan II</w:t>
      </w:r>
    </w:p>
    <w:bookmarkStart w:id="761" w:name="steckbrief-47"/>
    <w:p>
      <w:pPr>
        <w:pStyle w:val="Heading3"/>
      </w:pPr>
      <w:r>
        <w:t xml:space="preserve">Steckbrief</w:t>
      </w:r>
    </w:p>
    <w:p>
      <w:pPr>
        <w:numPr>
          <w:ilvl w:val="0"/>
          <w:numId w:val="1258"/>
        </w:numPr>
        <w:pStyle w:val="Compact"/>
      </w:pPr>
      <w:r>
        <w:rPr>
          <w:bCs/>
          <w:b/>
        </w:rPr>
        <w:t xml:space="preserve">Art/Struktur:</w:t>
      </w:r>
      <w:r>
        <w:t xml:space="preserve"> </w:t>
      </w:r>
      <w:r>
        <w:t xml:space="preserve">ringförmiges (zyklisches) Peptid aus sieben Aminosäuren, eine verkürzte und chemisch stabilisierte Abwandlung des körpereigenen Hormons Alpha-MSH. Die Ringstruktur schützt vor raschem Abbau und macht das Molekül deutlich wirksamer als das natürliche Vorbild (Dorr 1996, PMID 8637402).</w:t>
      </w:r>
    </w:p>
    <w:p>
      <w:pPr>
        <w:numPr>
          <w:ilvl w:val="0"/>
          <w:numId w:val="1258"/>
        </w:numPr>
        <w:pStyle w:val="Compact"/>
      </w:pPr>
      <w:r>
        <w:rPr>
          <w:bCs/>
          <w:b/>
        </w:rPr>
        <w:t xml:space="preserve">Herkunft:</w:t>
      </w:r>
      <w:r>
        <w:t xml:space="preserve"> </w:t>
      </w:r>
      <w:r>
        <w:t xml:space="preserve">entwickelt Ende der 1980er- und Anfang der 1990er-Jahre an der Universität von Arizona in Tucson, ursprünglich mit dem Ziel, eine Bräunung ohne Sonne zu erzeugen und so Hautkrebs vorzubeugen (Hadley 2006, PMID 16412534).</w:t>
      </w:r>
    </w:p>
    <w:p>
      <w:pPr>
        <w:numPr>
          <w:ilvl w:val="0"/>
          <w:numId w:val="1258"/>
        </w:numPr>
        <w:pStyle w:val="Compact"/>
      </w:pPr>
      <w:r>
        <w:rPr>
          <w:bCs/>
          <w:b/>
        </w:rPr>
        <w:t xml:space="preserve">Wirkprinzip:</w:t>
      </w:r>
      <w:r>
        <w:t xml:space="preserve"> </w:t>
      </w:r>
      <w:r>
        <w:t xml:space="preserve">nicht-selektiver Agonist an Melanocortin-Rezeptoren: MC1R (Pigmentbildung in der Haut), MC3R und MC4R (Appetit, Sexualfunktion) und weitere.</w:t>
      </w:r>
    </w:p>
    <w:p>
      <w:pPr>
        <w:numPr>
          <w:ilvl w:val="0"/>
          <w:numId w:val="1258"/>
        </w:numPr>
        <w:pStyle w:val="Compact"/>
      </w:pPr>
      <w:r>
        <w:rPr>
          <w:bCs/>
          <w:b/>
        </w:rPr>
        <w:t xml:space="preserve">Zulassung EU:</w:t>
      </w:r>
      <w:r>
        <w:t xml:space="preserve"> </w:t>
      </w:r>
      <w:r>
        <w:t xml:space="preserve">nein.</w:t>
      </w:r>
    </w:p>
    <w:p>
      <w:pPr>
        <w:numPr>
          <w:ilvl w:val="0"/>
          <w:numId w:val="1258"/>
        </w:numPr>
        <w:pStyle w:val="Compact"/>
      </w:pPr>
      <w:r>
        <w:rPr>
          <w:bCs/>
          <w:b/>
        </w:rPr>
        <w:t xml:space="preserve">Zulassung USA:</w:t>
      </w:r>
      <w:r>
        <w:t xml:space="preserve"> </w:t>
      </w:r>
      <w:r>
        <w:t xml:space="preserve">nein.</w:t>
      </w:r>
    </w:p>
    <w:p>
      <w:pPr>
        <w:numPr>
          <w:ilvl w:val="0"/>
          <w:numId w:val="1258"/>
        </w:numPr>
        <w:pStyle w:val="Compact"/>
      </w:pPr>
      <w:r>
        <w:rPr>
          <w:bCs/>
          <w:b/>
        </w:rPr>
        <w:t xml:space="preserve">WADA:</w:t>
      </w:r>
      <w:r>
        <w:t xml:space="preserve"> </w:t>
      </w:r>
      <w:r>
        <w:t xml:space="preserve">nicht namentlich genannt; als nirgends zugelassener Wirkstoff fällt es unter die Gruppe S0 (nicht zugelassene Substanzen) und ist damit jederzeit verboten (Stand 2026, bitte aktuell prüfen).</w:t>
      </w:r>
    </w:p>
    <w:p>
      <w:pPr>
        <w:numPr>
          <w:ilvl w:val="0"/>
          <w:numId w:val="1258"/>
        </w:numPr>
        <w:pStyle w:val="Compact"/>
      </w:pPr>
      <w:r>
        <w:rPr>
          <w:bCs/>
          <w:b/>
        </w:rPr>
        <w:t xml:space="preserve">Evidenzstufe:</w:t>
      </w:r>
      <w:r>
        <w:t xml:space="preserve"> </w:t>
      </w:r>
      <w:r>
        <w:rPr>
          <w:bCs/>
          <w:b/>
        </w:rPr>
        <w:t xml:space="preserve">C</w:t>
      </w:r>
      <w:r>
        <w:t xml:space="preserve"> </w:t>
      </w:r>
      <w:r>
        <w:t xml:space="preserve">– nur sehr kleine Pilotstudien aus den 1990er-Jahren mit insgesamt rund zwei Dutzend Teilnehmenden, ergänzt durch zahlreiche Fallberichte über Nebenwirkungen bei unkontrollierter Selbstanwendung.</w:t>
      </w:r>
    </w:p>
    <w:bookmarkEnd w:id="761"/>
    <w:bookmarkStart w:id="762" w:name="wie-es-wirken-soll-47"/>
    <w:p>
      <w:pPr>
        <w:pStyle w:val="Heading3"/>
      </w:pPr>
      <w:r>
        <w:t xml:space="preserve">Wie es wirken soll</w:t>
      </w:r>
    </w:p>
    <w:p>
      <w:pPr>
        <w:pStyle w:val="FirstParagraph"/>
      </w:pPr>
      <w:r>
        <w:t xml:space="preserve">Die Haut bräunt, wenn Pigmentzellen (Melanozyten) mehr Melanin bilden. Das Signal dafür liefert unter anderem das Hormon Alpha-MSH, das an den Rezeptor MC1R auf den Pigmentzellen bindet. Nach einem Sonnenbad steigt die Alpha-MSH-Bildung in der Haut, und die Pigmentzellen schalten auf das dunkle, schützende Eumelanin um.</w:t>
      </w:r>
    </w:p>
    <w:p>
      <w:pPr>
        <w:pStyle w:val="BodyText"/>
      </w:pPr>
      <w:r>
        <w:t xml:space="preserve">Melanotan II ahmt dieses Signal nach – ohne dass vorher UV-Strahlung die Haut schädigen muss. Das war der ursprüngliche Gedanke: eine „Bräune aus der Spritze“, die vor Sonnenbrand schützt. Das Problem: Melanotan II bindet nicht nur an MC1R, sondern auch an die Rezeptoren MC3R und MC4R im Gehirn. Diese steuern Appetit, Energieverbrauch und sexuelle Erregung. Daher kommen die typischen Begleitwirkungen: Übelkeit, Gähnen und Strecken, verminderter Appetit und spontane Erektionen.</w:t>
      </w:r>
    </w:p>
    <w:p>
      <w:pPr>
        <w:pStyle w:val="BodyText"/>
      </w:pPr>
      <w:r>
        <w:t xml:space="preserve">Aus der Erforschung dieser „Nebenwirkung“ gingen zwei andere Wirkstoffe hervor, die im Gegensatz zu Melanotan II klinisch weiterentwickelt wurden:</w:t>
      </w:r>
    </w:p>
    <w:p>
      <w:pPr>
        <w:numPr>
          <w:ilvl w:val="0"/>
          <w:numId w:val="1259"/>
        </w:numPr>
        <w:pStyle w:val="Compact"/>
      </w:pPr>
      <w:r>
        <w:rPr>
          <w:bCs/>
          <w:b/>
        </w:rPr>
        <w:t xml:space="preserve">Afamelanotid</w:t>
      </w:r>
      <w:r>
        <w:t xml:space="preserve">, früher Melanotan I genannt, ist ein lineares, längeres Molekül, das bevorzugt auf die Haut wirkt und als Implantat für eine seltene Lichtkrankheit zugelassen ist (Kapitel 2E03).</w:t>
      </w:r>
    </w:p>
    <w:p>
      <w:pPr>
        <w:numPr>
          <w:ilvl w:val="0"/>
          <w:numId w:val="1259"/>
        </w:numPr>
        <w:pStyle w:val="Compact"/>
      </w:pPr>
      <w:r>
        <w:rPr>
          <w:bCs/>
          <w:b/>
        </w:rPr>
        <w:t xml:space="preserve">Bremelanotid</w:t>
      </w:r>
      <w:r>
        <w:t xml:space="preserve"> </w:t>
      </w:r>
      <w:r>
        <w:t xml:space="preserve">(PT-141) ist eine leicht abgewandelte Form von Melanotan II, die für die Behandlung geringen sexuellen Verlangens bei Frauen in den USA zugelassen ist (Kapitel 2E01).</w:t>
      </w:r>
    </w:p>
    <w:p>
      <w:pPr>
        <w:pStyle w:val="FirstParagraph"/>
      </w:pPr>
      <w:r>
        <w:t xml:space="preserve">Im Internet werden diese Namen oft vermischt. „Melanotan“ ohne Zusatz kann je nach Anbieter das eine oder das andere bezeichnen – oder etwas ganz anderes (Langan 2011, PMID 21547334).</w:t>
      </w:r>
    </w:p>
    <w:bookmarkEnd w:id="762"/>
    <w:bookmarkStart w:id="766" w:name="studien-am-menschen-47"/>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8</w:t>
      </w:r>
      <w:r>
        <w:t xml:space="preserve"> </w:t>
      </w:r>
      <w:r>
        <w:t xml:space="preserve">Humanstudien in PubMed (</w:t>
      </w:r>
      <w:r>
        <w:rPr>
          <w:rStyle w:val="VerbatimChar"/>
        </w:rPr>
        <w:t xml:space="preserve">humanstudien_alle</w:t>
      </w:r>
      <w:r>
        <w:t xml:space="preserve">) und einen einzigen Eintrag bei ClinicalTrials.gov, der sich bei Prüfung als nicht vertrauenswürdig erwies (siehe Ausblick) – es gibt also</w:t>
      </w:r>
      <w:r>
        <w:t xml:space="preserve"> </w:t>
      </w:r>
      <w:r>
        <w:rPr>
          <w:bCs/>
          <w:b/>
        </w:rPr>
        <w:t xml:space="preserve">0</w:t>
      </w:r>
      <w:r>
        <w:t xml:space="preserve"> </w:t>
      </w:r>
      <w:r>
        <w:t xml:space="preserve">belastbare Registerstudien. Auch die PubMed-Zahl täuscht: Vier der acht Studien untersuchten Melanotan I, also das spätere Afamelanotid, nicht Melanotan II. Zu Melanotan II selbst gibt es nur drei kleine Originalstudien und eine Zusammenfassung derselben Forschungsgruppe. Weit umfangreicher ist die Literatur zu Nebenwirkungen: Fallberichte, Fallserien, Analysen von Internetforen und Laboruntersuchungen von Graumarkt-Produkten.</w:t>
      </w:r>
    </w:p>
    <w:bookmarkStart w:id="763" w:name="die-klinischen-studien-der-1990er-jahre"/>
    <w:p>
      <w:pPr>
        <w:pStyle w:val="Heading4"/>
      </w:pPr>
      <w:r>
        <w:t xml:space="preserve">Die klinischen Studien der 1990er-Jahre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Dorr 1996, PMID 8637402</w:t>
            </w:r>
          </w:p>
        </w:tc>
        <w:tc>
          <w:tcPr/>
          <w:p>
            <w:pPr>
              <w:pStyle w:val="Compact"/>
              <w:jc w:val="left"/>
            </w:pPr>
            <w:r>
              <w:t xml:space="preserve">3 gesunde Männer, einfach verblindet, abwechselnd Wirkstoff und Kochsalz</w:t>
            </w:r>
          </w:p>
        </w:tc>
        <w:tc>
          <w:tcPr/>
          <w:p>
            <w:pPr>
              <w:pStyle w:val="Compact"/>
              <w:jc w:val="left"/>
            </w:pPr>
            <w:r>
              <w:t xml:space="preserve">2 Wochen</w:t>
            </w:r>
          </w:p>
        </w:tc>
        <w:tc>
          <w:tcPr/>
          <w:p>
            <w:pPr>
              <w:pStyle w:val="Compact"/>
              <w:jc w:val="left"/>
            </w:pPr>
            <w:r>
              <w:t xml:space="preserve">Bräunung in Gesicht, Oberkörper und Gesäß bei 2 von 3; spontane Erektionen; Übelkeit, Müdigkeit</w:t>
            </w:r>
          </w:p>
        </w:tc>
      </w:tr>
      <w:tr>
        <w:tc>
          <w:tcPr/>
          <w:p>
            <w:pPr>
              <w:pStyle w:val="Compact"/>
              <w:jc w:val="left"/>
            </w:pPr>
            <w:r>
              <w:t xml:space="preserve">Wessells 1998, PMID 9679884</w:t>
            </w:r>
          </w:p>
        </w:tc>
        <w:tc>
          <w:tcPr/>
          <w:p>
            <w:pPr>
              <w:pStyle w:val="Compact"/>
              <w:jc w:val="left"/>
            </w:pPr>
            <w:r>
              <w:t xml:space="preserve">10 Männer mit psychisch bedingter Erektionsstörung, doppelblinde Kreuzstudie gegen Placebo</w:t>
            </w:r>
          </w:p>
        </w:tc>
        <w:tc>
          <w:tcPr/>
          <w:p>
            <w:pPr>
              <w:pStyle w:val="Compact"/>
              <w:jc w:val="left"/>
            </w:pPr>
            <w:r>
              <w:t xml:space="preserve">Einzelgaben</w:t>
            </w:r>
          </w:p>
        </w:tc>
        <w:tc>
          <w:tcPr/>
          <w:p>
            <w:pPr>
              <w:pStyle w:val="Compact"/>
              <w:jc w:val="left"/>
            </w:pPr>
            <w:r>
              <w:t xml:space="preserve">Erektionen bei 8 von 10; Dauer hoher Steifigkeit 38,0 vs. 3,0 Minuten</w:t>
            </w:r>
          </w:p>
        </w:tc>
      </w:tr>
      <w:tr>
        <w:tc>
          <w:tcPr/>
          <w:p>
            <w:pPr>
              <w:pStyle w:val="Compact"/>
              <w:jc w:val="left"/>
            </w:pPr>
            <w:r>
              <w:t xml:space="preserve">Wessells 2000, PMID 11018622</w:t>
            </w:r>
          </w:p>
        </w:tc>
        <w:tc>
          <w:tcPr/>
          <w:p>
            <w:pPr>
              <w:pStyle w:val="Compact"/>
              <w:jc w:val="left"/>
            </w:pPr>
            <w:r>
              <w:t xml:space="preserve">10 Männer mit organisch bedingter Erektionsstörung, doppelblinde Kreuzstudie</w:t>
            </w:r>
          </w:p>
        </w:tc>
        <w:tc>
          <w:tcPr/>
          <w:p>
            <w:pPr>
              <w:pStyle w:val="Compact"/>
              <w:jc w:val="left"/>
            </w:pPr>
            <w:r>
              <w:t xml:space="preserve">Einzelgaben</w:t>
            </w:r>
          </w:p>
        </w:tc>
        <w:tc>
          <w:tcPr/>
          <w:p>
            <w:pPr>
              <w:pStyle w:val="Compact"/>
              <w:jc w:val="left"/>
            </w:pPr>
            <w:r>
              <w:t xml:space="preserve">Erektionen nach 12 von 19 Injektionen vs. 1 von 21 Placebogaben; 4 von 19 Injektionen mit starker Übelkeit</w:t>
            </w:r>
          </w:p>
        </w:tc>
      </w:tr>
      <w:tr>
        <w:tc>
          <w:tcPr/>
          <w:p>
            <w:pPr>
              <w:pStyle w:val="Compact"/>
              <w:jc w:val="left"/>
            </w:pPr>
            <w:r>
              <w:t xml:space="preserve">Wessells 2000 (Zusammenfassung), PMID 11035391</w:t>
            </w:r>
          </w:p>
        </w:tc>
        <w:tc>
          <w:tcPr/>
          <w:p>
            <w:pPr>
              <w:pStyle w:val="Compact"/>
              <w:jc w:val="left"/>
            </w:pPr>
            <w:r>
              <w:t xml:space="preserve">beide Studien zusammen, 20 Männer</w:t>
            </w:r>
          </w:p>
        </w:tc>
        <w:tc>
          <w:tcPr/>
          <w:p>
            <w:pPr>
              <w:pStyle w:val="Compact"/>
              <w:jc w:val="left"/>
            </w:pPr>
            <w:r>
              <w:t xml:space="preserve">Einzelgaben</w:t>
            </w:r>
          </w:p>
        </w:tc>
        <w:tc>
          <w:tcPr/>
          <w:p>
            <w:pPr>
              <w:pStyle w:val="Compact"/>
              <w:jc w:val="left"/>
            </w:pPr>
            <w:r>
              <w:t xml:space="preserve">Erektionen ohne sexuelle Reize bei 17 von 20; mehr Verlangen nach 68 % vs. 19 % der Gaben</w:t>
            </w:r>
          </w:p>
        </w:tc>
      </w:tr>
    </w:tbl>
    <w:p>
      <w:pPr>
        <w:pStyle w:val="BodyText"/>
      </w:pPr>
      <w:r>
        <w:t xml:space="preserve">Die erste Studie am Menschen (Dorr 1996, PMID 8637402) war eine Pilotstudie mit nur drei Männern. Schon hier zeigten sich alle Wirkungen, die später Nutzer im Internet beschreiben: Zwei der drei Männer bräunten sichtbar, alle bekamen leichte Übelkeit, einer stärkere Müdigkeit. Ein „Streck- und Gähnkomplex“ ging mit spontanen Erektionen einher, die je nach Dosis eine bis fünf Stunden lang immer wieder auftraten.</w:t>
      </w:r>
    </w:p>
    <w:p>
      <w:pPr>
        <w:pStyle w:val="BodyText"/>
      </w:pPr>
      <w:r>
        <w:t xml:space="preserve">Die Arbeitsgruppe um den Urologen Hunter Wessells verfolgte daraufhin die Erektionswirkung. In zwei kleinen Kreuzstudien (jeder Teilnehmer erhielt in zufälliger Reihenfolge Wirkstoff und Placebo) löste Melanotan II bei der Mehrzahl der Männer mit Erektionsstörung Erektionen aus, auch ohne sexuelle Reize (Wessells 1998, PMID 9679884; Wessells 2000, PMID 11018622). In der Zusammenfassung beider Studien berichteten die Männer nach 68 % der Melanotan-Gaben über gesteigertes Verlangen, nach Placebo bei 19 %. Bei 12,9 % trat starke Übelkeit auf (Wessells 2000, PMID 11035391).</w:t>
      </w:r>
    </w:p>
    <w:p>
      <w:pPr>
        <w:pStyle w:val="BodyText"/>
      </w:pPr>
      <w:r>
        <w:t xml:space="preserve">Danach endete die klinische Forschung an Melanotan II. Die Entwicklung wechselte zu Bremelanotid, das als Nasenspray und später als Spritze geprüft wurde. Zur Hautbräunung bei Gesunden gibt es keine einzige kontrollierte Studie mit Melanotan II.</w:t>
      </w:r>
    </w:p>
    <w:bookmarkEnd w:id="763"/>
    <w:bookmarkStart w:id="764" w:name="die-studien-zu-melanotan-i"/>
    <w:p>
      <w:pPr>
        <w:pStyle w:val="Heading4"/>
      </w:pPr>
      <w:r>
        <w:t xml:space="preserve">Die Studien zu Melanotan I</w:t>
      </w:r>
    </w:p>
    <w:p>
      <w:pPr>
        <w:pStyle w:val="FirstParagraph"/>
      </w:pPr>
      <w:r>
        <w:t xml:space="preserve">Zur Einordnung: Die übrigen Studien der Datenbankabfrage betreffen Melanotan I. In ihnen bildeten Freiwillige nach Injektionen mehr Eumelanin, in der Unterarmhaut fast doppelt so viel wie zuvor (Dorr 2000, PMID 11045725). In Kombination mit Sonnenlicht verstärkte und verlängerte sich die Bräune (Dorr 2004, PMID 15262693). Diese Ergebnisse gehören zur Geschichte von Afamelanotid und lassen sich nicht auf Melanotan II übertragen, das stärker im Gehirn wirkt.</w:t>
      </w:r>
    </w:p>
    <w:bookmarkEnd w:id="764"/>
    <w:bookmarkStart w:id="765" w:name="wer-melanotan-ii-verwendet"/>
    <w:p>
      <w:pPr>
        <w:pStyle w:val="Heading4"/>
      </w:pPr>
      <w:r>
        <w:t xml:space="preserve">Wer Melanotan II verwendet</w:t>
      </w:r>
    </w:p>
    <w:p>
      <w:pPr>
        <w:pStyle w:val="FirstParagraph"/>
      </w:pPr>
      <w:r>
        <w:t xml:space="preserve">Weil Melanotan II nie zugelassen wurde, stammt fast alles Wissen über die heutige Anwendung aus Beobachtungen außerhalb von Studien. Bereits 2009 beschrieben britische Fachleute im British Medical Journal die Verbreitung von Melanotan I und II in der Allgemeinbevölkerung (Evans-Brown 2009, PMID 19224885). Eine systematische Übersicht zählte Melanotan zu den häufig gespritzten Mitteln zur Körper- und Leistungsoptimierung neben anabolen Steroiden und Wachstumshormon (Brennan 2017, PMID 26806443).</w:t>
      </w:r>
    </w:p>
    <w:p>
      <w:pPr>
        <w:pStyle w:val="BodyText"/>
      </w:pPr>
      <w:r>
        <w:t xml:space="preserve">Eine Analyse britischer und irischer Internetforen aus den Jahren 2016 und 2017 wertete 623 Beiträge von 205 Personen aus (Gilhooley 2021, PMID 34464955). Als Motive nannten die Nutzerinnen und Nutzer vor allem einen gebräunten Teint vor Urlauben und vor Bodybuilding-Wettkämpfen. Die Foren zeigten Fehlinformationen, selbst entwickelte Dosierschemata, die Kombination mit Solarien und weitere riskante Praktiken. Eine Online-Umfrage unter Nutzern beschreibt, wie leicht die Substanz zu bekommen war (Callaghan 2018, PMID 30142729).</w:t>
      </w:r>
    </w:p>
    <w:p>
      <w:pPr>
        <w:pStyle w:val="BodyText"/>
      </w:pPr>
      <w:r>
        <w:t xml:space="preserve">In den letzten Jahren hat sich die Werbung zunehmend in soziale Medien wie TikTok verlagert, wo Melanotan als „Barbie Drug“ beworben wird. Mehrere dermatologische Fachzeitschriften haben solche Inhalte analysiert und warnen vor der Verharmlosung (Orr 2025, PMID 38808957; Herlihy 2025, PMID 39148422; Sidhu 2026, PMID 41559011).</w:t>
      </w:r>
    </w:p>
    <w:bookmarkEnd w:id="765"/>
    <w:bookmarkEnd w:id="766"/>
    <w:bookmarkStart w:id="767" w:name="tier--und-laborstudien-47"/>
    <w:p>
      <w:pPr>
        <w:pStyle w:val="Heading3"/>
      </w:pPr>
      <w:r>
        <w:t xml:space="preserve">Tier- und Laborstudien</w:t>
      </w:r>
    </w:p>
    <w:p>
      <w:pPr>
        <w:pStyle w:val="FirstParagraph"/>
      </w:pPr>
      <w:r>
        <w:t xml:space="preserve">Melanotan II ist in der Grundlagenforschung ein Standardwerkzeug, um Melanocortin-Rezeptoren zu aktivieren. Entsprechend zahlreich sind Tierversuche, die aber meist Fragen der Hirnforschung beantworten und nicht die Sicherheit beim Menschen betreffen:</w:t>
      </w:r>
    </w:p>
    <w:p>
      <w:pPr>
        <w:numPr>
          <w:ilvl w:val="0"/>
          <w:numId w:val="1260"/>
        </w:numPr>
        <w:pStyle w:val="Compact"/>
      </w:pPr>
      <w:r>
        <w:rPr>
          <w:bCs/>
          <w:b/>
        </w:rPr>
        <w:t xml:space="preserve">Gewicht und Fett:</w:t>
      </w:r>
      <w:r>
        <w:t xml:space="preserve"> </w:t>
      </w:r>
      <w:r>
        <w:t xml:space="preserve">Bei übergewichtigen Mäusen und Ratten auf fettreicher Diät senkte Melanotan II Gewicht und Fettmasse, vor allem über geringere Nahrungsaufnahme (Strader 2007, PMID 17567964).</w:t>
      </w:r>
    </w:p>
    <w:p>
      <w:pPr>
        <w:numPr>
          <w:ilvl w:val="0"/>
          <w:numId w:val="1260"/>
        </w:numPr>
        <w:pStyle w:val="Compact"/>
      </w:pPr>
      <w:r>
        <w:rPr>
          <w:bCs/>
          <w:b/>
        </w:rPr>
        <w:t xml:space="preserve">Körpertemperatur:</w:t>
      </w:r>
      <w:r>
        <w:t xml:space="preserve"> </w:t>
      </w:r>
      <w:r>
        <w:t xml:space="preserve">Bei Mäusen löste es eine vorübergehende starke Unterkühlung aus, vermittelt über Mastzellen und Histamin (Jain 2018, PMID 29812984).</w:t>
      </w:r>
    </w:p>
    <w:p>
      <w:pPr>
        <w:numPr>
          <w:ilvl w:val="0"/>
          <w:numId w:val="1260"/>
        </w:numPr>
        <w:pStyle w:val="Compact"/>
      </w:pPr>
      <w:r>
        <w:rPr>
          <w:bCs/>
          <w:b/>
        </w:rPr>
        <w:t xml:space="preserve">Sozialverhalten:</w:t>
      </w:r>
      <w:r>
        <w:t xml:space="preserve"> </w:t>
      </w:r>
      <w:r>
        <w:t xml:space="preserve">In einem Mausmodell für Autismus verbesserte eine einwöchige Gabe soziale Verhaltensmaße (Minakova 2019, PMID 30629642). Der vermutete Weg führt über eine Aktivierung des Oxytocin-Systems (Kapitel 2E05).</w:t>
      </w:r>
    </w:p>
    <w:p>
      <w:pPr>
        <w:pStyle w:val="FirstParagraph"/>
      </w:pPr>
      <w:r>
        <w:t xml:space="preserve">Keines dieser Ergebnisse ist am Menschen bestätigt.</w:t>
      </w:r>
    </w:p>
    <w:bookmarkEnd w:id="767"/>
    <w:bookmarkStart w:id="772" w:name="risiken-und-nebenwirkungen-47"/>
    <w:p>
      <w:pPr>
        <w:pStyle w:val="Heading3"/>
      </w:pPr>
      <w:r>
        <w:t xml:space="preserve">Risiken und Nebenwirkungen</w:t>
      </w:r>
    </w:p>
    <w:p>
      <w:pPr>
        <w:pStyle w:val="FirstParagraph"/>
      </w:pPr>
      <w:r>
        <w:t xml:space="preserve">Die Risiken von Melanotan II lassen sich in drei Gruppen ordnen: die zu erwartenden Wirkungen über die Melanocortin-Rezeptoren, die Hautveränderungen mit der offenen Frage nach Hautkrebs, und schwere Einzelfälle.</w:t>
      </w:r>
    </w:p>
    <w:bookmarkStart w:id="768" w:name="erwartbare-wirkungen"/>
    <w:p>
      <w:pPr>
        <w:pStyle w:val="Heading4"/>
      </w:pPr>
      <w:r>
        <w:t xml:space="preserve">Erwartbare Wirkungen</w:t>
      </w:r>
    </w:p>
    <w:p>
      <w:pPr>
        <w:pStyle w:val="FirstParagraph"/>
      </w:pPr>
      <w:r>
        <w:t xml:space="preserve">Übelkeit, Gesichtsrötung, Gähnen und Strecken, Appetitverlust, Müdigkeit und spontane Erektionen traten schon in den Studien auf (Dorr 1996, PMID 8637402; Wessells 2000, PMID 11035391). Die Pigmentierung betrifft nicht nur die Haut: Fallberichte beschreiben quer verlaufende dunkle Streifen in den Fingernägeln (Paurobally 2013, PMID 22182016) und Pigmentveränderungen der Mundschleimhaut (Bonchev 2026, PMID 41752902). Paradoxerweise sind auch helle, entfärbte Flecken beschrieben (Ume 2026, PMID 42212476).</w:t>
      </w:r>
    </w:p>
    <w:bookmarkEnd w:id="768"/>
    <w:bookmarkStart w:id="769" w:name="muttermale-und-melanom"/>
    <w:p>
      <w:pPr>
        <w:pStyle w:val="Heading4"/>
      </w:pPr>
      <w:r>
        <w:t xml:space="preserve">Muttermale und Melanom</w:t>
      </w:r>
    </w:p>
    <w:p>
      <w:pPr>
        <w:pStyle w:val="FirstParagraph"/>
      </w:pPr>
      <w:r>
        <w:t xml:space="preserve">Dies ist die Sorge, die Hautärztinnen und Hautärzte am meisten beschäftigt. Melanotan II regt alle Pigmentzellen an, auch die in bestehenden Muttermalen (Nävi). Mehrere Fallberichte beschreiben:</w:t>
      </w:r>
    </w:p>
    <w:p>
      <w:pPr>
        <w:numPr>
          <w:ilvl w:val="0"/>
          <w:numId w:val="1261"/>
        </w:numPr>
        <w:pStyle w:val="Compact"/>
      </w:pPr>
      <w:r>
        <w:rPr>
          <w:bCs/>
          <w:b/>
        </w:rPr>
        <w:t xml:space="preserve">neu auftretende Muttermale in großer Zahl</w:t>
      </w:r>
      <w:r>
        <w:t xml:space="preserve"> </w:t>
      </w:r>
      <w:r>
        <w:t xml:space="preserve">(eruptive Nävi) nach Melanotan-Injektionen (Cousen 2009, PMID 19575725; Thestrup-Pedersen 2011, PMID 21453640), teils mit auffälligem, atypischem Aussehen (Reid 2013, PMID 23914578);</w:t>
      </w:r>
    </w:p>
    <w:p>
      <w:pPr>
        <w:numPr>
          <w:ilvl w:val="0"/>
          <w:numId w:val="1261"/>
        </w:numPr>
        <w:pStyle w:val="Compact"/>
      </w:pPr>
      <w:r>
        <w:rPr>
          <w:bCs/>
          <w:b/>
        </w:rPr>
        <w:t xml:space="preserve">dunkler werdende und sich verändernde bestehende Muttermale</w:t>
      </w:r>
      <w:r>
        <w:t xml:space="preserve">;</w:t>
      </w:r>
    </w:p>
    <w:p>
      <w:pPr>
        <w:numPr>
          <w:ilvl w:val="0"/>
          <w:numId w:val="1261"/>
        </w:numPr>
        <w:pStyle w:val="Compact"/>
      </w:pPr>
      <w:r>
        <w:rPr>
          <w:bCs/>
          <w:b/>
        </w:rPr>
        <w:t xml:space="preserve">Melanome</w:t>
      </w:r>
      <w:r>
        <w:t xml:space="preserve">, also schwarzen Hautkrebs, während oder kurz nach der Anwendung (Paurobally 2011, PMID 21564053; Ong 2012, PMID 22724573). Eine 20-jährige Frau mit heller Haut entwickelte drei Monate nach einer drei- bis vierwöchigen Selbstbehandlung, kombiniert mit Solariumbesuchen, ein Melanom am Gesäß (Hjuler 2014, PMID 24355990). Ein 2025 veröffentlichter Fall beschreibt ein Melanom der Mundschleimhaut bei einer 22-Jährigen, die Melanotan-II-Nasenspray verwendet hatte (Yassin Alsabbagh 2025, PMID 40210573).</w:t>
      </w:r>
    </w:p>
    <w:p>
      <w:pPr>
        <w:pStyle w:val="FirstParagraph"/>
      </w:pPr>
      <w:r>
        <w:t xml:space="preserve">Eine Übersicht aller veröffentlichten Fälle plötzlich auftretender Muttermale (179 Personen) fand unter den Auslösern neben Immunsuppression und Chemotherapie auch Melanotan; 16 % der Fälle hatten mindestens ein dysplastisches, also auffällig verändertes Muttermal (Burian 2019, PMID 31119650).</w:t>
      </w:r>
    </w:p>
    <w:p>
      <w:pPr>
        <w:pStyle w:val="BodyText"/>
      </w:pPr>
      <w:r>
        <w:rPr>
          <w:bCs/>
          <w:b/>
        </w:rPr>
        <w:t xml:space="preserve">Was diese Daten bedeuten:</w:t>
      </w:r>
      <w:r>
        <w:t xml:space="preserve"> </w:t>
      </w:r>
      <w:r>
        <w:t xml:space="preserve">Fallberichte beweisen keinen ursächlichen Zusammenhang. Viele Betroffene nutzten gleichzeitig Solarien oder sonnten sich intensiv, was das Melanomrisiko unabhängig erhöht. Eine Übersicht kommt zu dem Schluss, dass ein Zusammenhang nicht schlüssig belegt ist, die Häufung aber Anlass zur Vorsicht gibt (Habbema 2017, PMID 28266027). Weil Melanotan II nie systematisch untersucht wurde, kann niemand sagen, wie hoch ein mögliches Risiko ist. Zum Vergleich: Für das verwandte, zugelassene Afamelanotid ergab eine Untersuchung mit Auflichtmikroskopie nur vorübergehende Veränderungen der Muttermale ohne Hinweise auf bösartige Umwandlung (Kapitel 2E03) – diese Daten gelten aber nicht für Melanotan II.</w:t>
      </w:r>
    </w:p>
    <w:bookmarkEnd w:id="769"/>
    <w:bookmarkStart w:id="770" w:name="schwere-einzelfälle"/>
    <w:p>
      <w:pPr>
        <w:pStyle w:val="Heading4"/>
      </w:pPr>
      <w:r>
        <w:t xml:space="preserve">Schwere Einzelfälle</w:t>
      </w:r>
    </w:p>
    <w:p>
      <w:pPr>
        <w:numPr>
          <w:ilvl w:val="0"/>
          <w:numId w:val="1262"/>
        </w:numPr>
        <w:pStyle w:val="Compact"/>
      </w:pPr>
      <w:r>
        <w:rPr>
          <w:bCs/>
          <w:b/>
        </w:rPr>
        <w:t xml:space="preserve">Priapismus:</w:t>
      </w:r>
      <w:r>
        <w:t xml:space="preserve"> </w:t>
      </w:r>
      <w:r>
        <w:t xml:space="preserve">schmerzhafte Dauererektion, ein urologischer Notfall. Mehrere Fallberichte beschreiben sie nach Melanotan-Injektionen (Devlin 2013, PMID 23537392; Dreyer 2019, PMID 30796078). In einem Fall musste operativ entlastet werden (Mallory 2021, PMID 33460908); in einem anderen war die Erektionsfähigkeit vier Wochen später noch nicht wiederhergestellt (Dreyer 2019, PMID 30796078).</w:t>
      </w:r>
    </w:p>
    <w:p>
      <w:pPr>
        <w:numPr>
          <w:ilvl w:val="0"/>
          <w:numId w:val="1262"/>
        </w:numPr>
        <w:pStyle w:val="Compact"/>
      </w:pPr>
      <w:r>
        <w:rPr>
          <w:bCs/>
          <w:b/>
        </w:rPr>
        <w:t xml:space="preserve">Muskelzerfall und Nierenschädigung:</w:t>
      </w:r>
      <w:r>
        <w:t xml:space="preserve"> </w:t>
      </w:r>
      <w:r>
        <w:t xml:space="preserve">Ein 39-jähriger Mann spritzte sich nach eigenen Angaben das Sechsfache der von ihm vorgesehenen Startmenge. Er entwickelte Herzrasen, Unruhe und einen schweren Muskelzerfall (Rhabdomyolyse) mit einem Anstieg des Muskelenzyms CK auf 17.773 IU/L und vorübergehender Nierenschädigung; die Substanz wurde im Labor als Melanotan II bestätigt (Nelson 2012, PMID 23121206).</w:t>
      </w:r>
    </w:p>
    <w:p>
      <w:pPr>
        <w:numPr>
          <w:ilvl w:val="0"/>
          <w:numId w:val="1262"/>
        </w:numPr>
        <w:pStyle w:val="Compact"/>
      </w:pPr>
      <w:r>
        <w:rPr>
          <w:bCs/>
          <w:b/>
        </w:rPr>
        <w:t xml:space="preserve">Niereninfarkt:</w:t>
      </w:r>
      <w:r>
        <w:t xml:space="preserve"> </w:t>
      </w:r>
      <w:r>
        <w:t xml:space="preserve">ein Fallbericht mit Literaturübersicht vermutet Melanotan II als Ursache eines Verschlusses von Nierengefäßen (Peters 2020, PMID 31953620).</w:t>
      </w:r>
    </w:p>
    <w:p>
      <w:pPr>
        <w:numPr>
          <w:ilvl w:val="0"/>
          <w:numId w:val="1262"/>
        </w:numPr>
        <w:pStyle w:val="Compact"/>
      </w:pPr>
      <w:r>
        <w:rPr>
          <w:bCs/>
          <w:b/>
        </w:rPr>
        <w:t xml:space="preserve">Hirnschwellung:</w:t>
      </w:r>
      <w:r>
        <w:t xml:space="preserve"> </w:t>
      </w:r>
      <w:r>
        <w:t xml:space="preserve">Ein Fallbericht beschreibt ein posteriores reversibles Enzephalopathie-Syndrom (PRES), eine Schwellung im Hinterhauptbereich des Gehirns, im Zusammenhang mit Melanotan (Kaski 2013, PMID 23648958).</w:t>
      </w:r>
    </w:p>
    <w:p>
      <w:pPr>
        <w:numPr>
          <w:ilvl w:val="0"/>
          <w:numId w:val="1262"/>
        </w:numPr>
        <w:pStyle w:val="Compact"/>
      </w:pPr>
      <w:r>
        <w:rPr>
          <w:bCs/>
          <w:b/>
        </w:rPr>
        <w:t xml:space="preserve">Hautentzündung:</w:t>
      </w:r>
      <w:r>
        <w:t xml:space="preserve"> </w:t>
      </w:r>
      <w:r>
        <w:t xml:space="preserve">Beschrieben ist auch ein Pyoderma gangraenosum, eine schwere geschwürige Hauterkrankung (Dickson 2025, PMID 41487785).</w:t>
      </w:r>
    </w:p>
    <w:bookmarkEnd w:id="770"/>
    <w:bookmarkStart w:id="771" w:name="graumarkt-risiken-1"/>
    <w:p>
      <w:pPr>
        <w:pStyle w:val="Heading4"/>
      </w:pPr>
      <w:r>
        <w:t xml:space="preserve">Graumarkt-Risiken</w:t>
      </w:r>
    </w:p>
    <w:p>
      <w:pPr>
        <w:pStyle w:val="FirstParagraph"/>
      </w:pPr>
      <w:r>
        <w:t xml:space="preserve">Ein Labor kaufte Melanotan-II-Fläschchen bei drei Online-Shops. Alle versprachen 10 mg pro Fläschchen; tatsächlich enthielten sie zwischen 4,32 und 8,84 mg. In Produkten von zwei Shops fanden sich 4,1 bis 5,9 % unbekannte Verunreinigungen (Breindahl 2015, PMID 24771717). Ein forensisches Labor bestimmte in einer beschlagnahmten Probe eine Reinheit von 30 % (Deville 2024, PMID 39302005). Hinzu kommen die Risiken unsteriler Zubereitung und gemeinsam genutzter Nadeln, auf die Fachleute ausdrücklich hinweisen (Gilhooley 2021, PMID 34464955). Mehr zu Reinheit und Fälschungen im Graumarkt steht in Teil I und Teil IV.</w:t>
      </w:r>
    </w:p>
    <w:bookmarkEnd w:id="771"/>
    <w:bookmarkEnd w:id="772"/>
    <w:bookmarkStart w:id="773" w:name="rechtslage-47"/>
    <w:p>
      <w:pPr>
        <w:pStyle w:val="Heading3"/>
      </w:pPr>
      <w:r>
        <w:t xml:space="preserve">Rechtslage</w:t>
      </w:r>
    </w:p>
    <w:p>
      <w:pPr>
        <w:pStyle w:val="FirstParagraph"/>
      </w:pPr>
      <w:r>
        <w:rPr>
          <w:iCs/>
          <w:i/>
        </w:rPr>
        <w:t xml:space="preserve">Stand 2026, bitte aktuell prüfen.</w:t>
      </w:r>
    </w:p>
    <w:p>
      <w:pPr>
        <w:numPr>
          <w:ilvl w:val="0"/>
          <w:numId w:val="1263"/>
        </w:numPr>
        <w:pStyle w:val="Compact"/>
      </w:pPr>
      <w:r>
        <w:rPr>
          <w:bCs/>
          <w:b/>
        </w:rPr>
        <w:t xml:space="preserve">EU:</w:t>
      </w:r>
      <w:r>
        <w:t xml:space="preserve"> </w:t>
      </w:r>
      <w:r>
        <w:t xml:space="preserve">Melanotan II ist in keinem Mitgliedstaat zugelassen. Da es zur Anwendung am Menschen mit Wirkung auf Körperfunktionen angeboten wird, gilt es rechtlich als Arzneimittel; Herstellung, Einfuhr und Verkauf ohne Zulassung sind verboten. Der Aufdruck „nur für Forschungszwecke“ ändert daran nichts.</w:t>
      </w:r>
    </w:p>
    <w:p>
      <w:pPr>
        <w:numPr>
          <w:ilvl w:val="0"/>
          <w:numId w:val="1263"/>
        </w:numPr>
        <w:pStyle w:val="Compact"/>
      </w:pPr>
      <w:r>
        <w:rPr>
          <w:bCs/>
          <w:b/>
        </w:rPr>
        <w:t xml:space="preserve">Deutschland und Österreich:</w:t>
      </w:r>
      <w:r>
        <w:t xml:space="preserve"> </w:t>
      </w:r>
      <w:r>
        <w:t xml:space="preserve">nicht zugelassen. Die Abgabe zur Anwendung am Menschen verstößt gegen das jeweilige Arzneimittelgesetz. Behörden und Zoll beschlagnahmen Sendungen.</w:t>
      </w:r>
    </w:p>
    <w:p>
      <w:pPr>
        <w:numPr>
          <w:ilvl w:val="0"/>
          <w:numId w:val="1263"/>
        </w:numPr>
        <w:pStyle w:val="Compact"/>
      </w:pPr>
      <w:r>
        <w:rPr>
          <w:bCs/>
          <w:b/>
        </w:rPr>
        <w:t xml:space="preserve">Behördenwarnungen:</w:t>
      </w:r>
      <w:r>
        <w:t xml:space="preserve"> </w:t>
      </w:r>
      <w:r>
        <w:t xml:space="preserve">Mehrere nationale Arzneimittel- und Gesundheitsbehörden haben vor Melanotan I und II gewarnt (Habbema 2017, PMID 28266027). Nach Kenntnis des Autors gehörten die Behörden in Großbritannien und Irland ab 2008 zu den ersten, später folgten weitere europäische Länder und Australien. In Großbritannien ist der Verkauf ausdrücklich illegal (Yassin Alsabbagh 2025, PMID 40210573).</w:t>
      </w:r>
    </w:p>
    <w:p>
      <w:pPr>
        <w:numPr>
          <w:ilvl w:val="0"/>
          <w:numId w:val="1263"/>
        </w:numPr>
        <w:pStyle w:val="Compact"/>
      </w:pPr>
      <w:r>
        <w:rPr>
          <w:bCs/>
          <w:b/>
        </w:rPr>
        <w:t xml:space="preserve">USA:</w:t>
      </w:r>
      <w:r>
        <w:t xml:space="preserve"> </w:t>
      </w:r>
      <w:r>
        <w:t xml:space="preserve">keine FDA-Zulassung; der Vertrieb als Arzneimittel zur Anwendung am Menschen ist nicht erlaubt.</w:t>
      </w:r>
    </w:p>
    <w:p>
      <w:pPr>
        <w:numPr>
          <w:ilvl w:val="0"/>
          <w:numId w:val="1263"/>
        </w:numPr>
        <w:pStyle w:val="Compact"/>
      </w:pPr>
      <w:r>
        <w:rPr>
          <w:bCs/>
          <w:b/>
        </w:rPr>
        <w:t xml:space="preserve">WADA:</w:t>
      </w:r>
      <w:r>
        <w:t xml:space="preserve"> </w:t>
      </w:r>
      <w:r>
        <w:t xml:space="preserve">verboten als nicht zugelassene Substanz (S0).</w:t>
      </w:r>
    </w:p>
    <w:bookmarkEnd w:id="773"/>
    <w:bookmarkStart w:id="774" w:name="laufende-studien-und-ausblick-47"/>
    <w:p>
      <w:pPr>
        <w:pStyle w:val="Heading3"/>
      </w:pPr>
      <w:r>
        <w:t xml:space="preserve">Laufende Studien und Ausblick</w:t>
      </w:r>
    </w:p>
    <w:p>
      <w:pPr>
        <w:pStyle w:val="FirstParagraph"/>
      </w:pPr>
      <w:r>
        <w:rPr>
          <w:bCs/>
          <w:b/>
        </w:rPr>
        <w:t xml:space="preserve">Gesichert (registrierte Studien):</w:t>
      </w:r>
      <w:r>
        <w:t xml:space="preserve"> </w:t>
      </w:r>
      <w:r>
        <w:t xml:space="preserve">keine. Bei ClinicalTrials.gov fand sich zwar ein Eintrag zu Melanotan II bei Vitiligo; der Sponsor dieses Eintrags hat jedoch auch Einträge registriert, die sich selbst als fiktiv bezeichnen. Der Eintrag wird deshalb hier nicht als echte Studie gewertet. Das zeigt nebenbei: Auch ein Registereintrag ist kein Beleg dafür, dass eine Studie tatsächlich stattfindet.</w:t>
      </w:r>
    </w:p>
    <w:p>
      <w:pPr>
        <w:pStyle w:val="BodyText"/>
      </w:pPr>
      <w:r>
        <w:rPr>
          <w:bCs/>
          <w:b/>
        </w:rPr>
        <w:t xml:space="preserve">Einschätzung des Autors:</w:t>
      </w:r>
      <w:r>
        <w:t xml:space="preserve"> </w:t>
      </w:r>
      <w:r>
        <w:t xml:space="preserve">Für eine Zulassung als Bräunungsmittel bei Gesunden gibt es keinen realistischen Weg: Der Nutzen ist kosmetisch, die Nebenwirkungen über das Gehirn sind ausgeprägt, und die Frage nach Muttermalen und Melanom müsste in großen, langen Studien geklärt werden. Medizinisch sinnvolle Anwendungen von Melanocortin-Agonisten werden mit selektiveren Molekülen verfolgt – Afamelanotid für die Haut, Bremelanotid und Setmelanotid für das Gehirn. Die Popularität in sozialen Medien dürfte die Zahl der Fallberichte weiter steigen lassen.</w:t>
      </w:r>
    </w:p>
    <w:bookmarkEnd w:id="774"/>
    <w:bookmarkStart w:id="775" w:name="fazit-47"/>
    <w:p>
      <w:pPr>
        <w:pStyle w:val="Heading3"/>
      </w:pPr>
      <w:r>
        <w:t xml:space="preserve">Fazit</w:t>
      </w:r>
    </w:p>
    <w:p>
      <w:pPr>
        <w:pStyle w:val="FirstParagraph"/>
      </w:pPr>
      <w:r>
        <w:t xml:space="preserve">Melanotan II ist ein Forschungspeptid aus den 1990er-Jahren, das nur an rund zwei Dutzend Menschen in kleinen Studien geprüft wurde und nie eine Zulassung erhielt. Es bräunt die Haut, löst aber über Rezeptoren im Gehirn regelmäßig Übelkeit und spontane Erektionen aus. Fallberichte beschreiben neue und veränderte Muttermale, Melanome, Priapismus und Muskelzerfall; ein ursächlicher Zusammenhang mit Hautkrebs ist nicht bewiesen, aber auch nicht ausgeschlossen. Graumarkt-Produkte enthielten in Laboranalysen weniger Wirkstoff als angegeben und unbekannte Verunreinigungen. Die Daten reichen nicht aus, um Melanotan II als sicher zu bezeichnen.</w:t>
      </w:r>
    </w:p>
    <w:bookmarkEnd w:id="775"/>
    <w:bookmarkEnd w:id="776"/>
    <w:bookmarkStart w:id="794" w:name="afamelanotid"/>
    <w:p>
      <w:pPr>
        <w:pStyle w:val="Heading2"/>
      </w:pPr>
      <w:r>
        <w:t xml:space="preserve">Afamelanotid</w:t>
      </w:r>
    </w:p>
    <w:bookmarkStart w:id="777" w:name="steckbrief-48"/>
    <w:p>
      <w:pPr>
        <w:pStyle w:val="Heading3"/>
      </w:pPr>
      <w:r>
        <w:t xml:space="preserve">Steckbrief</w:t>
      </w:r>
    </w:p>
    <w:p>
      <w:pPr>
        <w:numPr>
          <w:ilvl w:val="0"/>
          <w:numId w:val="1264"/>
        </w:numPr>
        <w:pStyle w:val="Compact"/>
      </w:pPr>
      <w:r>
        <w:rPr>
          <w:bCs/>
          <w:b/>
        </w:rPr>
        <w:t xml:space="preserve">Art/Struktur:</w:t>
      </w:r>
      <w:r>
        <w:t xml:space="preserve"> </w:t>
      </w:r>
      <w:r>
        <w:t xml:space="preserve">lineares Peptid aus 13 Aminosäuren. Es entspricht dem körpereigenen Hormon Alpha-MSH, bei dem zwei Bausteine ausgetauscht wurden (an Position 4 Norleucin, an Position 7 die spiegelbildliche D-Form von Phenylalanin). Diese Änderungen machen es stabiler und wirksamer. Frühere Namen: Melanotan I, MT-I, NDP-MSH, CUV1647.</w:t>
      </w:r>
    </w:p>
    <w:p>
      <w:pPr>
        <w:numPr>
          <w:ilvl w:val="0"/>
          <w:numId w:val="1264"/>
        </w:numPr>
        <w:pStyle w:val="Compact"/>
      </w:pPr>
      <w:r>
        <w:rPr>
          <w:bCs/>
          <w:b/>
        </w:rPr>
        <w:t xml:space="preserve">Herkunft:</w:t>
      </w:r>
      <w:r>
        <w:t xml:space="preserve"> </w:t>
      </w:r>
      <w:r>
        <w:t xml:space="preserve">entwickelt an der Universität von Arizona zusammen mit Melanotan II (Hadley 2006, PMID 16412534); später vom australischen Unternehmen Clinuvel zum Arzneimittel weiterentwickelt.</w:t>
      </w:r>
    </w:p>
    <w:p>
      <w:pPr>
        <w:numPr>
          <w:ilvl w:val="0"/>
          <w:numId w:val="1264"/>
        </w:numPr>
        <w:pStyle w:val="Compact"/>
      </w:pPr>
      <w:r>
        <w:rPr>
          <w:bCs/>
          <w:b/>
        </w:rPr>
        <w:t xml:space="preserve">Wirkprinzip:</w:t>
      </w:r>
      <w:r>
        <w:t xml:space="preserve"> </w:t>
      </w:r>
      <w:r>
        <w:t xml:space="preserve">Agonist am Melanocortin-1-Rezeptor (MC1R) der Pigmentzellen. Es regt die Bildung des dunklen, lichtschützenden Pigments Eumelanin an – ohne vorherige UV-Strahlung.</w:t>
      </w:r>
    </w:p>
    <w:p>
      <w:pPr>
        <w:numPr>
          <w:ilvl w:val="0"/>
          <w:numId w:val="1264"/>
        </w:numPr>
        <w:pStyle w:val="Compact"/>
      </w:pPr>
      <w:r>
        <w:rPr>
          <w:bCs/>
          <w:b/>
        </w:rPr>
        <w:t xml:space="preserve">Darreichungsform:</w:t>
      </w:r>
      <w:r>
        <w:t xml:space="preserve"> </w:t>
      </w:r>
      <w:r>
        <w:t xml:space="preserve">kleines, sich selbst auflösendes Implantat (16 mg), das unter die Haut eingesetzt wird und den Wirkstoff über Wochen abgibt. Es wird in spezialisierten Zentren gesetzt.</w:t>
      </w:r>
    </w:p>
    <w:p>
      <w:pPr>
        <w:numPr>
          <w:ilvl w:val="0"/>
          <w:numId w:val="1264"/>
        </w:numPr>
        <w:pStyle w:val="Compact"/>
      </w:pPr>
      <w:r>
        <w:rPr>
          <w:bCs/>
          <w:b/>
        </w:rPr>
        <w:t xml:space="preserve">Zulassung EU:</w:t>
      </w:r>
      <w:r>
        <w:t xml:space="preserve"> </w:t>
      </w:r>
      <w:r>
        <w:t xml:space="preserve">ja, seit 2014 (Scenesse) zur Vorbeugung von Lichtschäden bei Erwachsenen mit erythropoetischer Protoporphyrie (EPP). Die Zulassung war an Auflagen gebunden, unter anderem an eine Sicherheitsstudie nach der Zulassung und ein Patientenregister (Homey 2025, PMID 40082741).</w:t>
      </w:r>
    </w:p>
    <w:p>
      <w:pPr>
        <w:numPr>
          <w:ilvl w:val="0"/>
          <w:numId w:val="1264"/>
        </w:numPr>
        <w:pStyle w:val="Compact"/>
      </w:pPr>
      <w:r>
        <w:rPr>
          <w:bCs/>
          <w:b/>
        </w:rPr>
        <w:t xml:space="preserve">Zulassung USA:</w:t>
      </w:r>
      <w:r>
        <w:t xml:space="preserve"> </w:t>
      </w:r>
      <w:r>
        <w:t xml:space="preserve">ja, seit 2019 für Erwachsene mit EPP.</w:t>
      </w:r>
    </w:p>
    <w:p>
      <w:pPr>
        <w:numPr>
          <w:ilvl w:val="0"/>
          <w:numId w:val="1264"/>
        </w:numPr>
        <w:pStyle w:val="Compact"/>
      </w:pPr>
      <w:r>
        <w:rPr>
          <w:bCs/>
          <w:b/>
        </w:rPr>
        <w:t xml:space="preserve">WADA:</w:t>
      </w:r>
      <w:r>
        <w:t xml:space="preserve"> </w:t>
      </w:r>
      <w:r>
        <w:t xml:space="preserve">nicht gelistet (Stand 2026, bitte aktuell prüfen).</w:t>
      </w:r>
    </w:p>
    <w:p>
      <w:pPr>
        <w:numPr>
          <w:ilvl w:val="0"/>
          <w:numId w:val="1264"/>
        </w:numPr>
        <w:pStyle w:val="Compact"/>
      </w:pPr>
      <w:r>
        <w:rPr>
          <w:bCs/>
          <w:b/>
        </w:rPr>
        <w:t xml:space="preserve">Evidenzstufe:</w:t>
      </w:r>
      <w:r>
        <w:t xml:space="preserve"> </w:t>
      </w:r>
      <w:r>
        <w:rPr>
          <w:bCs/>
          <w:b/>
        </w:rPr>
        <w:t xml:space="preserve">A</w:t>
      </w:r>
      <w:r>
        <w:t xml:space="preserve"> </w:t>
      </w:r>
      <w:r>
        <w:t xml:space="preserve">– Zulassung in EU und USA auf Basis zweier randomisierter, placebokontrollierter Studien, ergänzt durch mehrere Langzeitkohorten. Die Studien sind wegen der Seltenheit der Erkrankung kleiner als bei Volkskrankheiten.</w:t>
      </w:r>
    </w:p>
    <w:bookmarkEnd w:id="777"/>
    <w:bookmarkStart w:id="778" w:name="wie-es-wirken-soll-48"/>
    <w:p>
      <w:pPr>
        <w:pStyle w:val="Heading3"/>
      </w:pPr>
      <w:r>
        <w:t xml:space="preserve">Wie es wirken soll</w:t>
      </w:r>
    </w:p>
    <w:p>
      <w:pPr>
        <w:pStyle w:val="FirstParagraph"/>
      </w:pPr>
      <w:r>
        <w:t xml:space="preserve">Die erythropoetische Protoporphyrie (EPP) ist eine seltene Erbkrankheit. In Europa ist mindestens eine von 140.000 Personen betroffen (Homey 2025, PMID 40082741). Durch einen Enzymdefekt in der Bildung des roten Blutfarbstoffs reichert sich eine Vorstufe, das Protoporphyrin IX, in Blut und Haut an. Dieser Stoff wird durch sichtbares Licht aktiviert und schädigt dann Gewebe und kleine Blutgefäße der Haut.</w:t>
      </w:r>
    </w:p>
    <w:p>
      <w:pPr>
        <w:pStyle w:val="BodyText"/>
      </w:pPr>
      <w:r>
        <w:t xml:space="preserve">Die Folge sind brennende, oft tagelang anhaltende Schmerzen nach wenigen Minuten im Sonnenlicht – häufig ohne sichtbare Hautveränderungen. Betroffene meiden von Kindheit an das Tageslicht. Herkömmlicher Sonnenschutz hilft kaum, weil vor allem sichtbares Licht und nicht UV-Strahlung die Reaktion auslöst. Ein Teil der Betroffenen entwickelt zudem Leberschäden, weil das überschüssige Protoporphyrin über die Galle ausgeschieden wird (Minder 2023, PMID 37109595).</w:t>
      </w:r>
    </w:p>
    <w:p>
      <w:pPr>
        <w:pStyle w:val="BodyText"/>
      </w:pPr>
      <w:r>
        <w:t xml:space="preserve">Afamelanotid setzt nicht an der Ursache an, sondern an der Haut: Es bräunt sie, und das zusätzliche Eumelanin fängt einen Teil des Lichts ab, bevor es das Protoporphyrin erreicht. Laborversuche legen außerdem entzündungshemmende und antioxidative Wirkungen nahe. Wie viel davon beim Menschen eine Rolle spielt, ist unklar.</w:t>
      </w:r>
    </w:p>
    <w:p>
      <w:pPr>
        <w:pStyle w:val="BodyText"/>
      </w:pPr>
      <w:r>
        <w:t xml:space="preserve">Im Unterschied zu Melanotan II (Kapitel 2E02) wirkt Afamelanotid überwiegend auf den Pigment-Rezeptor MC1R und nur wenig auf die Rezeptoren im Gehirn. Deshalb sind Übelkeit und sexuelle Begleitwirkungen deutlich seltener.</w:t>
      </w:r>
    </w:p>
    <w:bookmarkEnd w:id="778"/>
    <w:bookmarkStart w:id="785" w:name="studien-am-menschen-48"/>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10</w:t>
      </w:r>
      <w:r>
        <w:t xml:space="preserve"> </w:t>
      </w:r>
      <w:r>
        <w:t xml:space="preserve">Humanstudien in PubMed (</w:t>
      </w:r>
      <w:r>
        <w:rPr>
          <w:rStyle w:val="VerbatimChar"/>
        </w:rPr>
        <w:t xml:space="preserve">humanstudien_alle</w:t>
      </w:r>
      <w:r>
        <w:t xml:space="preserve">) und</w:t>
      </w:r>
      <w:r>
        <w:t xml:space="preserve"> </w:t>
      </w:r>
      <w:r>
        <w:rPr>
          <w:bCs/>
          <w:b/>
        </w:rPr>
        <w:t xml:space="preserve">23</w:t>
      </w:r>
      <w:r>
        <w:t xml:space="preserve"> </w:t>
      </w:r>
      <w:r>
        <w:t xml:space="preserve">Einträge bei ClinicalTrials.gov. Die Suche erfasst allerdings nur den Namen „afamelanotide“; ältere Studien unter dem Namen Melanotan I oder NDP-MSH sowie mehrere Kohortenstudien sind darin nicht enthalten und werden hier ergänzend besprochen.</w:t>
      </w:r>
    </w:p>
    <w:bookmarkStart w:id="779" w:name="vorgeschichte-melanotan-i-bei-gesunden"/>
    <w:p>
      <w:pPr>
        <w:pStyle w:val="Heading4"/>
      </w:pPr>
      <w:r>
        <w:t xml:space="preserve">Vorgeschichte: Melanotan I bei Gesunden</w:t>
      </w:r>
    </w:p>
    <w:p>
      <w:pPr>
        <w:pStyle w:val="FirstParagraph"/>
      </w:pPr>
      <w:r>
        <w:t xml:space="preserve">In den 1990er- und frühen 2000er-Jahren erhielten gesunde Freiwillige in Arizona tägliche Injektionen. Ihre Haut wurde an Gesicht, Hals und Unterarmen dunkler; der Eumelanin-Gehalt der Unterarmhaut stieg um durchschnittlich 98 % (Dorr 2000, PMID 11045725). Kombiniert mit Sonnenlicht bräunte die Haut stärker und länger, und die Teilnehmenden ohne Wirkstoff brauchten 50 % mehr Sonnenzeit für die gleiche Bräune (Dorr 2004, PMID 15262693). In einer Studie mit 77 hellhäutigen Personen war die Wirkung bei Trägern bestimmter MC1R-Genvarianten – also bei Menschen mit besonders sonnenempfindlicher Haut – sogar stärker (Fitzgerald 2006, PMID 16293341). Der Plan, daraus einen Hautkrebsschutz für die Allgemeinbevölkerung zu machen, wurde nicht weiterverfolgt.</w:t>
      </w:r>
    </w:p>
    <w:bookmarkEnd w:id="779"/>
    <w:bookmarkStart w:id="780" w:name="die-zulassungsstudien-bei-epp"/>
    <w:p>
      <w:pPr>
        <w:pStyle w:val="Heading4"/>
      </w:pPr>
      <w:r>
        <w:t xml:space="preserve">Die Zulassungsstudien bei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Harms 2009, PMID 19656325</w:t>
            </w:r>
          </w:p>
        </w:tc>
        <w:tc>
          <w:tcPr/>
          <w:p>
            <w:pPr>
              <w:pStyle w:val="Compact"/>
              <w:jc w:val="left"/>
            </w:pPr>
            <w:r>
              <w:t xml:space="preserve">5 Personen mit EPP, offene Pilotstudie</w:t>
            </w:r>
          </w:p>
        </w:tc>
        <w:tc>
          <w:tcPr/>
          <w:p>
            <w:pPr>
              <w:pStyle w:val="Compact"/>
              <w:jc w:val="left"/>
            </w:pPr>
            <w:r>
              <w:t xml:space="preserve">120 Tage</w:t>
            </w:r>
          </w:p>
        </w:tc>
        <w:tc>
          <w:tcPr/>
          <w:p>
            <w:pPr>
              <w:pStyle w:val="Compact"/>
              <w:jc w:val="left"/>
            </w:pPr>
            <w:r>
              <w:t xml:space="preserve">Toleranz gegenüber Licht deutlich erhöht</w:t>
            </w:r>
          </w:p>
        </w:tc>
      </w:tr>
      <w:tr>
        <w:tc>
          <w:tcPr/>
          <w:p>
            <w:pPr>
              <w:pStyle w:val="Compact"/>
              <w:jc w:val="left"/>
            </w:pPr>
            <w:r>
              <w:t xml:space="preserve">EU-Studie (Langendonk 2015), PMID 26132941</w:t>
            </w:r>
          </w:p>
        </w:tc>
        <w:tc>
          <w:tcPr/>
          <w:p>
            <w:pPr>
              <w:pStyle w:val="Compact"/>
              <w:jc w:val="left"/>
            </w:pPr>
            <w:r>
              <w:t xml:space="preserve">74 Personen, RCT gegen Placebo-Implantat</w:t>
            </w:r>
          </w:p>
        </w:tc>
        <w:tc>
          <w:tcPr/>
          <w:p>
            <w:pPr>
              <w:pStyle w:val="Compact"/>
              <w:jc w:val="left"/>
            </w:pPr>
            <w:r>
              <w:t xml:space="preserve">9 Monate</w:t>
            </w:r>
          </w:p>
        </w:tc>
        <w:tc>
          <w:tcPr/>
          <w:p>
            <w:pPr>
              <w:pStyle w:val="Compact"/>
              <w:jc w:val="left"/>
            </w:pPr>
            <w:r>
              <w:t xml:space="preserve">schmerzfreie Zeit in direkter Sonne Median 6,0 vs. 0,8 Stunden; 77 vs. 146 Lichtreaktionen</w:t>
            </w:r>
          </w:p>
        </w:tc>
      </w:tr>
      <w:tr>
        <w:tc>
          <w:tcPr/>
          <w:p>
            <w:pPr>
              <w:pStyle w:val="Compact"/>
              <w:jc w:val="left"/>
            </w:pPr>
            <w:r>
              <w:t xml:space="preserve">US-Studie (Langendonk 2015), PMID 26132941</w:t>
            </w:r>
          </w:p>
        </w:tc>
        <w:tc>
          <w:tcPr/>
          <w:p>
            <w:pPr>
              <w:pStyle w:val="Compact"/>
              <w:jc w:val="left"/>
            </w:pPr>
            <w:r>
              <w:t xml:space="preserve">94 Personen, RCT gegen Placebo-Implantat</w:t>
            </w:r>
          </w:p>
        </w:tc>
        <w:tc>
          <w:tcPr/>
          <w:p>
            <w:pPr>
              <w:pStyle w:val="Compact"/>
              <w:jc w:val="left"/>
            </w:pPr>
            <w:r>
              <w:t xml:space="preserve">6 Monate</w:t>
            </w:r>
          </w:p>
        </w:tc>
        <w:tc>
          <w:tcPr/>
          <w:p>
            <w:pPr>
              <w:pStyle w:val="Compact"/>
              <w:jc w:val="left"/>
            </w:pPr>
            <w:r>
              <w:t xml:space="preserve">schmerzfreie Zeit in direkter Sonne Median 69,4 vs. 40,8 Stunden</w:t>
            </w:r>
          </w:p>
        </w:tc>
      </w:tr>
      <w:tr>
        <w:tc>
          <w:tcPr/>
          <w:p>
            <w:pPr>
              <w:pStyle w:val="Compact"/>
              <w:jc w:val="left"/>
            </w:pPr>
            <w:r>
              <w:t xml:space="preserve">Systematische Übersicht (Heerfordt 2023), PMID 36525819</w:t>
            </w:r>
          </w:p>
        </w:tc>
        <w:tc>
          <w:tcPr/>
          <w:p>
            <w:pPr>
              <w:pStyle w:val="Compact"/>
              <w:jc w:val="left"/>
            </w:pPr>
            <w:r>
              <w:t xml:space="preserve">40 Studien zu 18 Behandlungen bei EPP</w:t>
            </w:r>
          </w:p>
        </w:tc>
        <w:tc>
          <w:tcPr/>
          <w:p>
            <w:pPr>
              <w:pStyle w:val="Compact"/>
              <w:jc w:val="left"/>
            </w:pPr>
            <w:r>
              <w:t xml:space="preserve">–</w:t>
            </w:r>
          </w:p>
        </w:tc>
        <w:tc>
          <w:tcPr/>
          <w:p>
            <w:pPr>
              <w:pStyle w:val="Compact"/>
              <w:jc w:val="left"/>
            </w:pPr>
            <w:r>
              <w:t xml:space="preserve">mäßiger positiver Effekt für Afamelanotid und mineralischen Sonnenschutz; kein Effekt für Beta-Carotin u. a.</w:t>
            </w:r>
          </w:p>
        </w:tc>
      </w:tr>
    </w:tbl>
    <w:p>
      <w:pPr>
        <w:pStyle w:val="BodyText"/>
      </w:pPr>
      <w:r>
        <w:t xml:space="preserve">In der ersten Pilotstudie erhielten fünf Betroffene zwei Implantate im Abstand von 60 Tagen. Danach vertrugen sie in einem standardisierten Lichttest deutlich mehr Licht, und die Melanindichte der Haut stieg (Harms 2009, PMID 19656325).</w:t>
      </w:r>
    </w:p>
    <w:p>
      <w:pPr>
        <w:pStyle w:val="BodyText"/>
      </w:pPr>
      <w:r>
        <w:t xml:space="preserve">Die Zulassung stützt sich auf zwei doppelblinde Studien, die gemeinsam im New England Journal of Medicine veröffentlicht wurden (Langendonk 2015, PMID 26132941; NCT00979745, NCT01605136). Alle 60 Tage erhielten die Teilnehmenden ein Implantat mit Afamelanotid oder ein Scheinimplantat. Hauptzielgröße war die Zahl der Stunden in direkter Sonne ohne Schmerzen, die die Teilnehmenden in einem Tagebuch festhielten.</w:t>
      </w:r>
    </w:p>
    <w:p>
      <w:pPr>
        <w:pStyle w:val="BodyText"/>
      </w:pPr>
      <w:r>
        <w:t xml:space="preserve">Beide Studien zeigten einen Vorteil für Afamelanotid, und in beiden verbesserte sich die Lebensqualität. Die absoluten Zahlen sind aber ernüchternd: In der europäischen Studie verbrachten die Teilnehmenden über neun Monate im Median sechs Stunden schmerzfrei in direkter Sonne, unter Placebo knapp eine Stunde. Dass die Werte so niedrig sind, liegt auch an der Krankheit selbst: Wer jahrelang Schmerzen erlebt hat, meidet die Sonne weiterhin, auch wenn er sie besser verträgt. Eine solche Tagebuch-Messung hängt außerdem stark von Wetter und Jahreszeit ab, was die Studien schwer vergleichbar macht (Heerfordt 2023, PMID 36525819).</w:t>
      </w:r>
    </w:p>
    <w:bookmarkEnd w:id="780"/>
    <w:bookmarkStart w:id="781" w:name="langzeitdaten-aus-der-praxis"/>
    <w:p>
      <w:pPr>
        <w:pStyle w:val="Heading4"/>
      </w:pPr>
      <w:r>
        <w:t xml:space="preserve">Langzeitdaten aus der Praxis</w:t>
      </w:r>
    </w:p>
    <w:p>
      <w:pPr>
        <w:pStyle w:val="FirstParagraph"/>
      </w:pPr>
      <w:r>
        <w:t xml:space="preserve">Weil die Zulassungsstudien kurz und klein waren, sind Beobachtungen aus der Routineversorgung besonders wichtig.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Biolcati 2015, PMID 25494545</w:t>
            </w:r>
          </w:p>
        </w:tc>
        <w:tc>
          <w:tcPr/>
          <w:p>
            <w:pPr>
              <w:pStyle w:val="Compact"/>
              <w:jc w:val="left"/>
            </w:pPr>
            <w:r>
              <w:t xml:space="preserve">115 Personen in Rom und Zürich, 1.023 Implantate, Beobachtungsstudie</w:t>
            </w:r>
          </w:p>
        </w:tc>
        <w:tc>
          <w:tcPr/>
          <w:p>
            <w:pPr>
              <w:pStyle w:val="Compact"/>
              <w:jc w:val="left"/>
            </w:pPr>
            <w:r>
              <w:t xml:space="preserve">bis 8 Jahre</w:t>
            </w:r>
          </w:p>
        </w:tc>
        <w:tc>
          <w:tcPr/>
          <w:p>
            <w:pPr>
              <w:pStyle w:val="Compact"/>
              <w:jc w:val="left"/>
            </w:pPr>
            <w:r>
              <w:t xml:space="preserve">Lebensqualität von 31 % auf 74 % des Höchstwerts</w:t>
            </w:r>
          </w:p>
        </w:tc>
      </w:tr>
      <w:tr>
        <w:tc>
          <w:tcPr/>
          <w:p>
            <w:pPr>
              <w:pStyle w:val="Compact"/>
              <w:jc w:val="left"/>
            </w:pPr>
            <w:r>
              <w:t xml:space="preserve">Wensink 2020, PMID 32186677</w:t>
            </w:r>
          </w:p>
        </w:tc>
        <w:tc>
          <w:tcPr/>
          <w:p>
            <w:pPr>
              <w:pStyle w:val="Compact"/>
              <w:jc w:val="left"/>
            </w:pPr>
            <w:r>
              <w:t xml:space="preserve">117 Personen in Rotterdam, prospektive Kohorte</w:t>
            </w:r>
          </w:p>
        </w:tc>
        <w:tc>
          <w:tcPr/>
          <w:p>
            <w:pPr>
              <w:pStyle w:val="Compact"/>
              <w:jc w:val="left"/>
            </w:pPr>
            <w:r>
              <w:t xml:space="preserve">Median 2 Jahre</w:t>
            </w:r>
          </w:p>
        </w:tc>
        <w:tc>
          <w:tcPr/>
          <w:p>
            <w:pPr>
              <w:pStyle w:val="Compact"/>
              <w:jc w:val="left"/>
            </w:pPr>
            <w:r>
              <w:t xml:space="preserve">6,1 Stunden pro Woche mehr im Freien; 98 % setzten fort</w:t>
            </w:r>
          </w:p>
        </w:tc>
      </w:tr>
      <w:tr>
        <w:tc>
          <w:tcPr/>
          <w:p>
            <w:pPr>
              <w:pStyle w:val="Compact"/>
              <w:jc w:val="left"/>
            </w:pPr>
            <w:r>
              <w:t xml:space="preserve">Homey 2025, PMID 40082741</w:t>
            </w:r>
          </w:p>
        </w:tc>
        <w:tc>
          <w:tcPr/>
          <w:p>
            <w:pPr>
              <w:pStyle w:val="Compact"/>
              <w:jc w:val="left"/>
            </w:pPr>
            <w:r>
              <w:t xml:space="preserve">200 Personen in Deutschland, Sicherheitsstudie nach Zulassung</w:t>
            </w:r>
          </w:p>
        </w:tc>
        <w:tc>
          <w:tcPr/>
          <w:p>
            <w:pPr>
              <w:pStyle w:val="Compact"/>
              <w:jc w:val="left"/>
            </w:pPr>
            <w:r>
              <w:t xml:space="preserve">laufend</w:t>
            </w:r>
          </w:p>
        </w:tc>
        <w:tc>
          <w:tcPr/>
          <w:p>
            <w:pPr>
              <w:pStyle w:val="Compact"/>
              <w:jc w:val="left"/>
            </w:pPr>
            <w:r>
              <w:t xml:space="preserve">Lebensqualität signifikant besser; 91,0 % setzten fort</w:t>
            </w:r>
          </w:p>
        </w:tc>
      </w:tr>
      <w:tr>
        <w:tc>
          <w:tcPr/>
          <w:p>
            <w:pPr>
              <w:pStyle w:val="Compact"/>
              <w:jc w:val="left"/>
            </w:pPr>
            <w:r>
              <w:t xml:space="preserve">Seidl-Philipp 2026, PMID 41793078</w:t>
            </w:r>
          </w:p>
        </w:tc>
        <w:tc>
          <w:tcPr/>
          <w:p>
            <w:pPr>
              <w:pStyle w:val="Compact"/>
              <w:jc w:val="left"/>
            </w:pPr>
            <w:r>
              <w:t xml:space="preserve">20 Personen in Österreich</w:t>
            </w:r>
          </w:p>
        </w:tc>
        <w:tc>
          <w:tcPr/>
          <w:p>
            <w:pPr>
              <w:pStyle w:val="Compact"/>
              <w:jc w:val="left"/>
            </w:pPr>
            <w:r>
              <w:t xml:space="preserve">2023</w:t>
            </w:r>
          </w:p>
        </w:tc>
        <w:tc>
          <w:tcPr/>
          <w:p>
            <w:pPr>
              <w:pStyle w:val="Compact"/>
              <w:jc w:val="left"/>
            </w:pPr>
            <w:r>
              <w:t xml:space="preserve">Lichttoleranz Median 15 auf 250 Minuten; Lichtreaktionen bei 88 % vs. 33 %</w:t>
            </w:r>
          </w:p>
        </w:tc>
      </w:tr>
    </w:tbl>
    <w:p>
      <w:pPr>
        <w:pStyle w:val="BodyText"/>
      </w:pPr>
      <w:r>
        <w:t xml:space="preserve">Die italienisch-schweizerische Beobachtungsstudie umfasste Behandlungen seit 2006. Nur drei Personen gaben an, dass die Wirkung ihren Erwartungen nicht entsprach; 23 % unterbrachen aus anderen Gründen, etwa wegen Schwangerschaft oder Kosten (Biolcati 2015, PMID 25494545). In der niederländischen Kohorte wurden Lichtreaktionen weniger schmerzhaft, ihre Zahl und Dauer änderten sich aber nicht signifikant (Wensink 2020, PMID 32186677). Die österreichische Auswertung aller 20 im Jahr 2023 behandelten Personen zeigt besonders deutliche Verbesserungen der Lebensqualität (Seidl-Philipp 2026, PMID 41793078).</w:t>
      </w:r>
    </w:p>
    <w:p>
      <w:pPr>
        <w:pStyle w:val="BodyText"/>
      </w:pPr>
      <w:r>
        <w:t xml:space="preserve">Diese Kohorten haben keine Kontrollgruppe. Wer gut anspricht, bleibt eher in Behandlung, und die Erwartung an ein teures Medikament beeinflusst die Selbstauskunft. Die durchweg hohen Fortsetzungsraten bei einer Behandlung, die alle zwei Monate einen Arztbesuch erfordert, sind dennoch ein beachtliches Signal.</w:t>
      </w:r>
    </w:p>
    <w:bookmarkEnd w:id="781"/>
    <w:bookmarkStart w:id="782" w:name="weitere-beobachtungen-bei-epp"/>
    <w:p>
      <w:pPr>
        <w:pStyle w:val="Heading4"/>
      </w:pPr>
      <w:r>
        <w:t xml:space="preserve">Weitere Beobachtungen bei EPP</w:t>
      </w:r>
    </w:p>
    <w:p>
      <w:pPr>
        <w:numPr>
          <w:ilvl w:val="0"/>
          <w:numId w:val="1265"/>
        </w:numPr>
        <w:pStyle w:val="Compact"/>
      </w:pPr>
      <w:r>
        <w:rPr>
          <w:bCs/>
          <w:b/>
        </w:rPr>
        <w:t xml:space="preserve">Leber:</w:t>
      </w:r>
      <w:r>
        <w:t xml:space="preserve"> </w:t>
      </w:r>
      <w:r>
        <w:t xml:space="preserve">In einer Schweizer Auswertung von 70 Behandelten mit fast 3.000 Leberwerten sanken der Leberwert ALAT und das Bilirubin, je mehr Implantate im Vorjahr gesetzt worden waren (Minder 2023, PMID 37109595). Das ist ein Zusammenhang aus Beobachtungsdaten, kein Nachweis eines Leberschutzes.</w:t>
      </w:r>
    </w:p>
    <w:p>
      <w:pPr>
        <w:numPr>
          <w:ilvl w:val="0"/>
          <w:numId w:val="1265"/>
        </w:numPr>
        <w:pStyle w:val="Compact"/>
      </w:pPr>
      <w:r>
        <w:rPr>
          <w:bCs/>
          <w:b/>
        </w:rPr>
        <w:t xml:space="preserve">Vitamin D:</w:t>
      </w:r>
      <w:r>
        <w:t xml:space="preserve"> </w:t>
      </w:r>
      <w:r>
        <w:t xml:space="preserve">Afamelanotid änderte den Vitamin-D-Spiegel nicht. In einer Studie mit 230 Personen blieb ein Mangel bei 71,8 % bestehen; nur die Gabe von Vitamin D3 hob die Werte (Kluijver 2024, PMID 38634774).</w:t>
      </w:r>
    </w:p>
    <w:p>
      <w:pPr>
        <w:numPr>
          <w:ilvl w:val="0"/>
          <w:numId w:val="1265"/>
        </w:numPr>
        <w:pStyle w:val="Compact"/>
      </w:pPr>
      <w:r>
        <w:rPr>
          <w:bCs/>
          <w:b/>
        </w:rPr>
        <w:t xml:space="preserve">Antikörper:</w:t>
      </w:r>
      <w:r>
        <w:t xml:space="preserve"> </w:t>
      </w:r>
      <w:r>
        <w:t xml:space="preserve">Bei 23 von 26 Personen bildeten sich über bis zu sechs Jahre keine Antikörper gegen den Wirkstoff; drei hatten schon vor der Behandlung messbare Antikörper, die sich nicht veränderten (Lengweiler 2015, PMID 25402764).</w:t>
      </w:r>
    </w:p>
    <w:bookmarkEnd w:id="782"/>
    <w:bookmarkStart w:id="783" w:name="vitiligo"/>
    <w:p>
      <w:pPr>
        <w:pStyle w:val="Heading4"/>
      </w:pPr>
      <w:r>
        <w:t xml:space="preserve">Vitiligo</w:t>
      </w:r>
    </w:p>
    <w:p>
      <w:pPr>
        <w:pStyle w:val="FirstParagraph"/>
      </w:pPr>
      <w:r>
        <w:t xml:space="preserve">Bei der Weißfleckenkrankheit (Vitiligo) zerstört das Immunsystem Pigmentzellen; es entstehen helle Flecken. Die Standardbehandlung ist eine Lichttherapie mit Schmalband-UVB. Afamelanotid soll die verbliebenen Pigmentzellen zusätzlich anregen.</w:t>
      </w:r>
    </w:p>
    <w:p>
      <w:pPr>
        <w:pStyle w:val="BodyText"/>
      </w:pPr>
      <w:r>
        <w:t xml:space="preserve">Nach einer Fallserie mit vier Personen (Grimes 2013, PMID 23407924) folgte eine randomisierte Studie mit 55 Teilnehmenden (Lim 2015, PMID 25230094; NCT01430195). Die Kombination aus Lichttherapie und monatlichen Implantaten führte schneller zu neuer Pigmentierung als die Lichttherapie allein. Nach 168 Tagen war im Kombinationsarm 48,64 % der Fläche wiederpigmentiert, unter Lichttherapie allein 33,26 %. Der Vorteil zeigte sich vor allem bei dunkleren Hauttypen (IV bis VI). Ein Nachteil, auf den Fachleute hinweisen: Auch die gesunde Haut wird dunkler, sodass der Kontrast zu den hellen Flecken anfangs zunehmen kann (Passeron 2015, PMID 25607635). Eine Studie bei asiatischen Patientinnen und Patienten wurde ebenfalls veröffentlicht (Toh 2020, PMID 31987791).</w:t>
      </w:r>
    </w:p>
    <w:bookmarkEnd w:id="783"/>
    <w:bookmarkStart w:id="784" w:name="weitere-anwendungen-in-pilotstudien"/>
    <w:p>
      <w:pPr>
        <w:pStyle w:val="Heading4"/>
      </w:pPr>
      <w:r>
        <w:t xml:space="preserve">Weitere Anwendungen in Pilotstudien</w:t>
      </w:r>
    </w:p>
    <w:p>
      <w:pPr>
        <w:pStyle w:val="FirstParagraph"/>
      </w:pPr>
      <w:r>
        <w:t xml:space="preserve">Die folgenden Ergebnisse stammen aus sehr kleinen, meist offenen Studien und sind als Hypothesen zu verstehen:</w:t>
      </w:r>
    </w:p>
    <w:p>
      <w:pPr>
        <w:numPr>
          <w:ilvl w:val="0"/>
          <w:numId w:val="1266"/>
        </w:numPr>
        <w:pStyle w:val="Compact"/>
      </w:pPr>
      <w:r>
        <w:rPr>
          <w:bCs/>
          <w:b/>
        </w:rPr>
        <w:t xml:space="preserve">Sonnenurtikaria</w:t>
      </w:r>
      <w:r>
        <w:t xml:space="preserve"> </w:t>
      </w:r>
      <w:r>
        <w:t xml:space="preserve">(Nesselsucht durch Licht): bei 5 Personen nach einem Implantat geringere Quaddelbildung (Haylett 2011, PMID 20969564).</w:t>
      </w:r>
    </w:p>
    <w:p>
      <w:pPr>
        <w:numPr>
          <w:ilvl w:val="0"/>
          <w:numId w:val="1266"/>
        </w:numPr>
        <w:pStyle w:val="Compact"/>
      </w:pPr>
      <w:r>
        <w:rPr>
          <w:bCs/>
          <w:b/>
        </w:rPr>
        <w:t xml:space="preserve">Akne:</w:t>
      </w:r>
      <w:r>
        <w:t xml:space="preserve"> </w:t>
      </w:r>
      <w:r>
        <w:t xml:space="preserve">bei 3 Personen weniger entzündliche Läsionen (Böhm 2014, PMID 22845050).</w:t>
      </w:r>
    </w:p>
    <w:p>
      <w:pPr>
        <w:numPr>
          <w:ilvl w:val="0"/>
          <w:numId w:val="1266"/>
        </w:numPr>
        <w:pStyle w:val="Compact"/>
      </w:pPr>
      <w:r>
        <w:rPr>
          <w:bCs/>
          <w:b/>
        </w:rPr>
        <w:t xml:space="preserve">Morbus Hailey-Hailey</w:t>
      </w:r>
      <w:r>
        <w:t xml:space="preserve"> </w:t>
      </w:r>
      <w:r>
        <w:t xml:space="preserve">(erbliche Blasenkrankheit): Abheilung der Hautläsionen bei 2 Personen (Biolcati 2014, PMID 24256215).</w:t>
      </w:r>
    </w:p>
    <w:p>
      <w:pPr>
        <w:numPr>
          <w:ilvl w:val="0"/>
          <w:numId w:val="1266"/>
        </w:numPr>
        <w:pStyle w:val="Compact"/>
      </w:pPr>
      <w:r>
        <w:rPr>
          <w:bCs/>
          <w:b/>
        </w:rPr>
        <w:t xml:space="preserve">Schlaganfall:</w:t>
      </w:r>
      <w:r>
        <w:t xml:space="preserve"> </w:t>
      </w:r>
      <w:r>
        <w:t xml:space="preserve">In einer offenen Machbarkeitsstudie mit 6 Personen war die Gabe durchführbar; eine Person starb an einem erneuten Schlaganfall, den die Forschenden nicht auf das Mittel zurückführten (Stanislaus 2023, PMID 37496004).</w:t>
      </w:r>
    </w:p>
    <w:p>
      <w:pPr>
        <w:numPr>
          <w:ilvl w:val="0"/>
          <w:numId w:val="1266"/>
        </w:numPr>
        <w:pStyle w:val="Compact"/>
      </w:pPr>
      <w:r>
        <w:rPr>
          <w:bCs/>
          <w:b/>
        </w:rPr>
        <w:t xml:space="preserve">Gesunde Haut:</w:t>
      </w:r>
      <w:r>
        <w:t xml:space="preserve"> </w:t>
      </w:r>
      <w:r>
        <w:t xml:space="preserve">Bei 9 gesunden Freiwilligen fiel die Hautrötung nach UV-Bestrahlung sechs Tage nach dem Implantat geringer aus (Griffin 2026, PMID 42678656).</w:t>
      </w:r>
    </w:p>
    <w:bookmarkEnd w:id="784"/>
    <w:bookmarkEnd w:id="785"/>
    <w:bookmarkStart w:id="786" w:name="tier--und-laborstudien-48"/>
    <w:p>
      <w:pPr>
        <w:pStyle w:val="Heading3"/>
      </w:pPr>
      <w:r>
        <w:t xml:space="preserve">Tier- und Laborstudien</w:t>
      </w:r>
    </w:p>
    <w:p>
      <w:pPr>
        <w:pStyle w:val="FirstParagraph"/>
      </w:pPr>
      <w:r>
        <w:t xml:space="preserve">In Zellkulturen hat Afamelanotid antioxidative Wirkungen. In Hautzellen von Menschen mit Morbus Hailey-Hailey aktivierte es den Schutzfaktor Nrf2 und stellte die gestörte Zellteilung teilweise wieder her (Biolcati 2014, PMID 24256215). Untersuchungen zu Stabilität und Abbauprodukten des Wirkstoffs betreffen die Arzneimittelqualität (Chawathe 2026, PMID 41547183). Für die Bewertung beim Menschen spielen Tierdaten heute eine untergeordnete Rolle, weil die klinischen Daten aussagekräftiger sind.</w:t>
      </w:r>
    </w:p>
    <w:bookmarkEnd w:id="786"/>
    <w:bookmarkStart w:id="790" w:name="risiken-und-nebenwirkungen-48"/>
    <w:p>
      <w:pPr>
        <w:pStyle w:val="Heading3"/>
      </w:pPr>
      <w:r>
        <w:t xml:space="preserve">Risiken und Nebenwirkungen</w:t>
      </w:r>
    </w:p>
    <w:bookmarkStart w:id="787" w:name="belegt-8"/>
    <w:p>
      <w:pPr>
        <w:pStyle w:val="Heading4"/>
      </w:pPr>
      <w:r>
        <w:t xml:space="preserve">Belegt</w:t>
      </w:r>
    </w:p>
    <w:p>
      <w:pPr>
        <w:numPr>
          <w:ilvl w:val="0"/>
          <w:numId w:val="1267"/>
        </w:numPr>
        <w:pStyle w:val="Compact"/>
      </w:pPr>
      <w:r>
        <w:rPr>
          <w:bCs/>
          <w:b/>
        </w:rPr>
        <w:t xml:space="preserve">Häufige, meist leichte Nebenwirkungen:</w:t>
      </w:r>
      <w:r>
        <w:t xml:space="preserve"> </w:t>
      </w:r>
      <w:r>
        <w:t xml:space="preserve">Übelkeit, Kopfschmerzen, Müdigkeit und Reaktionen an der Einsetzstelle des Implantats (Langendonk 2015, PMID 26132941; Wensink 2020, PMID 32186677; Biolcati 2015, PMID 25494545). Schwere unerwünschte Ereignisse wurden in den Zulassungsstudien nicht dem Wirkstoff zugeschrieben.</w:t>
      </w:r>
    </w:p>
    <w:p>
      <w:pPr>
        <w:numPr>
          <w:ilvl w:val="0"/>
          <w:numId w:val="1267"/>
        </w:numPr>
        <w:pStyle w:val="Compact"/>
      </w:pPr>
      <w:r>
        <w:rPr>
          <w:bCs/>
          <w:b/>
        </w:rPr>
        <w:t xml:space="preserve">Dunklere Haut und Muttermale:</w:t>
      </w:r>
      <w:r>
        <w:t xml:space="preserve"> </w:t>
      </w:r>
      <w:r>
        <w:t xml:space="preserve">Die Bräunung ist die gewollte Wirkung. Muttermale und Sommersprossen werden ebenfalls dunkler. In einer Studie mit 15 Personen und 103 Muttermalen zeigten sich unter dem Auflichtmikroskop vorübergehende Veränderungen, die nach einem Jahr zurückgegangen waren; neue Muttermale oder Hinweise auf Bösartigkeit traten nicht auf (Arisi 2021, PMID 33721252). Die Fachinformation sieht regelmäßige Hautuntersuchungen vor.</w:t>
      </w:r>
    </w:p>
    <w:p>
      <w:pPr>
        <w:numPr>
          <w:ilvl w:val="0"/>
          <w:numId w:val="1267"/>
        </w:numPr>
        <w:pStyle w:val="Compact"/>
      </w:pPr>
      <w:r>
        <w:rPr>
          <w:bCs/>
          <w:b/>
        </w:rPr>
        <w:t xml:space="preserve">Pigmentveränderungen der Mundschleimhaut</w:t>
      </w:r>
      <w:r>
        <w:t xml:space="preserve"> </w:t>
      </w:r>
      <w:r>
        <w:t xml:space="preserve">sind beschrieben (de Baat 2020, PMID 32459219; die Übersicht vermischt allerdings Befunde zum zugelassenen Implantat mit solchen zu Graumarkt-Melanotan), ebenso ein Fall von scheinbarer Entfärbung bei gleichzeitiger Neurodermitis (von Bartenwerffer 2011, PMID 21597671).</w:t>
      </w:r>
    </w:p>
    <w:p>
      <w:pPr>
        <w:numPr>
          <w:ilvl w:val="0"/>
          <w:numId w:val="1267"/>
        </w:numPr>
        <w:pStyle w:val="Compact"/>
      </w:pPr>
      <w:r>
        <w:rPr>
          <w:bCs/>
          <w:b/>
        </w:rPr>
        <w:t xml:space="preserve">Keine Wirkung auf Vitamin D:</w:t>
      </w:r>
      <w:r>
        <w:t xml:space="preserve"> </w:t>
      </w:r>
      <w:r>
        <w:t xml:space="preserve">siehe oben (Kluijver 2024, PMID 38634774).</w:t>
      </w:r>
    </w:p>
    <w:bookmarkEnd w:id="787"/>
    <w:bookmarkStart w:id="788" w:name="offen-1"/>
    <w:p>
      <w:pPr>
        <w:pStyle w:val="Heading4"/>
      </w:pPr>
      <w:r>
        <w:t xml:space="preserve">Offen</w:t>
      </w:r>
    </w:p>
    <w:p>
      <w:pPr>
        <w:pStyle w:val="FirstParagraph"/>
      </w:pPr>
      <w:r>
        <w:t xml:space="preserve">Daten zu Schwangerschaft fehlen weitgehend; in der Praxis wird die Behandlung pausiert. Für Kinder und Jugendliche ist Afamelanotid nicht zugelassen (Barman-Aksözen 2026, PMID 41885813), obwohl EPP meist in der frühen Kindheit beginnt. Einzelne Behandlungen von Kindern außerhalb der Zulassung sind als Fallberichte veröffentlicht (Minder 2026, PMID 41542313). Ob die jahrzehntelange Stimulation der Pigmentzellen das Hautkrebsrisiko beeinflusst, lässt sich mit den bisherigen Beobachtungszeiträumen nicht abschließend sagen.</w:t>
      </w:r>
    </w:p>
    <w:bookmarkEnd w:id="788"/>
    <w:bookmarkStart w:id="789" w:name="abgrenzung-zum-graumarkt"/>
    <w:p>
      <w:pPr>
        <w:pStyle w:val="Heading4"/>
      </w:pPr>
      <w:r>
        <w:t xml:space="preserve">Abgrenzung zum Graumarkt</w:t>
      </w:r>
    </w:p>
    <w:p>
      <w:pPr>
        <w:pStyle w:val="FirstParagraph"/>
      </w:pPr>
      <w:r>
        <w:t xml:space="preserve">Im Internet wird „Melanotan I“ als Bräunungsmittel angeboten. Solche Produkte haben mit dem zugelassenen Implantat nur den Namen des Wirkstoffs gemeinsam: Sie werden als Pulver zur Selbstinjektion verkauft, Reinheit und Gehalt sind ungeprüft, und es gibt keine ärztliche Kontrolle der Haut. Die Sicherheitsdaten aus der EPP-Behandlung lassen sich darauf nicht übertragen (Habbema 2017, PMID 28266027).</w:t>
      </w:r>
    </w:p>
    <w:bookmarkEnd w:id="789"/>
    <w:bookmarkEnd w:id="790"/>
    <w:bookmarkStart w:id="791" w:name="rechtslage-48"/>
    <w:p>
      <w:pPr>
        <w:pStyle w:val="Heading3"/>
      </w:pPr>
      <w:r>
        <w:t xml:space="preserve">Rechtslage</w:t>
      </w:r>
    </w:p>
    <w:p>
      <w:pPr>
        <w:pStyle w:val="FirstParagraph"/>
      </w:pPr>
      <w:r>
        <w:rPr>
          <w:iCs/>
          <w:i/>
        </w:rPr>
        <w:t xml:space="preserve">Stand 2026, bitte aktuell prüfen.</w:t>
      </w:r>
    </w:p>
    <w:p>
      <w:pPr>
        <w:numPr>
          <w:ilvl w:val="0"/>
          <w:numId w:val="1268"/>
        </w:numPr>
        <w:pStyle w:val="Compact"/>
      </w:pPr>
      <w:r>
        <w:rPr>
          <w:bCs/>
          <w:b/>
        </w:rPr>
        <w:t xml:space="preserve">EU:</w:t>
      </w:r>
      <w:r>
        <w:t xml:space="preserve"> </w:t>
      </w:r>
      <w:r>
        <w:t xml:space="preserve">zentral zugelassen seit 2014 als Arzneimittel für seltene Leiden (Scenesse) für Erwachsene mit EPP. Die Behandlung erfolgt in spezialisierten Zentren; eine Sicherheitsstudie und ein europäisches Register sind Teil der Auflagen (Homey 2025, PMID 40082741).</w:t>
      </w:r>
    </w:p>
    <w:p>
      <w:pPr>
        <w:numPr>
          <w:ilvl w:val="0"/>
          <w:numId w:val="1268"/>
        </w:numPr>
        <w:pStyle w:val="Compact"/>
      </w:pPr>
      <w:r>
        <w:rPr>
          <w:bCs/>
          <w:b/>
        </w:rPr>
        <w:t xml:space="preserve">Deutschland und Österreich:</w:t>
      </w:r>
      <w:r>
        <w:t xml:space="preserve"> </w:t>
      </w:r>
      <w:r>
        <w:t xml:space="preserve">verfügbar über spezialisierte Porphyrie- und Hautkliniken; die Kostenübernahme ist im Einzelfall zu klären. Veröffentlichte Behandlungskohorten gibt es aus beiden Ländern (Homey 2025, PMID 40082741; Seidl-Philipp 2026, PMID 41793078).</w:t>
      </w:r>
    </w:p>
    <w:p>
      <w:pPr>
        <w:numPr>
          <w:ilvl w:val="0"/>
          <w:numId w:val="1268"/>
        </w:numPr>
        <w:pStyle w:val="Compact"/>
      </w:pPr>
      <w:r>
        <w:rPr>
          <w:bCs/>
          <w:b/>
        </w:rPr>
        <w:t xml:space="preserve">USA:</w:t>
      </w:r>
      <w:r>
        <w:t xml:space="preserve"> </w:t>
      </w:r>
      <w:r>
        <w:t xml:space="preserve">zugelassen seit 2019 für Erwachsene mit EPP und Lichtreaktionen.</w:t>
      </w:r>
    </w:p>
    <w:p>
      <w:pPr>
        <w:numPr>
          <w:ilvl w:val="0"/>
          <w:numId w:val="1268"/>
        </w:numPr>
        <w:pStyle w:val="Compact"/>
      </w:pPr>
      <w:r>
        <w:rPr>
          <w:bCs/>
          <w:b/>
        </w:rPr>
        <w:t xml:space="preserve">Kosten:</w:t>
      </w:r>
      <w:r>
        <w:t xml:space="preserve"> </w:t>
      </w:r>
      <w:r>
        <w:t xml:space="preserve">Afamelanotid gehört zu den teuren Arzneimitteln für seltene Erkrankungen. In England lehnte die Bewertungsbehörde NICE die Finanzierung ab – als bislang einzige Therapie in ihrem Programm für sehr seltene Erkrankungen. Patientenvertreter kritisieren die dabei verwendete Berechnung (Barman-Aksözen 2024, PMID 38791830).</w:t>
      </w:r>
    </w:p>
    <w:p>
      <w:pPr>
        <w:numPr>
          <w:ilvl w:val="0"/>
          <w:numId w:val="1268"/>
        </w:numPr>
        <w:pStyle w:val="Compact"/>
      </w:pPr>
      <w:r>
        <w:rPr>
          <w:bCs/>
          <w:b/>
        </w:rPr>
        <w:t xml:space="preserve">WADA:</w:t>
      </w:r>
      <w:r>
        <w:t xml:space="preserve"> </w:t>
      </w:r>
      <w:r>
        <w:t xml:space="preserve">nicht gelistet.</w:t>
      </w:r>
    </w:p>
    <w:bookmarkEnd w:id="791"/>
    <w:bookmarkStart w:id="792" w:name="laufende-studien-und-ausblick-48"/>
    <w:p>
      <w:pPr>
        <w:pStyle w:val="Heading3"/>
      </w:pPr>
      <w:r>
        <w:t xml:space="preserve">Laufende Studien und Ausblick</w:t>
      </w:r>
    </w:p>
    <w:p>
      <w:pPr>
        <w:pStyle w:val="FirstParagraph"/>
      </w:pPr>
      <w:r>
        <w:rPr>
          <w:bCs/>
          <w:b/>
        </w:rPr>
        <w:t xml:space="preserve">Gesichert (registrierte Studien):</w:t>
      </w:r>
    </w:p>
    <w:p>
      <w:pPr>
        <w:numPr>
          <w:ilvl w:val="0"/>
          <w:numId w:val="1269"/>
        </w:numPr>
        <w:pStyle w:val="Compact"/>
      </w:pPr>
      <w:r>
        <w:rPr>
          <w:bCs/>
          <w:b/>
        </w:rPr>
        <w:t xml:space="preserve">Vitiligo, Phase 3:</w:t>
      </w:r>
      <w:r>
        <w:t xml:space="preserve"> </w:t>
      </w:r>
      <w:r>
        <w:t xml:space="preserve">Eine Studie mit 200 Personen vergleicht Afamelanotid plus Schmalband-UVB mit Lichttherapie allein (NCT06109649). Das geplante Ende lag im Juni 2026; begutachtete Ergebnisse waren bei Redaktionsschluss nicht in PubMed veröffentlicht. Eine kleine Studie zu Vitiligo im Gesicht (NCT05210582) ist registriert.</w:t>
      </w:r>
    </w:p>
    <w:p>
      <w:pPr>
        <w:numPr>
          <w:ilvl w:val="0"/>
          <w:numId w:val="1269"/>
        </w:numPr>
        <w:pStyle w:val="Compact"/>
      </w:pPr>
      <w:r>
        <w:rPr>
          <w:bCs/>
          <w:b/>
        </w:rPr>
        <w:t xml:space="preserve">Weitere seltene Lichtkrankheiten:</w:t>
      </w:r>
      <w:r>
        <w:t xml:space="preserve"> </w:t>
      </w:r>
      <w:r>
        <w:t xml:space="preserve">Kleine Phase-2-Studien zur Porphyria variegata (NCT05854784, abgeschlossen) und zur Xeroderma pigmentosum, einer Erbkrankheit mit gestörter Reparatur von UV-Schäden (NCT05370235, NCT05159752).</w:t>
      </w:r>
    </w:p>
    <w:p>
      <w:pPr>
        <w:numPr>
          <w:ilvl w:val="0"/>
          <w:numId w:val="1269"/>
        </w:numPr>
        <w:pStyle w:val="Compact"/>
      </w:pPr>
      <w:r>
        <w:rPr>
          <w:bCs/>
          <w:b/>
        </w:rPr>
        <w:t xml:space="preserve">Pharmakologie:</w:t>
      </w:r>
      <w:r>
        <w:t xml:space="preserve"> </w:t>
      </w:r>
      <w:r>
        <w:t xml:space="preserve">Eine Studie zur Pharmakokinetik bei EPP mit 28 Personen ist abgeschlossen (NCT06388642).</w:t>
      </w:r>
    </w:p>
    <w:p>
      <w:pPr>
        <w:pStyle w:val="FirstParagraph"/>
      </w:pPr>
      <w:r>
        <w:rPr>
          <w:bCs/>
          <w:b/>
        </w:rPr>
        <w:t xml:space="preserve">Neue Konkurrenz:</w:t>
      </w:r>
      <w:r>
        <w:t xml:space="preserve"> </w:t>
      </w:r>
      <w:r>
        <w:t xml:space="preserve">Für EPP werden zwei Tabletten entwickelt: Dersimelagon, ein nicht-peptidischer MC1R-Agonist, und Bitopertin, das an der Bildung des roten Blutfarbstoffs ansetzt. Beide zeigten in Studien Wirkungen gegenüber Placebo; Vergleiche mit Afamelanotid fehlen noch (Barman-Aksözen 2026, PMID 41885813).</w:t>
      </w:r>
    </w:p>
    <w:p>
      <w:pPr>
        <w:pStyle w:val="BodyText"/>
      </w:pPr>
      <w:r>
        <w:rPr>
          <w:bCs/>
          <w:b/>
        </w:rPr>
        <w:t xml:space="preserve">Einschätzung des Autors:</w:t>
      </w:r>
      <w:r>
        <w:t xml:space="preserve"> </w:t>
      </w:r>
      <w:r>
        <w:t xml:space="preserve">Afamelanotid wird für EPP vorerst die Referenz bleiben. Ob es bei Vitiligo eine Rolle spielt, hängt vom Ergebnis der Phase-3-Studie ab; die Kombination mit Lichttherapie ist aufwendig, und mit den JAK-Hemmer-Cremes gibt es inzwischen andere Optionen. Eine Zulassung für Jugendliche wäre für EPP besonders wichtig, weil die Erkrankung in der Kindheit beginnt.</w:t>
      </w:r>
    </w:p>
    <w:bookmarkEnd w:id="792"/>
    <w:bookmarkStart w:id="793" w:name="fazit-48"/>
    <w:p>
      <w:pPr>
        <w:pStyle w:val="Heading3"/>
      </w:pPr>
      <w:r>
        <w:t xml:space="preserve">Fazit</w:t>
      </w:r>
    </w:p>
    <w:p>
      <w:pPr>
        <w:pStyle w:val="FirstParagraph"/>
      </w:pPr>
      <w:r>
        <w:t xml:space="preserve">Afamelanotid ist das am besten untersuchte und das einzige in der EU zugelassene Peptid, das die Hautbräunung über das Melanocortin-System anregt. Bei Erwachsenen mit erythropoetischer Protoporphyrie verlängerte es in zwei randomisierten Studien die schmerzfreie Zeit im Sonnenlicht und verbesserte die Lebensqualität; Langzeitkohorten aus mehreren Ländern zeigen hohe Fortsetzungsraten bei überwiegend leichten Nebenwirkungen. Bei Vitiligo beschleunigte es in einer randomisierten Studie die Wiederpigmentierung unter Lichttherapie; die Phase-3-Ergebnisse stehen aus. Mit Graumarkt-„Melanotan I“ zur kosmetischen Bräunung hat das kontrollierte Implantat in der Spezialambulanz praktisch nichts gemein.</w:t>
      </w:r>
    </w:p>
    <w:bookmarkEnd w:id="793"/>
    <w:bookmarkEnd w:id="794"/>
    <w:bookmarkStart w:id="814" w:name="kisspeptin"/>
    <w:p>
      <w:pPr>
        <w:pStyle w:val="Heading2"/>
      </w:pPr>
      <w:r>
        <w:t xml:space="preserve">Kisspeptin</w:t>
      </w:r>
    </w:p>
    <w:bookmarkStart w:id="795" w:name="steckbrief-49"/>
    <w:p>
      <w:pPr>
        <w:pStyle w:val="Heading3"/>
      </w:pPr>
      <w:r>
        <w:t xml:space="preserve">Steckbrief</w:t>
      </w:r>
    </w:p>
    <w:p>
      <w:pPr>
        <w:numPr>
          <w:ilvl w:val="0"/>
          <w:numId w:val="1270"/>
        </w:numPr>
        <w:pStyle w:val="Compact"/>
      </w:pPr>
      <w:r>
        <w:rPr>
          <w:bCs/>
          <w:b/>
        </w:rPr>
        <w:t xml:space="preserve">Art/Struktur:</w:t>
      </w:r>
      <w:r>
        <w:t xml:space="preserve"> </w:t>
      </w:r>
      <w:r>
        <w:t xml:space="preserve">körpereigene Peptid-Familie. Das Gen KISS1 liefert ein Vorläufereiweiß, aus dem unterschiedlich lange Stücke entstehen: Kisspeptin-54 (54 Aminosäuren, die im Blut vorherrschende Form), Kisspeptin-14, -13 und -10. Die kürzeste Form, Kisspeptin-10, enthält bereits den vollständig wirksamen Teil. In Studien werden die natürlichen Formen sowie synthetische, stabilere Abwandlungen (etwa MVT-602 und TAK-448) eingesetzt.</w:t>
      </w:r>
    </w:p>
    <w:p>
      <w:pPr>
        <w:numPr>
          <w:ilvl w:val="0"/>
          <w:numId w:val="1270"/>
        </w:numPr>
        <w:pStyle w:val="Compact"/>
      </w:pPr>
      <w:r>
        <w:rPr>
          <w:bCs/>
          <w:b/>
        </w:rPr>
        <w:t xml:space="preserve">Herkunft:</w:t>
      </w:r>
      <w:r>
        <w:t xml:space="preserve"> </w:t>
      </w:r>
      <w:r>
        <w:t xml:space="preserve">1996 zunächst als Gen entdeckt, das die Metastasenbildung von Melanomzellen bremst (Lee 1996, PMID 8944003). Der Name geht auf die Stadt Hershey in Pennsylvania zurück, Heimat der Schokoladensorte „Kisses“. 2001 wurde das Peptid als Botenstoff eines bis dahin „verwaisten“ Rezeptors identifiziert und zunächst Metastin genannt (Ohtaki 2001, PMID 11385580).</w:t>
      </w:r>
    </w:p>
    <w:p>
      <w:pPr>
        <w:numPr>
          <w:ilvl w:val="0"/>
          <w:numId w:val="1270"/>
        </w:numPr>
        <w:pStyle w:val="Compact"/>
      </w:pPr>
      <w:r>
        <w:rPr>
          <w:bCs/>
          <w:b/>
        </w:rPr>
        <w:t xml:space="preserve">Wirkprinzip:</w:t>
      </w:r>
      <w:r>
        <w:t xml:space="preserve"> </w:t>
      </w:r>
      <w:r>
        <w:t xml:space="preserve">Agonist am Kisspeptin-Rezeptor (KISS1R, früher GPR54) auf den GnRH-Nervenzellen im Hypothalamus. Kisspeptin ist der wichtigste bekannte Auslöser für die Freisetzung von GnRH und damit für die gesamte Hormonachse der Fortpflanzung.</w:t>
      </w:r>
    </w:p>
    <w:p>
      <w:pPr>
        <w:numPr>
          <w:ilvl w:val="0"/>
          <w:numId w:val="1270"/>
        </w:numPr>
        <w:pStyle w:val="Compact"/>
      </w:pPr>
      <w:r>
        <w:rPr>
          <w:bCs/>
          <w:b/>
        </w:rPr>
        <w:t xml:space="preserve">Zulassung EU:</w:t>
      </w:r>
      <w:r>
        <w:t xml:space="preserve"> </w:t>
      </w:r>
      <w:r>
        <w:t xml:space="preserve">nein.</w:t>
      </w:r>
    </w:p>
    <w:p>
      <w:pPr>
        <w:numPr>
          <w:ilvl w:val="0"/>
          <w:numId w:val="1270"/>
        </w:numPr>
        <w:pStyle w:val="Compact"/>
      </w:pPr>
      <w:r>
        <w:rPr>
          <w:bCs/>
          <w:b/>
        </w:rPr>
        <w:t xml:space="preserve">Zulassung USA:</w:t>
      </w:r>
      <w:r>
        <w:t xml:space="preserve"> </w:t>
      </w:r>
      <w:r>
        <w:t xml:space="preserve">nein.</w:t>
      </w:r>
    </w:p>
    <w:p>
      <w:pPr>
        <w:numPr>
          <w:ilvl w:val="0"/>
          <w:numId w:val="1270"/>
        </w:numPr>
        <w:pStyle w:val="Compact"/>
      </w:pPr>
      <w:r>
        <w:rPr>
          <w:bCs/>
          <w:b/>
        </w:rPr>
        <w:t xml:space="preserve">WADA:</w:t>
      </w:r>
      <w:r>
        <w:t xml:space="preserve"> </w:t>
      </w:r>
      <w:r>
        <w:t xml:space="preserve">nicht namentlich genannt. Als nicht zugelassener Wirkstoff fällt Kisspeptin unter S0; bei Männern erfasst zudem die Gruppe S2 Freisetzungsfaktoren des luteinisierenden Hormons (Stand 2026, bitte aktuell prüfen).</w:t>
      </w:r>
    </w:p>
    <w:p>
      <w:pPr>
        <w:numPr>
          <w:ilvl w:val="0"/>
          <w:numId w:val="1270"/>
        </w:numPr>
        <w:pStyle w:val="Compact"/>
      </w:pPr>
      <w:r>
        <w:rPr>
          <w:bCs/>
          <w:b/>
        </w:rPr>
        <w:t xml:space="preserve">Evidenzstufe:</w:t>
      </w:r>
      <w:r>
        <w:t xml:space="preserve"> </w:t>
      </w:r>
      <w:r>
        <w:rPr>
          <w:bCs/>
          <w:b/>
        </w:rPr>
        <w:t xml:space="preserve">B</w:t>
      </w:r>
      <w:r>
        <w:t xml:space="preserve"> </w:t>
      </w:r>
      <w:r>
        <w:t xml:space="preserve">– zahlreiche kleine, teils randomisierte Studien und mehrere randomisierte Phase-2-Studien, vor allem aus London und Boston. Keine Phase-3-Studie, keine Zulassung.</w:t>
      </w:r>
    </w:p>
    <w:bookmarkEnd w:id="795"/>
    <w:bookmarkStart w:id="796" w:name="wie-es-wirken-soll-49"/>
    <w:p>
      <w:pPr>
        <w:pStyle w:val="Heading3"/>
      </w:pPr>
      <w:r>
        <w:t xml:space="preserve">Wie es wirken soll</w:t>
      </w:r>
    </w:p>
    <w:p>
      <w:pPr>
        <w:pStyle w:val="FirstParagraph"/>
      </w:pPr>
      <w:r>
        <w:t xml:space="preserve">Die Fortpflanzung des Menschen wird von einer Kette aus Hormonen gesteuert. Ganz oben steht das Hormon GnRH (Gonadotropin-Releasing-Hormon) aus dem Hypothalamus, das in Pulsen ausgeschüttet wird. Es veranlasst die Hirnanhangdrüse, die Hormone LH (luteinisierendes Hormon) und FSH (follikelstimulierendes Hormon) freizusetzen. Diese steuern wiederum Eierstöcke und Hoden: Eizellreifung und Eisprung, Spermienbildung, Östrogen- und Testosteronproduktion. Das Kapitel zu Gonadorelin (2E06) beschreibt diese Achse näher.</w:t>
      </w:r>
    </w:p>
    <w:p>
      <w:pPr>
        <w:pStyle w:val="BodyText"/>
      </w:pPr>
      <w:r>
        <w:t xml:space="preserve">Kisspeptin sitzt eine Stufe über GnRH. Spezielle Nervenzellen im Hypothalamus schütten es aus und „schalten“ damit die GnRH-Zellen an. Wie zentral diese Funktion ist, zeigte sich 2003: Menschen mit defektem Kisspeptin-Rezeptor kommen nicht in die Pubertät und bleiben unfruchtbar (de Roux 2003, PMID 12944565; Seminara 2003, PMID 14573733).</w:t>
      </w:r>
    </w:p>
    <w:p>
      <w:pPr>
        <w:pStyle w:val="BodyText"/>
      </w:pPr>
      <w:r>
        <w:t xml:space="preserve">Für die Medizin ist Kisspeptin aus zwei Gründen interessant:</w:t>
      </w:r>
    </w:p>
    <w:p>
      <w:pPr>
        <w:numPr>
          <w:ilvl w:val="0"/>
          <w:numId w:val="1271"/>
        </w:numPr>
        <w:pStyle w:val="Compact"/>
      </w:pPr>
      <w:r>
        <w:rPr>
          <w:bCs/>
          <w:b/>
        </w:rPr>
        <w:t xml:space="preserve">Es wirkt „von oben“.</w:t>
      </w:r>
      <w:r>
        <w:t xml:space="preserve"> </w:t>
      </w:r>
      <w:r>
        <w:t xml:space="preserve">Anders als Medikamente, die direkt LH oder FSH ersetzen, regt Kisspeptin die körpereigene GnRH-Ausschüttung an. Die anschließende Hormonfreisetzung bleibt den natürlichen Rückkopplungen unterworfen. Das macht eine Überstimulation der Eierstöcke unwahrscheinlicher.</w:t>
      </w:r>
    </w:p>
    <w:p>
      <w:pPr>
        <w:numPr>
          <w:ilvl w:val="0"/>
          <w:numId w:val="1271"/>
        </w:numPr>
        <w:pStyle w:val="Compact"/>
      </w:pPr>
      <w:r>
        <w:rPr>
          <w:bCs/>
          <w:b/>
        </w:rPr>
        <w:t xml:space="preserve">Kurz wirkt es anregend, dauerhaft bremsend.</w:t>
      </w:r>
      <w:r>
        <w:t xml:space="preserve"> </w:t>
      </w:r>
      <w:r>
        <w:t xml:space="preserve">Bei ununterbrochener Gabe gewöhnen sich die Rezeptoren an das Signal (Tachyphylaxie), und die Hormonachse fährt herunter. Das ist ein Problem, wenn man die Fruchtbarkeit fördern will – und eine Chance, wenn man Hormone senken will, etwa bei Prostatakrebs.</w:t>
      </w:r>
    </w:p>
    <w:p>
      <w:pPr>
        <w:pStyle w:val="FirstParagraph"/>
      </w:pPr>
      <w:r>
        <w:t xml:space="preserve">Kisspeptin-Rezeptoren finden sich auch in Hirnregionen, die Emotionen und sexuelle Reize verarbeiten. Daraus entstand die Idee, Kisspeptin könnte das sexuelle Verlangen beeinflussen.</w:t>
      </w:r>
    </w:p>
    <w:bookmarkEnd w:id="796"/>
    <w:bookmarkStart w:id="805" w:name="studien-am-menschen-49"/>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fand</w:t>
      </w:r>
      <w:r>
        <w:t xml:space="preserve"> </w:t>
      </w:r>
      <w:r>
        <w:rPr>
          <w:bCs/>
          <w:b/>
        </w:rPr>
        <w:t xml:space="preserve">37</w:t>
      </w:r>
      <w:r>
        <w:t xml:space="preserve"> </w:t>
      </w:r>
      <w:r>
        <w:t xml:space="preserve">Humanstudien in PubMed (</w:t>
      </w:r>
      <w:r>
        <w:rPr>
          <w:rStyle w:val="VerbatimChar"/>
        </w:rPr>
        <w:t xml:space="preserve">humanstudien_alle</w:t>
      </w:r>
      <w:r>
        <w:t xml:space="preserve">) und</w:t>
      </w:r>
      <w:r>
        <w:t xml:space="preserve"> </w:t>
      </w:r>
      <w:r>
        <w:rPr>
          <w:bCs/>
          <w:b/>
        </w:rPr>
        <w:t xml:space="preserve">36</w:t>
      </w:r>
      <w:r>
        <w:t xml:space="preserve"> </w:t>
      </w:r>
      <w:r>
        <w:t xml:space="preserve">Einträge bei ClinicalTrials.gov. Nicht alle davon geben Kisspeptin als Wirkstoff: Einige Studien messen nur Kisspeptin-Spiegel im Blut, etwa in der Schwangerschaft. Die Gabe von Kisspeptin am Menschen wurde von wenigen Arbeitsgruppen vorangetrieben, vor allem am Imperial College London und am Massachusetts General Hospital in Boston. Die meisten Studien haben weniger als 50 Teilnehmende.</w:t>
      </w:r>
    </w:p>
    <w:bookmarkStart w:id="797" w:name="erste-gaben-und-grundlagen"/>
    <w:p>
      <w:pPr>
        <w:pStyle w:val="Heading4"/>
      </w:pPr>
      <w:r>
        <w:t xml:space="preserve">Erste Gaben und Grundlagen</w:t>
      </w:r>
    </w:p>
    <w:p>
      <w:pPr>
        <w:pStyle w:val="FirstParagraph"/>
      </w:pPr>
      <w:r>
        <w:t xml:space="preserve">Die erste Studie am Menschen erhielt 2005 sechs gesunde Männer. Eine 90-minütige Infusion von Kisspeptin-54 erhöhte LH, FSH und Testosteron signifikant gegenüber Kochsalz (Dhillo 2005, PMID 16174713). Die Halbwertszeit im Blut lag bei knapp 28 Minuten. Bei Frauen hängt die Wirkung stark von der Zyklusphase ab und ist kurz vor dem Eisprung am stärksten (Dhillo 2007, PMID 17635940).</w:t>
      </w:r>
    </w:p>
    <w:p>
      <w:pPr>
        <w:pStyle w:val="BodyText"/>
      </w:pPr>
      <w:r>
        <w:t xml:space="preserve">Kisspeptin-10 löste bei gesunden Männern rasch einen dosisabhängigen LH-Anstieg aus und erhöhte bei Dauerinfusion die Frequenz der LH-Pulse (George 2011, PMID 21632807). Kinder mit verzögerter Pubertät reagierten sehr unterschiedlich: Einige hatten eine deutliche Antwort, andere keine (Chan 2018, PMID 29669934). Das könnte künftig helfen, eine bloß verspätete Pubertät von einem dauerhaften Hormonmangel zu unterscheiden.</w:t>
      </w:r>
    </w:p>
    <w:bookmarkEnd w:id="797"/>
    <w:bookmarkStart w:id="798" w:name="kinderwunschbehandlung-eizellreifung"/>
    <w:p>
      <w:pPr>
        <w:pStyle w:val="Heading4"/>
      </w:pPr>
      <w:r>
        <w:t xml:space="preserve">Kinderwunschbehandlung: Eizellreifung</w:t>
      </w:r>
    </w:p>
    <w:p>
      <w:pPr>
        <w:pStyle w:val="FirstParagraph"/>
      </w:pPr>
      <w:r>
        <w:t xml:space="preserve">Die bisher am weitesten entwickelte Anwendung ist die Auslösung der Eizellreifung bei der künstlichen Befruchtung (IVF). Normalerweise wird dafür das Hormon hCG gespritzt. hCG wirkt lange und kann bei empfindlichen Frauen ein ovarielles Überstimulationssyndrom (OHSS) auslösen – eine Flüssigkeitsverschiebung, die im Extremfall lebensgefährlich ist. Kisspeptin löst stattdessen eine körpereigene, kürzere LH-Welle aus.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Jayasena 2014, PMID 25036713</w:t>
            </w:r>
          </w:p>
        </w:tc>
        <w:tc>
          <w:tcPr/>
          <w:p>
            <w:pPr>
              <w:pStyle w:val="Compact"/>
              <w:jc w:val="left"/>
            </w:pPr>
            <w:r>
              <w:t xml:space="preserve">53 Frauen in IVF-Behandlung, Dosisstudie ohne Kontrollgruppe</w:t>
            </w:r>
          </w:p>
        </w:tc>
        <w:tc>
          <w:tcPr/>
          <w:p>
            <w:pPr>
              <w:pStyle w:val="Compact"/>
              <w:jc w:val="left"/>
            </w:pPr>
            <w:r>
              <w:t xml:space="preserve">ein Zyklus</w:t>
            </w:r>
          </w:p>
        </w:tc>
        <w:tc>
          <w:tcPr/>
          <w:p>
            <w:pPr>
              <w:pStyle w:val="Compact"/>
              <w:jc w:val="left"/>
            </w:pPr>
            <w:r>
              <w:t xml:space="preserve">Eizellreifung bei allen Dosen; klinische Schwangerschaft 23 %</w:t>
            </w:r>
          </w:p>
        </w:tc>
      </w:tr>
      <w:tr>
        <w:tc>
          <w:tcPr/>
          <w:p>
            <w:pPr>
              <w:pStyle w:val="Compact"/>
              <w:jc w:val="left"/>
            </w:pPr>
            <w:r>
              <w:t xml:space="preserve">Abbara 2015, PMID 26192876</w:t>
            </w:r>
          </w:p>
        </w:tc>
        <w:tc>
          <w:tcPr/>
          <w:p>
            <w:pPr>
              <w:pStyle w:val="Compact"/>
              <w:jc w:val="left"/>
            </w:pPr>
            <w:r>
              <w:t xml:space="preserve">60 Frauen mit hohem OHSS-Risiko, randomisierte Dosisstudie</w:t>
            </w:r>
          </w:p>
        </w:tc>
        <w:tc>
          <w:tcPr/>
          <w:p>
            <w:pPr>
              <w:pStyle w:val="Compact"/>
              <w:jc w:val="left"/>
            </w:pPr>
            <w:r>
              <w:t xml:space="preserve">ein Zyklus</w:t>
            </w:r>
          </w:p>
        </w:tc>
        <w:tc>
          <w:tcPr/>
          <w:p>
            <w:pPr>
              <w:pStyle w:val="Compact"/>
              <w:jc w:val="left"/>
            </w:pPr>
            <w:r>
              <w:t xml:space="preserve">Eizellreifung bei 95 %; Lebendgeburt 45 % pro Transfer; kein mittelschweres oder schweres OHSS</w:t>
            </w:r>
          </w:p>
        </w:tc>
      </w:tr>
      <w:tr>
        <w:tc>
          <w:tcPr/>
          <w:p>
            <w:pPr>
              <w:pStyle w:val="Compact"/>
              <w:jc w:val="left"/>
            </w:pPr>
            <w:r>
              <w:t xml:space="preserve">Abbara 2017, PMID 28854728</w:t>
            </w:r>
          </w:p>
        </w:tc>
        <w:tc>
          <w:tcPr/>
          <w:p>
            <w:pPr>
              <w:pStyle w:val="Compact"/>
              <w:jc w:val="left"/>
            </w:pPr>
            <w:r>
              <w:t xml:space="preserve">62 Frauen mit hohem OHSS-Risiko, RCT: zweite Dosis vs. Kochsalz</w:t>
            </w:r>
          </w:p>
        </w:tc>
        <w:tc>
          <w:tcPr/>
          <w:p>
            <w:pPr>
              <w:pStyle w:val="Compact"/>
              <w:jc w:val="left"/>
            </w:pPr>
            <w:r>
              <w:t xml:space="preserve">ein Zyklus</w:t>
            </w:r>
          </w:p>
        </w:tc>
        <w:tc>
          <w:tcPr/>
          <w:p>
            <w:pPr>
              <w:pStyle w:val="Compact"/>
              <w:jc w:val="left"/>
            </w:pPr>
            <w:r>
              <w:t xml:space="preserve">ausreichende Eizellausbeute bei 71 % vs. 45 %</w:t>
            </w:r>
          </w:p>
        </w:tc>
      </w:tr>
      <w:tr>
        <w:tc>
          <w:tcPr/>
          <w:p>
            <w:pPr>
              <w:pStyle w:val="Compact"/>
              <w:jc w:val="left"/>
            </w:pPr>
            <w:r>
              <w:t xml:space="preserve">Abbara 2024, PMID 37925096</w:t>
            </w:r>
          </w:p>
        </w:tc>
        <w:tc>
          <w:tcPr/>
          <w:p>
            <w:pPr>
              <w:pStyle w:val="Compact"/>
              <w:jc w:val="left"/>
            </w:pPr>
            <w:r>
              <w:t xml:space="preserve">24 bzw. 75 gesunde Frauen, zwei RCTs mit dem Analogon MVT-602</w:t>
            </w:r>
          </w:p>
        </w:tc>
        <w:tc>
          <w:tcPr/>
          <w:p>
            <w:pPr>
              <w:pStyle w:val="Compact"/>
              <w:jc w:val="left"/>
            </w:pPr>
            <w:r>
              <w:t xml:space="preserve">Einzelgabe</w:t>
            </w:r>
          </w:p>
        </w:tc>
        <w:tc>
          <w:tcPr/>
          <w:p>
            <w:pPr>
              <w:pStyle w:val="Compact"/>
              <w:jc w:val="left"/>
            </w:pPr>
            <w:r>
              <w:t xml:space="preserve">LH-Anstieg ähnlich der natürlichen Zyklusmitte; Eisprung innerhalb von 5 Tagen bei bis zu 100 %</w:t>
            </w:r>
          </w:p>
        </w:tc>
      </w:tr>
    </w:tbl>
    <w:p>
      <w:pPr>
        <w:pStyle w:val="BodyText"/>
      </w:pPr>
      <w:r>
        <w:t xml:space="preserve">In der ersten Studie (Jayasena 2014, PMID 25036713; NCT01667406) erhielten 53 Frauen eine einzelne Kisspeptin-Spritze. Bei allen getesteten Dosen reiften Eizellen; bei 49 Frauen wurden Embryonen übertragen, zwölf wurden klinisch schwanger. Es war die erste dokumentierte Geburt nach einer Kisspeptin-gesteuerten Eizellreifung.</w:t>
      </w:r>
    </w:p>
    <w:p>
      <w:pPr>
        <w:pStyle w:val="BodyText"/>
      </w:pPr>
      <w:r>
        <w:t xml:space="preserve">Die Folgestudie konzentrierte sich auf Frauen mit hohem Risiko für eine Überstimulation (Abbara 2015, PMID 26192876). Keine der 60 Frauen entwickelte ein mittelschweres oder schweres OHSS; die Lebendgeburtenrate pro Embryotransfer betrug 45 %. Eine zweite Kisspeptin-Dosis zehn Stunden nach der ersten verbesserte die Ausbeute reifer Eizellen (Abbara 2017, PMID 28854728).</w:t>
      </w:r>
    </w:p>
    <w:p>
      <w:pPr>
        <w:pStyle w:val="BodyText"/>
      </w:pPr>
      <w:r>
        <w:rPr>
          <w:bCs/>
          <w:b/>
        </w:rPr>
        <w:t xml:space="preserve">Einordnung:</w:t>
      </w:r>
      <w:r>
        <w:t xml:space="preserve"> </w:t>
      </w:r>
      <w:r>
        <w:t xml:space="preserve">Diese Studien zeigen, dass das Prinzip funktioniert. Sie waren aber nicht darauf angelegt, Kisspeptin direkt mit den etablierten Alternativen zu vergleichen – neben hCG gibt es für Hochrisikopatientinnen bereits die Auslösung mit einem GnRH-Agonisten. Die Autorinnen und Autoren selbst fordern solche Vergleichsstudien (Abbara 2017, PMID 28854728).</w:t>
      </w:r>
    </w:p>
    <w:p>
      <w:pPr>
        <w:pStyle w:val="BodyText"/>
      </w:pPr>
      <w:r>
        <w:t xml:space="preserve">Das synthetische Analogon MVT-602 wirkt deutlich länger als natürliches Kisspeptin: Der LH-Gipfel kam bei gesunden Frauen nach rund 21 statt 5 Stunden, die Gesamtmenge an ausgeschüttetem LH war etwa viermal so groß (Abbara 2020, PMID 33196464). In zwei randomisierten Studien mit insgesamt 99 Frauen war MVT-602 gut verträglich und löste innerhalb von fünf Tagen einen Eisprung aus, je nach Dosis bei 75 bis 100 % der Frauen – allerdings auch bei 60 % unter Placebo, weil die Teilnehmerinnen gesund waren (Abbara 2024, PMID 37925096).</w:t>
      </w:r>
    </w:p>
    <w:bookmarkEnd w:id="798"/>
    <w:bookmarkStart w:id="799" w:name="ausbleibende-regelblutung-und-pcos"/>
    <w:p>
      <w:pPr>
        <w:pStyle w:val="Heading4"/>
      </w:pPr>
      <w:r>
        <w:t xml:space="preserve">Ausbleibende Regelblutung und PCOS</w:t>
      </w:r>
    </w:p>
    <w:p>
      <w:pPr>
        <w:pStyle w:val="FirstParagraph"/>
      </w:pPr>
      <w:r>
        <w:t xml:space="preserve">Bei der hypothalamischen Amenorrhö bleibt die Regel aus, weil das Gehirn – oft durch Untergewicht, intensiven Sport oder Stress – zu wenig GnRH ausschüttet. Eine einzelne Kisspeptin-Spritze erhöhte bei betroffenen Frauen LH und FSH kräftig. Bei zweimal täglicher Gabe über zwei Wochen war die Wirkung jedoch fast verschwunden (Jayasena 2009, PMID 19820030). Zweimal wöchentliche Gaben führten nur zu teilweiser Gewöhnung (Jayasena 2010, PMID 20980998), und eine Dauerinfusion in niedriger Dosis verdreifachte vorübergehend die Zahl der LH-Pulse (Jayasena 2014, PMID 24517142). Bei Menschen mit genetischem Defekt im Neurokinin-B-System stellte eine Kisspeptin-Infusion die pulsatile Hormonausschüttung wieder her (Young 2013, PMID 22377698).</w:t>
      </w:r>
    </w:p>
    <w:p>
      <w:pPr>
        <w:pStyle w:val="BodyText"/>
      </w:pPr>
      <w:r>
        <w:t xml:space="preserve">Beim polyzystischen Ovarsyndrom (PCOS) ist die Lage komplizierter. In einer Pilotstudie mit 12 Frauen erhöhte Kisspeptin den LH-Spiegel nur leicht; zwei Frauen hatten einen Eisprung, bei den meisten tat sich nichts (Romero-Ruiz 2019, PMID 31820802).</w:t>
      </w:r>
    </w:p>
    <w:bookmarkEnd w:id="799"/>
    <w:bookmarkStart w:id="800" w:name="männer-testosteron-und-diabetes"/>
    <w:p>
      <w:pPr>
        <w:pStyle w:val="Heading4"/>
      </w:pPr>
      <w:r>
        <w:t xml:space="preserve">Männer: Testosteron und Diabetes</w:t>
      </w:r>
    </w:p>
    <w:p>
      <w:pPr>
        <w:pStyle w:val="FirstParagraph"/>
      </w:pPr>
      <w:r>
        <w:t xml:space="preserve">Bei fünf Männern mit Typ-2-Diabetes und erniedrigtem Testosteron erhöhte eine Kisspeptin-10-Infusion LH, die LH-Pulsfrequenz und Testosteron (George 2013, PMID 23153270). Eine neue Studie mit 15 gesunden Männern zeigte, dass täglich achtstündige Infusionen unter die Haut die Hormonausschüttung zwölf Tage lang aufrechterhielten, während eine Dauerinfusion nach fünf Tagen keine Wirkung mehr auf LH und FSH hatte (Yeung 2026, PMID 42549827). Das ist ein wichtiger Schritt für eine mögliche Langzeitbehandlung.</w:t>
      </w:r>
    </w:p>
    <w:bookmarkEnd w:id="800"/>
    <w:bookmarkStart w:id="801" w:name="sexuelles-verlangen-und-gehirn"/>
    <w:p>
      <w:pPr>
        <w:pStyle w:val="Heading4"/>
      </w:pPr>
      <w:r>
        <w:t xml:space="preserve">Sexuelles Verlangen und Gehirn</w:t>
      </w:r>
    </w:p>
    <w:p>
      <w:pPr>
        <w:pStyle w:val="FirstParagraph"/>
      </w:pPr>
      <w:r>
        <w:t xml:space="preserve">Die Londoner Gruppe untersuchte mit funktioneller Magnetresonanztomografie (fMRT), wie Kisspeptin die Verarbeitung erotischer Bilder verändert.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Comninos 2017, PMID 28112678</w:t>
            </w:r>
          </w:p>
        </w:tc>
        <w:tc>
          <w:tcPr/>
          <w:p>
            <w:pPr>
              <w:pStyle w:val="Compact"/>
              <w:jc w:val="left"/>
            </w:pPr>
            <w:r>
              <w:t xml:space="preserve">29 gesunde junge Männer, Kreuzstudie gegen Placebo</w:t>
            </w:r>
          </w:p>
        </w:tc>
        <w:tc>
          <w:tcPr/>
          <w:p>
            <w:pPr>
              <w:pStyle w:val="Compact"/>
              <w:jc w:val="left"/>
            </w:pPr>
            <w:r>
              <w:t xml:space="preserve">Einzelinfusion</w:t>
            </w:r>
          </w:p>
        </w:tc>
        <w:tc>
          <w:tcPr/>
          <w:p>
            <w:pPr>
              <w:pStyle w:val="Compact"/>
              <w:jc w:val="left"/>
            </w:pPr>
            <w:r>
              <w:t xml:space="preserve">mehr Aktivität in limbischen Hirnregionen bei sexuellen Reizen; weniger negative Stimmung</w:t>
            </w:r>
          </w:p>
        </w:tc>
      </w:tr>
      <w:tr>
        <w:tc>
          <w:tcPr/>
          <w:p>
            <w:pPr>
              <w:pStyle w:val="Compact"/>
              <w:jc w:val="left"/>
            </w:pPr>
            <w:r>
              <w:t xml:space="preserve">Thurston 2022, PMID 36287566</w:t>
            </w:r>
          </w:p>
        </w:tc>
        <w:tc>
          <w:tcPr/>
          <w:p>
            <w:pPr>
              <w:pStyle w:val="Compact"/>
              <w:jc w:val="left"/>
            </w:pPr>
            <w:r>
              <w:t xml:space="preserve">32 Frauen mit HSDD, doppelblinde Kreuzstudie</w:t>
            </w:r>
          </w:p>
        </w:tc>
        <w:tc>
          <w:tcPr/>
          <w:p>
            <w:pPr>
              <w:pStyle w:val="Compact"/>
              <w:jc w:val="left"/>
            </w:pPr>
            <w:r>
              <w:t xml:space="preserve">75 Minuten</w:t>
            </w:r>
          </w:p>
        </w:tc>
        <w:tc>
          <w:tcPr/>
          <w:p>
            <w:pPr>
              <w:pStyle w:val="Compact"/>
              <w:jc w:val="left"/>
            </w:pPr>
            <w:r>
              <w:t xml:space="preserve">veränderte Aktivität in Hirnregionen für sexuelle Reize und Attraktivität; keine Nebenwirkungen</w:t>
            </w:r>
          </w:p>
        </w:tc>
      </w:tr>
      <w:tr>
        <w:tc>
          <w:tcPr/>
          <w:p>
            <w:pPr>
              <w:pStyle w:val="Compact"/>
              <w:jc w:val="left"/>
            </w:pPr>
            <w:r>
              <w:t xml:space="preserve">Mills 2023, PMID 36735255</w:t>
            </w:r>
          </w:p>
        </w:tc>
        <w:tc>
          <w:tcPr/>
          <w:p>
            <w:pPr>
              <w:pStyle w:val="Compact"/>
              <w:jc w:val="left"/>
            </w:pPr>
            <w:r>
              <w:t xml:space="preserve">32 Männer mit HSDD, doppelblinde Kreuzstudie</w:t>
            </w:r>
          </w:p>
        </w:tc>
        <w:tc>
          <w:tcPr/>
          <w:p>
            <w:pPr>
              <w:pStyle w:val="Compact"/>
              <w:jc w:val="left"/>
            </w:pPr>
            <w:r>
              <w:t xml:space="preserve">75 Minuten</w:t>
            </w:r>
          </w:p>
        </w:tc>
        <w:tc>
          <w:tcPr/>
          <w:p>
            <w:pPr>
              <w:pStyle w:val="Compact"/>
              <w:jc w:val="left"/>
            </w:pPr>
            <w:r>
              <w:t xml:space="preserve">veränderte Hirnaktivität; Gliedschwellung bei erotischen Videos bis zu 56 % stärker als unter Placebo</w:t>
            </w:r>
          </w:p>
        </w:tc>
      </w:tr>
    </w:tbl>
    <w:p>
      <w:pPr>
        <w:pStyle w:val="BodyText"/>
      </w:pPr>
      <w:r>
        <w:t xml:space="preserve">HSDD (hypoaktive sexuelle Luststörung) bedeutet anhaltend geringes sexuelles Verlangen mit Leidensdruck. Bei Männern mit HSDD verstärkte eine einmalige Kisspeptin-Infusion nicht nur die Aktivität sexueller Hirnregionen, sondern auch die messbare körperliche Erregung und einzelne Angaben zum Verlangen, etwa die „Freude auf Sex“ (Mills 2023, PMID 36735255). Bei Frauen mit HSDD korrelierten die Veränderungen der Hirnaktivität mit dem Leidensdruck und der sexuellen Abneigung (Thurston 2022, PMID 36287566).</w:t>
      </w:r>
    </w:p>
    <w:p>
      <w:pPr>
        <w:pStyle w:val="BodyText"/>
      </w:pPr>
      <w:r>
        <w:rPr>
          <w:bCs/>
          <w:b/>
        </w:rPr>
        <w:t xml:space="preserve">Einordnung:</w:t>
      </w:r>
      <w:r>
        <w:t xml:space="preserve"> </w:t>
      </w:r>
      <w:r>
        <w:t xml:space="preserve">Diese Studien prüfen eine einzelne Infusion im Labor, mit Hirnaktivität als Hauptzielgröße. Sie sagen nichts darüber, ob Kisspeptin im Alltag über Wochen das sexuelle Erleben verbessert. Die Gabe als Infusion ist für eine Alltagsbehandlung ungeeignet. Eine Studie mit 95 Personen fand keine Wirkung auf Angst, Cortisol, Blutdruck oder Herzfrequenz (Mills 2025, PMID 40036336) – eine Entwarnung für die Verträglichkeit, kein Wirknachweis.</w:t>
      </w:r>
    </w:p>
    <w:bookmarkEnd w:id="801"/>
    <w:bookmarkStart w:id="802" w:name="nasenspray"/>
    <w:p>
      <w:pPr>
        <w:pStyle w:val="Heading4"/>
      </w:pPr>
      <w:r>
        <w:t xml:space="preserve">Nasenspray</w:t>
      </w:r>
    </w:p>
    <w:p>
      <w:pPr>
        <w:pStyle w:val="FirstParagraph"/>
      </w:pPr>
      <w:r>
        <w:t xml:space="preserve">Ein Nasenspray mit Kisspeptin-54 erhöhte LH bei gesunden Männern und Frauen und bei Frauen mit hypothalamischer Amenorrhö, ohne Nebenwirkungen (Mills 2025, PMID 40215751). Der Anstieg war kleiner als nach einer Spritze, zeigt aber einen möglichen Weg zu einer Behandlung ohne Nadel. Bei Mäusen wurde Kisspeptin in der Riechschleimhaut nachgewiesen, was auf einen Weg über das Riechsystem hindeutet.</w:t>
      </w:r>
    </w:p>
    <w:bookmarkEnd w:id="802"/>
    <w:bookmarkStart w:id="803" w:name="weitere-befunde"/>
    <w:p>
      <w:pPr>
        <w:pStyle w:val="Heading4"/>
      </w:pPr>
      <w:r>
        <w:t xml:space="preserve">Weitere Befunde</w:t>
      </w:r>
    </w:p>
    <w:p>
      <w:pPr>
        <w:numPr>
          <w:ilvl w:val="0"/>
          <w:numId w:val="1272"/>
        </w:numPr>
        <w:pStyle w:val="Compact"/>
      </w:pPr>
      <w:r>
        <w:rPr>
          <w:bCs/>
          <w:b/>
        </w:rPr>
        <w:t xml:space="preserve">Knochen:</w:t>
      </w:r>
      <w:r>
        <w:t xml:space="preserve"> </w:t>
      </w:r>
      <w:r>
        <w:t xml:space="preserve">Bei 26 gesunden Männern stieg nach einer Kisspeptin-Gabe der Knochenaufbau-Marker Osteocalcin um bis zu 20,3 % (Comninos 2022, PMID 35244717).</w:t>
      </w:r>
    </w:p>
    <w:p>
      <w:pPr>
        <w:numPr>
          <w:ilvl w:val="0"/>
          <w:numId w:val="1272"/>
        </w:numPr>
        <w:pStyle w:val="Compact"/>
      </w:pPr>
      <w:r>
        <w:rPr>
          <w:bCs/>
          <w:b/>
        </w:rPr>
        <w:t xml:space="preserve">Stoffwechsel:</w:t>
      </w:r>
      <w:r>
        <w:t xml:space="preserve"> </w:t>
      </w:r>
      <w:r>
        <w:t xml:space="preserve">Bei 15 gesunden Männern steigerte Kisspeptin die Insulinausschüttung nach Zuckergabe, ohne Appetit oder Essmenge zu verändern (Izzi-Engbeaya 2018, PMID 29974637).</w:t>
      </w:r>
    </w:p>
    <w:p>
      <w:pPr>
        <w:numPr>
          <w:ilvl w:val="0"/>
          <w:numId w:val="1272"/>
        </w:numPr>
        <w:pStyle w:val="Compact"/>
      </w:pPr>
      <w:r>
        <w:rPr>
          <w:bCs/>
          <w:b/>
        </w:rPr>
        <w:t xml:space="preserve">Oxytocin:</w:t>
      </w:r>
      <w:r>
        <w:t xml:space="preserve"> </w:t>
      </w:r>
      <w:r>
        <w:t xml:space="preserve">Nach einer Kisspeptin-Spritze stieg der Oxytocin-Spiegel im Blut, bei Männern stärker als bei Frauen (Galbiati 2025, PMID 39965102). Das wird als möglicher Test für einen Oxytocin-Mangel untersucht (Kapitel 2E05).</w:t>
      </w:r>
    </w:p>
    <w:bookmarkEnd w:id="803"/>
    <w:bookmarkStart w:id="804" w:name="das-gegenteil-hormone-senken"/>
    <w:p>
      <w:pPr>
        <w:pStyle w:val="Heading4"/>
      </w:pPr>
      <w:r>
        <w:t xml:space="preserve">Das Gegenteil: Hormone senken</w:t>
      </w:r>
    </w:p>
    <w:p>
      <w:pPr>
        <w:pStyle w:val="FirstParagraph"/>
      </w:pPr>
      <w:r>
        <w:t xml:space="preserve">Das synthetische Analogon TAK-448 wurde bei Dauergabe zum Hormonblocker. Bei gesunden Männern über 50 sank Testosteron nach einer Woche Dauerinfusion in den Bereich einer Kastration; bei Männern mit Prostatakrebs senkte eine Depotspritze Testosteron und den Tumormarker PSA (MacLean 2014, PMID 24762108). Zwei weitere Phase-2-Studien des Herstellers wurden vorzeitig beendet (NCT02369796, NCT02381288).</w:t>
      </w:r>
    </w:p>
    <w:bookmarkEnd w:id="804"/>
    <w:bookmarkEnd w:id="805"/>
    <w:bookmarkStart w:id="806" w:name="tier--und-laborstudien-49"/>
    <w:p>
      <w:pPr>
        <w:pStyle w:val="Heading3"/>
      </w:pPr>
      <w:r>
        <w:t xml:space="preserve">Tier- und Laborstudien</w:t>
      </w:r>
    </w:p>
    <w:p>
      <w:pPr>
        <w:pStyle w:val="FirstParagraph"/>
      </w:pPr>
      <w:r>
        <w:t xml:space="preserve">Die Rolle von Kisspeptin für Pubertät und Fortpflanzung wurde zuerst an Mäusen mit ausgeschaltetem Rezeptor-Gen gezeigt; die Tiere bleiben geschlechtlich unreif (Seminara 2003, PMID 14573733). Ursprünglich wurde das Peptid als Bremse der Metastasierung beschrieben: In Zellkultur und bei Mäusen hemmte es die Ausbreitung von Melanomzellen (Lee 1996, PMID 8944003; Ohtaki 2001, PMID 11385580). Ob das therapeutisch nutzbar ist, ist offen.</w:t>
      </w:r>
    </w:p>
    <w:p>
      <w:pPr>
        <w:pStyle w:val="BodyText"/>
      </w:pPr>
      <w:r>
        <w:t xml:space="preserve">In Rattenmodellen für PCOS stellte Kisspeptin bei einem Teil der Tiere den Eisprung wieder her, bei anderen nicht (Romero-Ruiz 2019, PMID 31820802). Die Grundlagenforschung zu Kisspeptin und Neurokinin B ist in einer Übersichtsarbeit zusammengefasst (Koysombat 2025, PMID 39813600).</w:t>
      </w:r>
    </w:p>
    <w:bookmarkEnd w:id="806"/>
    <w:bookmarkStart w:id="810" w:name="risiken-und-nebenwirkungen-49"/>
    <w:p>
      <w:pPr>
        <w:pStyle w:val="Heading3"/>
      </w:pPr>
      <w:r>
        <w:t xml:space="preserve">Risiken und Nebenwirkungen</w:t>
      </w:r>
    </w:p>
    <w:bookmarkStart w:id="807" w:name="belegt-9"/>
    <w:p>
      <w:pPr>
        <w:pStyle w:val="Heading4"/>
      </w:pPr>
      <w:r>
        <w:t xml:space="preserve">Belegt</w:t>
      </w:r>
    </w:p>
    <w:p>
      <w:pPr>
        <w:pStyle w:val="FirstParagraph"/>
      </w:pPr>
      <w:r>
        <w:t xml:space="preserve">In allen veröffentlichten Studien wurde Kisspeptin gut vertragen. Mehrere Studien berichten ausdrücklich über keine Nebenwirkungen (Jayasena 2010, PMID 20980998; Thurston 2022, PMID 36287566; Mills 2025, PMID 40215751). Kisspeptin veränderte weder Wachstumshormon noch Prolaktin noch das Schilddrüsen-steuernde TSH (Jayasena 2014, PMID 24863252) und hatte keinen Einfluss auf Angst, Blutdruck oder Herzfrequenz (Mills 2025, PMID 40036336). Beim Analogon TAK-448 traten leichte bis mäßige Nebenwirkungen bei 26 % der Behandelten auf (MacLean 2014, PMID 24762108).</w:t>
      </w:r>
    </w:p>
    <w:bookmarkEnd w:id="807"/>
    <w:bookmarkStart w:id="808" w:name="theoretisch-und-offen"/>
    <w:p>
      <w:pPr>
        <w:pStyle w:val="Heading4"/>
      </w:pPr>
      <w:r>
        <w:t xml:space="preserve">Theoretisch und offen</w:t>
      </w:r>
    </w:p>
    <w:p>
      <w:pPr>
        <w:numPr>
          <w:ilvl w:val="0"/>
          <w:numId w:val="1273"/>
        </w:numPr>
        <w:pStyle w:val="Compact"/>
      </w:pPr>
      <w:r>
        <w:rPr>
          <w:bCs/>
          <w:b/>
        </w:rPr>
        <w:t xml:space="preserve">Gewöhnung und Hormonabfall:</w:t>
      </w:r>
      <w:r>
        <w:t xml:space="preserve"> </w:t>
      </w:r>
      <w:r>
        <w:t xml:space="preserve">Bei Dauergabe kann das Gegenteil des gewünschten Effekts eintreten, wie die Studien zu TAK-448 zeigen. Wer Kisspeptin ohne ärztliche Kontrolle anwendet, riskiert also eine Unterdrückung der eigenen Hormonachse.</w:t>
      </w:r>
    </w:p>
    <w:p>
      <w:pPr>
        <w:numPr>
          <w:ilvl w:val="0"/>
          <w:numId w:val="1273"/>
        </w:numPr>
        <w:pStyle w:val="Compact"/>
      </w:pPr>
      <w:r>
        <w:rPr>
          <w:bCs/>
          <w:b/>
        </w:rPr>
        <w:t xml:space="preserve">Langzeitdaten</w:t>
      </w:r>
      <w:r>
        <w:t xml:space="preserve"> </w:t>
      </w:r>
      <w:r>
        <w:t xml:space="preserve">fehlen. Die längsten Studien liefen über acht Wochen.</w:t>
      </w:r>
    </w:p>
    <w:p>
      <w:pPr>
        <w:numPr>
          <w:ilvl w:val="0"/>
          <w:numId w:val="1273"/>
        </w:numPr>
        <w:pStyle w:val="Compact"/>
      </w:pPr>
      <w:r>
        <w:rPr>
          <w:bCs/>
          <w:b/>
        </w:rPr>
        <w:t xml:space="preserve">Schwangerschaft:</w:t>
      </w:r>
      <w:r>
        <w:t xml:space="preserve"> </w:t>
      </w:r>
      <w:r>
        <w:t xml:space="preserve">Bei IVF-Anwendung wurden Kinder geboren; systematische Daten über die Gesundheit dieser Kinder sind nicht veröffentlicht.</w:t>
      </w:r>
    </w:p>
    <w:bookmarkEnd w:id="808"/>
    <w:bookmarkStart w:id="809" w:name="graumarkt-2"/>
    <w:p>
      <w:pPr>
        <w:pStyle w:val="Heading4"/>
      </w:pPr>
      <w:r>
        <w:t xml:space="preserve">Graumarkt</w:t>
      </w:r>
    </w:p>
    <w:p>
      <w:pPr>
        <w:pStyle w:val="FirstParagraph"/>
      </w:pPr>
      <w:r>
        <w:t xml:space="preserve">Kisspeptin-10 wird im Internet als „Research Peptide“ angeboten und in Foren zur Steigerung von Testosteron oder Libido beworben. Studien zu solchen Produkten gibt es nicht. Wegen der kurzen Halbwertszeit und der Gewöhnung bei häufiger Gabe ist eine anhaltende Wirkung bei Selbstanwendung nicht belegt; Reinheit und Gehalt sind ungeprüft (siehe Teil I und Teil IV).</w:t>
      </w:r>
    </w:p>
    <w:bookmarkEnd w:id="809"/>
    <w:bookmarkEnd w:id="810"/>
    <w:bookmarkStart w:id="811" w:name="rechtslage-49"/>
    <w:p>
      <w:pPr>
        <w:pStyle w:val="Heading3"/>
      </w:pPr>
      <w:r>
        <w:t xml:space="preserve">Rechtslage</w:t>
      </w:r>
    </w:p>
    <w:p>
      <w:pPr>
        <w:pStyle w:val="FirstParagraph"/>
      </w:pPr>
      <w:r>
        <w:rPr>
          <w:iCs/>
          <w:i/>
        </w:rPr>
        <w:t xml:space="preserve">Stand 2026, bitte aktuell prüfen.</w:t>
      </w:r>
    </w:p>
    <w:p>
      <w:pPr>
        <w:numPr>
          <w:ilvl w:val="0"/>
          <w:numId w:val="1274"/>
        </w:numPr>
        <w:pStyle w:val="Compact"/>
      </w:pPr>
      <w:r>
        <w:rPr>
          <w:bCs/>
          <w:b/>
        </w:rPr>
        <w:t xml:space="preserve">EU, Deutschland, Österreich:</w:t>
      </w:r>
      <w:r>
        <w:t xml:space="preserve"> </w:t>
      </w:r>
      <w:r>
        <w:t xml:space="preserve">keine Zulassung. Kisspeptin darf nur im Rahmen genehmigter klinischer Studien am Menschen angewendet werden. Der Verkauf zur Anwendung am Menschen ist unzulässig.</w:t>
      </w:r>
    </w:p>
    <w:p>
      <w:pPr>
        <w:numPr>
          <w:ilvl w:val="0"/>
          <w:numId w:val="1274"/>
        </w:numPr>
        <w:pStyle w:val="Compact"/>
      </w:pPr>
      <w:r>
        <w:rPr>
          <w:bCs/>
          <w:b/>
        </w:rPr>
        <w:t xml:space="preserve">USA:</w:t>
      </w:r>
      <w:r>
        <w:t xml:space="preserve"> </w:t>
      </w:r>
      <w:r>
        <w:t xml:space="preserve">keine Zulassung; Anwendung nur in Studien mit Genehmigung der FDA.</w:t>
      </w:r>
    </w:p>
    <w:p>
      <w:pPr>
        <w:numPr>
          <w:ilvl w:val="0"/>
          <w:numId w:val="1274"/>
        </w:numPr>
        <w:pStyle w:val="Compact"/>
      </w:pPr>
      <w:r>
        <w:rPr>
          <w:bCs/>
          <w:b/>
        </w:rPr>
        <w:t xml:space="preserve">WADA:</w:t>
      </w:r>
      <w:r>
        <w:t xml:space="preserve"> </w:t>
      </w:r>
      <w:r>
        <w:t xml:space="preserve">Bei Männern sind Freisetzungsfaktoren des LH nach S2 verboten, nicht zugelassene Wirkstoffe allgemein nach S0. Kisspeptin ist nicht namentlich genannt, fällt aber nach Einschätzung des Autors unter diese Gruppen.</w:t>
      </w:r>
    </w:p>
    <w:bookmarkEnd w:id="811"/>
    <w:bookmarkStart w:id="812" w:name="laufende-studien-und-ausblick-49"/>
    <w:p>
      <w:pPr>
        <w:pStyle w:val="Heading3"/>
      </w:pPr>
      <w:r>
        <w:t xml:space="preserve">Laufende Studien und Ausblick</w:t>
      </w:r>
    </w:p>
    <w:p>
      <w:pPr>
        <w:pStyle w:val="FirstParagraph"/>
      </w:pPr>
      <w:r>
        <w:rPr>
          <w:bCs/>
          <w:b/>
        </w:rPr>
        <w:t xml:space="preserve">Gesichert (registrierte Studien):</w:t>
      </w:r>
    </w:p>
    <w:p>
      <w:pPr>
        <w:numPr>
          <w:ilvl w:val="0"/>
          <w:numId w:val="1275"/>
        </w:numPr>
        <w:pStyle w:val="Compact"/>
      </w:pPr>
      <w:r>
        <w:rPr>
          <w:bCs/>
          <w:b/>
        </w:rPr>
        <w:t xml:space="preserve">Massachusetts General Hospital, Boston:</w:t>
      </w:r>
      <w:r>
        <w:t xml:space="preserve"> </w:t>
      </w:r>
      <w:r>
        <w:t xml:space="preserve">mehrere Phase-1- und Phase-2-Studien mit wiederholter Kisspeptin-Gabe unter die Haut bei angeborenem Hormonmangel (idiopathischer hypogonadotroper Hypogonadismus, NCT05896293, 36 Personen, bis 2028) und bei hypothalamischer Amenorrhö (NCT07224438, 20 Personen, bis 2030). Eine weitere Studie nutzt Kisspeptin als Test für die Funktion der GnRH-Nervenzellen (NCT07224490).</w:t>
      </w:r>
    </w:p>
    <w:p>
      <w:pPr>
        <w:numPr>
          <w:ilvl w:val="0"/>
          <w:numId w:val="1275"/>
        </w:numPr>
        <w:pStyle w:val="Compact"/>
      </w:pPr>
      <w:r>
        <w:rPr>
          <w:bCs/>
          <w:b/>
        </w:rPr>
        <w:t xml:space="preserve">Imperial College London:</w:t>
      </w:r>
      <w:r>
        <w:t xml:space="preserve"> </w:t>
      </w:r>
      <w:r>
        <w:t xml:space="preserve">eine seit 2014 laufende Studie zur Hormonausschüttung bei längerer Kisspeptin-Gabe (NCT02081924, 76 Personen).</w:t>
      </w:r>
    </w:p>
    <w:p>
      <w:pPr>
        <w:numPr>
          <w:ilvl w:val="0"/>
          <w:numId w:val="1275"/>
        </w:numPr>
        <w:pStyle w:val="Compact"/>
      </w:pPr>
      <w:r>
        <w:t xml:space="preserve">Eine Phase-2-Studie mit pulsatiler Kisspeptin-Gabe bei Hypogonadismus ist abgeschlossen (NCT04648969); Ergebnisse waren bei Redaktionsschluss nicht in PubMed veröffentlicht.</w:t>
      </w:r>
    </w:p>
    <w:p>
      <w:pPr>
        <w:pStyle w:val="FirstParagraph"/>
      </w:pPr>
      <w:r>
        <w:rPr>
          <w:bCs/>
          <w:b/>
        </w:rPr>
        <w:t xml:space="preserve">Einschätzung des Autors:</w:t>
      </w:r>
      <w:r>
        <w:t xml:space="preserve"> </w:t>
      </w:r>
      <w:r>
        <w:t xml:space="preserve">Kisspeptin ist eines der wissenschaftlich solidesten Peptide in diesem Buch, was die Grundlagen betrifft – die Rolle in der Pubertät ist genetisch bewiesen. Die klinische Entwicklung ist aber langsam, weil sie überwiegend von Universitäten getragen wird. Am ehesten erscheint eine Zulassung zur Eizellreifung bei Frauen mit OHSS-Risiko oder als diagnostischer Test für Pubertätsstörungen realistisch, dafür wären allerdings größere Vergleichsstudien nötig. Für die Behandlung sexueller Lustlosigkeit fehlt bislang jeder Nachweis eines Alltagsnutzens.</w:t>
      </w:r>
    </w:p>
    <w:bookmarkEnd w:id="812"/>
    <w:bookmarkStart w:id="813" w:name="fazit-49"/>
    <w:p>
      <w:pPr>
        <w:pStyle w:val="Heading3"/>
      </w:pPr>
      <w:r>
        <w:t xml:space="preserve">Fazit</w:t>
      </w:r>
    </w:p>
    <w:p>
      <w:pPr>
        <w:pStyle w:val="FirstParagraph"/>
      </w:pPr>
      <w:r>
        <w:t xml:space="preserve">Kisspeptin ist der körpereigene Hauptschalter der Fortpflanzungshormone, wie Menschen mit Rezeptordefekt eindrucksvoll zeigen. In kleinen Studien löste es zuverlässig LH-Ausschüttung aus und ermöglichte bei Frauen mit hohem Überstimulationsrisiko eine Eizellreifung ohne schweres OHSS. Labor-Studien mit Hirnbildgebung deuten auf Wirkungen bei der Verarbeitung sexueller Reize hin, sind aber kein Beleg für einen Nutzen im Alltag. Größtes praktisches Hindernis ist die Gewöhnung bei häufiger Gabe, die bis zur Unterdrückung der Hormonachse führen kann. Zugelassen ist Kisspeptin nirgends; außerhalb von Studien gibt es keine geprüfte Anwendung.</w:t>
      </w:r>
    </w:p>
    <w:bookmarkEnd w:id="813"/>
    <w:bookmarkEnd w:id="814"/>
    <w:bookmarkStart w:id="836" w:name="oxytocin-nasenspray"/>
    <w:p>
      <w:pPr>
        <w:pStyle w:val="Heading2"/>
      </w:pPr>
      <w:r>
        <w:t xml:space="preserve">Oxytocin (Nasenspray)</w:t>
      </w:r>
    </w:p>
    <w:bookmarkStart w:id="815" w:name="steckbrief-50"/>
    <w:p>
      <w:pPr>
        <w:pStyle w:val="Heading3"/>
      </w:pPr>
      <w:r>
        <w:t xml:space="preserve">Steckbrief</w:t>
      </w:r>
    </w:p>
    <w:p>
      <w:pPr>
        <w:numPr>
          <w:ilvl w:val="0"/>
          <w:numId w:val="1276"/>
        </w:numPr>
        <w:pStyle w:val="Compact"/>
      </w:pPr>
      <w:r>
        <w:rPr>
          <w:bCs/>
          <w:b/>
        </w:rPr>
        <w:t xml:space="preserve">Art/Struktur:</w:t>
      </w:r>
      <w:r>
        <w:t xml:space="preserve"> </w:t>
      </w:r>
      <w:r>
        <w:t xml:space="preserve">körpereigenes Peptidhormon aus neun Aminosäuren. Zwei Schwefelbrücken schließen sechs davon zu einem Ring. Oxytocin ist eng verwandt mit dem Hormon Vasopressin (antidiuretisches Hormon), das sich nur in zwei Bausteinen unterscheidet.</w:t>
      </w:r>
    </w:p>
    <w:p>
      <w:pPr>
        <w:numPr>
          <w:ilvl w:val="0"/>
          <w:numId w:val="1276"/>
        </w:numPr>
        <w:pStyle w:val="Compact"/>
      </w:pPr>
      <w:r>
        <w:rPr>
          <w:bCs/>
          <w:b/>
        </w:rPr>
        <w:t xml:space="preserve">Herkunft:</w:t>
      </w:r>
      <w:r>
        <w:t xml:space="preserve"> </w:t>
      </w:r>
      <w:r>
        <w:t xml:space="preserve">gebildet in Nervenzellen des Hypothalamus und von der hinteren Hirnanhangdrüse ins Blut abgegeben; zugleich Botenstoff innerhalb des Gehirns. Oxytocin war 1953 das erste Peptidhormon, das im Labor nachgebaut wurde; Vincent du Vigneaud erhielt dafür 1955 den Nobelpreis für Chemie.</w:t>
      </w:r>
    </w:p>
    <w:p>
      <w:pPr>
        <w:numPr>
          <w:ilvl w:val="0"/>
          <w:numId w:val="1276"/>
        </w:numPr>
        <w:pStyle w:val="Compact"/>
      </w:pPr>
      <w:r>
        <w:rPr>
          <w:bCs/>
          <w:b/>
        </w:rPr>
        <w:t xml:space="preserve">Wirkprinzip:</w:t>
      </w:r>
      <w:r>
        <w:t xml:space="preserve"> </w:t>
      </w:r>
      <w:r>
        <w:t xml:space="preserve">Agonist am Oxytocin-Rezeptor. Im Körper löst es Wehen und den Milchspendereflex aus; im Gehirn ist es an Bindung, sozialem Verhalten und Stressregulation beteiligt.</w:t>
      </w:r>
    </w:p>
    <w:p>
      <w:pPr>
        <w:numPr>
          <w:ilvl w:val="0"/>
          <w:numId w:val="1276"/>
        </w:numPr>
        <w:pStyle w:val="Compact"/>
      </w:pPr>
      <w:r>
        <w:rPr>
          <w:bCs/>
          <w:b/>
        </w:rPr>
        <w:t xml:space="preserve">Zulassung EU und USA (Spritze/Infusion):</w:t>
      </w:r>
      <w:r>
        <w:t xml:space="preserve"> </w:t>
      </w:r>
      <w:r>
        <w:t xml:space="preserve">ja, seit Jahrzehnten in der Geburtshilfe, zur Einleitung und Unterstützung von Wehen und zur Vorbeugung starker Blutungen nach der Geburt.</w:t>
      </w:r>
    </w:p>
    <w:p>
      <w:pPr>
        <w:numPr>
          <w:ilvl w:val="0"/>
          <w:numId w:val="1276"/>
        </w:numPr>
        <w:pStyle w:val="Compact"/>
      </w:pPr>
      <w:r>
        <w:rPr>
          <w:bCs/>
          <w:b/>
        </w:rPr>
        <w:t xml:space="preserve">Zulassung als Nasenspray:</w:t>
      </w:r>
      <w:r>
        <w:t xml:space="preserve"> </w:t>
      </w:r>
      <w:r>
        <w:t xml:space="preserve">Ein Oxytocin-Nasenspray war früher in mehreren europäischen Ländern zur Förderung des Milchflusses beim Stillen zugelassen, ist aber vielerorts nicht mehr im Handel. Für psychische, soziale oder sexuelle Anwendungen ist Oxytocin nirgends zugelassen (Stand 2026, bitte aktuell prüfen).</w:t>
      </w:r>
    </w:p>
    <w:p>
      <w:pPr>
        <w:numPr>
          <w:ilvl w:val="0"/>
          <w:numId w:val="1276"/>
        </w:numPr>
        <w:pStyle w:val="Compact"/>
      </w:pPr>
      <w:r>
        <w:rPr>
          <w:bCs/>
          <w:b/>
        </w:rPr>
        <w:t xml:space="preserve">WADA:</w:t>
      </w:r>
      <w:r>
        <w:t xml:space="preserve"> </w:t>
      </w:r>
      <w:r>
        <w:t xml:space="preserve">nicht gelistet (Stand 2026, bitte aktuell prüfen).</w:t>
      </w:r>
    </w:p>
    <w:p>
      <w:pPr>
        <w:numPr>
          <w:ilvl w:val="0"/>
          <w:numId w:val="1276"/>
        </w:numPr>
        <w:pStyle w:val="Compact"/>
      </w:pPr>
      <w:r>
        <w:rPr>
          <w:bCs/>
          <w:b/>
        </w:rPr>
        <w:t xml:space="preserve">Evidenzstufe:</w:t>
      </w:r>
      <w:r>
        <w:t xml:space="preserve"> </w:t>
      </w:r>
      <w:r>
        <w:rPr>
          <w:bCs/>
          <w:b/>
        </w:rPr>
        <w:t xml:space="preserve">B</w:t>
      </w:r>
      <w:r>
        <w:t xml:space="preserve"> </w:t>
      </w:r>
      <w:r>
        <w:t xml:space="preserve">für die Anwendung als Nasenspray – Hunderte randomisierte Studien, aber überwiegend klein und mit Einzelgaben; die wenigen großen Behandlungsstudien waren negativ. Für die Geburtshilfe (Infusion, Spritze) gilt Stufe A; sie ist nicht Schwerpunkt dieses Kapitels.</w:t>
      </w:r>
    </w:p>
    <w:bookmarkEnd w:id="815"/>
    <w:bookmarkStart w:id="819" w:name="wie-es-wirken-soll-50"/>
    <w:p>
      <w:pPr>
        <w:pStyle w:val="Heading3"/>
      </w:pPr>
      <w:r>
        <w:t xml:space="preserve">Wie es wirken soll</w:t>
      </w:r>
    </w:p>
    <w:bookmarkStart w:id="816" w:name="vom-wehenhormon-zum-kuschelhormon"/>
    <w:p>
      <w:pPr>
        <w:pStyle w:val="Heading4"/>
      </w:pPr>
      <w:r>
        <w:t xml:space="preserve">Vom Wehenhormon zum „Kuschelhormon“</w:t>
      </w:r>
    </w:p>
    <w:p>
      <w:pPr>
        <w:pStyle w:val="FirstParagraph"/>
      </w:pPr>
      <w:r>
        <w:t xml:space="preserve">Oxytocin hat seinen Namen vom griechischen Ausdruck für „schnelle Geburt“. Seine klassischen Aufgaben sind körperlich: Es lässt die Gebärmutter sich zusammenziehen und presst Milch aus den Drüsen der Brust. Seit den 1990er-Jahren rückte eine zweite Rolle in den Blick. Bei Präriewühlmäusen, die lebenslange Paare bilden, hängt die Partnerbindung vom Oxytocin-System im Gehirn ab (Tierversuche). Bei Schafen und Nagetieren steuert es das Fürsorgeverhalten der Mütter gegenüber ihrem Nachwuchs.</w:t>
      </w:r>
    </w:p>
    <w:p>
      <w:pPr>
        <w:pStyle w:val="BodyText"/>
      </w:pPr>
      <w:r>
        <w:t xml:space="preserve">Aus diesen Tierbefunden entstand ab 2005 eine Welle von Studien am Menschen, die Oxytocin als Nasenspray gaben und soziales Verhalten maßen. Medien prägten Etiketten wie „Kuschelhormon“, „Vertrauenshormon“ oder „Liebeshormon“. Wie dieses Kapitel zeigt, ist die Studienlage heute weit ernüchternder als diese Schlagworte.</w:t>
      </w:r>
    </w:p>
    <w:bookmarkEnd w:id="816"/>
    <w:bookmarkStart w:id="817" w:name="das-problem-mit-der-nase"/>
    <w:p>
      <w:pPr>
        <w:pStyle w:val="Heading4"/>
      </w:pPr>
      <w:r>
        <w:t xml:space="preserve">Das Problem mit der Nase</w:t>
      </w:r>
    </w:p>
    <w:p>
      <w:pPr>
        <w:pStyle w:val="FirstParagraph"/>
      </w:pPr>
      <w:r>
        <w:t xml:space="preserve">Oxytocin ist als Peptid zu groß und zu wasserlöslich, um die Blut-Hirn-Schranke in nennenswerter Menge zu überwinden. Das Nasenspray soll über die Riech- und Trigeminusnerven in der Nasenschleimhaut einen Weg direkt ins Gehirn finden. Ob das funktioniert und in welchem Ausmaß, ist eine der zentralen offenen Fragen des Feldes:</w:t>
      </w:r>
    </w:p>
    <w:p>
      <w:pPr>
        <w:numPr>
          <w:ilvl w:val="0"/>
          <w:numId w:val="1277"/>
        </w:numPr>
        <w:pStyle w:val="Compact"/>
      </w:pPr>
      <w:r>
        <w:rPr>
          <w:bCs/>
          <w:b/>
        </w:rPr>
        <w:t xml:space="preserve">Skeptische Sicht:</w:t>
      </w:r>
      <w:r>
        <w:t xml:space="preserve"> </w:t>
      </w:r>
      <w:r>
        <w:t xml:space="preserve">Nur ein winziger Bruchteil der gesprühten Menge erreicht das Nervenwasser, während der Spiegel im Blut weit über natürliche Werte steigt. Viele beobachtete Effekte könnten daher von Wirkungen im Körper herrühren, etwa auf Herz oder Darm, die dann indirekt das Gehirn beeinflussen (Leng 2016, PMID 26049207).</w:t>
      </w:r>
    </w:p>
    <w:p>
      <w:pPr>
        <w:numPr>
          <w:ilvl w:val="0"/>
          <w:numId w:val="1277"/>
        </w:numPr>
        <w:pStyle w:val="Compact"/>
      </w:pPr>
      <w:r>
        <w:rPr>
          <w:bCs/>
          <w:b/>
        </w:rPr>
        <w:t xml:space="preserve">Befunde bei Affen:</w:t>
      </w:r>
      <w:r>
        <w:t xml:space="preserve"> </w:t>
      </w:r>
      <w:r>
        <w:t xml:space="preserve">Bei Rhesusaffen erreichte markiertes Oxytocin nach Nasen- und nach Venengabe das Nervenwasser; die Nase war dabei nicht überlegen (Lee 2018, PMID 28289281). In einer zweiten Studie fand sich markiertes Oxytocin nach Nasengabe – nicht nach Venengabe – in Hirnregionen entlang der Riech- und Trigeminusbahnen (Lee 2020, PMID 32494001).</w:t>
      </w:r>
    </w:p>
    <w:p>
      <w:pPr>
        <w:numPr>
          <w:ilvl w:val="0"/>
          <w:numId w:val="1277"/>
        </w:numPr>
        <w:pStyle w:val="Compact"/>
      </w:pPr>
      <w:r>
        <w:rPr>
          <w:bCs/>
          <w:b/>
        </w:rPr>
        <w:t xml:space="preserve">Befunde beim Menschen:</w:t>
      </w:r>
      <w:r>
        <w:t xml:space="preserve"> </w:t>
      </w:r>
      <w:r>
        <w:t xml:space="preserve">Eine Studie verglich Nasenspray, Vernebler und Infusion. Die Abnahme der Durchblutung im Mandelkern (Amygdala) ließ sich vollständig durch den Anstieg im Blut erklären; zugleich gab es Hinweise auf direkte Effekte über die Nase in anderen Regionen (Martins 2020, PMID 32127545).</w:t>
      </w:r>
    </w:p>
    <w:p>
      <w:pPr>
        <w:numPr>
          <w:ilvl w:val="0"/>
          <w:numId w:val="1277"/>
        </w:numPr>
        <w:pStyle w:val="Compact"/>
      </w:pPr>
      <w:r>
        <w:rPr>
          <w:bCs/>
          <w:b/>
        </w:rPr>
        <w:t xml:space="preserve">Messprobleme:</w:t>
      </w:r>
      <w:r>
        <w:t xml:space="preserve"> </w:t>
      </w:r>
      <w:r>
        <w:t xml:space="preserve">Oxytocin-Spiegel im Blut spiegeln die Werte im Gehirn unter Ruhebedingungen nicht wider (Valstad 2017, PMID 28442403). Viele ältere Studien nutzten zudem Messmethoden, die heute als unzuverlässig gelten (Leng 2016, PMID 26049207).</w:t>
      </w:r>
    </w:p>
    <w:p>
      <w:pPr>
        <w:pStyle w:val="FirstParagraph"/>
      </w:pPr>
      <w:r>
        <w:t xml:space="preserve">Fachleute, die das Feld insgesamt positiv sehen, halten einen direkten Weg von der Nase ins Gehirn inzwischen für belegt, betonen aber, dass Dosis, Sprühtechnik und Geschlecht der Teilnehmenden die Ergebnisse stark beeinflussen (Quintana 2021, PMID 32807845). Für Leserinnen und Leser heißt das: Ob ein Oxytocin-Nasenspray im Gehirn ankommt, hängt von vielen Details ab, und selbst Fachleute sind sich über die Größenordnung uneinig.</w:t>
      </w:r>
    </w:p>
    <w:bookmarkEnd w:id="817"/>
    <w:bookmarkStart w:id="818" w:name="Xb50031ec6a4b8dea26c8762477d1752363a0113"/>
    <w:p>
      <w:pPr>
        <w:pStyle w:val="Heading4"/>
      </w:pPr>
      <w:r>
        <w:t xml:space="preserve">Kurz eingeordnet: Oxytocin in der Geburtshilfe</w:t>
      </w:r>
    </w:p>
    <w:p>
      <w:pPr>
        <w:pStyle w:val="FirstParagraph"/>
      </w:pPr>
      <w:r>
        <w:t xml:space="preserve">Als Infusion oder Spritze ist Oxytocin eines der wichtigsten Medikamente der Welt; die Weltgesundheitsorganisation führt es auf ihrer Liste unentbehrlicher Arzneimittel. Es wird eingesetzt, um Wehen einzuleiten oder zu verstärken und um nach der Geburt starke Blutungen zu verhindern. Eine Cochrane-Übersicht mit 24 Studien kam zu dem Ergebnis, dass vorbeugend gegebenes Oxytocin das Risiko eines Blutverlusts von 500 ml oder mehr etwa halbiert (relatives Risiko 0,51), bei teils niedriger Qualität der Einzelstudien (Salati 2019, PMID 31032882). Diese Anwendung gehört ausschließlich in die Hand von Hebammen und Ärztinnen; Dosierung und Überwachung regelt die Fachinformation. Für die Bewertung des Nasensprays bei psychischen Fragestellungen spielt sie keine Rolle.</w:t>
      </w:r>
    </w:p>
    <w:bookmarkEnd w:id="818"/>
    <w:bookmarkEnd w:id="819"/>
    <w:bookmarkStart w:id="827" w:name="studien-am-menschen-50"/>
    <w:p>
      <w:pPr>
        <w:pStyle w:val="Heading3"/>
      </w:pPr>
      <w:r>
        <w:t xml:space="preserve">Studien am Menschen</w:t>
      </w:r>
    </w:p>
    <w:p>
      <w:pPr>
        <w:pStyle w:val="FirstParagraph"/>
      </w:pPr>
      <w:r>
        <w:rPr>
          <w:bCs/>
          <w:b/>
        </w:rPr>
        <w:t xml:space="preserve">Größenordnung der Studienlage (Abfrage Oktober 2026):</w:t>
      </w:r>
      <w:r>
        <w:t xml:space="preserve"> </w:t>
      </w:r>
      <w:r>
        <w:t xml:space="preserve">Die automatisierte Suche dieses Buches (Begriff „intranasal oxytocin“ in Titel oder Abstract) fand</w:t>
      </w:r>
      <w:r>
        <w:t xml:space="preserve"> </w:t>
      </w:r>
      <w:r>
        <w:rPr>
          <w:bCs/>
          <w:b/>
        </w:rPr>
        <w:t xml:space="preserve">349</w:t>
      </w:r>
      <w:r>
        <w:t xml:space="preserve"> </w:t>
      </w:r>
      <w:r>
        <w:t xml:space="preserve">Humanstudien in PubMed (</w:t>
      </w:r>
      <w:r>
        <w:rPr>
          <w:rStyle w:val="VerbatimChar"/>
        </w:rPr>
        <w:t xml:space="preserve">humanstudien_alle</w:t>
      </w:r>
      <w:r>
        <w:t xml:space="preserve">) und</w:t>
      </w:r>
      <w:r>
        <w:t xml:space="preserve"> </w:t>
      </w:r>
      <w:r>
        <w:rPr>
          <w:bCs/>
          <w:b/>
        </w:rPr>
        <w:t xml:space="preserve">263</w:t>
      </w:r>
      <w:r>
        <w:t xml:space="preserve"> </w:t>
      </w:r>
      <w:r>
        <w:t xml:space="preserve">Einträge bei ClinicalTrials.gov, davon rund 20 noch in der Rekrutierung. Hinzu kommen mindestens 15 Meta-Analysen und systematische Übersichten. Damit ist Oxytocin das am häufigsten am Menschen untersuchte Peptid in diesem Teil des Buches. Die große Mehrheit der Studien gab jedoch nur eine einzige Dosis an meist 20 bis 60 junge, gesunde Männer und maß kurzfristige Veränderungen in Labortests oder im Hirnscanner.</w:t>
      </w:r>
    </w:p>
    <w:p>
      <w:pPr>
        <w:pStyle w:val="BodyText"/>
      </w:pPr>
      <w:r>
        <w:t xml:space="preserve">Dieses Kapitel ordnet die Studien in vier Gruppen: Grundlagenstudien bei Gesunden mit der anschließenden Replikationskrise, Autismus als wichtigstes Behandlungsfeld, weitere psychiatrische Erkrankungen und schließlich Stoffwechsel, Schmerz und Sexualität.</w:t>
      </w:r>
    </w:p>
    <w:bookmarkStart w:id="820" w:name="X1385ca08eb468176378469a335ae826b7672bdc"/>
    <w:p>
      <w:pPr>
        <w:pStyle w:val="Heading4"/>
      </w:pPr>
      <w:r>
        <w:t xml:space="preserve">Soziales Verhalten bei Gesunden: Vertrauen, Stress, Gefühle</w:t>
      </w:r>
    </w:p>
    <w:p>
      <w:pPr>
        <w:pStyle w:val="FirstParagraph"/>
      </w:pPr>
      <w:r>
        <w:rPr>
          <w:bCs/>
          <w:b/>
        </w:rPr>
        <w:t xml:space="preserve">Vertrauen.</w:t>
      </w:r>
      <w:r>
        <w:t xml:space="preserve"> </w:t>
      </w:r>
      <w:r>
        <w:t xml:space="preserve">Die Studie, die das Feld begründete, erschien 2005 in Nature: Männer, die Oxytocin geschnupft hatten, vertrauten in einem ökonomischen Spiel einem Fremden mehr Geld an (Kosfeld 2005, PMID 15931222). In diesem „Vertrauensspiel“ entscheidet ein Investor, wie viel Geld er einem Treuhänder überlässt; der Betrag wird vervielfacht, und der Treuhänder entscheidet, wie viel er zurückgibt. Oxytocin erhöhte nicht die Risikobereitschaft allgemein, sondern speziell die Bereitschaft, soziale Risiken einzugehen.</w:t>
      </w:r>
    </w:p>
    <w:p>
      <w:pPr>
        <w:pStyle w:val="BodyText"/>
      </w:pPr>
      <w:r>
        <w:rPr>
          <w:bCs/>
          <w:b/>
        </w:rPr>
        <w:t xml:space="preserve">Stress.</w:t>
      </w:r>
      <w:r>
        <w:t xml:space="preserve"> </w:t>
      </w:r>
      <w:r>
        <w:t xml:space="preserve">In einer Studie mit 37 gesunden Männern dämpfte Oxytocin die Angst bei einem standardisierten Stresstest (öffentliche Rede und Kopfrechnen vor Publikum). Die niedrigsten Werte des Stresshormons Cortisol hatten Männer, die Oxytocin erhielten und zusätzlich von ihrem besten Freund unterstützt wurden (Heinrichs 2003, PMID 14675803).</w:t>
      </w:r>
    </w:p>
    <w:p>
      <w:pPr>
        <w:pStyle w:val="BodyText"/>
      </w:pPr>
      <w:r>
        <w:rPr>
          <w:bCs/>
          <w:b/>
        </w:rPr>
        <w:t xml:space="preserve">Gefühle erkennen.</w:t>
      </w:r>
      <w:r>
        <w:t xml:space="preserve"> </w:t>
      </w:r>
      <w:r>
        <w:t xml:space="preserve">Eine Meta-Analyse von 33 Studien fand, dass eine Einzeldosis bei Gesunden die Erkennung von Grundemotionen, vor allem Angst, leicht verbesserte. Bei Menschen mit psychischen Erkrankungen zeigte sich dagegen kein Effekt (Leppanen 2017, PMID 28467893).</w:t>
      </w:r>
    </w:p>
    <w:p>
      <w:pPr>
        <w:pStyle w:val="BodyText"/>
      </w:pPr>
      <w:r>
        <w:t xml:space="preserve">Hunderte weitere Studien berichteten Effekte auf Blickverhalten, Empathie, Erinnerung an Gesichter, Gruppenzugehörigkeit, Lügen, Großzügigkeit, Eifersucht und vieles mehr. Viele dieser Befunde traten nur in Untergruppen auf, etwa nur bei Männern, nur bei ängstlichen Personen oder nur bei bestimmten Genvarianten des Oxytocin-Rezeptors.</w:t>
      </w:r>
    </w:p>
    <w:bookmarkEnd w:id="820"/>
    <w:bookmarkStart w:id="821" w:name="die-replikationskrise"/>
    <w:p>
      <w:pPr>
        <w:pStyle w:val="Heading4"/>
      </w:pPr>
      <w:r>
        <w:t xml:space="preserve">Die Replikationskrise</w:t>
      </w:r>
    </w:p>
    <w:p>
      <w:pPr>
        <w:pStyle w:val="FirstParagraph"/>
      </w:pPr>
      <w:r>
        <w:t xml:space="preserve">Ab etwa 2015 mehrten sich Zweifel. Der Begriff Replikationskrise beschreibt das Problem, dass viele veröffentlichte Befunde der Psychologie und Medizin nicht bestätigt werden, wenn andere Forschende sie wiederholen. Oxytocin wurde zu einem Paradebeispiel.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Art</w:t>
            </w:r>
          </w:p>
        </w:tc>
        <w:tc>
          <w:tcPr/>
          <w:p>
            <w:pPr>
              <w:pStyle w:val="Compact"/>
              <w:jc w:val="left"/>
            </w:pPr>
            <w:r>
              <w:t xml:space="preserve">Kernaussage</w:t>
            </w:r>
          </w:p>
        </w:tc>
      </w:tr>
      <w:tr>
        <w:tc>
          <w:tcPr/>
          <w:p>
            <w:pPr>
              <w:pStyle w:val="Compact"/>
              <w:jc w:val="left"/>
            </w:pPr>
            <w:r>
              <w:t xml:space="preserve">Kosfeld 2005, PMID 15931222</w:t>
            </w:r>
          </w:p>
        </w:tc>
        <w:tc>
          <w:tcPr/>
          <w:p>
            <w:pPr>
              <w:pStyle w:val="Compact"/>
              <w:jc w:val="left"/>
            </w:pPr>
            <w:r>
              <w:t xml:space="preserve">Originalstudie, Vertrauensspiel</w:t>
            </w:r>
          </w:p>
        </w:tc>
        <w:tc>
          <w:tcPr/>
          <w:p>
            <w:pPr>
              <w:pStyle w:val="Compact"/>
              <w:jc w:val="left"/>
            </w:pPr>
            <w:r>
              <w:t xml:space="preserve">Oxytocin erhöht Vertrauen</w:t>
            </w:r>
          </w:p>
        </w:tc>
      </w:tr>
      <w:tr>
        <w:tc>
          <w:tcPr/>
          <w:p>
            <w:pPr>
              <w:pStyle w:val="Compact"/>
              <w:jc w:val="left"/>
            </w:pPr>
            <w:r>
              <w:t xml:space="preserve">Nave 2015, PMID 26581735</w:t>
            </w:r>
          </w:p>
        </w:tc>
        <w:tc>
          <w:tcPr/>
          <w:p>
            <w:pPr>
              <w:pStyle w:val="Compact"/>
              <w:jc w:val="left"/>
            </w:pPr>
            <w:r>
              <w:t xml:space="preserve">kritische Übersicht</w:t>
            </w:r>
          </w:p>
        </w:tc>
        <w:tc>
          <w:tcPr/>
          <w:p>
            <w:pPr>
              <w:pStyle w:val="Compact"/>
              <w:jc w:val="left"/>
            </w:pPr>
            <w:r>
              <w:t xml:space="preserve">Der Vertrauenseffekt ließ sich nicht verlässlich wiederholen</w:t>
            </w:r>
          </w:p>
        </w:tc>
      </w:tr>
      <w:tr>
        <w:tc>
          <w:tcPr/>
          <w:p>
            <w:pPr>
              <w:pStyle w:val="Compact"/>
              <w:jc w:val="left"/>
            </w:pPr>
            <w:r>
              <w:t xml:space="preserve">Lane 2015, PMID 26368396</w:t>
            </w:r>
          </w:p>
        </w:tc>
        <w:tc>
          <w:tcPr/>
          <w:p>
            <w:pPr>
              <w:pStyle w:val="Compact"/>
              <w:jc w:val="left"/>
            </w:pPr>
            <w:r>
              <w:t xml:space="preserve">zwei Wiederholungsstudien (95 und 61 Personen)</w:t>
            </w:r>
          </w:p>
        </w:tc>
        <w:tc>
          <w:tcPr/>
          <w:p>
            <w:pPr>
              <w:pStyle w:val="Compact"/>
              <w:jc w:val="left"/>
            </w:pPr>
            <w:r>
              <w:t xml:space="preserve">großer Effekt in einem anderen Vertrauenstest nicht bestätigt</w:t>
            </w:r>
          </w:p>
        </w:tc>
      </w:tr>
      <w:tr>
        <w:tc>
          <w:tcPr/>
          <w:p>
            <w:pPr>
              <w:pStyle w:val="Compact"/>
              <w:jc w:val="left"/>
            </w:pPr>
            <w:r>
              <w:t xml:space="preserve">Walum 2016, PMID 26210057</w:t>
            </w:r>
          </w:p>
        </w:tc>
        <w:tc>
          <w:tcPr/>
          <w:p>
            <w:pPr>
              <w:pStyle w:val="Compact"/>
              <w:jc w:val="left"/>
            </w:pPr>
            <w:r>
              <w:t xml:space="preserve">statistische Analyse des Feldes</w:t>
            </w:r>
          </w:p>
        </w:tc>
        <w:tc>
          <w:tcPr/>
          <w:p>
            <w:pPr>
              <w:pStyle w:val="Compact"/>
              <w:jc w:val="left"/>
            </w:pPr>
            <w:r>
              <w:t xml:space="preserve">Studien meist zu klein; die meisten veröffentlichten Befunde vermutlich keine echten Effekte</w:t>
            </w:r>
          </w:p>
        </w:tc>
      </w:tr>
      <w:tr>
        <w:tc>
          <w:tcPr/>
          <w:p>
            <w:pPr>
              <w:pStyle w:val="Compact"/>
              <w:jc w:val="left"/>
            </w:pPr>
            <w:r>
              <w:t xml:space="preserve">Mierop 2020, PMID 32633663</w:t>
            </w:r>
          </w:p>
        </w:tc>
        <w:tc>
          <w:tcPr/>
          <w:p>
            <w:pPr>
              <w:pStyle w:val="Compact"/>
              <w:jc w:val="left"/>
            </w:pPr>
            <w:r>
              <w:t xml:space="preserve">systematische Übersicht</w:t>
            </w:r>
          </w:p>
        </w:tc>
        <w:tc>
          <w:tcPr/>
          <w:p>
            <w:pPr>
              <w:pStyle w:val="Compact"/>
              <w:jc w:val="left"/>
            </w:pPr>
            <w:r>
              <w:t xml:space="preserve">Wiederholungsversuche bei Wechselwirkungen meist erfolglos; statistische Aussagekraft kritisch niedrig</w:t>
            </w:r>
          </w:p>
        </w:tc>
      </w:tr>
      <w:tr>
        <w:tc>
          <w:tcPr/>
          <w:p>
            <w:pPr>
              <w:pStyle w:val="Compact"/>
              <w:jc w:val="left"/>
            </w:pPr>
            <w:r>
              <w:t xml:space="preserve">Declerck 2020, PMID 32514040</w:t>
            </w:r>
          </w:p>
        </w:tc>
        <w:tc>
          <w:tcPr/>
          <w:p>
            <w:pPr>
              <w:pStyle w:val="Compact"/>
              <w:jc w:val="left"/>
            </w:pPr>
            <w:r>
              <w:t xml:space="preserve">vorregistrierte Wiederholungsstudie</w:t>
            </w:r>
          </w:p>
        </w:tc>
        <w:tc>
          <w:tcPr/>
          <w:p>
            <w:pPr>
              <w:pStyle w:val="Compact"/>
              <w:jc w:val="left"/>
            </w:pPr>
            <w:r>
              <w:t xml:space="preserve">kein Effekt auf Vertrauen in der Originalbedingung</w:t>
            </w:r>
          </w:p>
        </w:tc>
      </w:tr>
      <w:tr>
        <w:tc>
          <w:tcPr/>
          <w:p>
            <w:pPr>
              <w:pStyle w:val="Compact"/>
              <w:jc w:val="left"/>
            </w:pPr>
            <w:r>
              <w:t xml:space="preserve">Vogt 2026, PMID 42561025</w:t>
            </w:r>
          </w:p>
        </w:tc>
        <w:tc>
          <w:tcPr/>
          <w:p>
            <w:pPr>
              <w:pStyle w:val="Compact"/>
              <w:jc w:val="left"/>
            </w:pPr>
            <w:r>
              <w:t xml:space="preserve">vorregistrierte Studie, 359 Männer mit geringem Grundvertrauen</w:t>
            </w:r>
          </w:p>
        </w:tc>
        <w:tc>
          <w:tcPr/>
          <w:p>
            <w:pPr>
              <w:pStyle w:val="Compact"/>
              <w:jc w:val="left"/>
            </w:pPr>
            <w:r>
              <w:t xml:space="preserve">Vertrauen um rund 15 % erhöht</w:t>
            </w:r>
          </w:p>
        </w:tc>
      </w:tr>
    </w:tbl>
    <w:p>
      <w:pPr>
        <w:pStyle w:val="BodyText"/>
      </w:pPr>
      <w:r>
        <w:t xml:space="preserve">Eine Übersicht von 2015 kam zu dem Schluss, dass die Gesamtheit der Daten nicht belegt, dass menschliches Vertrauen verlässlich mit Oxytocin zusammenhängt oder durch es verursacht wird (Nave 2015, PMID 26581735). Eine statistische Analyse aller Studien zum Nasenspray ging weiter: Die Studien seien in der Regel zu klein, um realistische Effekte zu finden, und mit hoher Wahrscheinlichkeit stellten die meisten veröffentlichten Befunde keine echten Effekte dar (Walum 2016, PMID 26210057).</w:t>
      </w:r>
    </w:p>
    <w:p>
      <w:pPr>
        <w:pStyle w:val="BodyText"/>
      </w:pPr>
      <w:r>
        <w:t xml:space="preserve">Die wichtigste Probe aufs Exempel war eine große, vorab registrierte Wiederholung der Vertrauensstudie mit einer statistischen Aussagekraft von über 95 %. In der Bedingung, die der Originalstudie entsprach, zeigte Oxytocin keine Wirkung. Eine nachträgliche Auswertung deutete auf einen Effekt nur bei Menschen mit geringem Grundvertrauen hin (Declerck 2020, PMID 32514040). Genau diese Hypothese prüfte 2026 eine weitere vorregistrierte Studie mit 359 Männern mit geringem Grundvertrauen und fand eine Zunahme des Vertrauens um etwa 15 % (Vogt 2026, PMID 42561025).</w:t>
      </w:r>
    </w:p>
    <w:p>
      <w:pPr>
        <w:pStyle w:val="BodyText"/>
      </w:pPr>
      <w:r>
        <w:rPr>
          <w:bCs/>
          <w:b/>
        </w:rPr>
        <w:t xml:space="preserve">Was das bedeutet:</w:t>
      </w:r>
      <w:r>
        <w:t xml:space="preserve"> </w:t>
      </w:r>
      <w:r>
        <w:t xml:space="preserve">Der ursprüngliche, breite Effekt „Oxytocin macht vertrauensvoller“ hat sich nicht bestätigt. Möglicherweise gibt es einen kleineren Effekt in einer bestimmten Untergruppe und unter bestimmten Bedingungen. Das ist wissenschaftlich interessant, aber weit von einem praktischen Nutzen entfernt. Die Erfahrungen haben das Feld verändert: Studien werden heute häufiger vorab registriert, sind größer und berichten auch negative Ergebnisse. Eine 2026 vorgestellte Online-Plattform soll die Studienlage laufend auswerten (Iversen 2026, PMID 41389446).</w:t>
      </w:r>
    </w:p>
    <w:bookmarkEnd w:id="821"/>
    <w:bookmarkStart w:id="822" w:name="autismus"/>
    <w:p>
      <w:pPr>
        <w:pStyle w:val="Heading4"/>
      </w:pPr>
      <w:r>
        <w:t xml:space="preserve">Autismus</w:t>
      </w:r>
    </w:p>
    <w:p>
      <w:pPr>
        <w:pStyle w:val="FirstParagraph"/>
      </w:pPr>
      <w:r>
        <w:t xml:space="preserve">Autismus-Spektrum-Störungen sind durch Schwierigkeiten in der sozialen Kommunikation und durch eingeschränkte, sich wiederholende Verhaltensweisen gekennzeichnet. Es gibt keine Medikamente, die diese Kernmerkmale verändern. Oxytocin galt deshalb lange als große Hoffnung, und in einigen Ländern wurde es Kindern mit Autismus bereits außerhalb von Studien verschrieben (Sikich 2021, PMID 34644471).</w:t>
      </w:r>
    </w:p>
    <w:p>
      <w:pPr>
        <w:pStyle w:val="BodyText"/>
      </w:pPr>
      <w:r>
        <w:rPr>
          <w:bCs/>
          <w:b/>
        </w:rPr>
        <w:t xml:space="preserve">Frühe Studien.</w:t>
      </w:r>
      <w:r>
        <w:t xml:space="preserve"> </w:t>
      </w:r>
      <w:r>
        <w:t xml:space="preserve">Eine systematische Übersicht von 2014 fand sieben randomisierte Studien mit zusammen 101 Personen mit Autismus, fast alle männlich. Die Studien waren klein (im Median 15 Teilnehmende) und hatten ein mittleres bis hohes Verzerrungsrisiko. Fast alle berichteten mindestens ein positives Ergebnis, meist bei Blickverhalten oder Gefühlserkennung (Preti 2014, PMID 24679173).</w:t>
      </w:r>
    </w:p>
    <w:p>
      <w:pPr>
        <w:pStyle w:val="BodyText"/>
      </w:pPr>
      <w:r>
        <w:rPr>
          <w:bCs/>
          <w:b/>
        </w:rPr>
        <w:t xml:space="preserve">Behandlungsstudien über Wochen.</w:t>
      </w:r>
      <w:r>
        <w:t xml:space="preserve"> </w:t>
      </w:r>
      <w:r>
        <w:t xml:space="preserve">Danach folgten Studien, in denen Kinder und Erwachsene Oxytocin über mehrere Wochen erhielten: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Anagnostou 2012, PMID 23216716</w:t>
            </w:r>
          </w:p>
        </w:tc>
        <w:tc>
          <w:tcPr/>
          <w:p>
            <w:pPr>
              <w:pStyle w:val="Compact"/>
              <w:jc w:val="left"/>
            </w:pPr>
            <w:r>
              <w:t xml:space="preserve">19 Erwachsene, RCT</w:t>
            </w:r>
          </w:p>
        </w:tc>
        <w:tc>
          <w:tcPr/>
          <w:p>
            <w:pPr>
              <w:pStyle w:val="Compact"/>
              <w:jc w:val="left"/>
            </w:pPr>
            <w:r>
              <w:t xml:space="preserve">6 Wochen</w:t>
            </w:r>
          </w:p>
        </w:tc>
        <w:tc>
          <w:tcPr/>
          <w:p>
            <w:pPr>
              <w:pStyle w:val="Compact"/>
              <w:jc w:val="left"/>
            </w:pPr>
            <w:r>
              <w:t xml:space="preserve">Hauptziele nicht erreicht; Verbesserung in Nebenzielen</w:t>
            </w:r>
          </w:p>
        </w:tc>
      </w:tr>
      <w:tr>
        <w:tc>
          <w:tcPr/>
          <w:p>
            <w:pPr>
              <w:pStyle w:val="Compact"/>
              <w:jc w:val="left"/>
            </w:pPr>
            <w:r>
              <w:t xml:space="preserve">Guastella 2015, PMID 25087908</w:t>
            </w:r>
          </w:p>
        </w:tc>
        <w:tc>
          <w:tcPr/>
          <w:p>
            <w:pPr>
              <w:pStyle w:val="Compact"/>
              <w:jc w:val="left"/>
            </w:pPr>
            <w:r>
              <w:t xml:space="preserve">50 männliche Jugendliche (12–18 Jahre), RCT</w:t>
            </w:r>
          </w:p>
        </w:tc>
        <w:tc>
          <w:tcPr/>
          <w:p>
            <w:pPr>
              <w:pStyle w:val="Compact"/>
              <w:jc w:val="left"/>
            </w:pPr>
            <w:r>
              <w:t xml:space="preserve">8 Wochen</w:t>
            </w:r>
          </w:p>
        </w:tc>
        <w:tc>
          <w:tcPr/>
          <w:p>
            <w:pPr>
              <w:pStyle w:val="Compact"/>
              <w:jc w:val="left"/>
            </w:pPr>
            <w:r>
              <w:t xml:space="preserve">kein Nutzen bei Haupt- oder Nebenzielen</w:t>
            </w:r>
          </w:p>
        </w:tc>
      </w:tr>
      <w:tr>
        <w:tc>
          <w:tcPr/>
          <w:p>
            <w:pPr>
              <w:pStyle w:val="Compact"/>
              <w:jc w:val="left"/>
            </w:pPr>
            <w:r>
              <w:t xml:space="preserve">Yatawara 2016, PMID 26503762</w:t>
            </w:r>
          </w:p>
        </w:tc>
        <w:tc>
          <w:tcPr/>
          <w:p>
            <w:pPr>
              <w:pStyle w:val="Compact"/>
              <w:jc w:val="left"/>
            </w:pPr>
            <w:r>
              <w:t xml:space="preserve">31 Kinder (3–8 Jahre), Kreuzstudie gegen Placebo</w:t>
            </w:r>
          </w:p>
        </w:tc>
        <w:tc>
          <w:tcPr/>
          <w:p>
            <w:pPr>
              <w:pStyle w:val="Compact"/>
              <w:jc w:val="left"/>
            </w:pPr>
            <w:r>
              <w:t xml:space="preserve">je 5 Wochen</w:t>
            </w:r>
          </w:p>
        </w:tc>
        <w:tc>
          <w:tcPr/>
          <w:p>
            <w:pPr>
              <w:pStyle w:val="Compact"/>
              <w:jc w:val="left"/>
            </w:pPr>
            <w:r>
              <w:t xml:space="preserve">soziale Ansprechbarkeit laut Eltern verbessert</w:t>
            </w:r>
          </w:p>
        </w:tc>
      </w:tr>
      <w:tr>
        <w:tc>
          <w:tcPr/>
          <w:p>
            <w:pPr>
              <w:pStyle w:val="Compact"/>
              <w:jc w:val="left"/>
            </w:pPr>
            <w:r>
              <w:t xml:space="preserve">Parker 2017, PMID 28696286</w:t>
            </w:r>
          </w:p>
        </w:tc>
        <w:tc>
          <w:tcPr/>
          <w:p>
            <w:pPr>
              <w:pStyle w:val="Compact"/>
              <w:jc w:val="left"/>
            </w:pPr>
            <w:r>
              <w:t xml:space="preserve">32 Kinder (6–12 Jahre), RCT</w:t>
            </w:r>
          </w:p>
        </w:tc>
        <w:tc>
          <w:tcPr/>
          <w:p>
            <w:pPr>
              <w:pStyle w:val="Compact"/>
              <w:jc w:val="left"/>
            </w:pPr>
            <w:r>
              <w:t xml:space="preserve">4 Wochen</w:t>
            </w:r>
          </w:p>
        </w:tc>
        <w:tc>
          <w:tcPr/>
          <w:p>
            <w:pPr>
              <w:pStyle w:val="Compact"/>
              <w:jc w:val="left"/>
            </w:pPr>
            <w:r>
              <w:t xml:space="preserve">soziale Fähigkeiten verbessert, wenn Ausgangswerte im Blut berücksichtigt; niedriger Ausgangsspiegel sagte Ansprechen voraus</w:t>
            </w:r>
          </w:p>
        </w:tc>
      </w:tr>
      <w:tr>
        <w:tc>
          <w:tcPr/>
          <w:p>
            <w:pPr>
              <w:pStyle w:val="Compact"/>
              <w:jc w:val="left"/>
            </w:pPr>
            <w:r>
              <w:t xml:space="preserve">SOARS-B (Sikich 2021), PMID 34644471</w:t>
            </w:r>
          </w:p>
        </w:tc>
        <w:tc>
          <w:tcPr/>
          <w:p>
            <w:pPr>
              <w:pStyle w:val="Compact"/>
              <w:jc w:val="left"/>
            </w:pPr>
            <w:r>
              <w:t xml:space="preserve">290 Kinder und Jugendliche (3–17 Jahre), RCT</w:t>
            </w:r>
          </w:p>
        </w:tc>
        <w:tc>
          <w:tcPr/>
          <w:p>
            <w:pPr>
              <w:pStyle w:val="Compact"/>
              <w:jc w:val="left"/>
            </w:pPr>
            <w:r>
              <w:t xml:space="preserve">24 Wochen</w:t>
            </w:r>
          </w:p>
        </w:tc>
        <w:tc>
          <w:tcPr/>
          <w:p>
            <w:pPr>
              <w:pStyle w:val="Compact"/>
              <w:jc w:val="left"/>
            </w:pPr>
            <w:r>
              <w:t xml:space="preserve">kein Unterschied: −3,7 vs. −3,5 Punkte im sozialen Rückzug</w:t>
            </w:r>
          </w:p>
        </w:tc>
      </w:tr>
      <w:tr>
        <w:tc>
          <w:tcPr/>
          <w:p>
            <w:pPr>
              <w:pStyle w:val="Compact"/>
              <w:jc w:val="left"/>
            </w:pPr>
            <w:r>
              <w:t xml:space="preserve">Guastella 2023, PMID 36302965</w:t>
            </w:r>
          </w:p>
        </w:tc>
        <w:tc>
          <w:tcPr/>
          <w:p>
            <w:pPr>
              <w:pStyle w:val="Compact"/>
              <w:jc w:val="left"/>
            </w:pPr>
            <w:r>
              <w:t xml:space="preserve">87 Kinder (3–12 Jahre), RCT nach Placebo-Vorphase</w:t>
            </w:r>
          </w:p>
        </w:tc>
        <w:tc>
          <w:tcPr/>
          <w:p>
            <w:pPr>
              <w:pStyle w:val="Compact"/>
              <w:jc w:val="left"/>
            </w:pPr>
            <w:r>
              <w:t xml:space="preserve">12 Wochen</w:t>
            </w:r>
          </w:p>
        </w:tc>
        <w:tc>
          <w:tcPr/>
          <w:p>
            <w:pPr>
              <w:pStyle w:val="Compact"/>
              <w:jc w:val="left"/>
            </w:pPr>
            <w:r>
              <w:t xml:space="preserve">insgesamt kein Effekt; Hinweis auf Wirkung bei 3- bis 5-Jährigen</w:t>
            </w:r>
          </w:p>
        </w:tc>
      </w:tr>
    </w:tbl>
    <w:p>
      <w:pPr>
        <w:pStyle w:val="BodyText"/>
      </w:pPr>
      <w:r>
        <w:rPr>
          <w:bCs/>
          <w:b/>
        </w:rPr>
        <w:t xml:space="preserve">Die SOARS-B-Studie.</w:t>
      </w:r>
      <w:r>
        <w:t xml:space="preserve"> </w:t>
      </w:r>
      <w:r>
        <w:t xml:space="preserve">Die mit Abstand größte und aussagekräftigste Studie ist SOARS-B (Study of Oxytocin in Autism to Improve Reciprocal Social Behaviors), finanziert von den US-Gesundheitsbehörden und 2021 im New England Journal of Medicine veröffentlicht (Sikich 2021, PMID 34644471; NCT01944046). 290 Kinder und Jugendliche zwischen 3 und 17 Jahren erhielten über 24 Wochen täglich Oxytocin oder ein Placebo-Nasenspray. Hauptzielgröße war eine Skala für sozialen Rückzug (ABC-mSW, 0 bis 39 Punkte).</w:t>
      </w:r>
    </w:p>
    <w:p>
      <w:pPr>
        <w:pStyle w:val="BodyText"/>
      </w:pPr>
      <w:r>
        <w:t xml:space="preserve">Das Ergebnis war eindeutig negativ: Der Wert sank unter Oxytocin um 3,7 Punkte, unter Placebo um 3,5 Punkte. Der Unterschied von 0,2 Punkten war weder statistisch noch klinisch bedeutsam. Auch die Nebenziele – zwei weitere Maße für soziale Funktion und ein Intelligenztest – unterschieden sich nicht. Nebenwirkungen waren in beiden Gruppen gleich häufig.</w:t>
      </w:r>
    </w:p>
    <w:p>
      <w:pPr>
        <w:pStyle w:val="BodyText"/>
      </w:pPr>
      <w:r>
        <w:rPr>
          <w:bCs/>
          <w:b/>
        </w:rPr>
        <w:t xml:space="preserve">Die australische Studie bei jungen Kindern.</w:t>
      </w:r>
      <w:r>
        <w:t xml:space="preserve"> </w:t>
      </w:r>
      <w:r>
        <w:t xml:space="preserve">Die Gruppe um Adam Guastella hatte zuvor bei 3- bis 8-Jährigen ein positives Ergebnis gefunden (Yatawara 2016, PMID 26503762). Eine größere Folgestudie mit 87 Kindern schaltete eine dreiwöchige Placebo-Vorphase vor, um den starken Placeboeffekt herauszufiltern. Insgesamt zeigte Oxytocin keinen Effekt auf die soziale Ansprechbarkeit. Nur in der Untergruppe der 3- bis 5-Jährigen deutete sich eine Verbesserung laut Elternurteil an; das ärztliche Urteil und alle anderen Maße zeigten keinen Nutzen (Guastella 2023, PMID 36302965). Auffällig: In der Jugendlichen-Studie von 2015 berichteten Eltern, die glaubten, ihr Kind erhalte Oxytocin, über größere Verbesserungen – unabhängig davon, was das Kind tatsächlich bekam (Guastella 2015, PMID 25087908).</w:t>
      </w:r>
    </w:p>
    <w:p>
      <w:pPr>
        <w:pStyle w:val="BodyText"/>
      </w:pPr>
      <w:r>
        <w:rPr>
          <w:bCs/>
          <w:b/>
        </w:rPr>
        <w:t xml:space="preserve">Biologische Effekte ohne klinischen Nutzen.</w:t>
      </w:r>
      <w:r>
        <w:t xml:space="preserve"> </w:t>
      </w:r>
      <w:r>
        <w:t xml:space="preserve">Eine Studie mit 79 Kindern fand nach vier Wochen Oxytocin höhere Oxytocin-Spiegel im Speichel und Veränderungen an der Erbgut-Markierung des Rezeptor-Gens (Moerkerke 2024, PMID 38167302). Im Hirnscanner zeigten sich in derselben Gruppe dagegen keine signifikanten Behandlungseffekte auf die Gesichtsverarbeitung (Moerkerke 2024, PMID 39709442). Solche biologischen Signale sind wissenschaftlich interessant, belegen aber keine Verbesserung im Alltag.</w:t>
      </w:r>
    </w:p>
    <w:p>
      <w:pPr>
        <w:pStyle w:val="BodyText"/>
      </w:pPr>
      <w:r>
        <w:rPr>
          <w:bCs/>
          <w:b/>
        </w:rPr>
        <w:t xml:space="preserve">Meta-Analysen.</w:t>
      </w:r>
      <w:r>
        <w:t xml:space="preserve"> </w:t>
      </w:r>
      <w:r>
        <w:t xml:space="preserve">Die Zusammenfassungen kommen zu unterschiedlichen Ergebnissen, je nachdem, welche Studien sie einschließen:</w:t>
      </w:r>
    </w:p>
    <w:p>
      <w:pPr>
        <w:numPr>
          <w:ilvl w:val="0"/>
          <w:numId w:val="1278"/>
        </w:numPr>
        <w:pStyle w:val="Compact"/>
      </w:pPr>
      <w:r>
        <w:t xml:space="preserve">Eine Meta-Analyse von 17 randomisierten Studien mit 466 Personen mit Entwicklungsstörungen fand keinen Effekt auf die Gefühlserkennung und einen kleinen Effekt auf das Verständnis der Gedanken anderer (Keech 2018, PMID 29032324).</w:t>
      </w:r>
    </w:p>
    <w:p>
      <w:pPr>
        <w:numPr>
          <w:ilvl w:val="0"/>
          <w:numId w:val="1278"/>
        </w:numPr>
        <w:pStyle w:val="Compact"/>
      </w:pPr>
      <w:r>
        <w:t xml:space="preserve">Eine Meta-Analyse von 28 Studien mit 726 Personen mit Autismus, darunter auch nicht kontrollierte, kam zu einem positiveren Urteil über die soziale Funktion (Huang 2021, PMID 33400920). Der Einschluss unkontrollierter Studien macht dieses Ergebnis anfällig für Verzerrungen.</w:t>
      </w:r>
    </w:p>
    <w:p>
      <w:pPr>
        <w:numPr>
          <w:ilvl w:val="0"/>
          <w:numId w:val="1278"/>
        </w:numPr>
        <w:pStyle w:val="Compact"/>
      </w:pPr>
      <w:r>
        <w:t xml:space="preserve">Die bislang größte Meta-Analyse über alle psychischen Erkrankungen (42 doppelblinde Studien, 1.922 Personen) fand insgesamt keinen signifikanten Effekt. Nach Ausschluss zweier Ausreißer lag die Effektstärke nahe null (Bonnieux 2026, PMID 42134427).</w:t>
      </w:r>
    </w:p>
    <w:p>
      <w:pPr>
        <w:pStyle w:val="FirstParagraph"/>
      </w:pPr>
      <w:r>
        <w:rPr>
          <w:bCs/>
          <w:b/>
        </w:rPr>
        <w:t xml:space="preserve">Zwischenfazit Autismus:</w:t>
      </w:r>
      <w:r>
        <w:t xml:space="preserve"> </w:t>
      </w:r>
      <w:r>
        <w:t xml:space="preserve">Nach der großen SOARS-B-Studie und der australischen Folgestudie gibt es keinen belastbaren Beleg, dass Oxytocin-Nasenspray das Sozialverhalten von Kindern und Jugendlichen mit Autismus im Alltag verbessert. Forschende diskutieren, ob bestimmte Untergruppen – sehr junge Kinder, Kinder mit niedrigem Oxytocin-Spiegel – profitieren könnten, und schlagen einen personalisierten Ansatz vor (Boulton 2026, PMID 42144048). Bis das in eigenen Studien bestätigt ist, bleibt es eine Hypothese.</w:t>
      </w:r>
    </w:p>
    <w:bookmarkEnd w:id="822"/>
    <w:bookmarkStart w:id="823" w:name="weitere-psychische-erkrankungen"/>
    <w:p>
      <w:pPr>
        <w:pStyle w:val="Heading4"/>
      </w:pPr>
      <w:r>
        <w:t xml:space="preserve">Weitere psychische Erkrankungen</w:t>
      </w:r>
    </w:p>
    <w:p>
      <w:pPr>
        <w:pStyle w:val="FirstParagraph"/>
      </w:pPr>
      <w:r>
        <w:rPr>
          <w:bCs/>
          <w:b/>
        </w:rPr>
        <w:t xml:space="preserve">Schizophrenie.</w:t>
      </w:r>
      <w:r>
        <w:t xml:space="preserve"> </w:t>
      </w:r>
      <w:r>
        <w:t xml:space="preserve">In einer zwölfwöchigen Studie mit 68 Personen verbesserte Oxytocin die soziale Wahrnehmung nicht (Jarskog 2017, PMID 28094169). Eine Meta-Analyse von neun Studien fand keinen konsistenten Effekt auf sogenannte Negativsymptome wie Antriebslosigkeit und sozialen Rückzug (Sabe 2021, PMID 33890987). Die große Meta-Analyse von 2026 sah in dieser Gruppe einen kleinen, gerade signifikanten Effekt (Effektstärke 0,12) und stellte fest, dass Studien mit mehr Frauen tendenziell größere Effekte zeigten (Bonnieux 2026, PMID 42134427).</w:t>
      </w:r>
    </w:p>
    <w:p>
      <w:pPr>
        <w:pStyle w:val="BodyText"/>
      </w:pPr>
      <w:r>
        <w:rPr>
          <w:bCs/>
          <w:b/>
        </w:rPr>
        <w:t xml:space="preserve">Alkohol.</w:t>
      </w:r>
      <w:r>
        <w:t xml:space="preserve"> </w:t>
      </w:r>
      <w:r>
        <w:t xml:space="preserve">In einer norwegischen Studie mit 40 Personen im Alkoholentzug verringerte Oxytocin den Bedarf an Beruhigungsmitteln nicht signifikant (Melby 2019, PMID 30784955). Eine Meta-Analyse von sechs randomisierten Studien zur Alkoholabhängigkeit fand keinen Effekt; eine bayessche Auswertung sprach sogar mäßig für das Fehlen einer Wirkung (Santos 2026, PMID 42335670).</w:t>
      </w:r>
    </w:p>
    <w:p>
      <w:pPr>
        <w:pStyle w:val="BodyText"/>
      </w:pPr>
      <w:r>
        <w:rPr>
          <w:bCs/>
          <w:b/>
        </w:rPr>
        <w:t xml:space="preserve">Kombination mit Psychotherapie.</w:t>
      </w:r>
      <w:r>
        <w:t xml:space="preserve"> </w:t>
      </w:r>
      <w:r>
        <w:t xml:space="preserve">Eine neuere Idee ist, Oxytocin nicht allein, sondern als Verstärker einer Psychotherapie zu geben. Eine Übersicht über 13 Studien mit 518 Teilnehmenden fand Hinweise auf weniger depressive Symptome und eine bessere therapeutische Beziehung, aber keinen Effekt auf psychiatrische Symptome insgesamt oder auf die soziale Funktion; nur vier Studien konnten zusammengefasst werden (Pérez-Arqueros 2025, PMID 39366103).</w:t>
      </w:r>
    </w:p>
    <w:p>
      <w:pPr>
        <w:pStyle w:val="BodyText"/>
      </w:pPr>
      <w:r>
        <w:rPr>
          <w:bCs/>
          <w:b/>
        </w:rPr>
        <w:t xml:space="preserve">Nach der Geburt.</w:t>
      </w:r>
      <w:r>
        <w:t xml:space="preserve"> </w:t>
      </w:r>
      <w:r>
        <w:t xml:space="preserve">Bei 45 Müttern mit (teils unterschwelliger) Wochenbettdepression erhöhte eine Einzeldosis die positive Stimmung und die positive Zuwendung zum Kind, nicht aber die Feinfühligkeit im Umgang (Riem 2025, PMID 40614394).</w:t>
      </w:r>
    </w:p>
    <w:bookmarkEnd w:id="823"/>
    <w:bookmarkStart w:id="824" w:name="stoffwechsel-gewicht-und-schmerz"/>
    <w:p>
      <w:pPr>
        <w:pStyle w:val="Heading4"/>
      </w:pPr>
      <w:r>
        <w:t xml:space="preserve">Stoffwechsel, Gewicht und Schmerz</w:t>
      </w:r>
    </w:p>
    <w:p>
      <w:pPr>
        <w:pStyle w:val="FirstParagraph"/>
      </w:pPr>
      <w:r>
        <w:rPr>
          <w:bCs/>
          <w:b/>
        </w:rPr>
        <w:t xml:space="preserve">Adipositas.</w:t>
      </w:r>
      <w:r>
        <w:t xml:space="preserve"> </w:t>
      </w:r>
      <w:r>
        <w:t xml:space="preserve">Weil Oxytocin bei Tieren die Nahrungsaufnahme senkt und den Energieverbrauch steigert, wurde es als Abnehmmittel geprüft. Eine Meta-Analyse fand, dass eine Einzeldosis bei Menschen ohne psychische Erkrankung die Essmenge bei einer Testmahlzeit verringerte (Chen 2021, PMID 34600216). Die entscheidende Prüfung war eine Studie mit 61 Erwachsenen mit Adipositas, die acht Wochen lang viermal täglich Oxytocin oder Placebo sprühten. Das Gewicht änderte sich nicht: +0,20 kg unter Oxytocin, +0,26 kg unter Placebo. Auch Körperfett, Leberfett und Energieverbrauch blieben unverändert; nur bei einer Testmahlzeit aßen die Teilnehmenden weniger (Plessow 2024, PMID 38815173). Eine kleine Pilotstudie bei 21 älteren Menschen mit Übergewicht und Muskelschwund fand einen Zuwachs an Muskelmasse von 2,25 kg (Espinoza 2021, PMID 34029521); das muss in größeren Studien bestätigt werden.</w:t>
      </w:r>
    </w:p>
    <w:p>
      <w:pPr>
        <w:pStyle w:val="BodyText"/>
      </w:pPr>
      <w:r>
        <w:rPr>
          <w:bCs/>
          <w:b/>
        </w:rPr>
        <w:t xml:space="preserve">Prader-Willi-Syndrom.</w:t>
      </w:r>
      <w:r>
        <w:t xml:space="preserve"> </w:t>
      </w:r>
      <w:r>
        <w:t xml:space="preserve">Bei dieser seltenen genetischen Erkrankung mit unstillbarem Hunger und vermindertem Oxytocin im Hypothalamus waren die Erwartungen besonders groß. Eine Meta-Analyse fand keinen Effekt auf Heißhunger oder Gewicht (Shalma 2023, PMID 36774885). In einer Studie mit 23 Kindern besserten sich Heißhunger und Wiederholungsverhalten sogar eher unter Placebo (Hollander 2021, PMID 33190843).</w:t>
      </w:r>
    </w:p>
    <w:p>
      <w:pPr>
        <w:pStyle w:val="BodyText"/>
      </w:pPr>
      <w:r>
        <w:rPr>
          <w:bCs/>
          <w:b/>
        </w:rPr>
        <w:t xml:space="preserve">Schmerz.</w:t>
      </w:r>
      <w:r>
        <w:t xml:space="preserve"> </w:t>
      </w:r>
      <w:r>
        <w:t xml:space="preserve">Eine Meta-Analyse von 15 Studien fand keinen signifikanten Effekt auf Schmerzintensität oder Unannehmlichkeit des Schmerzes (Lopes 2023, PMID 36463692).</w:t>
      </w:r>
    </w:p>
    <w:bookmarkEnd w:id="824"/>
    <w:bookmarkStart w:id="825" w:name="sexualität"/>
    <w:p>
      <w:pPr>
        <w:pStyle w:val="Heading4"/>
      </w:pPr>
      <w:r>
        <w:t xml:space="preserve">Sexualität</w:t>
      </w:r>
    </w:p>
    <w:p>
      <w:pPr>
        <w:pStyle w:val="FirstParagraph"/>
      </w:pPr>
      <w:r>
        <w:t xml:space="preserve">Oxytocin wird beim Orgasmus ausgeschüttet und im Internet als Mittel für ein intensiveres Liebesleben beworben. In einer Laborstudie mit zehn Männern erhöhte ein Nasenspray den Oxytocin-Spiegel im Blut deutlich, veränderte aber Verlangen, Erregung, Orgasmus und Erholungsphase nach den Fragebögen nicht (Burri 2008, PMID 18375074). Eine Meta-Analyse zu Medikamenten gegen sexuelle Funktionsstörungen der Frau, die auch Oxytocin-Studien einschloss, fand, dass rund zwei Drittel der Verbesserung auch unter Placebo auftraten (Weinberger 2018, PMID 29995725). Belastbare Belege für eine Wirkung auf die Sexualität gibt es nicht.</w:t>
      </w:r>
    </w:p>
    <w:bookmarkEnd w:id="825"/>
    <w:bookmarkStart w:id="826" w:name="oxytocin-mangel-als-krankheit"/>
    <w:p>
      <w:pPr>
        <w:pStyle w:val="Heading4"/>
      </w:pPr>
      <w:r>
        <w:t xml:space="preserve">Oxytocin-Mangel als Krankheit</w:t>
      </w:r>
    </w:p>
    <w:p>
      <w:pPr>
        <w:pStyle w:val="FirstParagraph"/>
      </w:pPr>
      <w:r>
        <w:t xml:space="preserve">Ein neues und medizinisch plausibles Feld ist der echte Oxytocin-Mangel. Menschen, deren Hypothalamus oder Hirnanhangdrüse etwa durch einen Tumor oder eine Operation geschädigt ist, haben oft einen Vasopressin-Mangel (früher zentraler Diabetes insipidus). Eine Schweizer Studie nutzte die Droge MDMA, die bei Gesunden kräftig Oxytocin freisetzt, als Provokationstest. Bei 15 Gesunden stieg Oxytocin stark an, bei 15 Betroffenen kaum; die Fläche unter der Kurve war bei Gesunden um 82 % größer, und die Betroffenen spürten kaum die typischen sozialen und angstlösenden Effekte (Atila 2023, PMID 37192642). Das spricht dafür, dass viele dieser Menschen auch einen Oxytocin-Mangel haben. Ob ein Ersatz per Nasenspray ihre psychischen Beschwerden lindert, prüft eine laufende Studie (NCT06036004). Auch Kisspeptin wird als möglicher Test für einen Oxytocin-Mangel untersucht (Galbiati 2025, PMID 39965102; Kapitel 2E04).</w:t>
      </w:r>
    </w:p>
    <w:bookmarkEnd w:id="826"/>
    <w:bookmarkEnd w:id="827"/>
    <w:bookmarkStart w:id="828" w:name="tier--und-laborstudien-50"/>
    <w:p>
      <w:pPr>
        <w:pStyle w:val="Heading3"/>
      </w:pPr>
      <w:r>
        <w:t xml:space="preserve">Tier- und Laborstudien</w:t>
      </w:r>
    </w:p>
    <w:p>
      <w:pPr>
        <w:pStyle w:val="FirstParagraph"/>
      </w:pPr>
      <w:r>
        <w:t xml:space="preserve">Die Begeisterung für Oxytocin beruht auf überzeugenden Tierbefunden: Bei Präriewühlmäusen ist das Oxytocin-System für die Paarbindung nötig, bei Nagetieren und Schafen für mütterliches Verhalten. Bei Mäusen in einem Autismus-Modell verbesserte ein Mittel, das das Oxytocin-System anregt, soziale Verhaltensmaße (Minakova 2019, PMID 30629642). Bei Rhesusaffen gelangte markiertes Oxytocin über die Nase in bestimmte Hirnregionen (Lee 2020, PMID 32494001).</w:t>
      </w:r>
    </w:p>
    <w:p>
      <w:pPr>
        <w:pStyle w:val="BodyText"/>
      </w:pPr>
      <w:r>
        <w:t xml:space="preserve">Diese Befunde lassen sich jedoch nur begrenzt übertragen: Die Verteilung der Oxytocin-Rezeptoren im Gehirn unterscheidet sich stark zwischen Arten, selbst zwischen eng verwandten Wühlmausarten. Viele Tierversuche gaben Oxytocin direkt ins Gehirn, was beim Menschen nicht möglich ist.</w:t>
      </w:r>
    </w:p>
    <w:bookmarkEnd w:id="828"/>
    <w:bookmarkStart w:id="832" w:name="risiken-und-nebenwirkungen-50"/>
    <w:p>
      <w:pPr>
        <w:pStyle w:val="Heading3"/>
      </w:pPr>
      <w:r>
        <w:t xml:space="preserve">Risiken und Nebenwirkungen</w:t>
      </w:r>
    </w:p>
    <w:bookmarkStart w:id="829" w:name="belegt-nasenspray-in-studien"/>
    <w:p>
      <w:pPr>
        <w:pStyle w:val="Heading4"/>
      </w:pPr>
      <w:r>
        <w:t xml:space="preserve">Belegt: Nasenspray in Studien</w:t>
      </w:r>
    </w:p>
    <w:p>
      <w:pPr>
        <w:pStyle w:val="FirstParagraph"/>
      </w:pPr>
      <w:r>
        <w:t xml:space="preserve">In kontrollierten Studien gilt das Oxytocin-Nasenspray als gut verträglich. Eine systematische Übersicht von 38 randomisierten Studien mit 1.529 Teilnehmenden fand bei kurzzeitiger Anwendung keine Nebenwirkungen, die häufiger als unter Placebo auftraten. Die Teilnehmenden konnten auch nicht erkennen, ob sie Oxytocin oder Placebo erhalten hatten (MacDonald 2011, PMID 21429671). In SOARS-B waren Nebenwirkungen über 24 Wochen in beiden Gruppen gleich häufig (Sikich 2021, PMID 34644471). Bei 95 älteren Männern traten über vier Wochen keine Veränderungen bei Blutdruck, Urin- oder Blutwerten auf (Rung 2021, PMID 33982141). In Kinderstudien wurden Durst, vermehrtes Wasserlassen und Verstopfung berichtet (Yatawara 2016, PMID 26503762).</w:t>
      </w:r>
    </w:p>
    <w:bookmarkEnd w:id="829"/>
    <w:bookmarkStart w:id="830" w:name="möglich-und-zu-beachten"/>
    <w:p>
      <w:pPr>
        <w:pStyle w:val="Heading4"/>
      </w:pPr>
      <w:r>
        <w:t xml:space="preserve">Möglich und zu beachten</w:t>
      </w:r>
    </w:p>
    <w:p>
      <w:pPr>
        <w:numPr>
          <w:ilvl w:val="0"/>
          <w:numId w:val="1279"/>
        </w:numPr>
        <w:pStyle w:val="Compact"/>
      </w:pPr>
      <w:r>
        <w:rPr>
          <w:bCs/>
          <w:b/>
        </w:rPr>
        <w:t xml:space="preserve">Wasserhaushalt:</w:t>
      </w:r>
      <w:r>
        <w:t xml:space="preserve"> </w:t>
      </w:r>
      <w:r>
        <w:t xml:space="preserve">Oxytocin ähnelt Vasopressin und kann in hohen Dosen Wasser im Körper zurückhalten. In der Geburtshilfe ist eine Wasservergiftung mit Natriummangel eine bekannte, seltene Komplikation hoch dosierter Infusionen. Beim Nasenspray ist ein Fall eines erhöhten Hirndrucks bei gleichzeitig sehr hoher Trinkmenge beschrieben (Mayer-Hubner 1996, PMID 8596357).</w:t>
      </w:r>
    </w:p>
    <w:p>
      <w:pPr>
        <w:numPr>
          <w:ilvl w:val="0"/>
          <w:numId w:val="1279"/>
        </w:numPr>
        <w:pStyle w:val="Compact"/>
      </w:pPr>
      <w:r>
        <w:rPr>
          <w:bCs/>
          <w:b/>
        </w:rPr>
        <w:t xml:space="preserve">Kreislauf:</w:t>
      </w:r>
      <w:r>
        <w:t xml:space="preserve"> </w:t>
      </w:r>
      <w:r>
        <w:t xml:space="preserve">Bei zwölf gesunden Männern steigerte ein Nasenspray die Aktivität der Nerven, die Blutgefäße verengen, und erhöhte leicht den unteren Blutdruckwert (Meusel 2021, PMID 33296278).</w:t>
      </w:r>
    </w:p>
    <w:p>
      <w:pPr>
        <w:numPr>
          <w:ilvl w:val="0"/>
          <w:numId w:val="1279"/>
        </w:numPr>
        <w:pStyle w:val="Compact"/>
      </w:pPr>
      <w:r>
        <w:rPr>
          <w:bCs/>
          <w:b/>
        </w:rPr>
        <w:t xml:space="preserve">Schwangerschaft:</w:t>
      </w:r>
      <w:r>
        <w:t xml:space="preserve"> </w:t>
      </w:r>
      <w:r>
        <w:t xml:space="preserve">Weil Oxytocin Wehen auslöst, ist eine Anwendung außerhalb ärztlicher Kontrolle in der Schwangerschaft gefährlich.</w:t>
      </w:r>
    </w:p>
    <w:p>
      <w:pPr>
        <w:numPr>
          <w:ilvl w:val="0"/>
          <w:numId w:val="1279"/>
        </w:numPr>
        <w:pStyle w:val="Compact"/>
      </w:pPr>
      <w:r>
        <w:rPr>
          <w:bCs/>
          <w:b/>
        </w:rPr>
        <w:t xml:space="preserve">Langzeitanwendung:</w:t>
      </w:r>
      <w:r>
        <w:t xml:space="preserve"> </w:t>
      </w:r>
      <w:r>
        <w:t xml:space="preserve">Daten über mehr als sechs Monate fehlen, besonders bei Kindern.</w:t>
      </w:r>
    </w:p>
    <w:p>
      <w:pPr>
        <w:numPr>
          <w:ilvl w:val="0"/>
          <w:numId w:val="1279"/>
        </w:numPr>
        <w:pStyle w:val="Compact"/>
      </w:pPr>
      <w:r>
        <w:rPr>
          <w:bCs/>
          <w:b/>
        </w:rPr>
        <w:t xml:space="preserve">Soziale Wirkungen:</w:t>
      </w:r>
      <w:r>
        <w:t xml:space="preserve"> </w:t>
      </w:r>
      <w:r>
        <w:t xml:space="preserve">Einzelne Laborstudien berichteten, dass Oxytocin unter bestimmten Bedingungen auch Neid, Misstrauen gegenüber Fremden oder Bevorzugung der eigenen Gruppe verstärken kann. Diese Befunde sind ebenso unsicher wie die positiven.</w:t>
      </w:r>
    </w:p>
    <w:bookmarkEnd w:id="830"/>
    <w:bookmarkStart w:id="831" w:name="graumarkt-3"/>
    <w:p>
      <w:pPr>
        <w:pStyle w:val="Heading4"/>
      </w:pPr>
      <w:r>
        <w:t xml:space="preserve">Graumarkt</w:t>
      </w:r>
    </w:p>
    <w:p>
      <w:pPr>
        <w:pStyle w:val="FirstParagraph"/>
      </w:pPr>
      <w:r>
        <w:t xml:space="preserve">Oxytocin-Nasensprays werden im Internet als „Liebes-“ oder „Vertrauensspray“ verkauft. Inhalt und Gehalt solcher Produkte sind nicht unabhängig geprüft. Für keines dieser Produkte gibt es Belege einer Wirkung.</w:t>
      </w:r>
    </w:p>
    <w:bookmarkEnd w:id="831"/>
    <w:bookmarkEnd w:id="832"/>
    <w:bookmarkStart w:id="833" w:name="rechtslage-50"/>
    <w:p>
      <w:pPr>
        <w:pStyle w:val="Heading3"/>
      </w:pPr>
      <w:r>
        <w:t xml:space="preserve">Rechtslage</w:t>
      </w:r>
    </w:p>
    <w:p>
      <w:pPr>
        <w:pStyle w:val="FirstParagraph"/>
      </w:pPr>
      <w:r>
        <w:rPr>
          <w:iCs/>
          <w:i/>
        </w:rPr>
        <w:t xml:space="preserve">Stand 2026, bitte aktuell prüfen.</w:t>
      </w:r>
    </w:p>
    <w:p>
      <w:pPr>
        <w:numPr>
          <w:ilvl w:val="0"/>
          <w:numId w:val="1280"/>
        </w:numPr>
        <w:pStyle w:val="Compact"/>
      </w:pPr>
      <w:r>
        <w:rPr>
          <w:bCs/>
          <w:b/>
        </w:rPr>
        <w:t xml:space="preserve">EU, Deutschland, Österreich:</w:t>
      </w:r>
      <w:r>
        <w:t xml:space="preserve"> </w:t>
      </w:r>
      <w:r>
        <w:t xml:space="preserve">Oxytocin zur Infusion und Injektion ist als verschreibungspflichtiges Arzneimittel für die Geburtshilfe zugelassen. Ein zugelassenes Nasenspray für psychische oder soziale Anwendungen gibt es nicht; früher zugelassene Sprays zur Förderung des Milchflusses sind vielerorts nicht mehr erhältlich. Eine Verschreibung zur Behandlung von Autismus oder anderen Erkrankungen wäre ein individueller Heilversuch außerhalb der Zulassung (Off-Label) mit entsprechender Aufklärungs- und Haftungspflicht.</w:t>
      </w:r>
    </w:p>
    <w:p>
      <w:pPr>
        <w:numPr>
          <w:ilvl w:val="0"/>
          <w:numId w:val="1280"/>
        </w:numPr>
        <w:pStyle w:val="Compact"/>
      </w:pPr>
      <w:r>
        <w:rPr>
          <w:bCs/>
          <w:b/>
        </w:rPr>
        <w:t xml:space="preserve">USA:</w:t>
      </w:r>
      <w:r>
        <w:t xml:space="preserve"> </w:t>
      </w:r>
      <w:r>
        <w:t xml:space="preserve">Oxytocin-Injektion (Pitocin und Nachahmerpräparate) zugelassen für die Geburtshilfe; kein zugelassenes Nasenspray. Rezepturapotheken stellen Nasensprays auf ärztliche Verordnung her; deren Qualität wird nicht wie bei Fertigarzneimitteln geprüft.</w:t>
      </w:r>
    </w:p>
    <w:p>
      <w:pPr>
        <w:numPr>
          <w:ilvl w:val="0"/>
          <w:numId w:val="1280"/>
        </w:numPr>
        <w:pStyle w:val="Compact"/>
      </w:pPr>
      <w:r>
        <w:rPr>
          <w:bCs/>
          <w:b/>
        </w:rPr>
        <w:t xml:space="preserve">WADA:</w:t>
      </w:r>
      <w:r>
        <w:t xml:space="preserve"> </w:t>
      </w:r>
      <w:r>
        <w:t xml:space="preserve">nicht gelistet.</w:t>
      </w:r>
    </w:p>
    <w:bookmarkEnd w:id="833"/>
    <w:bookmarkStart w:id="834" w:name="laufende-studien-und-ausblick-50"/>
    <w:p>
      <w:pPr>
        <w:pStyle w:val="Heading3"/>
      </w:pPr>
      <w:r>
        <w:t xml:space="preserve">Laufende Studien und Ausblick</w:t>
      </w:r>
    </w:p>
    <w:p>
      <w:pPr>
        <w:pStyle w:val="FirstParagraph"/>
      </w:pPr>
      <w:r>
        <w:rPr>
          <w:bCs/>
          <w:b/>
        </w:rPr>
        <w:t xml:space="preserve">Gesichert (registrierte Studien):</w:t>
      </w:r>
      <w:r>
        <w:t xml:space="preserve"> </w:t>
      </w:r>
      <w:r>
        <w:t xml:space="preserve">Unter den laufenden Studien sind einige größere, die einzelne offene Fragen beantworten könnten:</w:t>
      </w:r>
    </w:p>
    <w:p>
      <w:pPr>
        <w:numPr>
          <w:ilvl w:val="0"/>
          <w:numId w:val="1281"/>
        </w:numPr>
        <w:pStyle w:val="Compact"/>
      </w:pPr>
      <w:r>
        <w:rPr>
          <w:bCs/>
          <w:b/>
        </w:rPr>
        <w:t xml:space="preserve">Chronischer Schmerz:</w:t>
      </w:r>
      <w:r>
        <w:t xml:space="preserve"> </w:t>
      </w:r>
      <w:r>
        <w:t xml:space="preserve">Eine kanadische Phase-2/3-Studie mit 336 Teilnehmenden (NCT04903002) ist abgeschlossen, Ergebnisse stehen aus.</w:t>
      </w:r>
    </w:p>
    <w:p>
      <w:pPr>
        <w:numPr>
          <w:ilvl w:val="0"/>
          <w:numId w:val="1281"/>
        </w:numPr>
        <w:pStyle w:val="Compact"/>
      </w:pPr>
      <w:r>
        <w:rPr>
          <w:bCs/>
          <w:b/>
        </w:rPr>
        <w:t xml:space="preserve">Psychotherapie plus Oxytocin:</w:t>
      </w:r>
      <w:r>
        <w:t xml:space="preserve"> </w:t>
      </w:r>
      <w:r>
        <w:t xml:space="preserve">Eine Studie des US-Veteranenministeriums mit 240 Personen prüft Oxytocin als Ergänzung einer Paartherapie bei posttraumatischer Belastungsstörung (NCT06194851, bis 2028). In Deutschland prüfen Studien Oxytocin als Ergänzung psychosozialer Behandlung bei Schizophrenie (NCT06881810 mit 98 Personen; NCT07265180 an der Charité mit 120 Personen und Dosisvergleich).</w:t>
      </w:r>
    </w:p>
    <w:p>
      <w:pPr>
        <w:numPr>
          <w:ilvl w:val="0"/>
          <w:numId w:val="1281"/>
        </w:numPr>
        <w:pStyle w:val="Compact"/>
      </w:pPr>
      <w:r>
        <w:rPr>
          <w:bCs/>
          <w:b/>
        </w:rPr>
        <w:t xml:space="preserve">Oxytocin-Mangel:</w:t>
      </w:r>
      <w:r>
        <w:t xml:space="preserve"> </w:t>
      </w:r>
      <w:r>
        <w:t xml:space="preserve">Eine Schweizer Studie mit 112 Personen prüft einen Oxytocin-Ersatz bei Vasopressin-Mangel (NCT06036004).</w:t>
      </w:r>
    </w:p>
    <w:p>
      <w:pPr>
        <w:numPr>
          <w:ilvl w:val="0"/>
          <w:numId w:val="1281"/>
        </w:numPr>
        <w:pStyle w:val="Compact"/>
      </w:pPr>
      <w:r>
        <w:rPr>
          <w:bCs/>
          <w:b/>
        </w:rPr>
        <w:t xml:space="preserve">Autismus und Knochen:</w:t>
      </w:r>
      <w:r>
        <w:t xml:space="preserve"> </w:t>
      </w:r>
      <w:r>
        <w:t xml:space="preserve">Eine Studie mit 96 Kindern untersucht Effekte auf die Knochengesundheit (NCT05754073).</w:t>
      </w:r>
    </w:p>
    <w:p>
      <w:pPr>
        <w:numPr>
          <w:ilvl w:val="0"/>
          <w:numId w:val="1281"/>
        </w:numPr>
        <w:pStyle w:val="Compact"/>
      </w:pPr>
      <w:r>
        <w:rPr>
          <w:bCs/>
          <w:b/>
        </w:rPr>
        <w:t xml:space="preserve">Essstörungen:</w:t>
      </w:r>
      <w:r>
        <w:t xml:space="preserve"> </w:t>
      </w:r>
      <w:r>
        <w:t xml:space="preserve">eine Phase-2-Studie zu Binge-Eating (NCT05664516).</w:t>
      </w:r>
    </w:p>
    <w:p>
      <w:pPr>
        <w:numPr>
          <w:ilvl w:val="0"/>
          <w:numId w:val="1281"/>
        </w:numPr>
        <w:pStyle w:val="Compact"/>
      </w:pPr>
      <w:r>
        <w:rPr>
          <w:bCs/>
          <w:b/>
        </w:rPr>
        <w:t xml:space="preserve">Firmenentwicklung:</w:t>
      </w:r>
      <w:r>
        <w:t xml:space="preserve"> </w:t>
      </w:r>
      <w:r>
        <w:t xml:space="preserve">Ein Unternehmen hat ein hochdosiertes Oxytocin-Nasenspray (TNX-1900) bei chronischer Migräne getestet (NCT05679908, 88 Personen, abgeschlossen) und plant eine Studie zur Schmerzbehandlung nach Hypophysen-Operationen (NCT07730294).</w:t>
      </w:r>
    </w:p>
    <w:p>
      <w:pPr>
        <w:pStyle w:val="FirstParagraph"/>
      </w:pPr>
      <w:r>
        <w:rPr>
          <w:bCs/>
          <w:b/>
        </w:rPr>
        <w:t xml:space="preserve">Einschätzung des Autors:</w:t>
      </w:r>
      <w:r>
        <w:t xml:space="preserve"> </w:t>
      </w:r>
      <w:r>
        <w:t xml:space="preserve">Die Geschichte des Oxytocin-Nasensprays ist ein Lehrstück über die Grenzen kleiner Studien. Nach zwei Jahrzehnten Forschung gibt es keine einzige Anwendung, in der ein Nutzen in großen, gut gemachten Studien bestätigt wäre. Die aussichtsreichsten Richtungen sind heute enger gefasst: Oxytocin als Ergänzung einer Psychotherapie statt als Medikament allein, als Ersatz bei nachgewiesenem Mangel, und gezielt bei Untergruppen, die vorab festgelegt werden. Eine Zulassung für Autismus oder soziale Ängste erscheint in den nächsten Jahren unwahrscheinlich.</w:t>
      </w:r>
    </w:p>
    <w:bookmarkEnd w:id="834"/>
    <w:bookmarkStart w:id="835" w:name="fazit-50"/>
    <w:p>
      <w:pPr>
        <w:pStyle w:val="Heading3"/>
      </w:pPr>
      <w:r>
        <w:t xml:space="preserve">Fazit</w:t>
      </w:r>
    </w:p>
    <w:p>
      <w:pPr>
        <w:pStyle w:val="FirstParagraph"/>
      </w:pPr>
      <w:r>
        <w:t xml:space="preserve">Oxytocin ist als Infusion ein unverzichtbares Medikament der Geburtshilfe, als Nasenspray dagegen ein Forschungswerkzeug ohne bewiesenen therapeutischen Nutzen. Der berühmte Befund, dass Oxytocin Vertrauen steigert, hielt Wiederholungsstudien nicht stand; allenfalls bei Menschen mit geringem Grundvertrauen deutet sich ein kleiner Effekt an. Die größte Autismus-Studie, SOARS-B mit 290 Kindern und Jugendlichen, fand nach 24 Wochen keinen Unterschied zu Placebo, und auch bei Adipositas, Alkoholabhängigkeit, Prader-Willi-Syndrom und Schmerz blieben die Ergebnisse negativ. In Studien war das Spray gut verträglich. Wer heute ein „Liebes-“ oder „Vertrauensspray“ kauft, erwirbt ein Versprechen, das die Forschung nicht einlöst.</w:t>
      </w:r>
    </w:p>
    <w:bookmarkEnd w:id="835"/>
    <w:bookmarkEnd w:id="836"/>
    <w:bookmarkStart w:id="852" w:name="gonadorelin"/>
    <w:p>
      <w:pPr>
        <w:pStyle w:val="Heading2"/>
      </w:pPr>
      <w:r>
        <w:t xml:space="preserve">Gonadorelin</w:t>
      </w:r>
    </w:p>
    <w:bookmarkStart w:id="837" w:name="steckbrief-51"/>
    <w:p>
      <w:pPr>
        <w:pStyle w:val="Heading3"/>
      </w:pPr>
      <w:r>
        <w:t xml:space="preserve">Steckbrief</w:t>
      </w:r>
    </w:p>
    <w:p>
      <w:pPr>
        <w:numPr>
          <w:ilvl w:val="0"/>
          <w:numId w:val="1282"/>
        </w:numPr>
        <w:pStyle w:val="Compact"/>
      </w:pPr>
      <w:r>
        <w:rPr>
          <w:bCs/>
          <w:b/>
        </w:rPr>
        <w:t xml:space="preserve">Art/Struktur:</w:t>
      </w:r>
      <w:r>
        <w:t xml:space="preserve"> </w:t>
      </w:r>
      <w:r>
        <w:t xml:space="preserve">Peptid aus zehn Aminosäuren, synthetisch hergestellt und in der Abfolge identisch mit dem menschlichen Hormon GnRH (Gonadotropin-Releasing-Hormon, auch LHRH oder Gonadoliberin genannt).</w:t>
      </w:r>
    </w:p>
    <w:p>
      <w:pPr>
        <w:numPr>
          <w:ilvl w:val="0"/>
          <w:numId w:val="1282"/>
        </w:numPr>
        <w:pStyle w:val="Compact"/>
      </w:pPr>
      <w:r>
        <w:rPr>
          <w:bCs/>
          <w:b/>
        </w:rPr>
        <w:t xml:space="preserve">Herkunft:</w:t>
      </w:r>
      <w:r>
        <w:t xml:space="preserve"> </w:t>
      </w:r>
      <w:r>
        <w:t xml:space="preserve">GnRH wurde Anfang der 1970er-Jahre aus Schweine- und Schafshirnen isoliert und entschlüsselt; die beteiligten Forscher Andrew Schally und Roger Guillemin erhielten dafür 1977 den Nobelpreis. Gonadorelin ist der internationale Wirkstoffname des synthetischen Hormons.</w:t>
      </w:r>
    </w:p>
    <w:p>
      <w:pPr>
        <w:numPr>
          <w:ilvl w:val="0"/>
          <w:numId w:val="1282"/>
        </w:numPr>
        <w:pStyle w:val="Compact"/>
      </w:pPr>
      <w:r>
        <w:rPr>
          <w:bCs/>
          <w:b/>
        </w:rPr>
        <w:t xml:space="preserve">Wirkprinzip:</w:t>
      </w:r>
      <w:r>
        <w:t xml:space="preserve"> </w:t>
      </w:r>
      <w:r>
        <w:t xml:space="preserve">Agonist am GnRH-Rezeptor der Hirnanhangdrüse. In Pulsen gegeben, regt es die Ausschüttung von LH und FSH an; als Dauergabe bremst es sie.</w:t>
      </w:r>
    </w:p>
    <w:p>
      <w:pPr>
        <w:numPr>
          <w:ilvl w:val="0"/>
          <w:numId w:val="1282"/>
        </w:numPr>
        <w:pStyle w:val="Compact"/>
      </w:pPr>
      <w:r>
        <w:rPr>
          <w:bCs/>
          <w:b/>
        </w:rPr>
        <w:t xml:space="preserve">Darreichungsformen:</w:t>
      </w:r>
      <w:r>
        <w:t xml:space="preserve"> </w:t>
      </w:r>
      <w:r>
        <w:t xml:space="preserve">Injektion in die Vene für Funktionstests; tragbare Pumpe, die alle 60 bis 120 Minuten eine kleine Menge unter die Haut oder in die Vene abgibt (pulsatile Therapie); in einigen Ländern ein Nasenspray für Säuglinge mit Hodenhochstand.</w:t>
      </w:r>
    </w:p>
    <w:p>
      <w:pPr>
        <w:numPr>
          <w:ilvl w:val="0"/>
          <w:numId w:val="1282"/>
        </w:numPr>
        <w:pStyle w:val="Compact"/>
      </w:pPr>
      <w:r>
        <w:rPr>
          <w:bCs/>
          <w:b/>
        </w:rPr>
        <w:t xml:space="preserve">Zulassung EU:</w:t>
      </w:r>
      <w:r>
        <w:t xml:space="preserve"> </w:t>
      </w:r>
      <w:r>
        <w:t xml:space="preserve">in einzelnen Mitgliedstaaten national zugelassen, etwa als Diagnostikum und für die Pumpentherapie; Präparate und Verfügbarkeit unterscheiden sich von Land zu Land.</w:t>
      </w:r>
    </w:p>
    <w:p>
      <w:pPr>
        <w:numPr>
          <w:ilvl w:val="0"/>
          <w:numId w:val="1282"/>
        </w:numPr>
        <w:pStyle w:val="Compact"/>
      </w:pPr>
      <w:r>
        <w:rPr>
          <w:bCs/>
          <w:b/>
        </w:rPr>
        <w:t xml:space="preserve">Zulassung USA:</w:t>
      </w:r>
      <w:r>
        <w:t xml:space="preserve"> </w:t>
      </w:r>
      <w:r>
        <w:t xml:space="preserve">Frühere Präparate (Factrel für Diagnostik, Lutrepulse für die Pumpe) sind nicht mehr im Handel. Ein aktuell vermarktetes, zugelassenes Humanarzneimittel gibt es nach Kenntnis des Autors nicht (bitte aktuell prüfen).</w:t>
      </w:r>
    </w:p>
    <w:p>
      <w:pPr>
        <w:numPr>
          <w:ilvl w:val="0"/>
          <w:numId w:val="1282"/>
        </w:numPr>
        <w:pStyle w:val="Compact"/>
      </w:pPr>
      <w:r>
        <w:rPr>
          <w:bCs/>
          <w:b/>
        </w:rPr>
        <w:t xml:space="preserve">WADA:</w:t>
      </w:r>
      <w:r>
        <w:t xml:space="preserve"> </w:t>
      </w:r>
      <w:r>
        <w:t xml:space="preserve">für Männer verboten (Gruppe S2, Gonadorelin wird dort namentlich genannt), im Wettkampf und außerhalb (Stand 2026, bitte aktuell prüfen).</w:t>
      </w:r>
    </w:p>
    <w:p>
      <w:pPr>
        <w:numPr>
          <w:ilvl w:val="0"/>
          <w:numId w:val="1282"/>
        </w:numPr>
        <w:pStyle w:val="Compact"/>
      </w:pPr>
      <w:r>
        <w:rPr>
          <w:bCs/>
          <w:b/>
        </w:rPr>
        <w:t xml:space="preserve">Evidenzstufe:</w:t>
      </w:r>
      <w:r>
        <w:t xml:space="preserve"> </w:t>
      </w:r>
      <w:r>
        <w:rPr>
          <w:bCs/>
          <w:b/>
        </w:rPr>
        <w:t xml:space="preserve">B</w:t>
      </w:r>
      <w:r>
        <w:t xml:space="preserve"> </w:t>
      </w:r>
      <w:r>
        <w:t xml:space="preserve">– zugelassenes Arzneimittel mit jahrzehntelanger Anwendung; die Wirksamkeitsdaten stammen aber überwiegend aus großen Fallserien, Kohorten und wenigen kleinen randomisierten Studien.</w:t>
      </w:r>
    </w:p>
    <w:bookmarkEnd w:id="837"/>
    <w:bookmarkStart w:id="838" w:name="wie-es-wirken-soll-51"/>
    <w:p>
      <w:pPr>
        <w:pStyle w:val="Heading3"/>
      </w:pPr>
      <w:r>
        <w:t xml:space="preserve">Wie es wirken soll</w:t>
      </w:r>
    </w:p>
    <w:p>
      <w:pPr>
        <w:pStyle w:val="FirstParagraph"/>
      </w:pPr>
      <w:r>
        <w:t xml:space="preserve">Die Hormonachse der Fortpflanzung beginnt im Hypothalamus. Dort schütten spezialisierte Nervenzellen GnRH aus – nicht gleichmäßig, sondern in Pulsen etwa alle ein bis zwei Stunden. Jeder Puls veranlasst die Hirnanhangdrüse (Hypophyse), die Hormone LH und FSH freizusetzen. Diese wirken auf Eierstöcke und Hoden: Sie steuern Eizellreifung und Eisprung, Spermienbildung sowie die Produktion von Östrogen und Testosteron. Der Botenstoff Kisspeptin (Kapitel 2E04) sitzt noch eine Stufe darüber und schaltet die GnRH-Nervenzellen an.</w:t>
      </w:r>
    </w:p>
    <w:p>
      <w:pPr>
        <w:pStyle w:val="BodyText"/>
      </w:pPr>
      <w:r>
        <w:t xml:space="preserve">Der Pulsrhythmus ist entscheidend. Das zeigt sich an einem scheinbaren Widerspruch:</w:t>
      </w:r>
    </w:p>
    <w:p>
      <w:pPr>
        <w:numPr>
          <w:ilvl w:val="0"/>
          <w:numId w:val="1283"/>
        </w:numPr>
        <w:pStyle w:val="Compact"/>
      </w:pPr>
      <w:r>
        <w:rPr>
          <w:bCs/>
          <w:b/>
        </w:rPr>
        <w:t xml:space="preserve">Pulsatile Gabe</w:t>
      </w:r>
      <w:r>
        <w:t xml:space="preserve"> </w:t>
      </w:r>
      <w:r>
        <w:t xml:space="preserve">– alle 60 bis 120 Minuten eine kleine Menge – ahmt den natürlichen Rhythmus nach und</w:t>
      </w:r>
      <w:r>
        <w:t xml:space="preserve"> </w:t>
      </w:r>
      <w:r>
        <w:rPr>
          <w:bCs/>
          <w:b/>
        </w:rPr>
        <w:t xml:space="preserve">aktiviert</w:t>
      </w:r>
      <w:r>
        <w:t xml:space="preserve"> </w:t>
      </w:r>
      <w:r>
        <w:t xml:space="preserve">die Achse. Darauf beruht die Pumpentherapie bei Menschen, deren Hypothalamus zu wenig GnRH bildet.</w:t>
      </w:r>
    </w:p>
    <w:p>
      <w:pPr>
        <w:numPr>
          <w:ilvl w:val="0"/>
          <w:numId w:val="1283"/>
        </w:numPr>
        <w:pStyle w:val="Compact"/>
      </w:pPr>
      <w:r>
        <w:rPr>
          <w:bCs/>
          <w:b/>
        </w:rPr>
        <w:t xml:space="preserve">Dauerhafte Stimulation</w:t>
      </w:r>
      <w:r>
        <w:t xml:space="preserve"> </w:t>
      </w:r>
      <w:r>
        <w:t xml:space="preserve">führt nach einem kurzen Anstieg dazu, dass die Rezeptoren der Hypophyse abschalten. Die Hormonachse wird</w:t>
      </w:r>
      <w:r>
        <w:t xml:space="preserve"> </w:t>
      </w:r>
      <w:r>
        <w:rPr>
          <w:bCs/>
          <w:b/>
        </w:rPr>
        <w:t xml:space="preserve">gebremst</w:t>
      </w:r>
      <w:r>
        <w:t xml:space="preserve">, bis hin zu Testosteronwerten wie nach einer Kastration.</w:t>
      </w:r>
    </w:p>
    <w:p>
      <w:pPr>
        <w:pStyle w:val="FirstParagraph"/>
      </w:pPr>
      <w:r>
        <w:t xml:space="preserve">Auf dem zweiten Prinzip beruhen die GnRH-Analoga wie Leuprorelin, Triptorelin oder Goserelin. Sie sind chemisch verändert, wirken viel länger als Gonadorelin und werden als Depotspritze gegen Prostatakrebs, Endometriose, Myome oder vorzeitige Pubertät eingesetzt. Sie sind nicht Gegenstand dieses Kapitels, verzerren aber die Datenlage erheblich (siehe unten).</w:t>
      </w:r>
    </w:p>
    <w:p>
      <w:pPr>
        <w:pStyle w:val="BodyText"/>
      </w:pPr>
      <w:r>
        <w:t xml:space="preserve">Gonadorelin selbst ist für eine Dauerblockade ungeeignet: Es wird im Blut innerhalb weniger Minuten abgebaut.</w:t>
      </w:r>
    </w:p>
    <w:bookmarkEnd w:id="838"/>
    <w:bookmarkStart w:id="843" w:name="studien-am-menschen-51"/>
    <w:p>
      <w:pPr>
        <w:pStyle w:val="Heading3"/>
      </w:pPr>
      <w:r>
        <w:t xml:space="preserve">Studien am Menschen</w:t>
      </w:r>
    </w:p>
    <w:p>
      <w:pPr>
        <w:pStyle w:val="FirstParagraph"/>
      </w:pPr>
      <w:r>
        <w:rPr>
          <w:bCs/>
          <w:b/>
        </w:rPr>
        <w:t xml:space="preserve">Größenordnung der Studienlage (Abfrage Oktober 2026) – und warum die Zahlen täuschen:</w:t>
      </w:r>
      <w:r>
        <w:t xml:space="preserve"> </w:t>
      </w:r>
      <w:r>
        <w:t xml:space="preserve">Die automatisierte Suche dieses Buches fand</w:t>
      </w:r>
      <w:r>
        <w:t xml:space="preserve"> </w:t>
      </w:r>
      <w:r>
        <w:rPr>
          <w:bCs/>
          <w:b/>
        </w:rPr>
        <w:t xml:space="preserve">9</w:t>
      </w:r>
      <w:r>
        <w:t xml:space="preserve"> </w:t>
      </w:r>
      <w:r>
        <w:t xml:space="preserve">Humanstudien in PubMed (</w:t>
      </w:r>
      <w:r>
        <w:rPr>
          <w:rStyle w:val="VerbatimChar"/>
        </w:rPr>
        <w:t xml:space="preserve">humanstudien_alle</w:t>
      </w:r>
      <w:r>
        <w:t xml:space="preserve">) und bei ClinicalTrials.gov die Höchstzahl von</w:t>
      </w:r>
      <w:r>
        <w:t xml:space="preserve"> </w:t>
      </w:r>
      <w:r>
        <w:rPr>
          <w:bCs/>
          <w:b/>
        </w:rPr>
        <w:t xml:space="preserve">1.000</w:t>
      </w:r>
      <w:r>
        <w:t xml:space="preserve"> </w:t>
      </w:r>
      <w:r>
        <w:t xml:space="preserve">Registereinträgen, an der die Abfrage abbricht. Beide Zahlen sind für die Bewertung von Gonadorelin unbrauchbar, und zwar in entgegengesetzter Richtung:</w:t>
      </w:r>
    </w:p>
    <w:p>
      <w:pPr>
        <w:numPr>
          <w:ilvl w:val="0"/>
          <w:numId w:val="1284"/>
        </w:numPr>
        <w:pStyle w:val="Compact"/>
      </w:pPr>
      <w:r>
        <w:rPr>
          <w:bCs/>
          <w:b/>
        </w:rPr>
        <w:t xml:space="preserve">Die Registerzahl ist stark überschätzt.</w:t>
      </w:r>
      <w:r>
        <w:t xml:space="preserve"> </w:t>
      </w:r>
      <w:r>
        <w:t xml:space="preserve">ClinicalTrials.gov ordnet den Suchbegriff „gonadorelin“ dem Oberbegriff „Gonadotropin-Releasing Hormone“ zu. Dadurch erscheinen alle Studien mit GnRH-Analoga und -Antagonisten. In den Titeln der 1.000 Treffer kommt das Wort „prostate“ 340-mal vor, „androgen deprivation“ 57-mal, Leuprorelin, Goserelin und Triptorelin zusammen weit über hundertmal. Eine Durchsicht der Titel ergab nur rund zehn Einträge, die tatsächlich natives GnRH beziehungsweise Gonadorelin untersuchen – etwa als Pumpe, Pflaster oder Funktionstest.</w:t>
      </w:r>
    </w:p>
    <w:p>
      <w:pPr>
        <w:numPr>
          <w:ilvl w:val="0"/>
          <w:numId w:val="1284"/>
        </w:numPr>
        <w:pStyle w:val="Compact"/>
      </w:pPr>
      <w:r>
        <w:rPr>
          <w:bCs/>
          <w:b/>
        </w:rPr>
        <w:t xml:space="preserve">Die PubMed-Zahl ist unterschätzt.</w:t>
      </w:r>
      <w:r>
        <w:t xml:space="preserve"> </w:t>
      </w:r>
      <w:r>
        <w:t xml:space="preserve">Die meisten Studien zum körpergleichen Hormon verwenden die Begriffe „GnRH“ oder „LHRH“ und nicht den Wirkstoffnamen. Umgekehrt betreffen mehrere der neun Treffer gar nicht Gonadorelin als Behandlung: Eine Arbeit untersuchte ein GnRH-Analogon bei Prostatakrebs (Steg 1985, PMID 2934695), andere nutzten Gonadorelin nur als Testsubstanz, etwa um die Wirkung eines Cholesterinsenkers oder von UV-Licht auf die Hormonachse zu prüfen (Segarra 1996, PMID 8773342; Falkenbach 1997, PMID 9189734).</w:t>
      </w:r>
    </w:p>
    <w:p>
      <w:pPr>
        <w:pStyle w:val="FirstParagraph"/>
      </w:pPr>
      <w:r>
        <w:t xml:space="preserve">Dieses Kapitel stützt sich deshalb auf eine ergänzende, gezielte Suche nach Studien zur pulsatilen GnRH-Therapie und zum GnRH-Test.</w:t>
      </w:r>
    </w:p>
    <w:bookmarkStart w:id="839" w:name="diagnostik-der-gnrh-test"/>
    <w:p>
      <w:pPr>
        <w:pStyle w:val="Heading4"/>
      </w:pPr>
      <w:r>
        <w:t xml:space="preserve">Diagnostik: der GnRH-Test</w:t>
      </w:r>
    </w:p>
    <w:p>
      <w:pPr>
        <w:pStyle w:val="FirstParagraph"/>
      </w:pPr>
      <w:r>
        <w:t xml:space="preserve">Beim GnRH-Test (auch LHRH-Test) wird Gonadorelin in die Vene gespritzt; anschließend misst man über ein bis zwei Stunden, wie stark LH und FSH ansteigen. Der Test hilft vor allem bei Kindern mit zu früher Pubertät: Ein deutlicher LH-Anstieg spricht dafür, dass die Hormonachse im Gehirn bereits aktiv ist (zentrale Pubertas praecox).</w:t>
      </w:r>
    </w:p>
    <w:p>
      <w:pPr>
        <w:pStyle w:val="BodyText"/>
      </w:pPr>
      <w:r>
        <w:t xml:space="preserve">In einer Auswertung von 584 Tests reichte eine einzige Blutprobe 40 Minuten nach der Injektion für die Diagnose: Bei einer LH-Schwelle von 5 IU/L lag die Empfindlichkeit bei 98 % und die Genauigkeit bei 100 % (Kandemir 2011, PMID 21448328). Eine Übersicht weist auf Grenzen hin, etwa bei sehr frühen Pubertätsstadien und bei übergewichtigen Kindern, und auf uneinheitliche Grenzwerte zwischen Studien (Ab Rahim 2020, PMID 32871650).</w:t>
      </w:r>
    </w:p>
    <w:p>
      <w:pPr>
        <w:pStyle w:val="BodyText"/>
      </w:pPr>
      <w:r>
        <w:t xml:space="preserve">Weil natives GnRH teuer und vielerorts nicht verfügbar ist, wird zunehmend ein kurz wirksames Analogon als Ersatz verwendet. In einer Studie mit 341 Mädchen war ein Test mit Triptorelin ähnlich genau wie der Gonadorelin-Test (Chioma 2025, PMID 41384863).</w:t>
      </w:r>
    </w:p>
    <w:bookmarkEnd w:id="839"/>
    <w:bookmarkStart w:id="840" w:name="kinderwunsch-die-gnrh-pumpe-bei-frauen"/>
    <w:p>
      <w:pPr>
        <w:pStyle w:val="Heading4"/>
      </w:pPr>
      <w:r>
        <w:t xml:space="preserve">Kinderwunsch: die GnRH-Pumpe bei Frauen</w:t>
      </w:r>
    </w:p>
    <w:p>
      <w:pPr>
        <w:pStyle w:val="FirstParagraph"/>
      </w:pPr>
      <w:r>
        <w:t xml:space="preserve">Bei der hypothalamischen Amenorrhö bleibt die Regel aus, weil das Gehirn zu wenig GnRH bildet – häufig nach starkem Gewichtsverlust, intensivem Sport oder Stress, seltener aus angeborenen Gründen. Eine kleine, tragbare Pumpe kann den fehlenden Rhythmus ersetzen.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Santoro 1990, PMID 2122733</w:t>
            </w:r>
          </w:p>
        </w:tc>
        <w:tc>
          <w:tcPr/>
          <w:p>
            <w:pPr>
              <w:pStyle w:val="Compact"/>
              <w:jc w:val="left"/>
            </w:pPr>
            <w:r>
              <w:t xml:space="preserve">109 Frauen mit hypothalamischer Amenorrhö, multizentrische Studie mit Pumpe in die Vene</w:t>
            </w:r>
          </w:p>
        </w:tc>
        <w:tc>
          <w:tcPr/>
          <w:p>
            <w:pPr>
              <w:pStyle w:val="Compact"/>
              <w:jc w:val="left"/>
            </w:pPr>
            <w:r>
              <w:t xml:space="preserve">mehrere Zyklen</w:t>
            </w:r>
          </w:p>
        </w:tc>
        <w:tc>
          <w:tcPr/>
          <w:p>
            <w:pPr>
              <w:pStyle w:val="Compact"/>
              <w:jc w:val="left"/>
            </w:pPr>
            <w:r>
              <w:t xml:space="preserve">Eisprung bei 91 % bzw. 96 %; Mehrlinge 12 %</w:t>
            </w:r>
          </w:p>
        </w:tc>
      </w:tr>
      <w:tr>
        <w:tc>
          <w:tcPr/>
          <w:p>
            <w:pPr>
              <w:pStyle w:val="Compact"/>
              <w:jc w:val="left"/>
            </w:pPr>
            <w:r>
              <w:t xml:space="preserve">Filicori 1994, PMID 7962297</w:t>
            </w:r>
          </w:p>
        </w:tc>
        <w:tc>
          <w:tcPr/>
          <w:p>
            <w:pPr>
              <w:pStyle w:val="Compact"/>
              <w:jc w:val="left"/>
            </w:pPr>
            <w:r>
              <w:t xml:space="preserve">292 Frauen, 600 Zyklen, verschiedene Ursachen</w:t>
            </w:r>
          </w:p>
        </w:tc>
        <w:tc>
          <w:tcPr/>
          <w:p>
            <w:pPr>
              <w:pStyle w:val="Compact"/>
              <w:jc w:val="left"/>
            </w:pPr>
            <w:r>
              <w:t xml:space="preserve">1984–1993</w:t>
            </w:r>
          </w:p>
        </w:tc>
        <w:tc>
          <w:tcPr/>
          <w:p>
            <w:pPr>
              <w:pStyle w:val="Compact"/>
              <w:jc w:val="left"/>
            </w:pPr>
            <w:r>
              <w:t xml:space="preserve">Eisprung in 75 % der Zyklen; Schwangerschaft 18 % pro Zyklus; Mehrlinge 3,8 %; Fehlgeburten 30 %</w:t>
            </w:r>
          </w:p>
        </w:tc>
      </w:tr>
      <w:tr>
        <w:tc>
          <w:tcPr/>
          <w:p>
            <w:pPr>
              <w:pStyle w:val="Compact"/>
              <w:jc w:val="left"/>
            </w:pPr>
            <w:r>
              <w:t xml:space="preserve">Christin-Maitre 2007, PMID 17293247</w:t>
            </w:r>
          </w:p>
        </w:tc>
        <w:tc>
          <w:tcPr/>
          <w:p>
            <w:pPr>
              <w:pStyle w:val="Compact"/>
              <w:jc w:val="left"/>
            </w:pPr>
            <w:r>
              <w:t xml:space="preserve">248 Frauen, 829 Zyklen, 24 französische Zentren, rückblickend</w:t>
            </w:r>
          </w:p>
        </w:tc>
        <w:tc>
          <w:tcPr/>
          <w:p>
            <w:pPr>
              <w:pStyle w:val="Compact"/>
              <w:jc w:val="left"/>
            </w:pPr>
            <w:r>
              <w:t xml:space="preserve">3 Jahre</w:t>
            </w:r>
          </w:p>
        </w:tc>
        <w:tc>
          <w:tcPr/>
          <w:p>
            <w:pPr>
              <w:pStyle w:val="Compact"/>
              <w:jc w:val="left"/>
            </w:pPr>
            <w:r>
              <w:t xml:space="preserve">Schwangerschaft 25 % pro Zyklus; Mehrlinge 8,8 %; keine schwere Überstimulation</w:t>
            </w:r>
          </w:p>
        </w:tc>
      </w:tr>
      <w:tr>
        <w:tc>
          <w:tcPr/>
          <w:p>
            <w:pPr>
              <w:pStyle w:val="Compact"/>
              <w:jc w:val="left"/>
            </w:pPr>
            <w:r>
              <w:t xml:space="preserve">Dubourdieu 2013, PMID 23298894</w:t>
            </w:r>
          </w:p>
        </w:tc>
        <w:tc>
          <w:tcPr/>
          <w:p>
            <w:pPr>
              <w:pStyle w:val="Compact"/>
              <w:jc w:val="left"/>
            </w:pPr>
            <w:r>
              <w:t xml:space="preserve">30 Frauen mit Amenorrhö und PCOS, RCT: Pumpe vs. Gonadotropine</w:t>
            </w:r>
          </w:p>
        </w:tc>
        <w:tc>
          <w:tcPr/>
          <w:p>
            <w:pPr>
              <w:pStyle w:val="Compact"/>
              <w:jc w:val="left"/>
            </w:pPr>
            <w:r>
              <w:t xml:space="preserve">ein Zyklus</w:t>
            </w:r>
          </w:p>
        </w:tc>
        <w:tc>
          <w:tcPr/>
          <w:p>
            <w:pPr>
              <w:pStyle w:val="Compact"/>
              <w:jc w:val="left"/>
            </w:pPr>
            <w:r>
              <w:t xml:space="preserve">klinische Schwangerschaft 46 % vs. 0 %</w:t>
            </w:r>
          </w:p>
        </w:tc>
      </w:tr>
      <w:tr>
        <w:tc>
          <w:tcPr/>
          <w:p>
            <w:pPr>
              <w:pStyle w:val="Compact"/>
              <w:jc w:val="left"/>
            </w:pPr>
            <w:r>
              <w:t xml:space="preserve">Quaas 2022, PMID 36378460</w:t>
            </w:r>
          </w:p>
        </w:tc>
        <w:tc>
          <w:tcPr/>
          <w:p>
            <w:pPr>
              <w:pStyle w:val="Compact"/>
              <w:jc w:val="left"/>
            </w:pPr>
            <w:r>
              <w:t xml:space="preserve">66 Frauen, 212 Zyklen, Schweizer Zentrum, rückblickend</w:t>
            </w:r>
          </w:p>
        </w:tc>
        <w:tc>
          <w:tcPr/>
          <w:p>
            <w:pPr>
              <w:pStyle w:val="Compact"/>
              <w:jc w:val="left"/>
            </w:pPr>
            <w:r>
              <w:t xml:space="preserve">1996–2020</w:t>
            </w:r>
          </w:p>
        </w:tc>
        <w:tc>
          <w:tcPr/>
          <w:p>
            <w:pPr>
              <w:pStyle w:val="Compact"/>
              <w:jc w:val="left"/>
            </w:pPr>
            <w:r>
              <w:t xml:space="preserve">Lebendgeburt pro Behandlung 65,9 %; ein Follikel in 75 % der Zyklen; eine Zwillingsschwangerschaft</w:t>
            </w:r>
          </w:p>
        </w:tc>
      </w:tr>
    </w:tbl>
    <w:p>
      <w:pPr>
        <w:pStyle w:val="BodyText"/>
      </w:pPr>
      <w:r>
        <w:t xml:space="preserve">Die Zahlen zeigen ein stimmiges Bild: Bei Frauen, deren Problem tatsächlich im Hypothalamus liegt, führt die Pumpe in den allermeisten Zyklen zu einem Eisprung, oft mit nur einer reifenden Eizelle. Weil die Hypophyse ihre eigene Rückkopplung behält, sind Überstimulation und Mehrlingsschwangerschaften seltener als bei direkt gespritzten Gonadotropinen (Quaas 2022, PMID 36378460). Bei Frauen mit polyzystischem Ovarsyndrom oder Übergewicht wirkt die Pumpe schlechter, und Fehlgeburten waren in der größten Einzelserie häufig (Filicori 1994, PMID 7962297).</w:t>
      </w:r>
    </w:p>
    <w:p>
      <w:pPr>
        <w:pStyle w:val="BodyText"/>
      </w:pPr>
      <w:r>
        <w:t xml:space="preserve">Die Nachteile sind praktischer Natur: Die Pumpe muss über Wochen getragen werden. Bei Gabe in die Vene kam es zu Komplikationen am Zugang, im Mittel bei 7 % (Santoro 1990, PMID 2122733). Heute wird meist unter die Haut gepumpt; lokale Hautreaktionen traten in der französischen Studie in 1,7 % der Zyklen auf (Christin-Maitre 2007, PMID 17293247).</w:t>
      </w:r>
    </w:p>
    <w:p>
      <w:pPr>
        <w:pStyle w:val="BodyText"/>
      </w:pPr>
      <w:r>
        <w:t xml:space="preserve">Die Datenlage ist alt und überwiegend nicht randomisiert. Große Vergleichsstudien mit modernen Gonadotropin-Protokollen fehlen. Fachleute betrachten die Pumpe dennoch als besonders physiologische und sichere Methode bei hypothalamischer Amenorrhö mit Kinderwunsch (Quaas 2022, PMID 36378460) – sofern sie verfügbar ist.</w:t>
      </w:r>
    </w:p>
    <w:bookmarkEnd w:id="840"/>
    <w:bookmarkStart w:id="841" w:name="männer-mit-hormonmangel"/>
    <w:p>
      <w:pPr>
        <w:pStyle w:val="Heading4"/>
      </w:pPr>
      <w:r>
        <w:t xml:space="preserve">Männer mit Hormonmangel</w:t>
      </w:r>
    </w:p>
    <w:p>
      <w:pPr>
        <w:pStyle w:val="FirstParagraph"/>
      </w:pPr>
      <w:r>
        <w:t xml:space="preserve">Auch Männer mit angeborenem GnRH-Mangel – etwa beim Kallmann-Syndrom, bei dem zusätzlich der Geruchssinn fehlt – können mit der Pumpe behandelt werden, um Hodenwachstum und Spermienbildung anzuregen.</w:t>
      </w:r>
    </w:p>
    <w:p>
      <w:pPr>
        <w:pStyle w:val="BodyText"/>
      </w:pPr>
      <w:r>
        <w:t xml:space="preserve">In einer Auswertung von 26 Männern an einem deutschen Universitätszentrum erschienen in 30 von 33 Behandlungszyklen Spermien im Ejakulat; in 15 von 18 Fällen mit Kinderwunsch wurde die Partnerin schwanger. Pumpe und gespritzte Gonadotropine waren gleich wirksam (Kliesch 1994, PMID 7921222). Bei chinesischen Jungen im Pubertätsalter wuchsen die Hoden unter der Pumpe stärker als unter hCG-Spritzen (Gong 2015, PMID 25978110). Eine kleine randomisierte Studie fand Hinweise, dass eine Vorbehandlung mit FSH vor der Pumpe die Spermienbildung verbessern könnte: Alle sieben vorbehandelten Männer hatten später Spermien, gegenüber vier von sechs ohne Vorbehandlung (Dwyer 2013, PMID 24037890).</w:t>
      </w:r>
    </w:p>
    <w:bookmarkEnd w:id="841"/>
    <w:bookmarkStart w:id="842" w:name="säuglinge-mit-hodenhochstand"/>
    <w:p>
      <w:pPr>
        <w:pStyle w:val="Heading4"/>
      </w:pPr>
      <w:r>
        <w:t xml:space="preserve">Säuglinge mit Hodenhochstand</w:t>
      </w:r>
    </w:p>
    <w:p>
      <w:pPr>
        <w:pStyle w:val="FirstParagraph"/>
      </w:pPr>
      <w:r>
        <w:t xml:space="preserve">In einigen europäischen Ländern wird ein Gonadorelin-Nasenspray vor oder nach der Operation eines Hodenhochstands gegeben, um die Reifung der Keimzellen zu fördern. Eine randomisierte Studie mit 62 Säuglingen berichtete günstigere Ultraschallbefunde nach kombinierter Behandlung (Spinelli 2014, PMID 25106891). Eine weitere randomisierte Studie mit 36 Jungen fand dagegen keinen Unterschied bei Penisgröße, Hodenvolumen oder Hormonwerten zum Zeitpunkt der Operation; die Behandlung erwies sich aber als sicher (Fiala 2022, PMID 35691791). Der Nutzen ist umstritten; im Vordergrund steht die frühe Operation.</w:t>
      </w:r>
    </w:p>
    <w:bookmarkEnd w:id="842"/>
    <w:bookmarkEnd w:id="843"/>
    <w:bookmarkStart w:id="844" w:name="tier--und-laborstudien-51"/>
    <w:p>
      <w:pPr>
        <w:pStyle w:val="Heading3"/>
      </w:pPr>
      <w:r>
        <w:t xml:space="preserve">Tier- und Laborstudien</w:t>
      </w:r>
    </w:p>
    <w:p>
      <w:pPr>
        <w:pStyle w:val="FirstParagraph"/>
      </w:pPr>
      <w:r>
        <w:t xml:space="preserve">Gonadorelin ist eines der am besten verstandenen Hormone überhaupt; seine Grundlagen stammen aus Tierversuchen der 1970er-Jahre. Heute spielt die Tierforschung für die Bewertung beim Menschen kaum noch eine Rolle. In der Tiermedizin wird Gonadorelin breit eingesetzt, vor allem bei Rindern zur Steuerung des Eisprungs. Diese Präparate sind für Tiere zugelassen und nicht für Menschen.</w:t>
      </w:r>
    </w:p>
    <w:bookmarkEnd w:id="844"/>
    <w:bookmarkStart w:id="847" w:name="risiken-und-nebenwirkungen-51"/>
    <w:p>
      <w:pPr>
        <w:pStyle w:val="Heading3"/>
      </w:pPr>
      <w:r>
        <w:t xml:space="preserve">Risiken und Nebenwirkungen</w:t>
      </w:r>
    </w:p>
    <w:bookmarkStart w:id="845" w:name="belegt-10"/>
    <w:p>
      <w:pPr>
        <w:pStyle w:val="Heading4"/>
      </w:pPr>
      <w:r>
        <w:t xml:space="preserve">Belegt</w:t>
      </w:r>
    </w:p>
    <w:p>
      <w:pPr>
        <w:pStyle w:val="FirstParagraph"/>
      </w:pPr>
      <w:r>
        <w:t xml:space="preserve">Gonadorelin gilt als gut verträglich. In den Studien zur Pumpentherapie standen Probleme mit dem Zugang (Entzündung, Venenreizung bei Gabe in die Vene) und lokale Hautreaktionen im Vordergrund (Santoro 1990, PMID 2122733; Christin-Maitre 2007, PMID 17293247). Mehrlingsschwangerschaften kommen vor, wenn auch seltener als bei Gonadotropinen; schwere Überstimulationen sind die Ausnahme. Beim Test können vorübergehend Kopfschmerzen, Übelkeit oder Hitzegefühl auftreten. Allergische Reaktionen sind selten beschrieben. Einzelheiten nennt die Fachinformation; die Anwendung gehört in ärztliche Hand.</w:t>
      </w:r>
    </w:p>
    <w:bookmarkEnd w:id="845"/>
    <w:bookmarkStart w:id="846" w:name="bei-falscher-anwendung"/>
    <w:p>
      <w:pPr>
        <w:pStyle w:val="Heading4"/>
      </w:pPr>
      <w:r>
        <w:t xml:space="preserve">Bei falscher Anwendung</w:t>
      </w:r>
    </w:p>
    <w:p>
      <w:pPr>
        <w:pStyle w:val="FirstParagraph"/>
      </w:pPr>
      <w:r>
        <w:t xml:space="preserve">Wird Gonadorelin nicht im richtigen Rhythmus, sondern zu häufig oder dauerhaft gegeben, kann es die eigene Hormonachse unterdrücken statt anregen. Das ist kein theoretisches Risiko, sondern das Wirkprinzip der GnRH-Analoga.</w:t>
      </w:r>
    </w:p>
    <w:bookmarkEnd w:id="846"/>
    <w:bookmarkEnd w:id="847"/>
    <w:bookmarkStart w:id="848" w:name="einordnung-gonadorelin-im-bodybuilding"/>
    <w:p>
      <w:pPr>
        <w:pStyle w:val="Heading3"/>
      </w:pPr>
      <w:r>
        <w:t xml:space="preserve">Einordnung: Gonadorelin im Bodybuilding</w:t>
      </w:r>
    </w:p>
    <w:p>
      <w:pPr>
        <w:pStyle w:val="FirstParagraph"/>
      </w:pPr>
      <w:r>
        <w:t xml:space="preserve">In Internetforen und bei manchen Anbietern von „Hormonoptimierung“ wird Gonadorelin als Teil einer sogenannten Post-Cycle-Therapy (PCT) beworben. Gemeint ist die Phase nach einer Kur mit anabolen Steroiden: Die künstlich zugeführten Hormone haben die eigene Testosteronbildung unterdrückt, und Gonadorelin soll die Hormonachse „wieder anwerfen“. In den USA wird es Berichten zufolge auch als Ersatz für hCG angeboten.</w:t>
      </w:r>
    </w:p>
    <w:p>
      <w:pPr>
        <w:pStyle w:val="BodyText"/>
      </w:pPr>
      <w:r>
        <w:t xml:space="preserve">Was dazu bekannt ist:</w:t>
      </w:r>
    </w:p>
    <w:p>
      <w:pPr>
        <w:numPr>
          <w:ilvl w:val="0"/>
          <w:numId w:val="1285"/>
        </w:numPr>
        <w:pStyle w:val="Compact"/>
      </w:pPr>
      <w:r>
        <w:rPr>
          <w:bCs/>
          <w:b/>
        </w:rPr>
        <w:t xml:space="preserve">Es gibt keine Studien</w:t>
      </w:r>
      <w:r>
        <w:t xml:space="preserve"> </w:t>
      </w:r>
      <w:r>
        <w:t xml:space="preserve">zu Gonadorelin in dieser Situation. Die Datenlage zur PCT insgesamt ist dünn; untersucht wurden fast nur Antiöstrogene, hCG und Aromatasehemmer, und auch dafür gibt es überwiegend Beobachtungsdaten. Aus wissenschaftlicher Sicht wird eine PCT überwiegend nicht empfohlen (Smit 2026, PMID 42644333).</w:t>
      </w:r>
    </w:p>
    <w:p>
      <w:pPr>
        <w:numPr>
          <w:ilvl w:val="0"/>
          <w:numId w:val="1285"/>
        </w:numPr>
        <w:pStyle w:val="Compact"/>
      </w:pPr>
      <w:r>
        <w:rPr>
          <w:bCs/>
          <w:b/>
        </w:rPr>
        <w:t xml:space="preserve">Die Erholung erfolgt meist von selbst.</w:t>
      </w:r>
      <w:r>
        <w:t xml:space="preserve"> </w:t>
      </w:r>
      <w:r>
        <w:t xml:space="preserve">In der niederländischen HAARLEM-Studie mit 100 Kraftsportlern hatte sich das Testosteron drei Monate nach Ende der Steroidkur bei den meisten normalisiert; nach einem Jahr lag es bei 11 % noch unter dem Normbereich, und bei 34 % war die Spermienzahl noch erniedrigt (Smit 2021, PMID 33550376).</w:t>
      </w:r>
    </w:p>
    <w:p>
      <w:pPr>
        <w:numPr>
          <w:ilvl w:val="0"/>
          <w:numId w:val="1285"/>
        </w:numPr>
        <w:pStyle w:val="Compact"/>
      </w:pPr>
      <w:r>
        <w:rPr>
          <w:bCs/>
          <w:b/>
        </w:rPr>
        <w:t xml:space="preserve">Das Wirkprinzip spricht gegen naive Anwendung.</w:t>
      </w:r>
      <w:r>
        <w:t xml:space="preserve"> </w:t>
      </w:r>
      <w:r>
        <w:t xml:space="preserve">Einzelne Spritzen erzeugen nur kurze LH-Spitzen; häufige Gaben können die Hypophyse eher abstumpfen lassen. Ohne Pumpe und Laborkontrolle ist ein Nutzen nicht zu erwarten, eine Verzögerung der Erholung nicht auszuschließen.</w:t>
      </w:r>
    </w:p>
    <w:p>
      <w:pPr>
        <w:numPr>
          <w:ilvl w:val="0"/>
          <w:numId w:val="1285"/>
        </w:numPr>
        <w:pStyle w:val="Compact"/>
      </w:pPr>
      <w:r>
        <w:rPr>
          <w:bCs/>
          <w:b/>
        </w:rPr>
        <w:t xml:space="preserve">Wer nach Steroidgebrauch Beschwerden hat</w:t>
      </w:r>
      <w:r>
        <w:t xml:space="preserve">, etwa Antriebslosigkeit, Libidoverlust oder unerfüllten Kinderwunsch, sollte das ärztlich abklären lassen, idealerweise in einer andrologischen oder endokrinologischen Sprechstunde.</w:t>
      </w:r>
    </w:p>
    <w:p>
      <w:pPr>
        <w:pStyle w:val="FirstParagraph"/>
      </w:pPr>
      <w:r>
        <w:t xml:space="preserve">Im Sport ist Gonadorelin für Männer verboten. Anti-Doping-Labore haben eigene Nachweisverfahren entwickelt; eine Übersicht beschreibt Gonadorelin als Beispiel für ein Peptid, das in den letzten Jahren im Wettkampfsport missbraucht wurde (Torrini 2023, PMID 36858006).</w:t>
      </w:r>
    </w:p>
    <w:bookmarkEnd w:id="848"/>
    <w:bookmarkStart w:id="849" w:name="rechtslage-51"/>
    <w:p>
      <w:pPr>
        <w:pStyle w:val="Heading3"/>
      </w:pPr>
      <w:r>
        <w:t xml:space="preserve">Rechtslage</w:t>
      </w:r>
    </w:p>
    <w:p>
      <w:pPr>
        <w:pStyle w:val="FirstParagraph"/>
      </w:pPr>
      <w:r>
        <w:rPr>
          <w:iCs/>
          <w:i/>
        </w:rPr>
        <w:t xml:space="preserve">Stand 2026, bitte aktuell prüfen.</w:t>
      </w:r>
    </w:p>
    <w:p>
      <w:pPr>
        <w:numPr>
          <w:ilvl w:val="0"/>
          <w:numId w:val="1286"/>
        </w:numPr>
        <w:pStyle w:val="Compact"/>
      </w:pPr>
      <w:r>
        <w:rPr>
          <w:bCs/>
          <w:b/>
        </w:rPr>
        <w:t xml:space="preserve">EU:</w:t>
      </w:r>
      <w:r>
        <w:t xml:space="preserve"> </w:t>
      </w:r>
      <w:r>
        <w:t xml:space="preserve">keine zentrale EU-Zulassung; nationale Zulassungen in mehreren Mitgliedstaaten, unter anderem als Diagnostikum, für die pulsatile Pumpentherapie und als Nasenspray bei Hodenhochstand. Die Präparate sind verschreibungspflichtig.</w:t>
      </w:r>
    </w:p>
    <w:p>
      <w:pPr>
        <w:numPr>
          <w:ilvl w:val="0"/>
          <w:numId w:val="1286"/>
        </w:numPr>
        <w:pStyle w:val="Compact"/>
      </w:pPr>
      <w:r>
        <w:rPr>
          <w:bCs/>
          <w:b/>
        </w:rPr>
        <w:t xml:space="preserve">Deutschland:</w:t>
      </w:r>
      <w:r>
        <w:t xml:space="preserve"> </w:t>
      </w:r>
      <w:r>
        <w:t xml:space="preserve">Präparate für den GnRH-Test und für die Pumpentherapie waren beziehungsweise sind im Handel; die aktuelle Verfügbarkeit schwankt. Die Behandlung erfolgt in spezialisierten Zentren.</w:t>
      </w:r>
    </w:p>
    <w:p>
      <w:pPr>
        <w:numPr>
          <w:ilvl w:val="0"/>
          <w:numId w:val="1286"/>
        </w:numPr>
        <w:pStyle w:val="Compact"/>
      </w:pPr>
      <w:r>
        <w:rPr>
          <w:bCs/>
          <w:b/>
        </w:rPr>
        <w:t xml:space="preserve">Österreich:</w:t>
      </w:r>
      <w:r>
        <w:t xml:space="preserve"> </w:t>
      </w:r>
      <w:r>
        <w:t xml:space="preserve">verschreibungspflichtig; Verfügbarkeit einzelner Präparate bitte aktuell in der Arzneispezialitätenliste prüfen.</w:t>
      </w:r>
    </w:p>
    <w:p>
      <w:pPr>
        <w:numPr>
          <w:ilvl w:val="0"/>
          <w:numId w:val="1286"/>
        </w:numPr>
        <w:pStyle w:val="Compact"/>
      </w:pPr>
      <w:r>
        <w:rPr>
          <w:bCs/>
          <w:b/>
        </w:rPr>
        <w:t xml:space="preserve">USA:</w:t>
      </w:r>
      <w:r>
        <w:t xml:space="preserve"> </w:t>
      </w:r>
      <w:r>
        <w:t xml:space="preserve">Die früher zugelassenen Humanpräparate sind vom Markt. Gonadorelin wird Berichten zufolge von Rezepturapotheken angeboten; die regulatorische Bewertung solcher Zubereitungen ist im Fluss. Tierarzneimittel mit Gonadorelin sind für Menschen nicht bestimmt.</w:t>
      </w:r>
    </w:p>
    <w:p>
      <w:pPr>
        <w:numPr>
          <w:ilvl w:val="0"/>
          <w:numId w:val="1286"/>
        </w:numPr>
        <w:pStyle w:val="Compact"/>
      </w:pPr>
      <w:r>
        <w:rPr>
          <w:bCs/>
          <w:b/>
        </w:rPr>
        <w:t xml:space="preserve">WADA:</w:t>
      </w:r>
      <w:r>
        <w:t xml:space="preserve"> </w:t>
      </w:r>
      <w:r>
        <w:t xml:space="preserve">S2 – für Männer im Wettkampf und außerhalb verboten.</w:t>
      </w:r>
    </w:p>
    <w:bookmarkEnd w:id="849"/>
    <w:bookmarkStart w:id="850" w:name="laufende-studien-und-ausblick-51"/>
    <w:p>
      <w:pPr>
        <w:pStyle w:val="Heading3"/>
      </w:pPr>
      <w:r>
        <w:t xml:space="preserve">Laufende Studien und Ausblick</w:t>
      </w:r>
    </w:p>
    <w:p>
      <w:pPr>
        <w:pStyle w:val="FirstParagraph"/>
      </w:pPr>
      <w:r>
        <w:rPr>
          <w:bCs/>
          <w:b/>
        </w:rPr>
        <w:t xml:space="preserve">Gesichert (registrierte Studien):</w:t>
      </w:r>
      <w:r>
        <w:t xml:space="preserve"> </w:t>
      </w:r>
      <w:r>
        <w:t xml:space="preserve">Unter den wenigen Registereinträgen, die tatsächlich natives GnRH betreffen, finden sich:</w:t>
      </w:r>
    </w:p>
    <w:p>
      <w:pPr>
        <w:numPr>
          <w:ilvl w:val="0"/>
          <w:numId w:val="1287"/>
        </w:numPr>
        <w:pStyle w:val="Compact"/>
      </w:pPr>
      <w:r>
        <w:t xml:space="preserve">abgeschlossene Studien des Herstellers Ferring zu einem Hautpflaster, das GnRH pulsatil über einen schwachen Strom durch die Haut abgibt (NCT00296465 mit 132 und NCT00796289 mit 350 Teilnehmerinnen). Ergebnisse dieser Studien sind nach Kenntnis des Autors nicht in PubMed veröffentlicht, das Pflaster kam nicht auf den Markt;</w:t>
      </w:r>
    </w:p>
    <w:p>
      <w:pPr>
        <w:numPr>
          <w:ilvl w:val="0"/>
          <w:numId w:val="1287"/>
        </w:numPr>
        <w:pStyle w:val="Compact"/>
      </w:pPr>
      <w:r>
        <w:t xml:space="preserve">eine 2025 zurückgezogene Studie zur GnRH-Gabe mit einer modernen Insulinpumpe ohne Schlauch (NCT07152730);</w:t>
      </w:r>
    </w:p>
    <w:p>
      <w:pPr>
        <w:numPr>
          <w:ilvl w:val="0"/>
          <w:numId w:val="1287"/>
        </w:numPr>
        <w:pStyle w:val="Compact"/>
      </w:pPr>
      <w:r>
        <w:t xml:space="preserve">chinesische Studien zur Pumpe bei angeborenem Hormonmangel (NCT02310074) und bei PCOS (NCT03989024), beide mit unbekanntem Status.</w:t>
      </w:r>
    </w:p>
    <w:p>
      <w:pPr>
        <w:pStyle w:val="FirstParagraph"/>
      </w:pPr>
      <w:r>
        <w:rPr>
          <w:bCs/>
          <w:b/>
        </w:rPr>
        <w:t xml:space="preserve">Einschätzung des Autors:</w:t>
      </w:r>
      <w:r>
        <w:t xml:space="preserve"> </w:t>
      </w:r>
      <w:r>
        <w:t xml:space="preserve">Gonadorelin ist ein alter, gut verstandener Wirkstoff, dessen Bedeutung in der Diagnostik abnimmt, weil kurz wirksame Analoga billiger und verfügbarer sind. Für die Pumpentherapie bei hypothalamischer Amenorrhö und angeborenem Hormonmangel bleibt es eine physiologische Option, deren Zukunft weniger von neuer Forschung abhängt als von der Frage, ob Hersteller die kleinen Märkte weiter beliefern. Moderne, schlauchlose Pumpen könnten die Behandlung bequemer machen. Für einen Nutzen im Bodybuilding-Kontext gibt es keine Belege.</w:t>
      </w:r>
    </w:p>
    <w:bookmarkEnd w:id="850"/>
    <w:bookmarkStart w:id="851" w:name="fazit-51"/>
    <w:p>
      <w:pPr>
        <w:pStyle w:val="Heading3"/>
      </w:pPr>
      <w:r>
        <w:t xml:space="preserve">Fazit</w:t>
      </w:r>
    </w:p>
    <w:p>
      <w:pPr>
        <w:pStyle w:val="FirstParagraph"/>
      </w:pPr>
      <w:r>
        <w:t xml:space="preserve">Gonadorelin ist das synthetische Ebenbild des körpereigenen GnRH und seit Jahrzehnten für Funktionstests und die Pumpentherapie im Einsatz. Im richtigen Pulsrhythmus gegeben, führte es in großen Fallserien bei Frauen mit hypothalamischer Amenorrhö in den meisten Zyklen zum Eisprung, mit weniger Mehrlingen als unter Gonadotropinen, und bei Männern mit angeborenem Hormonmangel zur Spermienbildung. Die Studienlage ist alt und überwiegend nicht randomisiert; Registerzahlen sind durch GnRH-Analoga massiv verzerrt. Der Einsatz in der Bodybuilding-Szene nach Steroidkuren ist nicht untersucht, widerspricht dem Wirkprinzip und ist im Sport verboten.</w:t>
      </w:r>
    </w:p>
    <w:bookmarkEnd w:id="851"/>
    <w:bookmarkEnd w:id="852"/>
    <w:bookmarkEnd w:id="853"/>
    <w:bookmarkStart w:id="933" w:name="X74ad97df1f1b5cb3cf757b89f340ed7164bcf5b"/>
    <w:p>
      <w:pPr>
        <w:pStyle w:val="Heading1"/>
      </w:pPr>
      <w:r>
        <w:t xml:space="preserve">Teil II · F – Kollagen, Ernährung und Kosmetik</w:t>
      </w:r>
    </w:p>
    <w:p>
      <w:pPr>
        <w:pStyle w:val="FirstParagraph"/>
      </w:pPr>
      <w:r>
        <w:t xml:space="preserve">Die Peptide dieser Gruppe begegnen den meisten Menschen nicht in der Arztpraxis, sondern im Supermarkt, in der Drogerie und in der Werbung: als Kollagen-Drink, als Blutdruck-Joghurt, als Sportkapsel oder als „Anti-Aging-Peptid“ in einer Gesichtscreme. Sie sind frei verkäuflich, gelten als harmlos und werden mit Studien beworben. Genau deshalb lohnt ein genauer Blick darauf, was diese Studien zeigen.</w:t>
      </w:r>
    </w:p>
    <w:bookmarkStart w:id="854" w:name="was-die-gruppe-verbindet"/>
    <w:p>
      <w:pPr>
        <w:pStyle w:val="Heading3"/>
      </w:pPr>
      <w:r>
        <w:t xml:space="preserve">Was die Gruppe verbindet</w:t>
      </w:r>
    </w:p>
    <w:p>
      <w:pPr>
        <w:pStyle w:val="FirstParagraph"/>
      </w:pPr>
      <w:r>
        <w:t xml:space="preserve">Alle sechs Stoffe sind entweder Bruchstücke körpereigener oder in der Nahrung vorkommender Eiweiße (Kollagenpeptide, Lactotripeptide aus Milch, Carnosin, GHK-Cu) oder ihnen gezielt nachgebaut (Matrixyl, Argireline). Keiner von ihnen ist als Arzneimittel zugelassen. Sie werden deshalb nicht nach den strengen Maßstäben geprüft, die für Medikamente gelten, sondern nach den Regeln für Lebensmittel oder Kosmetika.</w:t>
      </w:r>
    </w:p>
    <w:p>
      <w:pPr>
        <w:pStyle w:val="BodyText"/>
      </w:pPr>
      <w:r>
        <w:t xml:space="preserve">Daraus ergeben sich gemeinsame Muster, die in allen Kapiteln wiederkehren:</w:t>
      </w:r>
    </w:p>
    <w:p>
      <w:pPr>
        <w:numPr>
          <w:ilvl w:val="0"/>
          <w:numId w:val="1288"/>
        </w:numPr>
        <w:pStyle w:val="Compact"/>
      </w:pPr>
      <w:r>
        <w:rPr>
          <w:bCs/>
          <w:b/>
        </w:rPr>
        <w:t xml:space="preserve">Viele kleine Studien, wenige große.</w:t>
      </w:r>
      <w:r>
        <w:t xml:space="preserve"> </w:t>
      </w:r>
      <w:r>
        <w:t xml:space="preserve">Typisch sind 20 bis 150 Teilnehmende über 4 bis 24 Wochen. Harte Endpunkte wie Knochenbrüche, Herzinfarkte oder Gelenkersatz wurden nie untersucht.</w:t>
      </w:r>
    </w:p>
    <w:p>
      <w:pPr>
        <w:numPr>
          <w:ilvl w:val="0"/>
          <w:numId w:val="1288"/>
        </w:numPr>
        <w:pStyle w:val="Compact"/>
      </w:pPr>
      <w:r>
        <w:rPr>
          <w:bCs/>
          <w:b/>
        </w:rPr>
        <w:t xml:space="preserve">Herstellerfinanzierung.</w:t>
      </w:r>
      <w:r>
        <w:t xml:space="preserve"> </w:t>
      </w:r>
      <w:r>
        <w:t xml:space="preserve">Ein großer Teil der Studien wurde von Rohstoff- oder Produktherstellern bezahlt. Beim Kollagen zeigt eine Meta-Analyse, dass der Nutzen für die Haut verschwindet, wenn man nur unabhängig finanzierte Studien betrachtet (Myung 2025, PMID 40324552).</w:t>
      </w:r>
    </w:p>
    <w:p>
      <w:pPr>
        <w:numPr>
          <w:ilvl w:val="0"/>
          <w:numId w:val="1288"/>
        </w:numPr>
        <w:pStyle w:val="Compact"/>
      </w:pPr>
      <w:r>
        <w:rPr>
          <w:bCs/>
          <w:b/>
        </w:rPr>
        <w:t xml:space="preserve">Das Problem des Wirkorts.</w:t>
      </w:r>
      <w:r>
        <w:t xml:space="preserve"> </w:t>
      </w:r>
      <w:r>
        <w:t xml:space="preserve">Ein Peptid muss dorthin gelangen, wo es wirken soll. Geschluckte Peptide werden größtenteils verdaut; Peptide in Cremes durchdringen die Hautbarriere nur in geringem Umfang. Für jedes Kapitel ist deshalb die Frage zentral, ob der im Labor gezeigte Mechanismus im Körper überhaupt zum Tragen kommt.</w:t>
      </w:r>
    </w:p>
    <w:p>
      <w:pPr>
        <w:numPr>
          <w:ilvl w:val="0"/>
          <w:numId w:val="1288"/>
        </w:numPr>
        <w:pStyle w:val="Compact"/>
      </w:pPr>
      <w:r>
        <w:rPr>
          <w:bCs/>
          <w:b/>
        </w:rPr>
        <w:t xml:space="preserve">Kombinationsprodukte.</w:t>
      </w:r>
      <w:r>
        <w:t xml:space="preserve"> </w:t>
      </w:r>
      <w:r>
        <w:t xml:space="preserve">Viele Produkte enthalten mehrere Wirkstoffe. Ein positives Studienergebnis lässt sich dann nicht dem einzelnen Peptid zuschreiben.</w:t>
      </w:r>
    </w:p>
    <w:bookmarkEnd w:id="854"/>
    <w:bookmarkStart w:id="855" w:name="Xc33b6a1f3d4650d5ff8448f5b12a48e1a006ebe"/>
    <w:p>
      <w:pPr>
        <w:pStyle w:val="Heading3"/>
      </w:pPr>
      <w:r>
        <w:t xml:space="preserve">Lebensmittel, Kosmetik, Arzneimittel – drei Rechtswelten</w:t>
      </w:r>
    </w:p>
    <w:p>
      <w:pPr>
        <w:pStyle w:val="FirstParagraph"/>
      </w:pPr>
      <w:r>
        <w:t xml:space="preserve">Ob ein Stoff als Lebensmittel, Kosmetikum oder Arzneimittel gilt, entscheidet nicht seine Chemie, sondern seine Zweckbestimmung und Aufmachung. Teil I erklärt den rechtlichen Rahmen ausführlich; für diese Gruppe sind drei Punkte wichtig:</w:t>
      </w:r>
    </w:p>
    <w:p>
      <w:pPr>
        <w:numPr>
          <w:ilvl w:val="0"/>
          <w:numId w:val="1289"/>
        </w:numPr>
        <w:pStyle w:val="Compact"/>
      </w:pPr>
      <w:r>
        <w:rPr>
          <w:bCs/>
          <w:b/>
        </w:rPr>
        <w:t xml:space="preserve">Lebensmittel und Nahrungsergänzungsmittel</w:t>
      </w:r>
      <w:r>
        <w:t xml:space="preserve"> </w:t>
      </w:r>
      <w:r>
        <w:t xml:space="preserve">(Kollagenpeptide, Lactotripeptide, Carnosin) brauchen in der EU keine Zulassung und keinen Wirksamkeitsnachweis. Dafür ist streng geregelt, womit sie werben dürfen. Nach der Health-Claims-Verordnung (Verordnung (EG) Nr. 1924/2006) sind gesundheitsbezogene Angaben nur erlaubt, wenn sie von der Europäischen Behörde für Lebensmittelsicherheit (EFSA) geprüft und von der EU-Kommission zugelassen wurden.</w:t>
      </w:r>
      <w:r>
        <w:t xml:space="preserve"> </w:t>
      </w:r>
      <w:r>
        <w:rPr>
          <w:bCs/>
          <w:b/>
        </w:rPr>
        <w:t xml:space="preserve">Für Kollagen, Kollagenpeptide, Lactotripeptide und Carnosin gibt es keinen einzigen zugelassenen Health Claim.</w:t>
      </w:r>
      <w:r>
        <w:t xml:space="preserve"> </w:t>
      </w:r>
      <w:r>
        <w:t xml:space="preserve">Die EFSA hat beantragte Angaben – etwa zu Gelenken beim Kollagen oder zum Blutdruck bei den Lactotripeptiden – negativ bewertet. Wenn eine Kollagenpackung dennoch mit Haut oder Knochen wirbt, bezieht sich die rechtlich zulässige Aussage in der Regel auf zugesetztes Vitamin C, für das die Angabe „trägt zu einer normalen Kollagenbildung bei“ zugelassen ist.</w:t>
      </w:r>
    </w:p>
    <w:p>
      <w:pPr>
        <w:numPr>
          <w:ilvl w:val="0"/>
          <w:numId w:val="1289"/>
        </w:numPr>
        <w:pStyle w:val="Compact"/>
      </w:pPr>
      <w:r>
        <w:rPr>
          <w:bCs/>
          <w:b/>
        </w:rPr>
        <w:t xml:space="preserve">Kosmetika</w:t>
      </w:r>
      <w:r>
        <w:t xml:space="preserve"> </w:t>
      </w:r>
      <w:r>
        <w:t xml:space="preserve">(GHK-Cu, Matrixyl, Argireline) unterliegen der EU-Kosmetikverordnung (Verordnung (EG) Nr. 1223/2009). Sie dürfen nur äußerlich angewendet werden, müssen sicher sein und dürfen keine arzneiliche Wirkung beanspruchen. Werbeaussagen müssen belegbar sein, eine behördliche Wirksamkeitsprüfung vor dem Verkauf gibt es aber nicht.</w:t>
      </w:r>
    </w:p>
    <w:p>
      <w:pPr>
        <w:numPr>
          <w:ilvl w:val="0"/>
          <w:numId w:val="1289"/>
        </w:numPr>
        <w:pStyle w:val="Compact"/>
      </w:pPr>
      <w:r>
        <w:rPr>
          <w:bCs/>
          <w:b/>
        </w:rPr>
        <w:t xml:space="preserve">Arzneimittel</w:t>
      </w:r>
      <w:r>
        <w:t xml:space="preserve"> </w:t>
      </w:r>
      <w:r>
        <w:t xml:space="preserve">müssen ihre Wirksamkeit und Sicherheit in Studien nachweisen und zugelassen werden. Wird ein Kosmetik-Peptid gespritzt – wie es bei GHK-Cu und Argireline auf dem Graumarkt vorkommt –, verlässt es die Kosmetikwelt: Es wird zum nicht zugelassenen Arzneimittel, ohne dass dafür Studien oder Qualitätskontrollen existieren.</w:t>
      </w:r>
    </w:p>
    <w:p>
      <w:pPr>
        <w:pStyle w:val="FirstParagraph"/>
      </w:pPr>
      <w:r>
        <w:t xml:space="preserve">In den USA gelten ähnliche Grundsätze; dort dürfen Nahrungsergänzungsmittel allerdings mit allgemeinen „Struktur-Funktions-Aussagen“ werben, sofern sie einen Hinweis tragen, dass die FDA diese nicht geprüft hat (Stand 2026, bitte aktuell prüfen).</w:t>
      </w:r>
    </w:p>
    <w:bookmarkEnd w:id="855"/>
    <w:bookmarkStart w:id="856" w:name="überblick-4"/>
    <w:p>
      <w:pPr>
        <w:pStyle w:val="Heading3"/>
      </w:pPr>
      <w:r>
        <w:t xml:space="preserve">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w:t>
            </w:r>
          </w:p>
        </w:tc>
        <w:tc>
          <w:tcPr/>
          <w:p>
            <w:pPr>
              <w:pStyle w:val="Compact"/>
              <w:jc w:val="left"/>
            </w:pPr>
            <w:r>
              <w:t xml:space="preserve">Kurz</w:t>
            </w:r>
          </w:p>
        </w:tc>
      </w:tr>
      <w:tr>
        <w:tc>
          <w:tcPr/>
          <w:p>
            <w:pPr>
              <w:pStyle w:val="Compact"/>
              <w:jc w:val="left"/>
            </w:pPr>
            <w:r>
              <w:t xml:space="preserve">Kollagenpeptide</w:t>
            </w:r>
          </w:p>
        </w:tc>
        <w:tc>
          <w:tcPr/>
          <w:p>
            <w:pPr>
              <w:pStyle w:val="Compact"/>
              <w:jc w:val="left"/>
            </w:pPr>
            <w:r>
              <w:t xml:space="preserve">B</w:t>
            </w:r>
          </w:p>
        </w:tc>
        <w:tc>
          <w:tcPr/>
          <w:p>
            <w:pPr>
              <w:pStyle w:val="Compact"/>
              <w:jc w:val="left"/>
            </w:pPr>
            <w:r>
              <w:t xml:space="preserve">Lebensmittel, kein Health Claim</w:t>
            </w:r>
          </w:p>
        </w:tc>
        <w:tc>
          <w:tcPr/>
          <w:p>
            <w:pPr>
              <w:pStyle w:val="Compact"/>
              <w:jc w:val="left"/>
            </w:pPr>
            <w:r>
              <w:t xml:space="preserve">Kleine Effekte auf Gelenkschmerz; Hautnutzen in unabhängigen Studien nicht belegt</w:t>
            </w:r>
          </w:p>
        </w:tc>
      </w:tr>
      <w:tr>
        <w:tc>
          <w:tcPr/>
          <w:p>
            <w:pPr>
              <w:pStyle w:val="Compact"/>
              <w:jc w:val="left"/>
            </w:pPr>
            <w:r>
              <w:t xml:space="preserve">Lactotripeptide (VPP/IPP)</w:t>
            </w:r>
          </w:p>
        </w:tc>
        <w:tc>
          <w:tcPr/>
          <w:p>
            <w:pPr>
              <w:pStyle w:val="Compact"/>
              <w:jc w:val="left"/>
            </w:pPr>
            <w:r>
              <w:t xml:space="preserve">B</w:t>
            </w:r>
          </w:p>
        </w:tc>
        <w:tc>
          <w:tcPr/>
          <w:p>
            <w:pPr>
              <w:pStyle w:val="Compact"/>
              <w:jc w:val="left"/>
            </w:pPr>
            <w:r>
              <w:t xml:space="preserve">Lebensmittel, Blutdruck-Claim abgelehnt</w:t>
            </w:r>
          </w:p>
        </w:tc>
        <w:tc>
          <w:tcPr/>
          <w:p>
            <w:pPr>
              <w:pStyle w:val="Compact"/>
              <w:jc w:val="left"/>
            </w:pPr>
            <w:r>
              <w:t xml:space="preserve">Blutdrucksenkung um etwa 1–4 mmHg, in Europa kaum nachweisbar</w:t>
            </w:r>
          </w:p>
        </w:tc>
      </w:tr>
      <w:tr>
        <w:tc>
          <w:tcPr/>
          <w:p>
            <w:pPr>
              <w:pStyle w:val="Compact"/>
              <w:jc w:val="left"/>
            </w:pPr>
            <w:r>
              <w:t xml:space="preserve">Carnosin</w:t>
            </w:r>
          </w:p>
        </w:tc>
        <w:tc>
          <w:tcPr/>
          <w:p>
            <w:pPr>
              <w:pStyle w:val="Compact"/>
              <w:jc w:val="left"/>
            </w:pPr>
            <w:r>
              <w:t xml:space="preserve">B</w:t>
            </w:r>
          </w:p>
        </w:tc>
        <w:tc>
          <w:tcPr/>
          <w:p>
            <w:pPr>
              <w:pStyle w:val="Compact"/>
              <w:jc w:val="left"/>
            </w:pPr>
            <w:r>
              <w:t xml:space="preserve">Nahrungsergänzung, kein Health Claim</w:t>
            </w:r>
          </w:p>
        </w:tc>
        <w:tc>
          <w:tcPr/>
          <w:p>
            <w:pPr>
              <w:pStyle w:val="Compact"/>
              <w:jc w:val="left"/>
            </w:pPr>
            <w:r>
              <w:t xml:space="preserve">Hinweise bei Blutzucker; im Sport ist Vorstufe Beta-Alanin besser belegt</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Kosmetik; Injektion nicht zugelassen</w:t>
            </w:r>
          </w:p>
        </w:tc>
        <w:tc>
          <w:tcPr/>
          <w:p>
            <w:pPr>
              <w:pStyle w:val="Compact"/>
              <w:jc w:val="left"/>
            </w:pPr>
            <w:r>
              <w:t xml:space="preserve">Eine alte Wundstudie; kaum Hautdaten; Injektion ungeprüft</w:t>
            </w:r>
          </w:p>
        </w:tc>
      </w:tr>
      <w:tr>
        <w:tc>
          <w:tcPr/>
          <w:p>
            <w:pPr>
              <w:pStyle w:val="Compact"/>
              <w:jc w:val="left"/>
            </w:pPr>
            <w:r>
              <w:t xml:space="preserve">Palmitoyl-Pentapeptid-4 (Matrixyl)</w:t>
            </w:r>
          </w:p>
        </w:tc>
        <w:tc>
          <w:tcPr/>
          <w:p>
            <w:pPr>
              <w:pStyle w:val="Compact"/>
              <w:jc w:val="left"/>
            </w:pPr>
            <w:r>
              <w:t xml:space="preserve">B</w:t>
            </w:r>
          </w:p>
        </w:tc>
        <w:tc>
          <w:tcPr/>
          <w:p>
            <w:pPr>
              <w:pStyle w:val="Compact"/>
              <w:jc w:val="left"/>
            </w:pPr>
            <w:r>
              <w:t xml:space="preserve">Kosmetik</w:t>
            </w:r>
          </w:p>
        </w:tc>
        <w:tc>
          <w:tcPr/>
          <w:p>
            <w:pPr>
              <w:pStyle w:val="Compact"/>
              <w:jc w:val="left"/>
            </w:pPr>
            <w:r>
              <w:t xml:space="preserve">Eine Halbseitenstudie von 2005; Hautdurchlässigkeit unklar</w:t>
            </w:r>
          </w:p>
        </w:tc>
      </w:tr>
      <w:tr>
        <w:tc>
          <w:tcPr/>
          <w:p>
            <w:pPr>
              <w:pStyle w:val="Compact"/>
              <w:jc w:val="left"/>
            </w:pPr>
            <w:r>
              <w:t xml:space="preserve">Acetyl-Hexapeptid-8 (Argireline)</w:t>
            </w:r>
          </w:p>
        </w:tc>
        <w:tc>
          <w:tcPr/>
          <w:p>
            <w:pPr>
              <w:pStyle w:val="Compact"/>
              <w:jc w:val="left"/>
            </w:pPr>
            <w:r>
              <w:t xml:space="preserve">B</w:t>
            </w:r>
          </w:p>
        </w:tc>
        <w:tc>
          <w:tcPr/>
          <w:p>
            <w:pPr>
              <w:pStyle w:val="Compact"/>
              <w:jc w:val="left"/>
            </w:pPr>
            <w:r>
              <w:t xml:space="preserve">Kosmetik</w:t>
            </w:r>
          </w:p>
        </w:tc>
        <w:tc>
          <w:tcPr/>
          <w:p>
            <w:pPr>
              <w:pStyle w:val="Compact"/>
              <w:jc w:val="left"/>
            </w:pPr>
            <w:r>
              <w:t xml:space="preserve">„Botox aus der Tube“ nicht belegt; dringt kaum in die Haut ein</w:t>
            </w:r>
          </w:p>
        </w:tc>
      </w:tr>
    </w:tbl>
    <w:p>
      <w:pPr>
        <w:pStyle w:val="BodyText"/>
      </w:pPr>
      <w:r>
        <w:t xml:space="preserve">Die Einstufung B bedeutet in dieser Gruppe ausdrücklich nicht, dass eine Wirkung gesichert ist, sondern nur, dass randomisierte Studien vorliegen.</w:t>
      </w:r>
    </w:p>
    <w:bookmarkEnd w:id="856"/>
    <w:bookmarkStart w:id="857" w:name="lesehinweis-5"/>
    <w:p>
      <w:pPr>
        <w:pStyle w:val="Heading3"/>
      </w:pPr>
      <w:r>
        <w:t xml:space="preserve">Lesehinweis</w:t>
      </w:r>
    </w:p>
    <w:p>
      <w:pPr>
        <w:pStyle w:val="FirstParagraph"/>
      </w:pPr>
      <w:r>
        <w:t xml:space="preserve">Das Kapitel zu den</w:t>
      </w:r>
      <w:r>
        <w:t xml:space="preserve"> </w:t>
      </w:r>
      <w:r>
        <w:rPr>
          <w:bCs/>
          <w:b/>
        </w:rPr>
        <w:t xml:space="preserve">Kollagenpeptiden</w:t>
      </w:r>
      <w:r>
        <w:t xml:space="preserve"> </w:t>
      </w:r>
      <w:r>
        <w:t xml:space="preserve">ist das ausführlichste, weil es zu ihnen die meisten Studien gibt und weil sich an ihnen gut zeigen lässt, wie Meta-Analysen, Herstellerfinanzierung und Placeboeffekt zusammenspielen. Wer nur ein Kapitel dieser Gruppe liest, sollte dieses wählen. Das Kapitel zu den</w:t>
      </w:r>
      <w:r>
        <w:t xml:space="preserve"> </w:t>
      </w:r>
      <w:r>
        <w:rPr>
          <w:bCs/>
          <w:b/>
        </w:rPr>
        <w:t xml:space="preserve">Lactotripeptiden</w:t>
      </w:r>
      <w:r>
        <w:t xml:space="preserve"> </w:t>
      </w:r>
      <w:r>
        <w:t xml:space="preserve">ist ein Lehrstück dafür, wie ein überzeugender Labormechanismus in größeren Studien schrumpfen kann. Die drei</w:t>
      </w:r>
      <w:r>
        <w:t xml:space="preserve"> </w:t>
      </w:r>
      <w:r>
        <w:rPr>
          <w:bCs/>
          <w:b/>
        </w:rPr>
        <w:t xml:space="preserve">Kosmetik-Peptide</w:t>
      </w:r>
      <w:r>
        <w:t xml:space="preserve"> </w:t>
      </w:r>
      <w:r>
        <w:t xml:space="preserve">sind kürzer; sie teilen dieselbe Kernfrage – ob ein Wirkstoff aus der Creme überhaupt dort ankommt, wo er wirken soll. Die Risiken von Graumarkt-Injektionen werden in Teil IV ausführlich behandelt.</w:t>
      </w:r>
    </w:p>
    <w:bookmarkEnd w:id="857"/>
    <w:bookmarkStart w:id="873" w:name="kollagenpeptide-kollagenhydrolysat"/>
    <w:p>
      <w:pPr>
        <w:pStyle w:val="Heading2"/>
      </w:pPr>
      <w:r>
        <w:t xml:space="preserve">Kollagenpeptide (Kollagenhydrolysat)</w:t>
      </w:r>
    </w:p>
    <w:bookmarkStart w:id="858" w:name="steckbrief-52"/>
    <w:p>
      <w:pPr>
        <w:pStyle w:val="Heading3"/>
      </w:pPr>
      <w:r>
        <w:t xml:space="preserve">Steckbrief</w:t>
      </w:r>
    </w:p>
    <w:p>
      <w:pPr>
        <w:numPr>
          <w:ilvl w:val="0"/>
          <w:numId w:val="1290"/>
        </w:numPr>
        <w:pStyle w:val="Compact"/>
      </w:pPr>
      <w:r>
        <w:rPr>
          <w:bCs/>
          <w:b/>
        </w:rPr>
        <w:t xml:space="preserve">Art/Struktur:</w:t>
      </w:r>
      <w:r>
        <w:t xml:space="preserve"> </w:t>
      </w:r>
      <w:r>
        <w:t xml:space="preserve">Gemisch aus Peptiden unterschiedlicher Länge, gewonnen durch enzymatische Spaltung (Hydrolyse) von Kollagen bzw. Gelatine. Typische Produkte enthalten Bruchstücke mit einer mittleren Molekülmasse von etwa 2.000 bis 5.000 Dalton. Charakteristisch sind die Aminosäuren Glycin, Prolin und Hydroxyprolin; die essenzielle Aminosäure Tryptophan fehlt.</w:t>
      </w:r>
    </w:p>
    <w:p>
      <w:pPr>
        <w:numPr>
          <w:ilvl w:val="0"/>
          <w:numId w:val="1290"/>
        </w:numPr>
        <w:pStyle w:val="Compact"/>
      </w:pPr>
      <w:r>
        <w:rPr>
          <w:bCs/>
          <w:b/>
        </w:rPr>
        <w:t xml:space="preserve">Herkunft:</w:t>
      </w:r>
      <w:r>
        <w:t xml:space="preserve"> </w:t>
      </w:r>
      <w:r>
        <w:t xml:space="preserve">Haut, Knochen oder Schuppen von Rind, Schwein, Huhn und Fisch – Nebenprodukte der Fleisch- und Fischverarbeitung. Viele Studien verwenden geschützte Markenrohstoffe (z. B. Verisol, Fortigel, Bodybalance, Tendoforte), die von einigen wenigen Herstellern stammen.</w:t>
      </w:r>
    </w:p>
    <w:p>
      <w:pPr>
        <w:numPr>
          <w:ilvl w:val="0"/>
          <w:numId w:val="1290"/>
        </w:numPr>
        <w:pStyle w:val="Compact"/>
      </w:pPr>
      <w:r>
        <w:rPr>
          <w:bCs/>
          <w:b/>
        </w:rPr>
        <w:t xml:space="preserve">Wirkprinzip:</w:t>
      </w:r>
      <w:r>
        <w:t xml:space="preserve"> </w:t>
      </w:r>
      <w:r>
        <w:t xml:space="preserve">Lieferung von Bausteinen für das körpereigene Bindegewebe; zusätzlich wird diskutiert, dass bestimmte kleine Peptide (vor allem Prolyl-Hydroxyprolin) als Signalstoffe auf Bindegewebszellen wirken.</w:t>
      </w:r>
    </w:p>
    <w:p>
      <w:pPr>
        <w:numPr>
          <w:ilvl w:val="0"/>
          <w:numId w:val="1290"/>
        </w:numPr>
        <w:pStyle w:val="Compact"/>
      </w:pPr>
      <w:r>
        <w:rPr>
          <w:bCs/>
          <w:b/>
        </w:rPr>
        <w:t xml:space="preserve">Abgrenzung:</w:t>
      </w:r>
      <w:r>
        <w:t xml:space="preserve"> </w:t>
      </w:r>
      <w:r>
        <w:rPr>
          <w:iCs/>
          <w:i/>
        </w:rPr>
        <w:t xml:space="preserve">Undenaturiertes</w:t>
      </w:r>
      <w:r>
        <w:t xml:space="preserve"> </w:t>
      </w:r>
      <w:r>
        <w:t xml:space="preserve">Typ-II-Kollagen (z. B. UC-II) ist ein anderes Produkt mit anderem Wirkprinzip und wird unten gesondert besprochen.</w:t>
      </w:r>
    </w:p>
    <w:p>
      <w:pPr>
        <w:numPr>
          <w:ilvl w:val="0"/>
          <w:numId w:val="1290"/>
        </w:numPr>
        <w:pStyle w:val="Compact"/>
      </w:pPr>
      <w:r>
        <w:rPr>
          <w:bCs/>
          <w:b/>
        </w:rPr>
        <w:t xml:space="preserve">Zulassung EU:</w:t>
      </w:r>
      <w:r>
        <w:t xml:space="preserve"> </w:t>
      </w:r>
      <w:r>
        <w:t xml:space="preserve">keine Arzneimittelzulassung; als Lebensmittel bzw. Nahrungsergänzungsmittel verkehrsfähig. Für Kollagen selbst gibt es</w:t>
      </w:r>
      <w:r>
        <w:t xml:space="preserve"> </w:t>
      </w:r>
      <w:r>
        <w:rPr>
          <w:bCs/>
          <w:b/>
        </w:rPr>
        <w:t xml:space="preserve">keine</w:t>
      </w:r>
      <w:r>
        <w:t xml:space="preserve"> </w:t>
      </w:r>
      <w:r>
        <w:t xml:space="preserve">zugelassene gesundheitsbezogene Angabe (Health Claim).</w:t>
      </w:r>
    </w:p>
    <w:p>
      <w:pPr>
        <w:numPr>
          <w:ilvl w:val="0"/>
          <w:numId w:val="1290"/>
        </w:numPr>
        <w:pStyle w:val="Compact"/>
      </w:pPr>
      <w:r>
        <w:rPr>
          <w:bCs/>
          <w:b/>
        </w:rPr>
        <w:t xml:space="preserve">Zulassung USA:</w:t>
      </w:r>
      <w:r>
        <w:t xml:space="preserve"> </w:t>
      </w:r>
      <w:r>
        <w:t xml:space="preserve">keine Arzneimittelzulassung; als Nahrungsergänzungsmittel (Dietary Supplement) im Handel.</w:t>
      </w:r>
    </w:p>
    <w:p>
      <w:pPr>
        <w:numPr>
          <w:ilvl w:val="0"/>
          <w:numId w:val="1290"/>
        </w:numPr>
        <w:pStyle w:val="Compact"/>
      </w:pPr>
      <w:r>
        <w:rPr>
          <w:bCs/>
          <w:b/>
        </w:rPr>
        <w:t xml:space="preserve">WADA:</w:t>
      </w:r>
      <w:r>
        <w:t xml:space="preserve"> </w:t>
      </w:r>
      <w:r>
        <w:t xml:space="preserve">nicht gelistet (Stand 2026, bitte aktuell prüfen).</w:t>
      </w:r>
    </w:p>
    <w:p>
      <w:pPr>
        <w:numPr>
          <w:ilvl w:val="0"/>
          <w:numId w:val="1290"/>
        </w:numPr>
        <w:pStyle w:val="Compact"/>
      </w:pPr>
      <w:r>
        <w:rPr>
          <w:bCs/>
          <w:b/>
        </w:rPr>
        <w:t xml:space="preserve">Evidenzstufe:</w:t>
      </w:r>
      <w:r>
        <w:t xml:space="preserve"> </w:t>
      </w:r>
      <w:r>
        <w:rPr>
          <w:bCs/>
          <w:b/>
        </w:rPr>
        <w:t xml:space="preserve">B</w:t>
      </w:r>
      <w:r>
        <w:t xml:space="preserve"> </w:t>
      </w:r>
      <w:r>
        <w:t xml:space="preserve">– zahlreiche randomisierte, placebokontrollierte Studien, die jedoch überwiegend klein, kurz und von Herstellern finanziert sind.</w:t>
      </w:r>
    </w:p>
    <w:bookmarkEnd w:id="858"/>
    <w:bookmarkStart w:id="859" w:name="wie-es-wirken-soll-52"/>
    <w:p>
      <w:pPr>
        <w:pStyle w:val="Heading3"/>
      </w:pPr>
      <w:r>
        <w:t xml:space="preserve">Wie es wirken soll</w:t>
      </w:r>
    </w:p>
    <w:p>
      <w:pPr>
        <w:pStyle w:val="FirstParagraph"/>
      </w:pPr>
      <w:r>
        <w:t xml:space="preserve">Kollagen ist das häufigste Eiweiß im menschlichen Körper. Es bildet das Gerüst von Haut, Sehnen, Bändern, Knorpel und Knochen. Seine Grundeinheit ist eine Dreifachspirale aus drei Eiweißketten, in denen sich ein Muster ständig wiederholt: Glycin, dann eine beliebige Aminosäure, dann häufig Prolin oder Hydroxyprolin. Mit dem Alter sinkt die Kollagenbildung in der Haut, und das Kollagennetz wird brüchiger – sichtbar als Falten und nachlassende Spannkraft.</w:t>
      </w:r>
    </w:p>
    <w:p>
      <w:pPr>
        <w:pStyle w:val="BodyText"/>
      </w:pPr>
      <w:r>
        <w:t xml:space="preserve">Die Werbung legt oft eine einfache Logik nahe: Wer Kollagen isst, baut Kollagen auf. So funktioniert die Verdauung nicht. Eiweiße werden im Magen und Dünndarm weitgehend in einzelne Aminosäuren und kleinste Peptide zerlegt; der Körper baut daraus seine Eiweiße nach eigenem Bedarf neu zusammen. Kollagen aus der Nahrung wird also nicht als Kollagen in die Haut „eingebaut“.</w:t>
      </w:r>
    </w:p>
    <w:p>
      <w:pPr>
        <w:pStyle w:val="BodyText"/>
      </w:pPr>
      <w:r>
        <w:t xml:space="preserve">Es gibt aber zwei ernst zu nehmende Hypothesen, warum Kollagenpeptide dennoch etwas bewirken könnten:</w:t>
      </w:r>
    </w:p>
    <w:p>
      <w:pPr>
        <w:numPr>
          <w:ilvl w:val="0"/>
          <w:numId w:val="1291"/>
        </w:numPr>
        <w:pStyle w:val="Compact"/>
      </w:pPr>
      <w:r>
        <w:rPr>
          <w:bCs/>
          <w:b/>
        </w:rPr>
        <w:t xml:space="preserve">Signalpeptide.</w:t>
      </w:r>
      <w:r>
        <w:t xml:space="preserve"> </w:t>
      </w:r>
      <w:r>
        <w:t xml:space="preserve">Hydroxyprolin-haltige Zweier- und Dreierpeptide sind ungewöhnlich stabil gegenüber Verdauungsenzymen. Nach dem Trinken von Gelatinehydrolysat stieg bei Freiwilligen die Konzentration von Peptid-gebundenem Hydroxyprolin im Blut deutlich an und erreichte nach ein bis zwei Stunden ein Maximum; der Hauptbestandteil war das Dipeptid Prolyl-Hydroxyprolin (Iwai 2005, PMID 16076145). Ähnliches zeigte sich für ein Präparat mit hohem Anteil an Dreierpeptiden (Yamamoto 2016, PMID 26934933). In Zellkultur- und Tierversuchen regen solche Peptide Bindegewebszellen (Fibroblasten) zum Wachstum und zur Bildung von Matrixbausteinen an. Ob die im Blut erreichten Mengen beim Menschen ausreichen, um in Haut oder Knorpel einen messbaren Effekt auszulösen, ist nicht sicher belegt.</w:t>
      </w:r>
    </w:p>
    <w:p>
      <w:pPr>
        <w:numPr>
          <w:ilvl w:val="0"/>
          <w:numId w:val="1291"/>
        </w:numPr>
        <w:pStyle w:val="Compact"/>
      </w:pPr>
      <w:r>
        <w:rPr>
          <w:bCs/>
          <w:b/>
        </w:rPr>
        <w:t xml:space="preserve">Baustofflieferung.</w:t>
      </w:r>
      <w:r>
        <w:t xml:space="preserve"> </w:t>
      </w:r>
      <w:r>
        <w:t xml:space="preserve">Kollagenpeptide liefern große Mengen Glycin, Prolin und Hydroxyprolin. In einer kleinen Studie mit acht Männern verdoppelte sich der Blutmarker für Kollagen-Neubildung, wenn sie eine Stunde vor einer kurzen Sprungbelastung 15 g Vitamin-C-angereicherte Gelatine eingenommen hatten (Shaw 2017, PMID 27852613). Das stützt die Idee, Kollagenpeptide zeitlich mit Belastung zu kombinieren, ist aber ein Messwert im Blut, kein Nachweis stärkerer Sehnen.</w:t>
      </w:r>
    </w:p>
    <w:p>
      <w:pPr>
        <w:pStyle w:val="FirstParagraph"/>
      </w:pPr>
      <w:r>
        <w:t xml:space="preserve">Wichtig für die Einordnung: Kollagen ist als Eiweißquelle unvollständig. Weil ihm Tryptophan fehlt, wird ein Gelatine-basiertes Peptidgemisch in der Forschung sogar gezielt eingesetzt, um den Tryptophanspiegel im Blut kurzfristig abzusenken (Stenbæk 2016, PMID 26655163). Für den Muskelaufbau ist Kollagen anderen Eiweißen daher unterlegen – dazu unten mehr.</w:t>
      </w:r>
    </w:p>
    <w:bookmarkEnd w:id="859"/>
    <w:bookmarkStart w:id="867" w:name="studien-am-menschen-52"/>
    <w:p>
      <w:pPr>
        <w:pStyle w:val="Heading3"/>
      </w:pPr>
      <w:r>
        <w:t xml:space="preserve">Studien am Menschen</w:t>
      </w:r>
    </w:p>
    <w:p>
      <w:pPr>
        <w:pStyle w:val="FirstParagraph"/>
      </w:pPr>
      <w:r>
        <w:t xml:space="preserve">Die Studienlage ist umfangreich, aber uneinheitlich. Die für dieses Buch ausgewertete PubMed-Abfrage (Kollagenhydrolysat oder Kollagenpeptide in Kombination mit Einnahme bzw. Supplementierung, Abfragedatum Oktober 2026) ergab 101 Humanstudien. Auf ClinicalTrials.gov fand die Suche „collagen peptides“ 237 Registereinträge; ein erheblicher Teil davon betrifft allerdings andere Themen (etwa Kollagen-Implantate in der Zahnmedizin oder das Krebsmedikament Endostatin, ein Kollagenfragment). Hinzu kommen mindestens ein Dutzend Meta-Analysen.</w:t>
      </w:r>
    </w:p>
    <w:p>
      <w:pPr>
        <w:pStyle w:val="BodyText"/>
      </w:pPr>
      <w:r>
        <w:t xml:space="preserve">Drei Merkmale prägen fast alle Studien und sollten beim Lesen mitgedacht werden:</w:t>
      </w:r>
    </w:p>
    <w:p>
      <w:pPr>
        <w:numPr>
          <w:ilvl w:val="0"/>
          <w:numId w:val="1292"/>
        </w:numPr>
        <w:pStyle w:val="Compact"/>
      </w:pPr>
      <w:r>
        <w:rPr>
          <w:bCs/>
          <w:b/>
        </w:rPr>
        <w:t xml:space="preserve">Kleine Fallzahlen und kurze Dauer:</w:t>
      </w:r>
      <w:r>
        <w:t xml:space="preserve"> </w:t>
      </w:r>
      <w:r>
        <w:t xml:space="preserve">meist 40 bis 150 Teilnehmende über 8 bis 24 Wochen.</w:t>
      </w:r>
    </w:p>
    <w:p>
      <w:pPr>
        <w:numPr>
          <w:ilvl w:val="0"/>
          <w:numId w:val="1292"/>
        </w:numPr>
        <w:pStyle w:val="Compact"/>
      </w:pPr>
      <w:r>
        <w:rPr>
          <w:bCs/>
          <w:b/>
        </w:rPr>
        <w:t xml:space="preserve">Herstellerfinanzierung:</w:t>
      </w:r>
      <w:r>
        <w:t xml:space="preserve"> </w:t>
      </w:r>
      <w:r>
        <w:t xml:space="preserve">Ein großer Teil der Studien wurde von den Rohstoff- oder Produktherstellern bezahlt oder von deren Mitarbeitenden mitverfasst. Häufig werden markengeschützte Peptidmischungen getestet.</w:t>
      </w:r>
    </w:p>
    <w:p>
      <w:pPr>
        <w:numPr>
          <w:ilvl w:val="0"/>
          <w:numId w:val="1292"/>
        </w:numPr>
        <w:pStyle w:val="Compact"/>
      </w:pPr>
      <w:r>
        <w:rPr>
          <w:bCs/>
          <w:b/>
        </w:rPr>
        <w:t xml:space="preserve">Kombinationsprodukte:</w:t>
      </w:r>
      <w:r>
        <w:t xml:space="preserve"> </w:t>
      </w:r>
      <w:r>
        <w:t xml:space="preserve">Viele „Kollagen-Drinks“ enthalten zusätzlich Vitamin C, Zink, Biotin, Hyaluronsäure oder Pflanzenextrakte. Ein positives Ergebnis lässt sich dann nicht allein dem Kollagen zuschreiben.</w:t>
      </w:r>
    </w:p>
    <w:bookmarkStart w:id="860" w:name="haut-feuchtigkeit-elastizität-falten"/>
    <w:p>
      <w:pPr>
        <w:pStyle w:val="Heading4"/>
      </w:pPr>
      <w:r>
        <w:t xml:space="preserve">Haut: Feuchtigkeit, Elastizität, Falten</w:t>
      </w:r>
    </w:p>
    <w:p>
      <w:pPr>
        <w:pStyle w:val="FirstParagraph"/>
      </w:pPr>
      <w:r>
        <w:t xml:space="preserve">Die Hautstudien sind die zahlreichsten. Gemessen wird meist mit Geräten: Corneometer (Feuchtigkeit der Hornschicht), Cutometer (Elastizität), Hautabdrücke oder 3D-Kameras (Faltentiefe), Ultraschall (Dichte der Lederhaut).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Proksch 2014a, PMID 23949208</w:t>
            </w:r>
          </w:p>
        </w:tc>
        <w:tc>
          <w:tcPr/>
          <w:p>
            <w:pPr>
              <w:pStyle w:val="Compact"/>
              <w:jc w:val="left"/>
            </w:pPr>
            <w:r>
              <w:t xml:space="preserve">69 Frauen (35–55 J.), 2,5 g oder 5 g vs. Placebo</w:t>
            </w:r>
          </w:p>
        </w:tc>
        <w:tc>
          <w:tcPr/>
          <w:p>
            <w:pPr>
              <w:pStyle w:val="Compact"/>
              <w:jc w:val="left"/>
            </w:pPr>
            <w:r>
              <w:t xml:space="preserve">8 Wochen</w:t>
            </w:r>
          </w:p>
        </w:tc>
        <w:tc>
          <w:tcPr/>
          <w:p>
            <w:pPr>
              <w:pStyle w:val="Compact"/>
              <w:jc w:val="left"/>
            </w:pPr>
            <w:r>
              <w:t xml:space="preserve">Elastizität in beiden Dosisgruppen signifikant besser als Placebo; Feuchtigkeit nicht signifikant</w:t>
            </w:r>
          </w:p>
        </w:tc>
      </w:tr>
      <w:tr>
        <w:tc>
          <w:tcPr/>
          <w:p>
            <w:pPr>
              <w:pStyle w:val="Compact"/>
              <w:jc w:val="left"/>
            </w:pPr>
            <w:r>
              <w:t xml:space="preserve">Proksch 2014b, PMID 24401291</w:t>
            </w:r>
          </w:p>
        </w:tc>
        <w:tc>
          <w:tcPr/>
          <w:p>
            <w:pPr>
              <w:pStyle w:val="Compact"/>
              <w:jc w:val="left"/>
            </w:pPr>
            <w:r>
              <w:t xml:space="preserve">114 Frauen (45–65 J.), 2,5 g Verisol vs. Placebo</w:t>
            </w:r>
          </w:p>
        </w:tc>
        <w:tc>
          <w:tcPr/>
          <w:p>
            <w:pPr>
              <w:pStyle w:val="Compact"/>
              <w:jc w:val="left"/>
            </w:pPr>
            <w:r>
              <w:t xml:space="preserve">8 Wochen</w:t>
            </w:r>
          </w:p>
        </w:tc>
        <w:tc>
          <w:tcPr/>
          <w:p>
            <w:pPr>
              <w:pStyle w:val="Compact"/>
              <w:jc w:val="left"/>
            </w:pPr>
            <w:r>
              <w:t xml:space="preserve">Augenfaltenvolumen −20 % vs. Placebo; Prokollagen I in Hautproben +65 %</w:t>
            </w:r>
          </w:p>
        </w:tc>
      </w:tr>
      <w:tr>
        <w:tc>
          <w:tcPr/>
          <w:p>
            <w:pPr>
              <w:pStyle w:val="Compact"/>
              <w:jc w:val="left"/>
            </w:pPr>
            <w:r>
              <w:t xml:space="preserve">Kim 2018, PMID 29949889</w:t>
            </w:r>
          </w:p>
        </w:tc>
        <w:tc>
          <w:tcPr/>
          <w:p>
            <w:pPr>
              <w:pStyle w:val="Compact"/>
              <w:jc w:val="left"/>
            </w:pPr>
            <w:r>
              <w:t xml:space="preserve">64 Personen, 1 g niedermolekulares Peptid vs. Placebo</w:t>
            </w:r>
          </w:p>
        </w:tc>
        <w:tc>
          <w:tcPr/>
          <w:p>
            <w:pPr>
              <w:pStyle w:val="Compact"/>
              <w:jc w:val="left"/>
            </w:pPr>
            <w:r>
              <w:t xml:space="preserve">12 Wochen</w:t>
            </w:r>
          </w:p>
        </w:tc>
        <w:tc>
          <w:tcPr/>
          <w:p>
            <w:pPr>
              <w:pStyle w:val="Compact"/>
              <w:jc w:val="left"/>
            </w:pPr>
            <w:r>
              <w:t xml:space="preserve">Feuchtigkeit und drei Faltenparameter besser als Placebo; Elastizität teilweise</w:t>
            </w:r>
          </w:p>
        </w:tc>
      </w:tr>
      <w:tr>
        <w:tc>
          <w:tcPr/>
          <w:p>
            <w:pPr>
              <w:pStyle w:val="Compact"/>
              <w:jc w:val="left"/>
            </w:pPr>
            <w:r>
              <w:t xml:space="preserve">Bolke 2019, PMID 31627309</w:t>
            </w:r>
          </w:p>
        </w:tc>
        <w:tc>
          <w:tcPr/>
          <w:p>
            <w:pPr>
              <w:pStyle w:val="Compact"/>
              <w:jc w:val="left"/>
            </w:pPr>
            <w:r>
              <w:t xml:space="preserve">72 Frauen ab 35, Trinkampulle mit 2,5 g Peptiden plus Vitaminen, Zink, Acerola vs. Placebo</w:t>
            </w:r>
          </w:p>
        </w:tc>
        <w:tc>
          <w:tcPr/>
          <w:p>
            <w:pPr>
              <w:pStyle w:val="Compact"/>
              <w:jc w:val="left"/>
            </w:pPr>
            <w:r>
              <w:t xml:space="preserve">12 Wochen</w:t>
            </w:r>
          </w:p>
        </w:tc>
        <w:tc>
          <w:tcPr/>
          <w:p>
            <w:pPr>
              <w:pStyle w:val="Compact"/>
              <w:jc w:val="left"/>
            </w:pPr>
            <w:r>
              <w:t xml:space="preserve">Feuchtigkeit, Elastizität, Rauigkeit und Dichte besser als Placebo (Kombinationsprodukt)</w:t>
            </w:r>
          </w:p>
        </w:tc>
      </w:tr>
      <w:tr>
        <w:tc>
          <w:tcPr/>
          <w:p>
            <w:pPr>
              <w:pStyle w:val="Compact"/>
              <w:jc w:val="left"/>
            </w:pPr>
            <w:r>
              <w:t xml:space="preserve">Kim 2022, PMID 36516059</w:t>
            </w:r>
          </w:p>
        </w:tc>
        <w:tc>
          <w:tcPr/>
          <w:p>
            <w:pPr>
              <w:pStyle w:val="Compact"/>
              <w:jc w:val="left"/>
            </w:pPr>
            <w:r>
              <w:t xml:space="preserve">100 Personen, niedermolekulare Peptide vs. Placebo</w:t>
            </w:r>
          </w:p>
        </w:tc>
        <w:tc>
          <w:tcPr/>
          <w:p>
            <w:pPr>
              <w:pStyle w:val="Compact"/>
              <w:jc w:val="left"/>
            </w:pPr>
            <w:r>
              <w:t xml:space="preserve">12 Wochen</w:t>
            </w:r>
          </w:p>
        </w:tc>
        <w:tc>
          <w:tcPr/>
          <w:p>
            <w:pPr>
              <w:pStyle w:val="Compact"/>
              <w:jc w:val="left"/>
            </w:pPr>
            <w:r>
              <w:t xml:space="preserve">Krähenfüße, Rauigkeit, Elastizität, Feuchtigkeit besser als Placebo (Auswertung von 84 Personen)</w:t>
            </w:r>
          </w:p>
        </w:tc>
      </w:tr>
      <w:tr>
        <w:tc>
          <w:tcPr/>
          <w:p>
            <w:pPr>
              <w:pStyle w:val="Compact"/>
              <w:jc w:val="left"/>
            </w:pPr>
            <w:r>
              <w:t xml:space="preserve">Vleminckx 2024, PMID 39143887</w:t>
            </w:r>
          </w:p>
        </w:tc>
        <w:tc>
          <w:tcPr/>
          <w:p>
            <w:pPr>
              <w:pStyle w:val="Compact"/>
              <w:jc w:val="left"/>
            </w:pPr>
            <w:r>
              <w:t xml:space="preserve">85 ostasiatische Frauen (43–65 J.), 5 g vs. Maltodextrin</w:t>
            </w:r>
          </w:p>
        </w:tc>
        <w:tc>
          <w:tcPr/>
          <w:p>
            <w:pPr>
              <w:pStyle w:val="Compact"/>
              <w:jc w:val="left"/>
            </w:pPr>
            <w:r>
              <w:t xml:space="preserve">12 Wochen</w:t>
            </w:r>
          </w:p>
        </w:tc>
        <w:tc>
          <w:tcPr/>
          <w:p>
            <w:pPr>
              <w:pStyle w:val="Compact"/>
              <w:jc w:val="left"/>
            </w:pPr>
            <w:r>
              <w:t xml:space="preserve">Hautdichte und Feuchtigkeit nach 84 Tagen besser als Placebo</w:t>
            </w:r>
          </w:p>
        </w:tc>
      </w:tr>
    </w:tbl>
    <w:p>
      <w:pPr>
        <w:pStyle w:val="BodyText"/>
      </w:pPr>
      <w:r>
        <w:t xml:space="preserve">Einzelne Studien untersuchten auch Cellulite (105 Frauen, sechs Monate; Verbesserung vor allem bei normalgewichtigen Frauen, Schunck 2015, PMID 26561784) und brüchige Nägel. Die Nagelstudie war allerdings offen und ohne Kontrollgruppe: 25 Teilnehmende, Nagelwachstum +12 %, abgebrochene Nägel −42 % (Hexsel 2017, PMID 28786550). Ohne Vergleichsgruppe lässt sich ein Placeboeffekt hier nicht ausschließen.</w:t>
      </w:r>
    </w:p>
    <w:p>
      <w:pPr>
        <w:pStyle w:val="BodyText"/>
      </w:pPr>
      <w:r>
        <w:t xml:space="preserve">Bei Patientinnen und Patienten mit Druckgeschwüren (Dekubitus) wurde zusätzlich zur Standardbehandlung ein Kollagenhydrolysat mit hohem Anteil an Prolyl-Hydroxyprolin getestet. Bei 120 Teilnehmenden war die Wundheilung nach 16 Wochen in dieser Gruppe besser als unter Placebo (Sugihara 2018, PMID 30061579). Eine kleine Studie aus 2026 bei mittelschwerer Neurodermitis berichtete einen geringeren Verbrauch von Kortisoncreme unter 5 g Kollagenpeptiden (0,94 g gegenüber 5,60 g; Proksch 2026, PMID 41758763); die Autoren selbst fordern größere Bestätigungsstudien.</w:t>
      </w:r>
    </w:p>
    <w:bookmarkEnd w:id="860"/>
    <w:bookmarkStart w:id="861" w:name="X5471b8a540f161b9bb72779b8a70973cfd87ec1"/>
    <w:p>
      <w:pPr>
        <w:pStyle w:val="Heading4"/>
      </w:pPr>
      <w:r>
        <w:t xml:space="preserve">Die Meta-Analysen zur Haut – und die Frage der Finanzierung</w:t>
      </w:r>
    </w:p>
    <w:p>
      <w:pPr>
        <w:pStyle w:val="FirstParagraph"/>
      </w:pPr>
      <w:r>
        <w:t xml:space="preserve">Fasst man die Hautstudien zusammen, ergibt sich auf den ersten Blick ein klares Bild:</w:t>
      </w:r>
    </w:p>
    <w:p>
      <w:pPr>
        <w:numPr>
          <w:ilvl w:val="0"/>
          <w:numId w:val="1293"/>
        </w:numPr>
        <w:pStyle w:val="Compact"/>
      </w:pPr>
      <w:r>
        <w:t xml:space="preserve">19 Studien mit 1.125 Teilnehmenden: günstige Wirkung auf Feuchtigkeit, Elastizität und Falten (de Miranda 2021, PMID 33742704).</w:t>
      </w:r>
    </w:p>
    <w:p>
      <w:pPr>
        <w:numPr>
          <w:ilvl w:val="0"/>
          <w:numId w:val="1293"/>
        </w:numPr>
        <w:pStyle w:val="Compact"/>
      </w:pPr>
      <w:r>
        <w:t xml:space="preserve">26 Studien mit 1.721 Teilnehmenden: signifikante Verbesserung von Feuchtigkeit und Elastizität; die Autoren benennen aber mehrere Verzerrungsquellen und fordern große Studien (Pu 2023, PMID 37432180).</w:t>
      </w:r>
    </w:p>
    <w:p>
      <w:pPr>
        <w:numPr>
          <w:ilvl w:val="0"/>
          <w:numId w:val="1293"/>
        </w:numPr>
        <w:pStyle w:val="Compact"/>
      </w:pPr>
      <w:r>
        <w:t xml:space="preserve">10 Studien mit 646 Teilnehmenden: Feuchtigkeit und Elastizität verbessert, bei mittlerer Heterogenität und überwiegend unklarem Verzerrungsrisiko (Danessa 2025, PMID 40826844).</w:t>
      </w:r>
    </w:p>
    <w:p>
      <w:pPr>
        <w:pStyle w:val="FirstParagraph"/>
      </w:pPr>
      <w:r>
        <w:t xml:space="preserve">Eine Meta-Analyse aus dem Jahr 2025 ging einen Schritt weiter und trennte die Studien nach Geldgeber und Qualität. Über alle 23 Studien mit 1.474 Teilnehmenden hinweg zeigte sich wieder ein Vorteil. Betrachtete man jedoch nur die Studien</w:t>
      </w:r>
      <w:r>
        <w:t xml:space="preserve"> </w:t>
      </w:r>
      <w:r>
        <w:rPr>
          <w:iCs/>
          <w:i/>
        </w:rPr>
        <w:t xml:space="preserve">ohne</w:t>
      </w:r>
      <w:r>
        <w:t xml:space="preserve"> </w:t>
      </w:r>
      <w:r>
        <w:t xml:space="preserve">Finanzierung durch die Industrie, verschwand der Effekt auf Feuchtigkeit, Elastizität und Falten. Auch die methodisch hochwertigen Studien zeigten in keiner Kategorie einen signifikanten Effekt; nur in den Studien geringer Qualität fand sich eine Verbesserung der Elastizität. Die Autorinnen und Autoren schlussfolgern, dass es derzeit keine klinischen Belege gebe, die den Einsatz von Kollagenpräparaten zur Vorbeugung oder Behandlung der Hautalterung stützen (Myung 2025, PMID 40324552).</w:t>
      </w:r>
    </w:p>
    <w:p>
      <w:pPr>
        <w:pStyle w:val="BodyText"/>
      </w:pPr>
      <w:r>
        <w:t xml:space="preserve">Dieses Ergebnis ist kein endgültiges Urteil – die Zahl der unabhängigen Studien ist klein, und eine fehlende statistische Signifikanz bedeutet nicht automatisch, dass es keinen Effekt gibt. Es zeigt aber, wie stark die positive Gesamtbilanz von Studien abhängt, die die Anbieter selbst finanziert haben. Für Leserinnen und Leser heißt das: Die Aussage „klinisch bewiesen“ auf einer Kollagenpackung stützt sich in der Regel auf Studien des eigenen Rohstofflieferanten.</w:t>
      </w:r>
    </w:p>
    <w:bookmarkEnd w:id="861"/>
    <w:bookmarkStart w:id="862" w:name="gelenke-und-arthrose"/>
    <w:p>
      <w:pPr>
        <w:pStyle w:val="Heading4"/>
      </w:pPr>
      <w:r>
        <w:t xml:space="preserve">Gelenke und Arthrose</w:t>
      </w:r>
    </w:p>
    <w:p>
      <w:pPr>
        <w:pStyle w:val="FirstParagraph"/>
      </w:pPr>
      <w:r>
        <w:t xml:space="preserve">Die zweite große Studiengruppe betrifft Gelenkschmerzen – sowohl bei Arthrose als auch bei sportlich aktiven Menschen ohne Diagnose.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Clark 2008, PMID 18416885</w:t>
            </w:r>
          </w:p>
        </w:tc>
        <w:tc>
          <w:tcPr/>
          <w:p>
            <w:pPr>
              <w:pStyle w:val="Compact"/>
              <w:jc w:val="left"/>
            </w:pPr>
            <w:r>
              <w:t xml:space="preserve">147 Sportlerinnen und Sportler mit belastungsabhängigen Gelenkschmerzen, 10 g vs. Placebo</w:t>
            </w:r>
          </w:p>
        </w:tc>
        <w:tc>
          <w:tcPr/>
          <w:p>
            <w:pPr>
              <w:pStyle w:val="Compact"/>
              <w:jc w:val="left"/>
            </w:pPr>
            <w:r>
              <w:t xml:space="preserve">24 Wochen</w:t>
            </w:r>
          </w:p>
        </w:tc>
        <w:tc>
          <w:tcPr/>
          <w:p>
            <w:pPr>
              <w:pStyle w:val="Compact"/>
              <w:jc w:val="left"/>
            </w:pPr>
            <w:r>
              <w:t xml:space="preserve">Mehrere Schmerzwerte besser als Placebo; nur 97 von 147 auswertbar</w:t>
            </w:r>
          </w:p>
        </w:tc>
      </w:tr>
      <w:tr>
        <w:tc>
          <w:tcPr/>
          <w:p>
            <w:pPr>
              <w:pStyle w:val="Compact"/>
              <w:jc w:val="left"/>
            </w:pPr>
            <w:r>
              <w:t xml:space="preserve">Bruyère 2012, PMID 22500661</w:t>
            </w:r>
          </w:p>
        </w:tc>
        <w:tc>
          <w:tcPr/>
          <w:p>
            <w:pPr>
              <w:pStyle w:val="Compact"/>
              <w:jc w:val="left"/>
            </w:pPr>
            <w:r>
              <w:t xml:space="preserve">200 Personen ab 50 mit Gelenkschmerzen, 1,2 g vs. Placebo</w:t>
            </w:r>
          </w:p>
        </w:tc>
        <w:tc>
          <w:tcPr/>
          <w:p>
            <w:pPr>
              <w:pStyle w:val="Compact"/>
              <w:jc w:val="left"/>
            </w:pPr>
            <w:r>
              <w:t xml:space="preserve">6 Monate</w:t>
            </w:r>
          </w:p>
        </w:tc>
        <w:tc>
          <w:tcPr/>
          <w:p>
            <w:pPr>
              <w:pStyle w:val="Compact"/>
              <w:jc w:val="left"/>
            </w:pPr>
            <w:r>
              <w:t xml:space="preserve">Ansprechrate 51,6 % vs. 36,5 % nach 6 Monaten; nach 3 Monaten kein Unterschied</w:t>
            </w:r>
          </w:p>
        </w:tc>
      </w:tr>
      <w:tr>
        <w:tc>
          <w:tcPr/>
          <w:p>
            <w:pPr>
              <w:pStyle w:val="Compact"/>
              <w:jc w:val="left"/>
            </w:pPr>
            <w:r>
              <w:t xml:space="preserve">Kumar 2015, PMID 24852756</w:t>
            </w:r>
          </w:p>
        </w:tc>
        <w:tc>
          <w:tcPr/>
          <w:p>
            <w:pPr>
              <w:pStyle w:val="Compact"/>
              <w:jc w:val="left"/>
            </w:pPr>
            <w:r>
              <w:t xml:space="preserve">Kniearthrose, Peptide aus Schweinehaut oder Rinderknochen vs. Placebo</w:t>
            </w:r>
          </w:p>
        </w:tc>
        <w:tc>
          <w:tcPr/>
          <w:p>
            <w:pPr>
              <w:pStyle w:val="Compact"/>
              <w:jc w:val="left"/>
            </w:pPr>
            <w:r>
              <w:t xml:space="preserve">13 Wochen</w:t>
            </w:r>
          </w:p>
        </w:tc>
        <w:tc>
          <w:tcPr/>
          <w:p>
            <w:pPr>
              <w:pStyle w:val="Compact"/>
              <w:jc w:val="left"/>
            </w:pPr>
            <w:r>
              <w:t xml:space="preserve">WOMAC-, Schmerz- und Lebensqualitätswerte besser als Placebo</w:t>
            </w:r>
          </w:p>
        </w:tc>
      </w:tr>
      <w:tr>
        <w:tc>
          <w:tcPr/>
          <w:p>
            <w:pPr>
              <w:pStyle w:val="Compact"/>
              <w:jc w:val="left"/>
            </w:pPr>
            <w:r>
              <w:t xml:space="preserve">Zdzieblik 2017, PMID 28177710</w:t>
            </w:r>
          </w:p>
        </w:tc>
        <w:tc>
          <w:tcPr/>
          <w:p>
            <w:pPr>
              <w:pStyle w:val="Compact"/>
              <w:jc w:val="left"/>
            </w:pPr>
            <w:r>
              <w:t xml:space="preserve">139 Sportler mit Kniebeschwerden, 5 g vs. Placebo</w:t>
            </w:r>
          </w:p>
        </w:tc>
        <w:tc>
          <w:tcPr/>
          <w:p>
            <w:pPr>
              <w:pStyle w:val="Compact"/>
              <w:jc w:val="left"/>
            </w:pPr>
            <w:r>
              <w:t xml:space="preserve">12 Wochen</w:t>
            </w:r>
          </w:p>
        </w:tc>
        <w:tc>
          <w:tcPr/>
          <w:p>
            <w:pPr>
              <w:pStyle w:val="Compact"/>
              <w:jc w:val="left"/>
            </w:pPr>
            <w:r>
              <w:t xml:space="preserve">Belastungsschmerz besser als Placebo (p = 0,046); Ruheschmerz nicht</w:t>
            </w:r>
          </w:p>
        </w:tc>
      </w:tr>
      <w:tr>
        <w:tc>
          <w:tcPr/>
          <w:p>
            <w:pPr>
              <w:pStyle w:val="Compact"/>
              <w:jc w:val="left"/>
            </w:pPr>
            <w:r>
              <w:t xml:space="preserve">Bongers 2020, PMID 31990581</w:t>
            </w:r>
          </w:p>
        </w:tc>
        <w:tc>
          <w:tcPr/>
          <w:p>
            <w:pPr>
              <w:pStyle w:val="Compact"/>
              <w:jc w:val="left"/>
            </w:pPr>
            <w:r>
              <w:t xml:space="preserve">167 aktive Personen (Median 63 J.) mit Knieschmerzen, 10 g vs. Placebo</w:t>
            </w:r>
          </w:p>
        </w:tc>
        <w:tc>
          <w:tcPr/>
          <w:p>
            <w:pPr>
              <w:pStyle w:val="Compact"/>
              <w:jc w:val="left"/>
            </w:pPr>
            <w:r>
              <w:t xml:space="preserve">12 Wochen</w:t>
            </w:r>
          </w:p>
        </w:tc>
        <w:tc>
          <w:tcPr/>
          <w:p>
            <w:pPr>
              <w:pStyle w:val="Compact"/>
              <w:jc w:val="left"/>
            </w:pPr>
            <w:r>
              <w:t xml:space="preserve">Kein Unterschied: Schmerz sank in beiden Gruppen gleich stark</w:t>
            </w:r>
          </w:p>
        </w:tc>
      </w:tr>
    </w:tbl>
    <w:p>
      <w:pPr>
        <w:pStyle w:val="BodyText"/>
      </w:pPr>
      <w:r>
        <w:t xml:space="preserve">Die Studie von Bongers ist bemerkenswert, weil sie zu den größeren gehört und ein klar negatives Ergebnis berichtet: Knieschmerz und Kniefunktion besserten sich – aber unter Placebo genauso wie unter Kollagen. Das illustriert, wie groß der Placeboeffekt bei Gelenkschmerzen ist.</w:t>
      </w:r>
    </w:p>
    <w:p>
      <w:pPr>
        <w:pStyle w:val="BodyText"/>
      </w:pPr>
      <w:r>
        <w:t xml:space="preserve">Die Meta-Analysen kommen trotzdem überwiegend zu einem günstigen Ergebnis:</w:t>
      </w:r>
    </w:p>
    <w:p>
      <w:pPr>
        <w:numPr>
          <w:ilvl w:val="0"/>
          <w:numId w:val="1294"/>
        </w:numPr>
        <w:pStyle w:val="Compact"/>
      </w:pPr>
      <w:r>
        <w:t xml:space="preserve">Eine Meta-Analyse randomisierter, placebokontrollierter Studien fand eine signifikante Verringerung des WOMAC-Gesamtwerts (eines Arthrose-Fragebogens) und des Schmerzwerts auf der visuellen Analogskala; die Unterpunkte Schmerz und Funktionseinschränkung im WOMAC unterschieden sich jedoch nicht signifikant (García-Coronado 2019, PMID 30368550).</w:t>
      </w:r>
    </w:p>
    <w:p>
      <w:pPr>
        <w:numPr>
          <w:ilvl w:val="0"/>
          <w:numId w:val="1294"/>
        </w:numPr>
        <w:pStyle w:val="Compact"/>
      </w:pPr>
      <w:r>
        <w:t xml:space="preserve">Die bislang umfangreichste Auswertung umfasste 35 Studien mit 3.165 Patientinnen und Patienten mit Arthrose. Kollagenderivate – hier sind hydrolysiertes und undenaturiertes Kollagen zusammengefasst – hatten kleine bis mäßige Effekte auf Schmerz (standardisierte Mittelwertdifferenz −0,35) und Funktion (−0,31). Nebenwirkungen und Studienabbrüche waren nicht häufiger als unter Kontrolle (Liang 2024, PMID 38218227).</w:t>
      </w:r>
    </w:p>
    <w:p>
      <w:pPr>
        <w:numPr>
          <w:ilvl w:val="0"/>
          <w:numId w:val="1294"/>
        </w:numPr>
        <w:pStyle w:val="Compact"/>
      </w:pPr>
      <w:r>
        <w:t xml:space="preserve">Eine Auswertung von nur vier Studien mit 507 Patientinnen und Patienten mit Kniearthrose fand ebenfalls eine Schmerzlinderung, stufte aber alle vier Studien als mit hohem Verzerrungsrisiko behaftet ein (Lin 2023, PMID 37717022).</w:t>
      </w:r>
    </w:p>
    <w:p>
      <w:pPr>
        <w:numPr>
          <w:ilvl w:val="0"/>
          <w:numId w:val="1294"/>
        </w:numPr>
        <w:pStyle w:val="Compact"/>
      </w:pPr>
      <w:r>
        <w:t xml:space="preserve">Eine aktualisierte Meta-Analyse mit 11 Studien und 870 Teilnehmenden berichtete Verbesserungen von Funktion und Schmerz, allerdings bei sehr hoher Heterogenität (I² 75 bzw. 88 %) (Simental-Mendía 2025, PMID 39212129).</w:t>
      </w:r>
    </w:p>
    <w:p>
      <w:pPr>
        <w:pStyle w:val="FirstParagraph"/>
      </w:pPr>
      <w:r>
        <w:t xml:space="preserve">Zur Einordnung: Eine standardisierte Mittelwertdifferenz von etwa 0,3 gilt als kleiner Effekt. Er liegt in einer ähnlichen Größenordnung wie bei manchen anderen Nahrungsergänzungsmitteln für Arthrose und ist deutlich kleiner als die Wirkung, die man sich von einem Schmerzmittel erhofft. Eine große Übersicht über Nahrungsergänzungsmittel bei Arthrose fand für Kollagenhydrolysat kurzfristig große Effekte auf den Schmerz, kam aber insgesamt zu dem Schluss, dass die Qualität der Evidenz sehr niedrig ist und kein Präparat langfristig klinisch bedeutsame Effekte zeigte (Liu 2018, PMID 29018060).</w:t>
      </w:r>
    </w:p>
    <w:bookmarkEnd w:id="862"/>
    <w:bookmarkStart w:id="863" w:name="X55241c3876440cc6cc2c47fbc51534fe032c1cd"/>
    <w:p>
      <w:pPr>
        <w:pStyle w:val="Heading4"/>
      </w:pPr>
      <w:r>
        <w:t xml:space="preserve">Abgrenzung: undenaturiertes Typ-II-Kollagen (UC-II)</w:t>
      </w:r>
    </w:p>
    <w:p>
      <w:pPr>
        <w:pStyle w:val="FirstParagraph"/>
      </w:pPr>
      <w:r>
        <w:t xml:space="preserve">Undenaturiertes Typ-II-Kollagen wird aus Hühnerbrustknorpel schonend gewonnen, sodass die ursprüngliche Struktur des Kollagens teilweise erhalten bleibt. Es wird in sehr kleinen Mengen eingenommen – in den Studien 40 Milligramm pro Tag, also etwa ein Hundertstel bis ein Zweihundertfünfzigstel der Grammmengen bei Kollagenhydrolysat. Es soll nicht als Baustoff wirken, sondern über die sogenannte orale Toleranz: Das Immunsystem im Darm soll lernen, Knorpelkollagen nicht als Angriffsziel zu behandeln. Diese Idee stammt aus Tiermodellen der Gelenkentzündung.</w:t>
      </w:r>
    </w:p>
    <w:p>
      <w:pPr>
        <w:pStyle w:val="BodyText"/>
      </w:pPr>
      <w:r>
        <w:t xml:space="preserve">Historisch wurde das Prinzip zuerst bei rheumatoider Arthritis getestet. Eine kleine Studie mit 60 Patientinnen und Patienten berichtete 1993 eine Abnahme geschwollener und druckschmerzhafter Gelenke (Trentham 1993, PMID 8378772). Eine größere Studie mit 274 Teilnehmenden und vier Dosierungen fand danach nur in der niedrigsten Dosis und nur nach einem von drei Bewertungskriterien einen signifikanten Vorteil (Barnett 1998, PMID 9485087). Als Rheumatherapie hat sich der Ansatz nicht durchgesetzt.</w:t>
      </w:r>
    </w:p>
    <w:p>
      <w:pPr>
        <w:pStyle w:val="BodyText"/>
      </w:pPr>
      <w:r>
        <w:t xml:space="preserve">Für Arthrose und Gelenkbeschwerden liegen vor allem herstellernahe Studien vor: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Lugo 2016, PMID 26822714</w:t>
            </w:r>
          </w:p>
        </w:tc>
        <w:tc>
          <w:tcPr/>
          <w:p>
            <w:pPr>
              <w:pStyle w:val="Compact"/>
              <w:jc w:val="left"/>
            </w:pPr>
            <w:r>
              <w:t xml:space="preserve">191 Personen mit Kniearthrose, UC-II vs. Glucosamin/Chondroitin vs. Placebo</w:t>
            </w:r>
          </w:p>
        </w:tc>
        <w:tc>
          <w:tcPr/>
          <w:p>
            <w:pPr>
              <w:pStyle w:val="Compact"/>
              <w:jc w:val="left"/>
            </w:pPr>
            <w:r>
              <w:t xml:space="preserve">180 Tage</w:t>
            </w:r>
          </w:p>
        </w:tc>
        <w:tc>
          <w:tcPr/>
          <w:p>
            <w:pPr>
              <w:pStyle w:val="Compact"/>
              <w:jc w:val="left"/>
            </w:pPr>
            <w:r>
              <w:t xml:space="preserve">WOMAC-Gesamtwert besser als Placebo (p = 0,002) und als Glucosamin/Chondroitin (p = 0,04)</w:t>
            </w:r>
          </w:p>
        </w:tc>
      </w:tr>
      <w:tr>
        <w:tc>
          <w:tcPr/>
          <w:p>
            <w:pPr>
              <w:pStyle w:val="Compact"/>
              <w:jc w:val="left"/>
            </w:pPr>
            <w:r>
              <w:t xml:space="preserve">Lugo 2013, PMID 24153020</w:t>
            </w:r>
          </w:p>
        </w:tc>
        <w:tc>
          <w:tcPr/>
          <w:p>
            <w:pPr>
              <w:pStyle w:val="Compact"/>
              <w:jc w:val="left"/>
            </w:pPr>
            <w:r>
              <w:t xml:space="preserve">55 Gesunde mit belastungsabhängigen Knieschmerzen, UC-II vs. Placebo</w:t>
            </w:r>
          </w:p>
        </w:tc>
        <w:tc>
          <w:tcPr/>
          <w:p>
            <w:pPr>
              <w:pStyle w:val="Compact"/>
              <w:jc w:val="left"/>
            </w:pPr>
            <w:r>
              <w:t xml:space="preserve">120 Tage</w:t>
            </w:r>
          </w:p>
        </w:tc>
        <w:tc>
          <w:tcPr/>
          <w:p>
            <w:pPr>
              <w:pStyle w:val="Compact"/>
              <w:jc w:val="left"/>
            </w:pPr>
            <w:r>
              <w:t xml:space="preserve">Kniestreckung 81,0° vs. 74,0°; längere schmerzfreie Belastung</w:t>
            </w:r>
          </w:p>
        </w:tc>
      </w:tr>
      <w:tr>
        <w:tc>
          <w:tcPr/>
          <w:p>
            <w:pPr>
              <w:pStyle w:val="Compact"/>
              <w:jc w:val="left"/>
            </w:pPr>
            <w:r>
              <w:t xml:space="preserve">Yuenyongviwat 2025, PMID 40897777</w:t>
            </w:r>
          </w:p>
        </w:tc>
        <w:tc>
          <w:tcPr/>
          <w:p>
            <w:pPr>
              <w:pStyle w:val="Compact"/>
              <w:jc w:val="left"/>
            </w:pPr>
            <w:r>
              <w:t xml:space="preserve">68 Personen mit Kniearthrose, UC-II plus Kollagenhydrolysat vs. Placebo</w:t>
            </w:r>
          </w:p>
        </w:tc>
        <w:tc>
          <w:tcPr/>
          <w:p>
            <w:pPr>
              <w:pStyle w:val="Compact"/>
              <w:jc w:val="left"/>
            </w:pPr>
            <w:r>
              <w:t xml:space="preserve">12 Wochen</w:t>
            </w:r>
          </w:p>
        </w:tc>
        <w:tc>
          <w:tcPr/>
          <w:p>
            <w:pPr>
              <w:pStyle w:val="Compact"/>
              <w:jc w:val="left"/>
            </w:pPr>
            <w:r>
              <w:t xml:space="preserve">Kein Unterschied bei Schmerz, Funktion, Bedarfsmedikation</w:t>
            </w:r>
          </w:p>
        </w:tc>
      </w:tr>
    </w:tbl>
    <w:p>
      <w:pPr>
        <w:pStyle w:val="BodyText"/>
      </w:pPr>
      <w:r>
        <w:t xml:space="preserve">Die neueste Studie stammt von einer unabhängigen Arbeitsgruppe, die ausdrücklich darauf hinweist, dass die meisten bisherigen Kollagenstudien von der Industrie finanziert wurden. Sie fand – wie Bongers 2020 – Verbesserungen in beiden Gruppen, aber keinen Vorteil gegenüber Placebo (Yuenyongviwat 2025, PMID 40897777, registriert als NCT06229951).</w:t>
      </w:r>
    </w:p>
    <w:p>
      <w:pPr>
        <w:pStyle w:val="BodyText"/>
      </w:pPr>
      <w:r>
        <w:t xml:space="preserve">Wichtig für Verbraucherinnen und Verbraucher: UC-II und Kollagenhydrolysat sind nicht austauschbar. Wer Studien zum einen Produkt liest, kann daraus nichts über das andere ableiten.</w:t>
      </w:r>
    </w:p>
    <w:bookmarkEnd w:id="863"/>
    <w:bookmarkStart w:id="864" w:name="knochen"/>
    <w:p>
      <w:pPr>
        <w:pStyle w:val="Heading4"/>
      </w:pPr>
      <w:r>
        <w:t xml:space="preserve">Knochen</w:t>
      </w:r>
    </w:p>
    <w:p>
      <w:pPr>
        <w:pStyle w:val="FirstParagraph"/>
      </w:pPr>
      <w:r>
        <w:t xml:space="preserve">Bei Knochen ist die Datenlage dünn, aber interessant: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König 2018, PMID 29337906</w:t>
            </w:r>
          </w:p>
        </w:tc>
        <w:tc>
          <w:tcPr/>
          <w:p>
            <w:pPr>
              <w:pStyle w:val="Compact"/>
              <w:jc w:val="left"/>
            </w:pPr>
            <w:r>
              <w:t xml:space="preserve">131 Frauen nach der Menopause mit verminderter Knochendichte, 5 g vs. Placebo</w:t>
            </w:r>
          </w:p>
        </w:tc>
        <w:tc>
          <w:tcPr/>
          <w:p>
            <w:pPr>
              <w:pStyle w:val="Compact"/>
              <w:jc w:val="left"/>
            </w:pPr>
            <w:r>
              <w:t xml:space="preserve">12 Monate</w:t>
            </w:r>
          </w:p>
        </w:tc>
        <w:tc>
          <w:tcPr/>
          <w:p>
            <w:pPr>
              <w:pStyle w:val="Compact"/>
              <w:jc w:val="left"/>
            </w:pPr>
            <w:r>
              <w:t xml:space="preserve">T-Score Wirbelsäule +0,1 vs. −0,03; Schenkelhals +0,09 vs. −0,01</w:t>
            </w:r>
          </w:p>
        </w:tc>
      </w:tr>
      <w:tr>
        <w:tc>
          <w:tcPr/>
          <w:p>
            <w:pPr>
              <w:pStyle w:val="Compact"/>
              <w:jc w:val="left"/>
            </w:pPr>
            <w:r>
              <w:t xml:space="preserve">Elam 2015, PMID 25314004</w:t>
            </w:r>
          </w:p>
        </w:tc>
        <w:tc>
          <w:tcPr/>
          <w:p>
            <w:pPr>
              <w:pStyle w:val="Compact"/>
              <w:jc w:val="left"/>
            </w:pPr>
            <w:r>
              <w:t xml:space="preserve">39 Frauen mit Osteopenie, Calcium-Kollagen-Chelat plus Vitamin D vs. Calcium plus Vitamin D</w:t>
            </w:r>
          </w:p>
        </w:tc>
        <w:tc>
          <w:tcPr/>
          <w:p>
            <w:pPr>
              <w:pStyle w:val="Compact"/>
              <w:jc w:val="left"/>
            </w:pPr>
            <w:r>
              <w:t xml:space="preserve">12 Monate</w:t>
            </w:r>
          </w:p>
        </w:tc>
        <w:tc>
          <w:tcPr/>
          <w:p>
            <w:pPr>
              <w:pStyle w:val="Compact"/>
              <w:jc w:val="left"/>
            </w:pPr>
            <w:r>
              <w:t xml:space="preserve">Verlust der Ganzkörper-Knochendichte −1,33 % vs. −3,75 % (Studienabschließende)</w:t>
            </w:r>
          </w:p>
        </w:tc>
      </w:tr>
      <w:tr>
        <w:tc>
          <w:tcPr/>
          <w:p>
            <w:pPr>
              <w:pStyle w:val="Compact"/>
              <w:jc w:val="left"/>
            </w:pPr>
            <w:r>
              <w:t xml:space="preserve">Lampropoulou-Adamidou 2022, PMID 34980546</w:t>
            </w:r>
          </w:p>
        </w:tc>
        <w:tc>
          <w:tcPr/>
          <w:p>
            <w:pPr>
              <w:pStyle w:val="Compact"/>
              <w:jc w:val="left"/>
            </w:pPr>
            <w:r>
              <w:t xml:space="preserve">51 Frauen mit Osteopenie, 5 g Peptide plus Calcium/Vitamin D vs. Calcium/Vitamin D</w:t>
            </w:r>
          </w:p>
        </w:tc>
        <w:tc>
          <w:tcPr/>
          <w:p>
            <w:pPr>
              <w:pStyle w:val="Compact"/>
              <w:jc w:val="left"/>
            </w:pPr>
            <w:r>
              <w:t xml:space="preserve">12 Monate</w:t>
            </w:r>
          </w:p>
        </w:tc>
        <w:tc>
          <w:tcPr/>
          <w:p>
            <w:pPr>
              <w:pStyle w:val="Compact"/>
              <w:jc w:val="left"/>
            </w:pPr>
            <w:r>
              <w:t xml:space="preserve">Höhere Knochendichte an Schienbein und Lendenwirbelsäule mit Kollagen</w:t>
            </w:r>
          </w:p>
        </w:tc>
      </w:tr>
    </w:tbl>
    <w:p>
      <w:pPr>
        <w:pStyle w:val="BodyText"/>
      </w:pPr>
      <w:r>
        <w:t xml:space="preserve">Die Unterschiede sind klein, die Studien kurz, und keine Studie hat Knochenbrüche – den eigentlich entscheidenden Endpunkt – untersucht. Kollagenpeptide sind kein Ersatz für eine Osteoporosetherapie mit nachgewiesener Bruchsenkung.</w:t>
      </w:r>
    </w:p>
    <w:bookmarkEnd w:id="864"/>
    <w:bookmarkStart w:id="865" w:name="muskeln-und-sehnen"/>
    <w:p>
      <w:pPr>
        <w:pStyle w:val="Heading4"/>
      </w:pPr>
      <w:r>
        <w:t xml:space="preserve">Muskeln und Sehnen</w:t>
      </w:r>
    </w:p>
    <w:p>
      <w:pPr>
        <w:pStyle w:val="FirstParagraph"/>
      </w:pPr>
      <w:r>
        <w:t xml:space="preserve">Im Sport werden Kollagenpeptide für zwei unterschiedliche Ziele beworben: Muskelaufbau und Sehnen- bzw. Bänderstärkung.</w:t>
      </w:r>
    </w:p>
    <w:p>
      <w:pPr>
        <w:pStyle w:val="BodyText"/>
      </w:pPr>
      <w:r>
        <w:rPr>
          <w:bCs/>
          <w:b/>
        </w:rPr>
        <w:t xml:space="preserve">Muskelaufbau.</w:t>
      </w:r>
      <w:r>
        <w:t xml:space="preserve"> </w:t>
      </w:r>
      <w:r>
        <w:t xml:space="preserve">Die meistzitierte Studie untersuchte 53 ältere Männer mit Sarkopenie (altersbedingtem Muskelschwund), die zwölf Wochen Krafttraining machten und dazu 15 g Kollagenpeptide oder Placebo (Siliziumdioxid) erhielten. Die fettfreie Masse stieg unter Kollagen um 4,2 kg, unter Placebo um 2,9 kg (Zdzieblik 2015, PMID 26353786). Das Problem: Die Placebogruppe erhielt überhaupt kein Eiweiß. Der Vorteil könnte also einfach an der zusätzlichen Eiweißzufuhr liegen.</w:t>
      </w:r>
    </w:p>
    <w:p>
      <w:pPr>
        <w:pStyle w:val="BodyText"/>
      </w:pPr>
      <w:r>
        <w:t xml:space="preserve">Genau diese Frage beantworten Vergleiche mit hochwertigem Eiweiß. Bei 22 älteren Frauen steigerte Molkenprotein die Muskeleiweißsynthese sowohl kurzfristig als auch über sechs Tage, Kollagenpeptide nicht (Oikawa 2020, PMID 31919527). Bei jungen Erwachsenen nahm die Muskeldicke nach zehn Wochen Krafttraining mit Molkenprotein stärker zu als mit Kollagen, selbst wenn das Kollagen mit Leucin auf den gleichen Gehalt angereichert war (Jacinto 2022, PMID 35042187). Eine Studie mit 25 jungen Männern fand unter 2 × 15 g Kollagen pro Tag keine höhere Synthese von Muskel- oder Bindegewebseiweiß als unter Placebo (Kirmse 2024, PMID 39086044).</w:t>
      </w:r>
    </w:p>
    <w:p>
      <w:pPr>
        <w:pStyle w:val="BodyText"/>
      </w:pPr>
      <w:r>
        <w:rPr>
          <w:bCs/>
          <w:b/>
        </w:rPr>
        <w:t xml:space="preserve">Sehnen.</w:t>
      </w:r>
      <w:r>
        <w:t xml:space="preserve"> </w:t>
      </w:r>
      <w:r>
        <w:t xml:space="preserve">Hier sind die Ergebnisse widersprüchlich: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Jerger 2023, PMID 37424319</w:t>
            </w:r>
          </w:p>
        </w:tc>
        <w:tc>
          <w:tcPr/>
          <w:p>
            <w:pPr>
              <w:pStyle w:val="Compact"/>
              <w:jc w:val="left"/>
            </w:pPr>
            <w:r>
              <w:t xml:space="preserve">50 Männer, Krafttraining plus 5 g vs. Placebo</w:t>
            </w:r>
          </w:p>
        </w:tc>
        <w:tc>
          <w:tcPr/>
          <w:p>
            <w:pPr>
              <w:pStyle w:val="Compact"/>
              <w:jc w:val="left"/>
            </w:pPr>
            <w:r>
              <w:t xml:space="preserve">14 Wochen</w:t>
            </w:r>
          </w:p>
        </w:tc>
        <w:tc>
          <w:tcPr/>
          <w:p>
            <w:pPr>
              <w:pStyle w:val="Compact"/>
              <w:jc w:val="left"/>
            </w:pPr>
            <w:r>
              <w:t xml:space="preserve">Querschnitt der Patellasehne stärker vergrößert; Steifigkeit und Kraft ohne Gruppenunterschied</w:t>
            </w:r>
          </w:p>
        </w:tc>
      </w:tr>
      <w:tr>
        <w:tc>
          <w:tcPr/>
          <w:p>
            <w:pPr>
              <w:pStyle w:val="Compact"/>
              <w:jc w:val="left"/>
            </w:pPr>
            <w:r>
              <w:t xml:space="preserve">Balshaw 2023, PMID 37436929</w:t>
            </w:r>
          </w:p>
        </w:tc>
        <w:tc>
          <w:tcPr/>
          <w:p>
            <w:pPr>
              <w:pStyle w:val="Compact"/>
              <w:jc w:val="left"/>
            </w:pPr>
            <w:r>
              <w:t xml:space="preserve">39 junge Männer, Krafttraining plus 15 g vs. Placebo</w:t>
            </w:r>
          </w:p>
        </w:tc>
        <w:tc>
          <w:tcPr/>
          <w:p>
            <w:pPr>
              <w:pStyle w:val="Compact"/>
              <w:jc w:val="left"/>
            </w:pPr>
            <w:r>
              <w:t xml:space="preserve">15 Wochen</w:t>
            </w:r>
          </w:p>
        </w:tc>
        <w:tc>
          <w:tcPr/>
          <w:p>
            <w:pPr>
              <w:pStyle w:val="Compact"/>
              <w:jc w:val="left"/>
            </w:pPr>
            <w:r>
              <w:t xml:space="preserve">Keine Unterschiede bei Sehnengröße oder -mechanik</w:t>
            </w:r>
          </w:p>
        </w:tc>
      </w:tr>
      <w:tr>
        <w:tc>
          <w:tcPr/>
          <w:p>
            <w:pPr>
              <w:pStyle w:val="Compact"/>
              <w:jc w:val="left"/>
            </w:pPr>
            <w:r>
              <w:t xml:space="preserve">Miyamoto 2025, PMID 40623147</w:t>
            </w:r>
          </w:p>
        </w:tc>
        <w:tc>
          <w:tcPr/>
          <w:p>
            <w:pPr>
              <w:pStyle w:val="Compact"/>
              <w:jc w:val="left"/>
            </w:pPr>
            <w:r>
              <w:t xml:space="preserve">50 untrainierte Männer, 10 g vs. Placebo</w:t>
            </w:r>
          </w:p>
        </w:tc>
        <w:tc>
          <w:tcPr/>
          <w:p>
            <w:pPr>
              <w:pStyle w:val="Compact"/>
              <w:jc w:val="left"/>
            </w:pPr>
            <w:r>
              <w:t xml:space="preserve">16 Wochen</w:t>
            </w:r>
          </w:p>
        </w:tc>
        <w:tc>
          <w:tcPr/>
          <w:p>
            <w:pPr>
              <w:pStyle w:val="Compact"/>
              <w:jc w:val="left"/>
            </w:pPr>
            <w:r>
              <w:t xml:space="preserve">Steifigkeit von Wadenmuskel und Achillessehne erhöht; Querschnitt unverändert</w:t>
            </w:r>
          </w:p>
        </w:tc>
      </w:tr>
      <w:tr>
        <w:tc>
          <w:tcPr/>
          <w:p>
            <w:pPr>
              <w:pStyle w:val="Compact"/>
              <w:jc w:val="left"/>
            </w:pPr>
            <w:r>
              <w:t xml:space="preserve">Praet 2019, PMID 30609761</w:t>
            </w:r>
          </w:p>
        </w:tc>
        <w:tc>
          <w:tcPr/>
          <w:p>
            <w:pPr>
              <w:pStyle w:val="Compact"/>
              <w:jc w:val="left"/>
            </w:pPr>
            <w:r>
              <w:t xml:space="preserve">20 Personen mit Achillessehnenbeschwerden, Crossover mit Training</w:t>
            </w:r>
          </w:p>
        </w:tc>
        <w:tc>
          <w:tcPr/>
          <w:p>
            <w:pPr>
              <w:pStyle w:val="Compact"/>
              <w:jc w:val="left"/>
            </w:pPr>
            <w:r>
              <w:t xml:space="preserve">6 Monate</w:t>
            </w:r>
          </w:p>
        </w:tc>
        <w:tc>
          <w:tcPr/>
          <w:p>
            <w:pPr>
              <w:pStyle w:val="Compact"/>
              <w:jc w:val="left"/>
            </w:pPr>
            <w:r>
              <w:t xml:space="preserve">Schnellere Verbesserung im Beschwerde-Fragebogen in der Kollagenphase (Pilotstudie)</w:t>
            </w:r>
          </w:p>
        </w:tc>
      </w:tr>
      <w:tr>
        <w:tc>
          <w:tcPr/>
          <w:p>
            <w:pPr>
              <w:pStyle w:val="Compact"/>
              <w:jc w:val="left"/>
            </w:pPr>
            <w:r>
              <w:t xml:space="preserve">Dressler 2018, PMID 29769831</w:t>
            </w:r>
          </w:p>
        </w:tc>
        <w:tc>
          <w:tcPr/>
          <w:p>
            <w:pPr>
              <w:pStyle w:val="Compact"/>
              <w:jc w:val="left"/>
            </w:pPr>
            <w:r>
              <w:t xml:space="preserve">50 Sportler mit chronischer Sprunggelenksinstabilität, 5 g vs. Placebo</w:t>
            </w:r>
          </w:p>
        </w:tc>
        <w:tc>
          <w:tcPr/>
          <w:p>
            <w:pPr>
              <w:pStyle w:val="Compact"/>
              <w:jc w:val="left"/>
            </w:pPr>
            <w:r>
              <w:t xml:space="preserve">6 Monate</w:t>
            </w:r>
          </w:p>
        </w:tc>
        <w:tc>
          <w:tcPr/>
          <w:p>
            <w:pPr>
              <w:pStyle w:val="Compact"/>
              <w:jc w:val="left"/>
            </w:pPr>
            <w:r>
              <w:t xml:space="preserve">Subjektive Stabilität besser; mechanische Stabilität unverändert</w:t>
            </w:r>
          </w:p>
        </w:tc>
      </w:tr>
    </w:tbl>
    <w:p>
      <w:pPr>
        <w:pStyle w:val="BodyText"/>
      </w:pPr>
      <w:r>
        <w:t xml:space="preserve">Eine Meta-Analyse von 19 Studien mit 768 gesunden Erwachsenen fand bei langfristiger Kollagen-Einnahme in Kombination mit Training kleine Vorteile bei fettfreier Masse, Sehnenmorphologie, Muskelarchitektur und Maximalkraft. Die Vertrauenswürdigkeit der Evidenz wurde für die Körperzusammensetzung als mäßig, für die Sehnenmorphologie als sehr niedrig und für die übrigen Ergebnisse als niedrig bewertet (Bischof 2024, PMID 39060741). Eine frühere systematische Übersicht kam zu dem Schluss, dass Kollagen bei der Muskeleiweißsynthese hochwertigeren Eiweißquellen nicht ebenbürtig ist (Khatri 2021, PMID 34491424).</w:t>
      </w:r>
    </w:p>
    <w:p>
      <w:pPr>
        <w:pStyle w:val="BodyText"/>
      </w:pPr>
      <w:r>
        <w:rPr>
          <w:bCs/>
          <w:b/>
        </w:rPr>
        <w:t xml:space="preserve">Zwischenfazit Sport:</w:t>
      </w:r>
      <w:r>
        <w:t xml:space="preserve"> </w:t>
      </w:r>
      <w:r>
        <w:t xml:space="preserve">Für den Muskelaufbau gibt es bessere und günstigere Eiweißquellen. Für Sehnen und Bänder ist ein Nutzen biologisch plausibel und wird in einigen Studien angedeutet, ist aber nicht belastbar nachgewiesen.</w:t>
      </w:r>
    </w:p>
    <w:bookmarkEnd w:id="865"/>
    <w:bookmarkStart w:id="866" w:name="weitere-anwendungsgebiete"/>
    <w:p>
      <w:pPr>
        <w:pStyle w:val="Heading4"/>
      </w:pPr>
      <w:r>
        <w:t xml:space="preserve">Weitere Anwendungsgebiete</w:t>
      </w:r>
    </w:p>
    <w:p>
      <w:pPr>
        <w:pStyle w:val="FirstParagraph"/>
      </w:pPr>
      <w:r>
        <w:t xml:space="preserve">In kleineren Studien wurden Kollagenpeptide unter anderem bei Blutdruck und Gefäßfunktion, Schlaf, Appetit, Zahnfleischentzündung und Darmbeschwerden untersucht. Eine Meta-Analyse von 12 placebokontrollierten Studien berichtete eine Senkung des systolischen Blutdrucks um 5,04 mmHg und des LDL-Cholesterins um 4,09 mg/dl, allerdings bei extrem hoher Heterogenität der Einzelstudien (I² 98,9 bzw. 93,4 %) (Jalili 2023, PMID 35658958). Diese Felder sind zu wenig untersucht, um belastbare Aussagen zu treffen.</w:t>
      </w:r>
    </w:p>
    <w:bookmarkEnd w:id="866"/>
    <w:bookmarkEnd w:id="867"/>
    <w:bookmarkStart w:id="868" w:name="tier--und-laborstudien-52"/>
    <w:p>
      <w:pPr>
        <w:pStyle w:val="Heading3"/>
      </w:pPr>
      <w:r>
        <w:t xml:space="preserve">Tier- und Laborstudien</w:t>
      </w:r>
    </w:p>
    <w:p>
      <w:pPr>
        <w:pStyle w:val="FirstParagraph"/>
      </w:pPr>
      <w:r>
        <w:t xml:space="preserve">In Zellkulturen regen Kollagenpeptide und insbesondere Prolyl-Hydroxyprolin Fibroblasten der Haut zum Wachstum an; bei Mäusen und Ratten verbesserten sie in Versuchen Hautbarriere, Knochendichte und Knorpelstoffwechsel. An menschlichen Hautproben im Labor (ex vivo) förderten Kollagenpeptide die Bildung von Kollagen und Glykosaminoglykanen (Asserin 2015, PMID 26362110). Eine systematische Übersicht über elf überwiegend experimentelle Studien kam zu dem Ergebnis, dass Kollagenhydrolysate in Konzentrationen von 50 bis 500 Mikrogramm pro Milliliter Fibroblasten stimulieren, ohne giftig zu wirken (Inacio 2024, PMID 38892477). In Nagerversuchen mit kalorienreicher Ernährung wurden in einer Meta-Analyse Effekte auf Gewicht und Fettmasse beschrieben (Bischof 2026, PMID 41168365) – ein Befund, der bei Menschen nicht belegt ist.</w:t>
      </w:r>
    </w:p>
    <w:p>
      <w:pPr>
        <w:pStyle w:val="BodyText"/>
      </w:pPr>
      <w:r>
        <w:t xml:space="preserve">Diese Ergebnisse machen die Hypothesen plausibel. Sie beweisen aber nicht, dass die beim Menschen nach dem Trinken erreichten Peptidkonzentrationen am Zielgewebe ausreichen.</w:t>
      </w:r>
    </w:p>
    <w:bookmarkEnd w:id="868"/>
    <w:bookmarkStart w:id="869" w:name="risiken-und-nebenwirkungen-52"/>
    <w:p>
      <w:pPr>
        <w:pStyle w:val="Heading3"/>
      </w:pPr>
      <w:r>
        <w:t xml:space="preserve">Risiken und Nebenwirkungen</w:t>
      </w:r>
    </w:p>
    <w:p>
      <w:pPr>
        <w:pStyle w:val="FirstParagraph"/>
      </w:pPr>
      <w:r>
        <w:rPr>
          <w:bCs/>
          <w:b/>
        </w:rPr>
        <w:t xml:space="preserve">Belegt:</w:t>
      </w:r>
      <w:r>
        <w:t xml:space="preserve"> </w:t>
      </w:r>
      <w:r>
        <w:t xml:space="preserve">In den randomisierten Studien traten Nebenwirkungen nicht häufiger auf als unter Placebo. Die große Arthrose-Meta-Analyse fand kein erhöhtes Risiko für unerwünschte Ereignisse oder Studienabbrüche (Liang 2024, PMID 38218227). Gelegentlich werden Völlegefühl, Blähungen oder ein unangenehmer Geschmack berichtet.</w:t>
      </w:r>
    </w:p>
    <w:p>
      <w:pPr>
        <w:pStyle w:val="BodyText"/>
      </w:pPr>
      <w:r>
        <w:rPr>
          <w:bCs/>
          <w:b/>
        </w:rPr>
        <w:t xml:space="preserve">Zu beachten:</w:t>
      </w:r>
    </w:p>
    <w:p>
      <w:pPr>
        <w:numPr>
          <w:ilvl w:val="0"/>
          <w:numId w:val="1295"/>
        </w:numPr>
        <w:pStyle w:val="Compact"/>
      </w:pPr>
      <w:r>
        <w:rPr>
          <w:bCs/>
          <w:b/>
        </w:rPr>
        <w:t xml:space="preserve">Allergien und Unverträglichkeiten:</w:t>
      </w:r>
      <w:r>
        <w:t xml:space="preserve"> </w:t>
      </w:r>
      <w:r>
        <w:t xml:space="preserve">Kollagen aus Fisch kann bei Fischallergie problematisch sein; Produkte aus Rind oder Schwein sind für Menschen relevant, die diese Tiere aus religiösen oder ethischen Gründen meiden. Die Herkunft steht auf der Zutatenliste.</w:t>
      </w:r>
    </w:p>
    <w:p>
      <w:pPr>
        <w:numPr>
          <w:ilvl w:val="0"/>
          <w:numId w:val="1295"/>
        </w:numPr>
        <w:pStyle w:val="Compact"/>
      </w:pPr>
      <w:r>
        <w:rPr>
          <w:bCs/>
          <w:b/>
        </w:rPr>
        <w:t xml:space="preserve">Oxalat und Nierensteine:</w:t>
      </w:r>
      <w:r>
        <w:t xml:space="preserve"> </w:t>
      </w:r>
      <w:r>
        <w:t xml:space="preserve">Hydroxyprolin wird im Körper teilweise zu Oxalat abgebaut. In einer Studie stieg die Oxalatausscheidung im Urin nach 30 g Gelatine pro Tag um 43 % gegenüber Molkenprotein; schon 5 bis 10 g Gelatine führten zu messbaren Veränderungen (Knight 2006, PMID 17021603). Für gesunde Menschen ist die Bedeutung unklar. Menschen mit Calciumoxalat-Nierensteinen oder einer angeborenen Hyperoxalurie sollten die Einnahme ärztlich besprechen (theoretisches, aber biologisch begründetes Risiko).</w:t>
      </w:r>
    </w:p>
    <w:p>
      <w:pPr>
        <w:numPr>
          <w:ilvl w:val="0"/>
          <w:numId w:val="1295"/>
        </w:numPr>
        <w:pStyle w:val="Compact"/>
      </w:pPr>
      <w:r>
        <w:rPr>
          <w:bCs/>
          <w:b/>
        </w:rPr>
        <w:t xml:space="preserve">Eiweißmenge:</w:t>
      </w:r>
      <w:r>
        <w:t xml:space="preserve"> </w:t>
      </w:r>
      <w:r>
        <w:t xml:space="preserve">Bei Nierenerkrankungen mit Eiweißbeschränkung zählt auch Kollagen zur täglichen Eiweißzufuhr.</w:t>
      </w:r>
    </w:p>
    <w:p>
      <w:pPr>
        <w:numPr>
          <w:ilvl w:val="0"/>
          <w:numId w:val="1295"/>
        </w:numPr>
        <w:pStyle w:val="Compact"/>
      </w:pPr>
      <w:r>
        <w:rPr>
          <w:bCs/>
          <w:b/>
        </w:rPr>
        <w:t xml:space="preserve">Produktqualität:</w:t>
      </w:r>
      <w:r>
        <w:t xml:space="preserve"> </w:t>
      </w:r>
      <w:r>
        <w:t xml:space="preserve">Nahrungsergänzungsmittel werden vor dem Verkauf nicht auf Wirksamkeit geprüft. Für Reinheit und Schadstofffreiheit ist der Hersteller verantwortlich; die Lebensmittelüberwachung kontrolliert nur stichprobenartig.</w:t>
      </w:r>
    </w:p>
    <w:p>
      <w:pPr>
        <w:numPr>
          <w:ilvl w:val="0"/>
          <w:numId w:val="1295"/>
        </w:numPr>
        <w:pStyle w:val="Compact"/>
      </w:pPr>
      <w:r>
        <w:rPr>
          <w:bCs/>
          <w:b/>
        </w:rPr>
        <w:t xml:space="preserve">Falsche Sicherheit:</w:t>
      </w:r>
      <w:r>
        <w:t xml:space="preserve"> </w:t>
      </w:r>
      <w:r>
        <w:t xml:space="preserve">Das größte praktische Risiko besteht darin, dass Kollagen anstelle wirksamer Maßnahmen eingesetzt wird – etwa statt UV-Schutz bei Hautalterung oder statt einer Osteoporosebehandlung.</w:t>
      </w:r>
    </w:p>
    <w:bookmarkEnd w:id="869"/>
    <w:bookmarkStart w:id="870" w:name="rechtslage-52"/>
    <w:p>
      <w:pPr>
        <w:pStyle w:val="Heading3"/>
      </w:pPr>
      <w:r>
        <w:t xml:space="preserve">Rechtslage</w:t>
      </w:r>
    </w:p>
    <w:p>
      <w:pPr>
        <w:numPr>
          <w:ilvl w:val="0"/>
          <w:numId w:val="1296"/>
        </w:numPr>
        <w:pStyle w:val="Compact"/>
      </w:pPr>
      <w:r>
        <w:rPr>
          <w:bCs/>
          <w:b/>
        </w:rPr>
        <w:t xml:space="preserve">EU / Österreich / Deutschland:</w:t>
      </w:r>
      <w:r>
        <w:t xml:space="preserve"> </w:t>
      </w:r>
      <w:r>
        <w:t xml:space="preserve">Kollagenpeptide sind Lebensmittel. In Deutschland müssen Nahrungsergänzungsmittel vor dem ersten Verkauf beim Bundesamt für Verbraucherschutz und Lebensmittelsicherheit (BVL) angezeigt werden; in Österreich gelten eigene Regeln. Eine Prüfung der Wirksamkeit findet in keinem der beiden Länder statt. Gesundheitsbezogene Aussagen sind nach der EU-Health-Claims-Verordnung (Verordnung (EG) Nr. 1924/2006) nur erlaubt, wenn sie in der EU-Liste zugelassen sind.</w:t>
      </w:r>
      <w:r>
        <w:t xml:space="preserve"> </w:t>
      </w:r>
      <w:r>
        <w:rPr>
          <w:bCs/>
          <w:b/>
        </w:rPr>
        <w:t xml:space="preserve">Für Kollagen oder Kollagenpeptide gibt es keinen zugelassenen Health Claim.</w:t>
      </w:r>
      <w:r>
        <w:t xml:space="preserve"> </w:t>
      </w:r>
      <w:r>
        <w:t xml:space="preserve">Die Europäische Behörde für Lebensmittelsicherheit (EFSA) hat beantragte Angaben, etwa zur Gelenkgesundheit, negativ bewertet, weil ein Ursache-Wirkungs-Zusammenhang nicht nachgewiesen war. Deshalb enthalten viele Produkte Vitamin C: Für Vitamin C ist die Angabe zugelassen, dass es zu einer normalen Kollagenbildung für eine normale Funktion von Haut, Knorpel, Knochen, Zahnfleisch, Zähnen und Blutgefäßen beiträgt. Der Werbesatz bezieht sich dann rechtlich auf das Vitamin, nicht auf das Kollagen. Aussagen zur Schönheit („für straffere Haut“) bewegen sich in einer Grauzone und werden von Gerichten unterschiedlich beurteilt.</w:t>
      </w:r>
    </w:p>
    <w:p>
      <w:pPr>
        <w:numPr>
          <w:ilvl w:val="0"/>
          <w:numId w:val="1296"/>
        </w:numPr>
        <w:pStyle w:val="Compact"/>
      </w:pPr>
      <w:r>
        <w:rPr>
          <w:bCs/>
          <w:b/>
        </w:rPr>
        <w:t xml:space="preserve">USA:</w:t>
      </w:r>
      <w:r>
        <w:t xml:space="preserve"> </w:t>
      </w:r>
      <w:r>
        <w:t xml:space="preserve">Kollagenpeptide werden als Dietary Supplement verkauft. Hersteller dürfen sogenannte Struktur-Funktions-Aussagen machen („unterstützt gesunde Haut“), müssen dazu aber den Hinweis tragen, dass die Aussage nicht von der FDA geprüft wurde. Krankheitsbezogene Versprechen sind nicht erlaubt.</w:t>
      </w:r>
    </w:p>
    <w:p>
      <w:pPr>
        <w:numPr>
          <w:ilvl w:val="0"/>
          <w:numId w:val="1296"/>
        </w:numPr>
        <w:pStyle w:val="Compact"/>
      </w:pPr>
      <w:r>
        <w:rPr>
          <w:bCs/>
          <w:b/>
        </w:rPr>
        <w:t xml:space="preserve">Sport:</w:t>
      </w:r>
      <w:r>
        <w:t xml:space="preserve"> </w:t>
      </w:r>
      <w:r>
        <w:t xml:space="preserve">Kollagenpeptide stehen nicht auf der WADA-Verbotsliste. Wie bei allen Nahrungsergänzungsmitteln besteht ein Restrisiko von Verunreinigungen; Leistungssportlerinnen und -sportler sollten auf geprüfte Listen (z. B. Kölner Liste) achten (Stand 2026, bitte aktuell prüfen).</w:t>
      </w:r>
    </w:p>
    <w:bookmarkEnd w:id="870"/>
    <w:bookmarkStart w:id="871" w:name="laufende-studien-und-ausblick-52"/>
    <w:p>
      <w:pPr>
        <w:pStyle w:val="Heading3"/>
      </w:pPr>
      <w:r>
        <w:t xml:space="preserve">Laufende Studien und Ausblick</w:t>
      </w:r>
    </w:p>
    <w:p>
      <w:pPr>
        <w:pStyle w:val="FirstParagraph"/>
      </w:pPr>
      <w:r>
        <w:rPr>
          <w:bCs/>
          <w:b/>
        </w:rPr>
        <w:t xml:space="preserve">Gesichert (registrierte Studien, Stand Oktober 2026):</w:t>
      </w:r>
    </w:p>
    <w:p>
      <w:pPr>
        <w:numPr>
          <w:ilvl w:val="0"/>
          <w:numId w:val="1297"/>
        </w:numPr>
        <w:pStyle w:val="Compact"/>
      </w:pPr>
      <w:r>
        <w:rPr>
          <w:bCs/>
          <w:b/>
        </w:rPr>
        <w:t xml:space="preserve">Kniearthrose:</w:t>
      </w:r>
      <w:r>
        <w:t xml:space="preserve"> </w:t>
      </w:r>
      <w:r>
        <w:t xml:space="preserve">Eine Studie des Istituto Ortopedico Rizzoli vergleicht eine Kollagenhydrolysat-Formulierung mit Placebo bei 204 Teilnehmenden (NCT04998188). Eine kleinere Studie vergleicht verschiedene Kollagenformen (NCT07800780).</w:t>
      </w:r>
    </w:p>
    <w:p>
      <w:pPr>
        <w:numPr>
          <w:ilvl w:val="0"/>
          <w:numId w:val="1297"/>
        </w:numPr>
        <w:pStyle w:val="Compact"/>
      </w:pPr>
      <w:r>
        <w:rPr>
          <w:bCs/>
          <w:b/>
        </w:rPr>
        <w:t xml:space="preserve">Knieprothese:</w:t>
      </w:r>
      <w:r>
        <w:t xml:space="preserve"> </w:t>
      </w:r>
      <w:r>
        <w:t xml:space="preserve">Kollagenpeptide nach Knie-Totalendoprothese, Endpunkte Bindegewebsumbau und Wundheilung (NCT05823727).</w:t>
      </w:r>
    </w:p>
    <w:p>
      <w:pPr>
        <w:numPr>
          <w:ilvl w:val="0"/>
          <w:numId w:val="1297"/>
        </w:numPr>
        <w:pStyle w:val="Compact"/>
      </w:pPr>
      <w:r>
        <w:rPr>
          <w:bCs/>
          <w:b/>
        </w:rPr>
        <w:t xml:space="preserve">Haut:</w:t>
      </w:r>
      <w:r>
        <w:t xml:space="preserve"> </w:t>
      </w:r>
      <w:r>
        <w:t xml:space="preserve">Ein Vergleich von oraler und äußerlicher Kollagenanwendung allein und kombiniert mit geplant 165 Frauen (NCT07473037).</w:t>
      </w:r>
    </w:p>
    <w:p>
      <w:pPr>
        <w:numPr>
          <w:ilvl w:val="0"/>
          <w:numId w:val="1297"/>
        </w:numPr>
        <w:pStyle w:val="Compact"/>
      </w:pPr>
      <w:r>
        <w:rPr>
          <w:bCs/>
          <w:b/>
        </w:rPr>
        <w:t xml:space="preserve">Altern:</w:t>
      </w:r>
      <w:r>
        <w:t xml:space="preserve"> </w:t>
      </w:r>
      <w:r>
        <w:t xml:space="preserve">Eine Studie der Universität Wien untersucht Kollagenpeptide und Marker der Zellalterung bei geplant 125 Teilnehmenden (NCT07456449).</w:t>
      </w:r>
    </w:p>
    <w:p>
      <w:pPr>
        <w:numPr>
          <w:ilvl w:val="0"/>
          <w:numId w:val="1297"/>
        </w:numPr>
        <w:pStyle w:val="Compact"/>
      </w:pPr>
      <w:r>
        <w:rPr>
          <w:bCs/>
          <w:b/>
        </w:rPr>
        <w:t xml:space="preserve">Stoffwechsel:</w:t>
      </w:r>
      <w:r>
        <w:t xml:space="preserve"> </w:t>
      </w:r>
      <w:r>
        <w:t xml:space="preserve">Eine Studie am King’s College London untersucht Lebensqualität, Appetit und Blutzuckerkontrolle (NCT07229014).</w:t>
      </w:r>
    </w:p>
    <w:p>
      <w:pPr>
        <w:pStyle w:val="FirstParagraph"/>
      </w:pPr>
      <w:r>
        <w:rPr>
          <w:bCs/>
          <w:b/>
        </w:rPr>
        <w:t xml:space="preserve">Einschätzung:</w:t>
      </w:r>
      <w:r>
        <w:t xml:space="preserve"> </w:t>
      </w:r>
      <w:r>
        <w:t xml:space="preserve">Die entscheidende Frage für die kommenden Jahre ist nicht, ob es weitere kleine positive Studien geben wird – davon ist auszugehen –, sondern ob große, unabhängig finanzierte Studien mit vorab registrierten Endpunkten die Effekte bestätigen. Die Meta-Analyse nach Finanzierungsquelle (Myung 2025, PMID 40324552) hat die Messlatte dafür sichtbar gemacht. Für Gelenkschmerzen ist ein kleiner Effekt am ehesten belegt; für Haut und Sehnen bleibt die Lage offen. Eine Zulassung als Arzneimittel ist nicht zu erwarten, da die Produkte als Lebensmittel bereits frei verkäuflich sind und kein Hersteller den Aufwand eines Zulassungsprogramms tragen müsste.</w:t>
      </w:r>
    </w:p>
    <w:bookmarkEnd w:id="871"/>
    <w:bookmarkStart w:id="872" w:name="fazit-52"/>
    <w:p>
      <w:pPr>
        <w:pStyle w:val="Heading3"/>
      </w:pPr>
      <w:r>
        <w:t xml:space="preserve">Fazit</w:t>
      </w:r>
    </w:p>
    <w:p>
      <w:pPr>
        <w:pStyle w:val="FirstParagraph"/>
      </w:pPr>
      <w:r>
        <w:t xml:space="preserve">Kollagenpeptide sind ein gut verträgliches Lebensmittelprodukt mit einer großen, aber methodisch schwachen Studienbasis. Für Gelenkschmerzen bei Arthrose zeigen Meta-Analysen kleine Effekte, einzelne größere Studien fanden jedoch keinen Unterschied zu Placebo. Bei der Haut verschwindet der in Herstellerstudien gemessene Nutzen, wenn man nur unabhängig finanzierte oder methodisch hochwertige Studien betrachtet. Für den Muskelaufbau ist Kollagen anderen Eiweißquellen unterlegen; undenaturiertes Typ-II-Kollagen ist ein eigenes Produkt mit eigener, ebenfalls begrenzter Datenlage. In der EU darf Kollagen nicht mit gesundheitsbezogenen Aussagen beworben werden – Werbebotschaften beziehen sich meist auf zugesetztes Vitamin C.</w:t>
      </w:r>
    </w:p>
    <w:bookmarkEnd w:id="872"/>
    <w:bookmarkEnd w:id="873"/>
    <w:bookmarkStart w:id="886" w:name="lactotripeptide-vpp-und-ipp"/>
    <w:p>
      <w:pPr>
        <w:pStyle w:val="Heading2"/>
      </w:pPr>
      <w:r>
        <w:t xml:space="preserve">Lactotripeptide (VPP und IPP)</w:t>
      </w:r>
    </w:p>
    <w:bookmarkStart w:id="874" w:name="steckbrief-53"/>
    <w:p>
      <w:pPr>
        <w:pStyle w:val="Heading3"/>
      </w:pPr>
      <w:r>
        <w:t xml:space="preserve">Steckbrief</w:t>
      </w:r>
    </w:p>
    <w:p>
      <w:pPr>
        <w:numPr>
          <w:ilvl w:val="0"/>
          <w:numId w:val="1298"/>
        </w:numPr>
        <w:pStyle w:val="Compact"/>
      </w:pPr>
      <w:r>
        <w:rPr>
          <w:bCs/>
          <w:b/>
        </w:rPr>
        <w:t xml:space="preserve">Art/Struktur:</w:t>
      </w:r>
      <w:r>
        <w:t xml:space="preserve"> </w:t>
      </w:r>
      <w:r>
        <w:t xml:space="preserve">zwei Tripeptide aus je drei Aminosäuren: Valin-Prolin-Prolin (VPP) und Isoleucin-Prolin-Prolin (IPP). Das doppelte Prolin am Ende macht sie vergleichsweise widerstandsfähig gegen Verdauungsenzyme.</w:t>
      </w:r>
    </w:p>
    <w:p>
      <w:pPr>
        <w:numPr>
          <w:ilvl w:val="0"/>
          <w:numId w:val="1298"/>
        </w:numPr>
        <w:pStyle w:val="Compact"/>
      </w:pPr>
      <w:r>
        <w:rPr>
          <w:bCs/>
          <w:b/>
        </w:rPr>
        <w:t xml:space="preserve">Herkunft:</w:t>
      </w:r>
      <w:r>
        <w:t xml:space="preserve"> </w:t>
      </w:r>
      <w:r>
        <w:t xml:space="preserve">Bruchstücke des Milcheiweißes Casein. Sie entstehen, wenn Milch mit bestimmten Bakterien (vor allem</w:t>
      </w:r>
      <w:r>
        <w:t xml:space="preserve"> </w:t>
      </w:r>
      <w:r>
        <w:rPr>
          <w:iCs/>
          <w:i/>
        </w:rPr>
        <w:t xml:space="preserve">Lactobacillus helveticus</w:t>
      </w:r>
      <w:r>
        <w:t xml:space="preserve">) fermentiert wird, oder durch enzymatische Spaltung von Casein mit Enzymen aus dem Schimmelpilz</w:t>
      </w:r>
      <w:r>
        <w:t xml:space="preserve"> </w:t>
      </w:r>
      <w:r>
        <w:rPr>
          <w:iCs/>
          <w:i/>
        </w:rPr>
        <w:t xml:space="preserve">Aspergillus oryzae</w:t>
      </w:r>
      <w:r>
        <w:t xml:space="preserve">. Bekannte Produkte waren ein japanisches Sauermilchgetränk (Calpis) und ein finnisches Milchprodukt (Evolus von Valio).</w:t>
      </w:r>
    </w:p>
    <w:p>
      <w:pPr>
        <w:numPr>
          <w:ilvl w:val="0"/>
          <w:numId w:val="1298"/>
        </w:numPr>
        <w:pStyle w:val="Compact"/>
      </w:pPr>
      <w:r>
        <w:rPr>
          <w:bCs/>
          <w:b/>
        </w:rPr>
        <w:t xml:space="preserve">Wirkprinzip:</w:t>
      </w:r>
      <w:r>
        <w:t xml:space="preserve"> </w:t>
      </w:r>
      <w:r>
        <w:t xml:space="preserve">sollen das Angiotensin-konvertierende Enzym (ACE) hemmen – dasselbe Enzym, das blutdrucksenkende ACE-Hemmer wie Ramipril oder Enalapril blockieren, nur um ein Vielfaches schwächer.</w:t>
      </w:r>
    </w:p>
    <w:p>
      <w:pPr>
        <w:numPr>
          <w:ilvl w:val="0"/>
          <w:numId w:val="1298"/>
        </w:numPr>
        <w:pStyle w:val="Compact"/>
      </w:pPr>
      <w:r>
        <w:rPr>
          <w:bCs/>
          <w:b/>
        </w:rPr>
        <w:t xml:space="preserve">Zulassung EU:</w:t>
      </w:r>
      <w:r>
        <w:t xml:space="preserve"> </w:t>
      </w:r>
      <w:r>
        <w:t xml:space="preserve">keine Arzneimittelzulassung; als Lebensmittelzutat bzw. in Nahrungsergänzungsmitteln. Keine zugelassene gesundheitsbezogene Angabe zum Blutdruck.</w:t>
      </w:r>
    </w:p>
    <w:p>
      <w:pPr>
        <w:numPr>
          <w:ilvl w:val="0"/>
          <w:numId w:val="1298"/>
        </w:numPr>
        <w:pStyle w:val="Compact"/>
      </w:pPr>
      <w:r>
        <w:rPr>
          <w:bCs/>
          <w:b/>
        </w:rPr>
        <w:t xml:space="preserve">Zulassung USA:</w:t>
      </w:r>
      <w:r>
        <w:t xml:space="preserve"> </w:t>
      </w:r>
      <w:r>
        <w:t xml:space="preserve">keine Arzneimittelzulassung; als Nahrungsergänzungsmittel erhältlich.</w:t>
      </w:r>
    </w:p>
    <w:p>
      <w:pPr>
        <w:numPr>
          <w:ilvl w:val="0"/>
          <w:numId w:val="1298"/>
        </w:numPr>
        <w:pStyle w:val="Compact"/>
      </w:pPr>
      <w:r>
        <w:rPr>
          <w:bCs/>
          <w:b/>
        </w:rPr>
        <w:t xml:space="preserve">WADA:</w:t>
      </w:r>
      <w:r>
        <w:t xml:space="preserve"> </w:t>
      </w:r>
      <w:r>
        <w:t xml:space="preserve">nicht gelistet (Stand 2026, bitte aktuell prüfen).</w:t>
      </w:r>
    </w:p>
    <w:p>
      <w:pPr>
        <w:numPr>
          <w:ilvl w:val="0"/>
          <w:numId w:val="1298"/>
        </w:numPr>
        <w:pStyle w:val="Compact"/>
      </w:pPr>
      <w:r>
        <w:rPr>
          <w:bCs/>
          <w:b/>
        </w:rPr>
        <w:t xml:space="preserve">Evidenzstufe:</w:t>
      </w:r>
      <w:r>
        <w:t xml:space="preserve"> </w:t>
      </w:r>
      <w:r>
        <w:rPr>
          <w:bCs/>
          <w:b/>
        </w:rPr>
        <w:t xml:space="preserve">B</w:t>
      </w:r>
      <w:r>
        <w:t xml:space="preserve"> </w:t>
      </w:r>
      <w:r>
        <w:t xml:space="preserve">– rund 30 randomisierte Studien mit insgesamt einigen tausend Teilnehmenden, aber jeweils klein, mit widersprüchlichen Ergebnissen und ohne harte Endpunkte.</w:t>
      </w:r>
    </w:p>
    <w:bookmarkEnd w:id="874"/>
    <w:bookmarkStart w:id="875" w:name="wie-es-wirken-soll-53"/>
    <w:p>
      <w:pPr>
        <w:pStyle w:val="Heading3"/>
      </w:pPr>
      <w:r>
        <w:t xml:space="preserve">Wie es wirken soll</w:t>
      </w:r>
    </w:p>
    <w:p>
      <w:pPr>
        <w:pStyle w:val="FirstParagraph"/>
      </w:pPr>
      <w:r>
        <w:t xml:space="preserve">Der Blutdruck wird unter anderem vom Renin-Angiotensin-System gesteuert. Ein zentraler Schritt ist die Umwandlung des inaktiven Angiotensin I in das gefäßverengende Angiotensin II durch das Enzym ACE. Dasselbe Enzym baut außerdem Bradykinin ab, einen Stoff, der Gefäße erweitert. Wird ACE gehemmt, entstehen weniger Angiotensin II und mehr Bradykinin – der Blutdruck sinkt. Auf diesem Prinzip beruhen die ACE-Hemmer, eine der wichtigsten Gruppen von Blutdruckmedikamenten. Historisch interessant: Der erste ACE-Hemmer, Captopril, wurde aus einem Peptid im Gift einer Schlange entwickelt.</w:t>
      </w:r>
    </w:p>
    <w:p>
      <w:pPr>
        <w:pStyle w:val="BodyText"/>
      </w:pPr>
      <w:r>
        <w:t xml:space="preserve">In den 1990er-Jahren isolierten japanische Forschende aus Sauermilch zwei Tripeptide, die ACE im Reagenzglas hemmen. Bei Ratten mit angeborenem Bluthochdruck senkten eine einmalige Gabe der Sauermilch oder der isolierten Peptide VPP und IPP den systolischen Blutdruck für einige Stunden; bei Ratten mit normalem Blutdruck veränderte sich nichts (Nakamura 1995, PMID 7673515). Daraus entstand die Idee eines „blutdrucksenkenden Lebensmittels“.</w:t>
      </w:r>
    </w:p>
    <w:p>
      <w:pPr>
        <w:pStyle w:val="BodyText"/>
      </w:pPr>
      <w:r>
        <w:t xml:space="preserve">Damit das funktioniert, müssen die Peptide unversehrt in den Blutkreislauf gelangen. Eine kleine Studie zeigte, dass IPP nach dem Trinken eines angereicherten Joghurtgetränks tatsächlich intakt im Blut nachweisbar ist – allerdings in Konzentrationen im Pikomol-pro-Liter-Bereich (Foltz 2007, PMID 17374660). Eine Schweizer Studie mit zwölf gesunden Männern prüfte dann direkt, ob die Peptide ACE im Körper hemmen: Nach sieben Tagen fermentierter Milch blieben Marker der ACE-Aktivität und das Renin unverändert, während eine einzige Tablette Captopril die ACE-Aktivität im Plasma um 82 % senkte. IPP stieg im Blut nur kurz und gering an, VPP lag unter der Nachweisgrenze (Wuerzner 2009, PMID 19506528).</w:t>
      </w:r>
    </w:p>
    <w:p>
      <w:pPr>
        <w:pStyle w:val="BodyText"/>
      </w:pPr>
      <w:r>
        <w:t xml:space="preserve">Das bedeutet: Der im Labor plausible Mechanismus ließ sich beim Menschen in den getesteten Mengen nicht nachweisen. Diskutiert werden deshalb auch andere Wege, etwa eine verbesserte Funktion der Gefäßinnenwand über Stickstoffmonoxid. Diese stammen bislang vor allem aus Zellkultur- und Tierversuchen.</w:t>
      </w:r>
    </w:p>
    <w:bookmarkEnd w:id="875"/>
    <w:bookmarkStart w:id="880" w:name="studien-am-menschen-53"/>
    <w:p>
      <w:pPr>
        <w:pStyle w:val="Heading3"/>
      </w:pPr>
      <w:r>
        <w:t xml:space="preserve">Studien am Menschen</w:t>
      </w:r>
    </w:p>
    <w:p>
      <w:pPr>
        <w:pStyle w:val="FirstParagraph"/>
      </w:pPr>
      <w:r>
        <w:t xml:space="preserve">Die für dieses Buch ausgewertete PubMed-Abfrage (Lactotripeptide bzw. Valyl-Prolyl-Prolin, Abfragedatum Oktober 2026) ergab 21 Humanstudien; auf ClinicalTrials.gov fand die Suche „lactotripeptides“ keinen Registereintrag. Die meisten Studien wurden vor Einführung der Registrierungspflicht für Ernährungsstudien durchgeführt. Die Meta-Analysen beziehen sich auf bis zu 30 randomisierte Studien, darunter viele japanische Studien, die in der PubMed-Abfrage nicht vollständig erfasst sind.</w:t>
      </w:r>
    </w:p>
    <w:bookmarkStart w:id="876" w:name="die-frühen-positiven-studien"/>
    <w:p>
      <w:pPr>
        <w:pStyle w:val="Heading4"/>
      </w:pPr>
      <w:r>
        <w:t xml:space="preserve">Die frühen positiven 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Hata 1996, PMID 8901799</w:t>
            </w:r>
          </w:p>
        </w:tc>
        <w:tc>
          <w:tcPr/>
          <w:p>
            <w:pPr>
              <w:pStyle w:val="Compact"/>
              <w:jc w:val="left"/>
            </w:pPr>
            <w:r>
              <w:t xml:space="preserve">30 ältere Menschen mit Bluthochdruck (meist mit Medikamenten), Sauermilch vs. angesäuerte Milch</w:t>
            </w:r>
          </w:p>
        </w:tc>
        <w:tc>
          <w:tcPr/>
          <w:p>
            <w:pPr>
              <w:pStyle w:val="Compact"/>
              <w:jc w:val="left"/>
            </w:pPr>
            <w:r>
              <w:t xml:space="preserve">8 Wochen</w:t>
            </w:r>
          </w:p>
        </w:tc>
        <w:tc>
          <w:tcPr/>
          <w:p>
            <w:pPr>
              <w:pStyle w:val="Compact"/>
              <w:jc w:val="left"/>
            </w:pPr>
            <w:r>
              <w:t xml:space="preserve">Systolisch −14,1 mmHg gegenüber Ausgangswert in der Sauermilchgruppe; Placebo unverändert</w:t>
            </w:r>
          </w:p>
        </w:tc>
      </w:tr>
      <w:tr>
        <w:tc>
          <w:tcPr/>
          <w:p>
            <w:pPr>
              <w:pStyle w:val="Compact"/>
              <w:jc w:val="left"/>
            </w:pPr>
            <w:r>
              <w:t xml:space="preserve">Seppo 2003, PMID 12540390</w:t>
            </w:r>
          </w:p>
        </w:tc>
        <w:tc>
          <w:tcPr/>
          <w:p>
            <w:pPr>
              <w:pStyle w:val="Compact"/>
              <w:jc w:val="left"/>
            </w:pPr>
            <w:r>
              <w:t xml:space="preserve">39 Personen mit Bluthochdruck, fermentierte Milch vs. Kontrolle</w:t>
            </w:r>
          </w:p>
        </w:tc>
        <w:tc>
          <w:tcPr/>
          <w:p>
            <w:pPr>
              <w:pStyle w:val="Compact"/>
              <w:jc w:val="left"/>
            </w:pPr>
            <w:r>
              <w:t xml:space="preserve">21 Wochen</w:t>
            </w:r>
          </w:p>
        </w:tc>
        <w:tc>
          <w:tcPr/>
          <w:p>
            <w:pPr>
              <w:pStyle w:val="Compact"/>
              <w:jc w:val="left"/>
            </w:pPr>
            <w:r>
              <w:t xml:space="preserve">Unterschied systolisch 6,7 mmHg (p = 0,03), diastolisch 3,6 mmHg (nicht signifikant)</w:t>
            </w:r>
          </w:p>
        </w:tc>
      </w:tr>
      <w:tr>
        <w:tc>
          <w:tcPr/>
          <w:p>
            <w:pPr>
              <w:pStyle w:val="Compact"/>
              <w:jc w:val="left"/>
            </w:pPr>
            <w:r>
              <w:t xml:space="preserve">Tuomilehto 2004, PMID 15175633</w:t>
            </w:r>
          </w:p>
        </w:tc>
        <w:tc>
          <w:tcPr/>
          <w:p>
            <w:pPr>
              <w:pStyle w:val="Compact"/>
              <w:jc w:val="left"/>
            </w:pPr>
            <w:r>
              <w:t xml:space="preserve">60 Personen mit mildem Bluthochdruck, Crossover</w:t>
            </w:r>
          </w:p>
        </w:tc>
        <w:tc>
          <w:tcPr/>
          <w:p>
            <w:pPr>
              <w:pStyle w:val="Compact"/>
              <w:jc w:val="left"/>
            </w:pPr>
            <w:r>
              <w:t xml:space="preserve">2 × Phasen</w:t>
            </w:r>
          </w:p>
        </w:tc>
        <w:tc>
          <w:tcPr/>
          <w:p>
            <w:pPr>
              <w:pStyle w:val="Compact"/>
              <w:jc w:val="left"/>
            </w:pPr>
            <w:r>
              <w:t xml:space="preserve">Gesamtanalyse: systolisch 2,6 mmHg Unterschied, nicht signifikant</w:t>
            </w:r>
          </w:p>
        </w:tc>
      </w:tr>
      <w:tr>
        <w:tc>
          <w:tcPr/>
          <w:p>
            <w:pPr>
              <w:pStyle w:val="Compact"/>
              <w:jc w:val="left"/>
            </w:pPr>
            <w:r>
              <w:t xml:space="preserve">Jauhiainen 2005, PMID 16364832</w:t>
            </w:r>
          </w:p>
        </w:tc>
        <w:tc>
          <w:tcPr/>
          <w:p>
            <w:pPr>
              <w:pStyle w:val="Compact"/>
              <w:jc w:val="left"/>
            </w:pPr>
            <w:r>
              <w:t xml:space="preserve">94 unbehandelte Personen mit Bluthochdruck, fermentierte Milch vs. Kontrolle, 24-Stunden-Messung</w:t>
            </w:r>
          </w:p>
        </w:tc>
        <w:tc>
          <w:tcPr/>
          <w:p>
            <w:pPr>
              <w:pStyle w:val="Compact"/>
              <w:jc w:val="left"/>
            </w:pPr>
            <w:r>
              <w:t xml:space="preserve">10 Wochen</w:t>
            </w:r>
          </w:p>
        </w:tc>
        <w:tc>
          <w:tcPr/>
          <w:p>
            <w:pPr>
              <w:pStyle w:val="Compact"/>
              <w:jc w:val="left"/>
            </w:pPr>
            <w:r>
              <w:t xml:space="preserve">Systolisch −4,1 mmHg, diastolisch −1,8 mmHg gegenüber Kontrolle</w:t>
            </w:r>
          </w:p>
        </w:tc>
      </w:tr>
    </w:tbl>
    <w:p>
      <w:pPr>
        <w:pStyle w:val="BodyText"/>
      </w:pPr>
      <w:r>
        <w:t xml:space="preserve">Die frühe Studie von Hata war klein, die meisten Teilnehmenden nahmen bereits Blutdruckmedikamente, und es wurde vor allem mit dem Ausgangswert verglichen. Die Studie von Jauhiainen ist methodisch stärker, weil sie die 24-Stunden-Blutdruckmessung verwendete, die weniger anfällig für den „Weißkitteleffekt“ beim Arzt ist.</w:t>
      </w:r>
    </w:p>
    <w:bookmarkEnd w:id="876"/>
    <w:bookmarkStart w:id="877" w:name="Xff6a21eccf11761faf4d0251f7bfbf32bdf547d"/>
    <w:p>
      <w:pPr>
        <w:pStyle w:val="Heading4"/>
      </w:pPr>
      <w:r>
        <w:t xml:space="preserve">Die negativen Studien aus den Niederlanden</w:t>
      </w:r>
    </w:p>
    <w:p>
      <w:pPr>
        <w:pStyle w:val="FirstParagraph"/>
      </w:pPr>
      <w:r>
        <w:t xml:space="preserve">Ab 2008 erschienen mehrere größere, sorgfältig durchgeführte Studien aus europäischen Ländern, die keinen Effekt fanden: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Engberink 2008, PMID 18086944</w:t>
            </w:r>
          </w:p>
        </w:tc>
        <w:tc>
          <w:tcPr/>
          <w:p>
            <w:pPr>
              <w:pStyle w:val="Compact"/>
              <w:jc w:val="left"/>
            </w:pPr>
            <w:r>
              <w:t xml:space="preserve">135 Niederländer mit erhöhtem systolischem Druck, drei Herstellungsarten von LTP vs. Placebo</w:t>
            </w:r>
          </w:p>
        </w:tc>
        <w:tc>
          <w:tcPr/>
          <w:p>
            <w:pPr>
              <w:pStyle w:val="Compact"/>
              <w:jc w:val="left"/>
            </w:pPr>
            <w:r>
              <w:t xml:space="preserve">8 Wochen</w:t>
            </w:r>
          </w:p>
        </w:tc>
        <w:tc>
          <w:tcPr/>
          <w:p>
            <w:pPr>
              <w:pStyle w:val="Compact"/>
              <w:jc w:val="left"/>
            </w:pPr>
            <w:r>
              <w:t xml:space="preserve">Kein Unterschied zu Placebo bei Praxis-, Heim- und 24-Stunden-Blutdruck, ACE-Aktivität oder Angiotensin II</w:t>
            </w:r>
          </w:p>
        </w:tc>
      </w:tr>
      <w:tr>
        <w:tc>
          <w:tcPr/>
          <w:p>
            <w:pPr>
              <w:pStyle w:val="Compact"/>
              <w:jc w:val="left"/>
            </w:pPr>
            <w:r>
              <w:t xml:space="preserve">van der Zander 2008, PMID 19064533</w:t>
            </w:r>
          </w:p>
        </w:tc>
        <w:tc>
          <w:tcPr/>
          <w:p>
            <w:pPr>
              <w:pStyle w:val="Compact"/>
              <w:jc w:val="left"/>
            </w:pPr>
            <w:r>
              <w:t xml:space="preserve">275 Niederländer mit Bluthochdruck, enzymatisch hergestellte LTP in Joghurtdrink vs. Placebo</w:t>
            </w:r>
          </w:p>
        </w:tc>
        <w:tc>
          <w:tcPr/>
          <w:p>
            <w:pPr>
              <w:pStyle w:val="Compact"/>
              <w:jc w:val="left"/>
            </w:pPr>
            <w:r>
              <w:t xml:space="preserve">8 Wochen</w:t>
            </w:r>
          </w:p>
        </w:tc>
        <w:tc>
          <w:tcPr/>
          <w:p>
            <w:pPr>
              <w:pStyle w:val="Compact"/>
              <w:jc w:val="left"/>
            </w:pPr>
            <w:r>
              <w:t xml:space="preserve">Kein Unterschied systolisch (p = 0,66) oder diastolisch (p = 0,72)</w:t>
            </w:r>
          </w:p>
        </w:tc>
      </w:tr>
      <w:tr>
        <w:tc>
          <w:tcPr/>
          <w:p>
            <w:pPr>
              <w:pStyle w:val="Compact"/>
              <w:jc w:val="left"/>
            </w:pPr>
            <w:r>
              <w:t xml:space="preserve">van Mierlo 2009, PMID 19106238</w:t>
            </w:r>
          </w:p>
        </w:tc>
        <w:tc>
          <w:tcPr/>
          <w:p>
            <w:pPr>
              <w:pStyle w:val="Compact"/>
              <w:jc w:val="left"/>
            </w:pPr>
            <w:r>
              <w:t xml:space="preserve">2 Crossover-Studien mit 69 und 93 unbehandelten Erwachsenen, 24-Stunden-Messung</w:t>
            </w:r>
          </w:p>
        </w:tc>
        <w:tc>
          <w:tcPr/>
          <w:p>
            <w:pPr>
              <w:pStyle w:val="Compact"/>
              <w:jc w:val="left"/>
            </w:pPr>
            <w:r>
              <w:t xml:space="preserve">je 4 Wochen</w:t>
            </w:r>
          </w:p>
        </w:tc>
        <w:tc>
          <w:tcPr/>
          <w:p>
            <w:pPr>
              <w:pStyle w:val="Compact"/>
              <w:jc w:val="left"/>
            </w:pPr>
            <w:r>
              <w:t xml:space="preserve">Kein Unterschied im 24-Stunden-Blutdruck</w:t>
            </w:r>
          </w:p>
        </w:tc>
      </w:tr>
      <w:tr>
        <w:tc>
          <w:tcPr/>
          <w:p>
            <w:pPr>
              <w:pStyle w:val="Compact"/>
              <w:jc w:val="left"/>
            </w:pPr>
            <w:r>
              <w:t xml:space="preserve">Usinger 2010, PMID 20147968</w:t>
            </w:r>
          </w:p>
        </w:tc>
        <w:tc>
          <w:tcPr/>
          <w:p>
            <w:pPr>
              <w:pStyle w:val="Compact"/>
              <w:jc w:val="left"/>
            </w:pPr>
            <w:r>
              <w:t xml:space="preserve">94 Personen mit hochnormalem oder grenzwertigem Blutdruck, 150 oder 300 ml fermentierte Milch vs. Placebo</w:t>
            </w:r>
          </w:p>
        </w:tc>
        <w:tc>
          <w:tcPr/>
          <w:p>
            <w:pPr>
              <w:pStyle w:val="Compact"/>
              <w:jc w:val="left"/>
            </w:pPr>
            <w:r>
              <w:t xml:space="preserve">8 Wochen</w:t>
            </w:r>
          </w:p>
        </w:tc>
        <w:tc>
          <w:tcPr/>
          <w:p>
            <w:pPr>
              <w:pStyle w:val="Compact"/>
              <w:jc w:val="left"/>
            </w:pPr>
            <w:r>
              <w:t xml:space="preserve">Kein signifikanter Unterschied im 24-Stunden-Blutdruck</w:t>
            </w:r>
          </w:p>
        </w:tc>
      </w:tr>
    </w:tbl>
    <w:p>
      <w:pPr>
        <w:pStyle w:val="BodyText"/>
      </w:pPr>
      <w:r>
        <w:t xml:space="preserve">Bemerkenswert an der Studie von Engberink: Sie testete Lactotripeptide aus drei Quellen – aus konzentrierter fermentierter Milch, enzymatisch hergestellt und chemisch synthetisiert. Keine der drei Varianten senkte den Blutdruck oder hemmte ACE messbar. Eine Übersichtsarbeit fasste sechs solcher Studien mit 780 Teilnehmenden aus Großbritannien und den Niederlanden zusammen und kam zu dem Schluss, dass die neueren Daten eine Rolle der Lactotripeptide bei der Blutdruckregulation nicht stützen (Geleijnse 2010, PMID 19884823).</w:t>
      </w:r>
    </w:p>
    <w:bookmarkEnd w:id="877"/>
    <w:bookmarkStart w:id="878" w:name="spätere-studien"/>
    <w:p>
      <w:pPr>
        <w:pStyle w:val="Heading4"/>
      </w:pPr>
      <w:r>
        <w:t xml:space="preserve">Spätere Studien</w:t>
      </w:r>
    </w:p>
    <w:p>
      <w:pPr>
        <w:pStyle w:val="FirstParagraph"/>
      </w:pPr>
      <w:r>
        <w:t xml:space="preserve">Auch nach 2010 blieben die Ergebnisse gemischt. In Finnland senkte eine Dosis von 50 mg Lactotripeptiden pro Tag den 24-Stunden-Blutdruck zwar gegenüber dem Ausgangswert, aber nicht signifikant gegenüber Placebo (−2,6 mmHg systolisch); 5 mg pro Tag hatten keinen Effekt (Jauhiainen 2012, PMID 22617279). Ein Streichfett mit IPP, VPP und Pflanzensterinen senkte den zu Hause gemessenen systolischen Blutdruck stärker als Placebo (−4,1 gegenüber −0,5 mmHg), nicht aber den Praxis- oder 24-Stunden-Wert (Turpeinen 2012, PMID 22398753). Italienische Studien berichteten günstige Effekte auf Praxisblutdruck und Gefäßsteifigkeit (Cicero 2011, PMID 21753776; Cicero 2016, PMID 26683986), in einer davon ohne Effekt auf den 24-Stunden-Blutdruck. In den USA sank in einer Studie mit 91 Personen mit Bluthochdruck Stadium 1 und 2 der systolische Tagesblutdruck um 3,6 mmHg, unter Placebo nicht (Germino 2010, PMID 20433527).</w:t>
      </w:r>
    </w:p>
    <w:p>
      <w:pPr>
        <w:pStyle w:val="BodyText"/>
      </w:pPr>
      <w:r>
        <w:t xml:space="preserve">Daneben gibt es kleine Studien zu Gefäßfunktion, Hirndurchblutung, Muskelermüdung und kognitiver Leistung, meist mit 15 bis 50 Teilnehmenden (z. B. Akazawa 2018, PMID 29703414). Sie sind als Hinweise zu lesen, nicht als Belege.</w:t>
      </w:r>
    </w:p>
    <w:bookmarkEnd w:id="878"/>
    <w:bookmarkStart w:id="879" w:name="Xf385484aa7706699d75bd884c8c1093d33b2222"/>
    <w:p>
      <w:pPr>
        <w:pStyle w:val="Heading4"/>
      </w:pPr>
      <w:r>
        <w:t xml:space="preserve">Meta-Analysen: kleiner Effekt, starker Einfluss der Herkunft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Meta-Analyse</w:t>
            </w:r>
          </w:p>
        </w:tc>
        <w:tc>
          <w:tcPr/>
          <w:p>
            <w:pPr>
              <w:pStyle w:val="Compact"/>
              <w:jc w:val="left"/>
            </w:pPr>
            <w:r>
              <w:t xml:space="preserve">Umfang</w:t>
            </w:r>
          </w:p>
        </w:tc>
        <w:tc>
          <w:tcPr/>
          <w:p>
            <w:pPr>
              <w:pStyle w:val="Compact"/>
              <w:jc w:val="left"/>
            </w:pPr>
            <w:r>
              <w:t xml:space="preserve">Effekt auf den systolischen Blutdruck</w:t>
            </w:r>
          </w:p>
        </w:tc>
      </w:tr>
      <w:tr>
        <w:tc>
          <w:tcPr/>
          <w:p>
            <w:pPr>
              <w:pStyle w:val="Compact"/>
              <w:jc w:val="left"/>
            </w:pPr>
            <w:r>
              <w:t xml:space="preserve">Cicero 2011, PMID 20811398</w:t>
            </w:r>
          </w:p>
        </w:tc>
        <w:tc>
          <w:tcPr/>
          <w:p>
            <w:pPr>
              <w:pStyle w:val="Compact"/>
              <w:jc w:val="left"/>
            </w:pPr>
            <w:r>
              <w:t xml:space="preserve">18 Studien</w:t>
            </w:r>
          </w:p>
        </w:tc>
        <w:tc>
          <w:tcPr/>
          <w:p>
            <w:pPr>
              <w:pStyle w:val="Compact"/>
              <w:jc w:val="left"/>
            </w:pPr>
            <w:r>
              <w:t xml:space="preserve">−3,73 mmHg gesamt; Asien −6,93 mmHg; Europa −1,17 mmHg (nicht signifikant)</w:t>
            </w:r>
          </w:p>
        </w:tc>
      </w:tr>
      <w:tr>
        <w:tc>
          <w:tcPr/>
          <w:p>
            <w:pPr>
              <w:pStyle w:val="Compact"/>
              <w:jc w:val="left"/>
            </w:pPr>
            <w:r>
              <w:t xml:space="preserve">Turpeinen 2013, PMID 23305234</w:t>
            </w:r>
          </w:p>
        </w:tc>
        <w:tc>
          <w:tcPr/>
          <w:p>
            <w:pPr>
              <w:pStyle w:val="Compact"/>
              <w:jc w:val="left"/>
            </w:pPr>
            <w:r>
              <w:t xml:space="preserve">19 Studien, ca. 1.500 Personen</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Studienarme, 1.919 Personen</w:t>
            </w:r>
          </w:p>
        </w:tc>
        <w:tc>
          <w:tcPr/>
          <w:p>
            <w:pPr>
              <w:pStyle w:val="Compact"/>
              <w:jc w:val="left"/>
            </w:pPr>
            <w:r>
              <w:t xml:space="preserve">−1,66 mmHg; im 24-Stunden-Blutdruck −1,30 mmHg</w:t>
            </w:r>
          </w:p>
        </w:tc>
      </w:tr>
      <w:tr>
        <w:tc>
          <w:tcPr/>
          <w:p>
            <w:pPr>
              <w:pStyle w:val="Compact"/>
              <w:jc w:val="left"/>
            </w:pPr>
            <w:r>
              <w:t xml:space="preserve">Cicero 2013, PMID 23382495</w:t>
            </w:r>
          </w:p>
        </w:tc>
        <w:tc>
          <w:tcPr/>
          <w:p>
            <w:pPr>
              <w:pStyle w:val="Compact"/>
              <w:jc w:val="left"/>
            </w:pPr>
            <w:r>
              <w:t xml:space="preserve">14 europäische Studien, 1.306 Personen</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Studien</w:t>
            </w:r>
          </w:p>
        </w:tc>
        <w:tc>
          <w:tcPr/>
          <w:p>
            <w:pPr>
              <w:pStyle w:val="Compact"/>
              <w:jc w:val="left"/>
            </w:pPr>
            <w:r>
              <w:t xml:space="preserve">−2,95 mmHg; 24-Stunden-Blutdruck nicht signifikant</w:t>
            </w:r>
          </w:p>
        </w:tc>
      </w:tr>
      <w:tr>
        <w:tc>
          <w:tcPr/>
          <w:p>
            <w:pPr>
              <w:pStyle w:val="Compact"/>
              <w:jc w:val="left"/>
            </w:pPr>
            <w:r>
              <w:t xml:space="preserve">Chanson-Rolle 2015, PMID 26536628</w:t>
            </w:r>
          </w:p>
        </w:tc>
        <w:tc>
          <w:tcPr/>
          <w:p>
            <w:pPr>
              <w:pStyle w:val="Compact"/>
              <w:jc w:val="left"/>
            </w:pPr>
            <w:r>
              <w:t xml:space="preserve">18 japanische Studien, 1.194 Personen</w:t>
            </w:r>
          </w:p>
        </w:tc>
        <w:tc>
          <w:tcPr/>
          <w:p>
            <w:pPr>
              <w:pStyle w:val="Compact"/>
              <w:jc w:val="left"/>
            </w:pPr>
            <w:r>
              <w:t xml:space="preserve">−5,63 mmHg</w:t>
            </w:r>
          </w:p>
        </w:tc>
      </w:tr>
    </w:tbl>
    <w:p>
      <w:pPr>
        <w:pStyle w:val="BodyText"/>
      </w:pPr>
      <w:r>
        <w:t xml:space="preserve">Drei Muster ziehen sich durch alle Auswertungen:</w:t>
      </w:r>
    </w:p>
    <w:p>
      <w:pPr>
        <w:numPr>
          <w:ilvl w:val="0"/>
          <w:numId w:val="1299"/>
        </w:numPr>
        <w:pStyle w:val="Compact"/>
      </w:pPr>
      <w:r>
        <w:rPr>
          <w:bCs/>
          <w:b/>
        </w:rPr>
        <w:t xml:space="preserve">Der Effekt ist klein.</w:t>
      </w:r>
      <w:r>
        <w:t xml:space="preserve"> </w:t>
      </w:r>
      <w:r>
        <w:t xml:space="preserve">Gepoolt liegt er meist zwischen 1 und 4 mmHg systolisch – deutlich weniger, als zugelassene Blutdruckmedikamente erreichen.</w:t>
      </w:r>
    </w:p>
    <w:p>
      <w:pPr>
        <w:numPr>
          <w:ilvl w:val="0"/>
          <w:numId w:val="1299"/>
        </w:numPr>
        <w:pStyle w:val="Compact"/>
      </w:pPr>
      <w:r>
        <w:rPr>
          <w:bCs/>
          <w:b/>
        </w:rPr>
        <w:t xml:space="preserve">Asiatische, vor allem japanische, Studien zeigen deutlich größere Effekte als europäische.</w:t>
      </w:r>
      <w:r>
        <w:t xml:space="preserve"> </w:t>
      </w:r>
      <w:r>
        <w:t xml:space="preserve">Ob das an genetischen Unterschieden, an der Ernährung (etwa höherem Salzkonsum) oder an methodischen Unterschieden liegt, ist ungeklärt.</w:t>
      </w:r>
    </w:p>
    <w:p>
      <w:pPr>
        <w:numPr>
          <w:ilvl w:val="0"/>
          <w:numId w:val="1299"/>
        </w:numPr>
        <w:pStyle w:val="Compact"/>
      </w:pPr>
      <w:r>
        <w:rPr>
          <w:bCs/>
          <w:b/>
        </w:rPr>
        <w:t xml:space="preserve">Hinweise auf Publikationsverzerrung.</w:t>
      </w:r>
      <w:r>
        <w:t xml:space="preserve"> </w:t>
      </w:r>
      <w:r>
        <w:t xml:space="preserve">Die Meta-Analyse von Fekete fand sowohl eine Publikationsverzerrung als auch einen „Small-Study-Effekt“: Kleine Studien zeigten größere Effekte. Nach Korrektur schrumpfte die systolische Senkung, die diastolische war nicht mehr signifikant. Im 24-Stunden-Blutdruck – dem verlässlichsten Messverfahren – war der Effekt nicht signifikant (Fekete 2015, PMID 25608938).</w:t>
      </w:r>
    </w:p>
    <w:p>
      <w:pPr>
        <w:pStyle w:val="FirstParagraph"/>
      </w:pPr>
      <w:r>
        <w:t xml:space="preserve">Es fehlt eine Studie, die zeigt, dass Lactotripeptide Herzinfarkte, Schlaganfälle oder Todesfälle verhindern. Angesichts des kleinen Effekts ist eine solche Studie auch nicht zu erwarten.</w:t>
      </w:r>
    </w:p>
    <w:bookmarkEnd w:id="879"/>
    <w:bookmarkEnd w:id="880"/>
    <w:bookmarkStart w:id="881" w:name="tier--und-laborstudien-53"/>
    <w:p>
      <w:pPr>
        <w:pStyle w:val="Heading3"/>
      </w:pPr>
      <w:r>
        <w:t xml:space="preserve">Tier- und Laborstudien</w:t>
      </w:r>
    </w:p>
    <w:p>
      <w:pPr>
        <w:pStyle w:val="FirstParagraph"/>
      </w:pPr>
      <w:r>
        <w:t xml:space="preserve">Bei Ratten mit angeborenem Bluthochdruck (SHR-Ratten) senkten VPP und IPP den Blutdruck dosisabhängig; bei Ratten mit normalem Blutdruck nicht (Nakamura 1995, PMID 7673515). In Zellkulturen regten VPP und IPP ab Konzentrationen von mehr als 100 Nanomol pro Liter die Bildung von Stickstoffmonoxid in Gefäßzellen an, und an isolierten Rattenaorten lösten sie eine Gefäßerweiterung aus (Hirota 2011, PMID 21221598). Zum Vergleich: Im Blut von Menschen wurden nach dem Trinken eines angereicherten Getränks weniger als 1 Nanomol pro Liter IPP gemessen (Foltz 2007, PMID 17374660). Röntgenstrukturanalysen zeigen, dass beide Peptide bevorzugt an eine der beiden aktiven Stellen des ACE-Moleküls binden (Gregory 2024, PMID 37904282). Bei Ratten und Kaninchen fanden Toxizitätsstudien – einschließlich Untersuchungen zur Nierenentwicklung der Nachkommen, weil ACE-Hemmer in der Schwangerschaft das Ungeborene schädigen können – keine Nebenwirkungen bei den höchsten getesteten Dosen (Dent 2007, PMID 17383063). Ein IPP-haltiges Milchproteinhydrolysat war in Erbgut-Tests nicht mutagen; die höchste getestete Dosis im 90-Tage-Versuch an Ratten lag etwa 141-fach über der erwarteten maximalen Aufnahme (Ponstein-Simarro Doorten 2009, PMID 18955104).</w:t>
      </w:r>
    </w:p>
    <w:bookmarkEnd w:id="881"/>
    <w:bookmarkStart w:id="882" w:name="risiken-und-nebenwirkungen-53"/>
    <w:p>
      <w:pPr>
        <w:pStyle w:val="Heading3"/>
      </w:pPr>
      <w:r>
        <w:t xml:space="preserve">Risiken und Nebenwirkungen</w:t>
      </w:r>
    </w:p>
    <w:p>
      <w:pPr>
        <w:pStyle w:val="FirstParagraph"/>
      </w:pPr>
      <w:r>
        <w:rPr>
          <w:bCs/>
          <w:b/>
        </w:rPr>
        <w:t xml:space="preserve">Belegt:</w:t>
      </w:r>
      <w:r>
        <w:t xml:space="preserve"> </w:t>
      </w:r>
      <w:r>
        <w:t xml:space="preserve">In den Humanstudien traten unter Lactotripeptiden nicht mehr Nebenwirkungen auf als unter Placebo (z. B. Jauhiainen 2005, PMID 16364832). Die Peptide stammen aus Milcheiweiß, das seit jeher gegessen wird; die Mengen in den Produkten liegen im Milligrammbereich.</w:t>
      </w:r>
    </w:p>
    <w:p>
      <w:pPr>
        <w:pStyle w:val="BodyText"/>
      </w:pPr>
      <w:r>
        <w:rPr>
          <w:bCs/>
          <w:b/>
        </w:rPr>
        <w:t xml:space="preserve">Theoretisch bzw. zu beachten:</w:t>
      </w:r>
    </w:p>
    <w:p>
      <w:pPr>
        <w:numPr>
          <w:ilvl w:val="0"/>
          <w:numId w:val="1300"/>
        </w:numPr>
        <w:pStyle w:val="Compact"/>
      </w:pPr>
      <w:r>
        <w:rPr>
          <w:bCs/>
          <w:b/>
        </w:rPr>
        <w:t xml:space="preserve">Milchallergie:</w:t>
      </w:r>
      <w:r>
        <w:t xml:space="preserve"> </w:t>
      </w:r>
      <w:r>
        <w:t xml:space="preserve">Produkte auf Milch- bzw. Caseinbasis sind bei Kuhmilcheiweißallergie ungeeignet.</w:t>
      </w:r>
    </w:p>
    <w:p>
      <w:pPr>
        <w:numPr>
          <w:ilvl w:val="0"/>
          <w:numId w:val="1300"/>
        </w:numPr>
        <w:pStyle w:val="Compact"/>
      </w:pPr>
      <w:r>
        <w:rPr>
          <w:bCs/>
          <w:b/>
        </w:rPr>
        <w:t xml:space="preserve">Kombination mit Blutdruckmedikamenten:</w:t>
      </w:r>
      <w:r>
        <w:t xml:space="preserve"> </w:t>
      </w:r>
      <w:r>
        <w:t xml:space="preserve">Eine relevante Verstärkung ist angesichts der schwachen Wirkung unwahrscheinlich, aber nicht systematisch untersucht.</w:t>
      </w:r>
    </w:p>
    <w:p>
      <w:pPr>
        <w:numPr>
          <w:ilvl w:val="0"/>
          <w:numId w:val="1300"/>
        </w:numPr>
        <w:pStyle w:val="Compact"/>
      </w:pPr>
      <w:r>
        <w:rPr>
          <w:bCs/>
          <w:b/>
        </w:rPr>
        <w:t xml:space="preserve">Schwangerschaft:</w:t>
      </w:r>
      <w:r>
        <w:t xml:space="preserve"> </w:t>
      </w:r>
      <w:r>
        <w:t xml:space="preserve">ACE-Hemmer sind in der Schwangerschaft kontraindiziert. Für Lactotripeptide wurde in Tierversuchen keine entsprechende Schädigung gefunden; Humandaten fehlen.</w:t>
      </w:r>
    </w:p>
    <w:p>
      <w:pPr>
        <w:numPr>
          <w:ilvl w:val="0"/>
          <w:numId w:val="1300"/>
        </w:numPr>
        <w:pStyle w:val="Compact"/>
      </w:pPr>
      <w:r>
        <w:rPr>
          <w:bCs/>
          <w:b/>
        </w:rPr>
        <w:t xml:space="preserve">Das wichtigste Risiko:</w:t>
      </w:r>
      <w:r>
        <w:t xml:space="preserve"> </w:t>
      </w:r>
      <w:r>
        <w:t xml:space="preserve">Wer einen behandlungsbedürftigen Bluthochdruck mit einem Milchgetränk statt mit wirksamen Maßnahmen behandelt, verschenkt Schutz vor Herzinfarkt und Schlaganfall. Gewichtsreduktion, weniger Salz, Bewegung und – wenn nötig – Medikamente senken den Blutdruck nachweislich stärker.</w:t>
      </w:r>
    </w:p>
    <w:bookmarkEnd w:id="882"/>
    <w:bookmarkStart w:id="883" w:name="rechtslage-53"/>
    <w:p>
      <w:pPr>
        <w:pStyle w:val="Heading3"/>
      </w:pPr>
      <w:r>
        <w:t xml:space="preserve">Rechtslage</w:t>
      </w:r>
    </w:p>
    <w:p>
      <w:pPr>
        <w:numPr>
          <w:ilvl w:val="0"/>
          <w:numId w:val="1301"/>
        </w:numPr>
        <w:pStyle w:val="Compact"/>
      </w:pPr>
      <w:r>
        <w:rPr>
          <w:bCs/>
          <w:b/>
        </w:rPr>
        <w:t xml:space="preserve">EU / Österreich / Deutschland:</w:t>
      </w:r>
      <w:r>
        <w:t xml:space="preserve"> </w:t>
      </w:r>
      <w:r>
        <w:t xml:space="preserve">Lactotripeptide sind Lebensmittelzutaten. Gesundheitsbezogene Angaben zum Blutdruck sind nach der Health-Claims-Verordnung (Verordnung (EG) Nr. 1924/2006)</w:t>
      </w:r>
      <w:r>
        <w:t xml:space="preserve"> </w:t>
      </w:r>
      <w:r>
        <w:rPr>
          <w:bCs/>
          <w:b/>
        </w:rPr>
        <w:t xml:space="preserve">nicht zugelassen</w:t>
      </w:r>
      <w:r>
        <w:t xml:space="preserve">. Die Europäische Behörde für Lebensmittelsicherheit (EFSA) hat Anträge zu Lactotripeptiden und der Aufrechterhaltung eines normalen Blutdrucks geprüft und kam zu dem Ergebnis, dass ein Ursache-Wirkungs-Zusammenhang nicht ausreichend belegt ist. Ausschlaggebend waren unter anderem die widersprüchlichen europäischen Studien. Produkte dürfen daher in der EU nicht mit „senkt den Blutdruck“ oder „trägt zu einem normalen Blutdruck bei“ beworben werden.</w:t>
      </w:r>
    </w:p>
    <w:p>
      <w:pPr>
        <w:numPr>
          <w:ilvl w:val="0"/>
          <w:numId w:val="1301"/>
        </w:numPr>
        <w:pStyle w:val="Compact"/>
      </w:pPr>
      <w:r>
        <w:rPr>
          <w:bCs/>
          <w:b/>
        </w:rPr>
        <w:t xml:space="preserve">Japan:</w:t>
      </w:r>
      <w:r>
        <w:t xml:space="preserve"> </w:t>
      </w:r>
      <w:r>
        <w:t xml:space="preserve">Dort wurden entsprechende Getränke als „Lebensmittel für bestimmte Gesundheitszwecke“ (FOSHU) mit einer behördlich zugelassenen Blutdruck-Aussage vermarktet. Das erklärt zum Teil, warum ein großer Teil der Studien aus Japan stammt.</w:t>
      </w:r>
    </w:p>
    <w:p>
      <w:pPr>
        <w:numPr>
          <w:ilvl w:val="0"/>
          <w:numId w:val="1301"/>
        </w:numPr>
        <w:pStyle w:val="Compact"/>
      </w:pPr>
      <w:r>
        <w:rPr>
          <w:bCs/>
          <w:b/>
        </w:rPr>
        <w:t xml:space="preserve">USA:</w:t>
      </w:r>
      <w:r>
        <w:t xml:space="preserve"> </w:t>
      </w:r>
      <w:r>
        <w:t xml:space="preserve">als Nahrungsergänzungsmittel verkäuflich; krankheitsbezogene Aussagen sind nicht erlaubt.</w:t>
      </w:r>
    </w:p>
    <w:p>
      <w:pPr>
        <w:numPr>
          <w:ilvl w:val="0"/>
          <w:numId w:val="1301"/>
        </w:numPr>
        <w:pStyle w:val="Compact"/>
      </w:pPr>
      <w:r>
        <w:rPr>
          <w:bCs/>
          <w:b/>
        </w:rPr>
        <w:t xml:space="preserve">Sport:</w:t>
      </w:r>
      <w:r>
        <w:t xml:space="preserve"> </w:t>
      </w:r>
      <w:r>
        <w:t xml:space="preserve">nicht auf der WADA-Verbotsliste (Stand 2026, bitte aktuell prüfen).</w:t>
      </w:r>
    </w:p>
    <w:bookmarkEnd w:id="883"/>
    <w:bookmarkStart w:id="884" w:name="laufende-studien-und-ausblick-53"/>
    <w:p>
      <w:pPr>
        <w:pStyle w:val="Heading3"/>
      </w:pPr>
      <w:r>
        <w:t xml:space="preserve">Laufende Studien und Ausblick</w:t>
      </w:r>
    </w:p>
    <w:p>
      <w:pPr>
        <w:pStyle w:val="FirstParagraph"/>
      </w:pPr>
      <w:r>
        <w:rPr>
          <w:bCs/>
          <w:b/>
        </w:rPr>
        <w:t xml:space="preserve">Gesichert:</w:t>
      </w:r>
      <w:r>
        <w:t xml:space="preserve"> </w:t>
      </w:r>
      <w:r>
        <w:t xml:space="preserve">Auf ClinicalTrials.gov ist unter dem Begriff „lactotripeptides“ keine laufende Studie registriert. Unter verwandten Begriffen findet sich eine abgeschlossene Studie zu IPP und der Gefäßfunktion bei koronarer Herzkrankheit mit 54 Teilnehmenden (NCT00924157). Die Forschung zu Lactotripeptiden ist seit etwa 2015 deutlich abgeflaut; neue Arbeiten untersuchen vor allem allgemein, warum Menschen auf Nahrungspeptide unterschiedlich ansprechen.</w:t>
      </w:r>
    </w:p>
    <w:p>
      <w:pPr>
        <w:pStyle w:val="BodyText"/>
      </w:pPr>
      <w:r>
        <w:rPr>
          <w:bCs/>
          <w:b/>
        </w:rPr>
        <w:t xml:space="preserve">Einschätzung:</w:t>
      </w:r>
      <w:r>
        <w:t xml:space="preserve"> </w:t>
      </w:r>
      <w:r>
        <w:t xml:space="preserve">Lactotripeptide sind ein Lehrbeispiel dafür, wie ein im Labor überzeugender Mechanismus und frühe positive Studien in größeren, unabhängigen Untersuchungen zusammenschrumpfen können. Ein kleiner Effekt auf den Blutdruck ist – vor allem bei asiatischen Studienpopulationen – möglich, für Europa jedoch nicht überzeugend belegt. Eine Renaissance ist nicht in Sicht.</w:t>
      </w:r>
    </w:p>
    <w:bookmarkEnd w:id="884"/>
    <w:bookmarkStart w:id="885" w:name="fazit-53"/>
    <w:p>
      <w:pPr>
        <w:pStyle w:val="Heading3"/>
      </w:pPr>
      <w:r>
        <w:t xml:space="preserve">Fazit</w:t>
      </w:r>
    </w:p>
    <w:p>
      <w:pPr>
        <w:pStyle w:val="FirstParagraph"/>
      </w:pPr>
      <w:r>
        <w:t xml:space="preserve">Lactotripeptide sind zwei kleine Milchpeptide, die im Reagenzglas das blutdruckregulierende Enzym ACE hemmen. In frühen japanischen und finnischen Studien senkten sie den Blutdruck, in mehreren größeren niederländischen Studien dagegen nicht, und eine messbare ACE-Hemmung ließ sich beim Menschen nicht nachweisen. Meta-Analysen ergeben eine Senkung des systolischen Blutdrucks um etwa 1 bis 4 mmHg mit Hinweisen auf Publikationsverzerrung und einem deutlich kleineren Effekt in Europa. Die EFSA hat eine Blutdruck-Aussage abgelehnt. Sie sind unbedenklich, aber kein Ersatz für eine Blutdruckbehandlung.</w:t>
      </w:r>
    </w:p>
    <w:bookmarkEnd w:id="885"/>
    <w:bookmarkEnd w:id="886"/>
    <w:bookmarkStart w:id="903" w:name="carnosin"/>
    <w:p>
      <w:pPr>
        <w:pStyle w:val="Heading2"/>
      </w:pPr>
      <w:r>
        <w:t xml:space="preserve">Carnosin</w:t>
      </w:r>
    </w:p>
    <w:bookmarkStart w:id="887" w:name="steckbrief-54"/>
    <w:p>
      <w:pPr>
        <w:pStyle w:val="Heading3"/>
      </w:pPr>
      <w:r>
        <w:t xml:space="preserve">Steckbrief</w:t>
      </w:r>
    </w:p>
    <w:p>
      <w:pPr>
        <w:numPr>
          <w:ilvl w:val="0"/>
          <w:numId w:val="1302"/>
        </w:numPr>
        <w:pStyle w:val="Compact"/>
      </w:pPr>
      <w:r>
        <w:rPr>
          <w:bCs/>
          <w:b/>
        </w:rPr>
        <w:t xml:space="preserve">Art/Struktur:</w:t>
      </w:r>
      <w:r>
        <w:t xml:space="preserve"> </w:t>
      </w:r>
      <w:r>
        <w:t xml:space="preserve">Dipeptid aus den Aminosäuren Beta-Alanin und Histidin (β-Alanyl-L-Histidin). Verwandte Stoffe sind Anserin (in Geflügel und Fisch) und Homocarnosin (im Gehirn); zusammen heißen sie histidinhaltige Dipeptide.</w:t>
      </w:r>
    </w:p>
    <w:p>
      <w:pPr>
        <w:numPr>
          <w:ilvl w:val="0"/>
          <w:numId w:val="1302"/>
        </w:numPr>
        <w:pStyle w:val="Compact"/>
      </w:pPr>
      <w:r>
        <w:rPr>
          <w:bCs/>
          <w:b/>
        </w:rPr>
        <w:t xml:space="preserve">Herkunft:</w:t>
      </w:r>
      <w:r>
        <w:t xml:space="preserve"> </w:t>
      </w:r>
      <w:r>
        <w:t xml:space="preserve">körpereigen, in hoher Konzentration in der Skelettmuskulatur, außerdem in Herz und Gehirn. Mit der Nahrung wird Carnosin vor allem über Fleisch und Fisch aufgenommen; pflanzliche Lebensmittel enthalten praktisch keines. Für Nahrungsergänzungsmittel wird es synthetisch hergestellt.</w:t>
      </w:r>
    </w:p>
    <w:p>
      <w:pPr>
        <w:numPr>
          <w:ilvl w:val="0"/>
          <w:numId w:val="1302"/>
        </w:numPr>
        <w:pStyle w:val="Compact"/>
      </w:pPr>
      <w:r>
        <w:rPr>
          <w:bCs/>
          <w:b/>
        </w:rPr>
        <w:t xml:space="preserve">Wirkprinzip:</w:t>
      </w:r>
      <w:r>
        <w:t xml:space="preserve"> </w:t>
      </w:r>
      <w:r>
        <w:t xml:space="preserve">Puffer gegen Übersäuerung im Muskel; im Labor außerdem Abfangen reaktiver Zucker- und Fettabbauprodukte (Anti-Glykation) und antioxidative Wirkung.</w:t>
      </w:r>
    </w:p>
    <w:p>
      <w:pPr>
        <w:numPr>
          <w:ilvl w:val="0"/>
          <w:numId w:val="1302"/>
        </w:numPr>
        <w:pStyle w:val="Compact"/>
      </w:pPr>
      <w:r>
        <w:rPr>
          <w:bCs/>
          <w:b/>
        </w:rPr>
        <w:t xml:space="preserve">Verwandte Wirkstoffe:</w:t>
      </w:r>
      <w:r>
        <w:t xml:space="preserve"> </w:t>
      </w:r>
      <w:r>
        <w:t xml:space="preserve">Beta-Alanin (die Vorstufe, verbreitetes Sport-Supplement); Zink-Carnosin (Polaprezinc, in Japan ein Arzneimittel gegen Magengeschwüre); N-Acetylcarnosin (in Augentropfen).</w:t>
      </w:r>
    </w:p>
    <w:p>
      <w:pPr>
        <w:numPr>
          <w:ilvl w:val="0"/>
          <w:numId w:val="1302"/>
        </w:numPr>
        <w:pStyle w:val="Compact"/>
      </w:pPr>
      <w:r>
        <w:rPr>
          <w:bCs/>
          <w:b/>
        </w:rPr>
        <w:t xml:space="preserve">Zulassung EU:</w:t>
      </w:r>
      <w:r>
        <w:t xml:space="preserve"> </w:t>
      </w:r>
      <w:r>
        <w:t xml:space="preserve">keine Arzneimittelzulassung für Carnosin; als Nahrungsergänzungsmittel im Handel. Keine zugelassene gesundheitsbezogene Angabe.</w:t>
      </w:r>
    </w:p>
    <w:p>
      <w:pPr>
        <w:numPr>
          <w:ilvl w:val="0"/>
          <w:numId w:val="1302"/>
        </w:numPr>
        <w:pStyle w:val="Compact"/>
      </w:pPr>
      <w:r>
        <w:rPr>
          <w:bCs/>
          <w:b/>
        </w:rPr>
        <w:t xml:space="preserve">Zulassung USA:</w:t>
      </w:r>
      <w:r>
        <w:t xml:space="preserve"> </w:t>
      </w:r>
      <w:r>
        <w:t xml:space="preserve">keine Arzneimittelzulassung; als Nahrungsergänzungsmittel erhältlich.</w:t>
      </w:r>
    </w:p>
    <w:p>
      <w:pPr>
        <w:numPr>
          <w:ilvl w:val="0"/>
          <w:numId w:val="1302"/>
        </w:numPr>
        <w:pStyle w:val="Compact"/>
      </w:pPr>
      <w:r>
        <w:rPr>
          <w:bCs/>
          <w:b/>
        </w:rPr>
        <w:t xml:space="preserve">WADA:</w:t>
      </w:r>
      <w:r>
        <w:t xml:space="preserve"> </w:t>
      </w:r>
      <w:r>
        <w:t xml:space="preserve">Carnosin und Beta-Alanin sind nicht gelistet (Stand 2026, bitte aktuell prüfen).</w:t>
      </w:r>
    </w:p>
    <w:p>
      <w:pPr>
        <w:numPr>
          <w:ilvl w:val="0"/>
          <w:numId w:val="1302"/>
        </w:numPr>
        <w:pStyle w:val="Compact"/>
      </w:pPr>
      <w:r>
        <w:rPr>
          <w:bCs/>
          <w:b/>
        </w:rPr>
        <w:t xml:space="preserve">Evidenzstufe:</w:t>
      </w:r>
      <w:r>
        <w:t xml:space="preserve"> </w:t>
      </w:r>
      <w:r>
        <w:rPr>
          <w:bCs/>
          <w:b/>
        </w:rPr>
        <w:t xml:space="preserve">B</w:t>
      </w:r>
      <w:r>
        <w:t xml:space="preserve"> </w:t>
      </w:r>
      <w:r>
        <w:t xml:space="preserve">– mehrere kleine randomisierte Studien, eine größere Studie mit knapp 300 Teilnehmenden; viele Ergebnisse uneinheitlich.</w:t>
      </w:r>
    </w:p>
    <w:bookmarkEnd w:id="887"/>
    <w:bookmarkStart w:id="890" w:name="wie-es-wirken-soll-54"/>
    <w:p>
      <w:pPr>
        <w:pStyle w:val="Heading3"/>
      </w:pPr>
      <w:r>
        <w:t xml:space="preserve">Wie es wirken soll</w:t>
      </w:r>
    </w:p>
    <w:p>
      <w:pPr>
        <w:pStyle w:val="FirstParagraph"/>
      </w:pPr>
      <w:r>
        <w:t xml:space="preserve">Bei kurzen, sehr intensiven Belastungen – einem 400-Meter-Lauf oder einem Ruderrennen – produziert der Muskel mehr Säure, als er abtransportieren kann. Der Säuregrad steigt, die Muskelarbeit lässt nach. Carnosin ist im Muskel einer der Puffer, die diese Säure abfangen. Bei 18 belgischen Spitzenruderern hing der Carnosingehalt der Wadenmuskulatur eng mit der Geschwindigkeit über 100 bis 6.000 Meter zusammen (Baguet 2010, PMID 20671038).</w:t>
      </w:r>
    </w:p>
    <w:p>
      <w:pPr>
        <w:pStyle w:val="BodyText"/>
      </w:pPr>
      <w:r>
        <w:t xml:space="preserve">Daneben hat Carnosin im Labor weitere Eigenschaften: Es fängt reaktive Moleküle ab, die bei hohem Blutzucker oder beim Abbau von Fetten entstehen und Eiweiße schädigen können (sogenannte Glykation und Lipidperoxidation). Daraus leiten sich die Hypothesen ab, Carnosin könnte bei Diabetes, Gefäß- und Nierenschäden, Hirnalterung oder Hautalterung nützen.</w:t>
      </w:r>
    </w:p>
    <w:bookmarkStart w:id="888" w:name="das-problem-der-aufnahme-carnosinase"/>
    <w:p>
      <w:pPr>
        <w:pStyle w:val="Heading4"/>
      </w:pPr>
      <w:r>
        <w:t xml:space="preserve">Das Problem der Aufnahme: Carnosinase</w:t>
      </w:r>
    </w:p>
    <w:p>
      <w:pPr>
        <w:pStyle w:val="FirstParagraph"/>
      </w:pPr>
      <w:r>
        <w:t xml:space="preserve">Im menschlichen Blut gibt es ein sehr aktives Enzym, die Serum-Carnosinase (CN1), die Carnosin rasch in Beta-Alanin und Histidin spaltet. Nagetiere besitzen dieses Enzym im Blut praktisch nicht – ein wichtiger Grund, warum Ergebnisse aus Tierversuchen nur eingeschränkt übertragbar sind. Schon 1991 zeigte eine Studie, dass ein Teil des geschluckten Carnosins zwar unverändert aus dem Darm aufgenommen wird (bis zu 14 % fanden sich im Urin), im Blut aber nur nachweisbar war, wenn die Carnosinase im Probenröhrchen blockiert wurde. Die Menge im Urin schwankte stark und war umso geringer, je aktiver die Carnosinase der Person war (Gardner 1991, PMID 1910085).</w:t>
      </w:r>
    </w:p>
    <w:p>
      <w:pPr>
        <w:pStyle w:val="BodyText"/>
      </w:pPr>
      <w:r>
        <w:t xml:space="preserve">In der bislang größten Studie stiegen unter 2 g Carnosin pro Tag die Carnosinwerte in den roten Blutkörperchen nach 6 und 12 Wochen etwa auf das Doppelte, im Urin auf rund das Siebenfache (Baba 2024, PMID 39215872). Carnosin kommt also im Körper an – wie viel davon in Muskel, Gehirn oder Niere gelangt, ist aber weitgehend offen.</w:t>
      </w:r>
    </w:p>
    <w:bookmarkEnd w:id="888"/>
    <w:bookmarkStart w:id="889" w:name="beta-alanin-der-umweg-über-die-vorstufe"/>
    <w:p>
      <w:pPr>
        <w:pStyle w:val="Heading4"/>
      </w:pPr>
      <w:r>
        <w:t xml:space="preserve">Beta-Alanin: der Umweg über die Vorstufe</w:t>
      </w:r>
    </w:p>
    <w:p>
      <w:pPr>
        <w:pStyle w:val="FirstParagraph"/>
      </w:pPr>
      <w:r>
        <w:t xml:space="preserve">Für den Muskel hat sich ein anderer Weg durchgesetzt. Der Körper baut Carnosin in der Muskelzelle selbst aus Beta-Alanin und Histidin auf; Beta-Alanin ist dabei der knappe Baustein. Nimmt man Beta-Alanin ein, steigt der Carnosingehalt im Muskel deutlich an. In einer frühen Studie erhöhten vier Wochen Beta-Alanin den Muskelcarnosingehalt um geschätzt 42 bis 64 %; isomolare Mengen Carnosin hatten einen ähnlichen Effekt (Harris 2006, PMID 16554972). Nach dem Absetzen dauerte es 12 bis 16 Wochen, bis der Wert wieder auf dem Ausgangsniveau war (Yamaguchi 2021, PMID 33148972). Praktisch alle Personen sprechen auf Beta-Alanin an (Rezende 2020, PMID 32922303).</w:t>
      </w:r>
    </w:p>
    <w:p>
      <w:pPr>
        <w:pStyle w:val="BodyText"/>
      </w:pPr>
      <w:r>
        <w:t xml:space="preserve">Beta-Alanin ist kein Peptid, sondern eine einzelne Aminosäure. Es wird hier nur kurz behandelt, weil es den Muskelcarnosingehalt verlässlicher erhöht als Carnosin selbst und deshalb im Sport die weitaus größere Rolle spielt.</w:t>
      </w:r>
    </w:p>
    <w:bookmarkEnd w:id="889"/>
    <w:bookmarkEnd w:id="890"/>
    <w:bookmarkStart w:id="897" w:name="studien-am-menschen-54"/>
    <w:p>
      <w:pPr>
        <w:pStyle w:val="Heading3"/>
      </w:pPr>
      <w:r>
        <w:t xml:space="preserve">Studien am Menschen</w:t>
      </w:r>
    </w:p>
    <w:p>
      <w:pPr>
        <w:pStyle w:val="FirstParagraph"/>
      </w:pPr>
      <w:r>
        <w:t xml:space="preserve">Die für dieses Buch ausgewertete PubMed-Abfrage (Carnosin im Titel, kombiniert mit Supplementierung oder oraler Gabe, Abfragedatum Oktober 2026) ergab 57 Humanstudien; auf ClinicalTrials.gov sind 53 Registereinträge verzeichnet. Ein Teil davon betrifft tatsächlich Beta-Alanin oder Zink-Carnosin. Die Studien verteilen sich auf viele kleine Anwendungsfelder.</w:t>
      </w:r>
    </w:p>
    <w:bookmarkStart w:id="891" w:name="sport-und-körperliche-leistung"/>
    <w:p>
      <w:pPr>
        <w:pStyle w:val="Heading4"/>
      </w:pPr>
      <w:r>
        <w:t xml:space="preserve">Sport und körperliche Leistung</w:t>
      </w:r>
    </w:p>
    <w:p>
      <w:pPr>
        <w:pStyle w:val="FirstParagraph"/>
      </w:pPr>
      <w:r>
        <w:t xml:space="preserve">Bei Sportlerinnen und Sportlern ist die Datenlage für</w:t>
      </w:r>
      <w:r>
        <w:t xml:space="preserve"> </w:t>
      </w:r>
      <w:r>
        <w:rPr>
          <w:bCs/>
          <w:b/>
        </w:rPr>
        <w:t xml:space="preserve">Beta-Alanin</w:t>
      </w:r>
      <w:r>
        <w:t xml:space="preserve"> </w:t>
      </w:r>
      <w:r>
        <w:t xml:space="preserve">deutlich besser als für Carnosin. Eine Meta-Analyse von 40 doppelblinden, placebokontrollierten Studien mit 1.461 Teilnehmenden fand einen kleinen Gesamteffekt (Effektstärke 0,18). Am deutlichsten war er bei Belastungen von 0,5 bis 10 Minuten Dauer und bei Tests der Belastbarkeit bis zur Erschöpfung, weniger bei Wettkampfleistung (Saunders 2017, PMID 27797728). Ein Beispiel: Bei 15 Sprintern erhöhte Beta-Alanin den Carnosingehalt in Waden</w:t>
      </w:r>
      <w:r>
        <w:softHyphen/>
      </w:r>
      <w:r>
        <w:t xml:space="preserve">muskeln um 37 bis 47 % und milderte die Ermüdung bei wiederholten Kraftserien, verbesserte aber nicht die 400-Meter-Zeit (Derave 2007, PMID 17690198). Auch eine Verdoppelung des Muskelcarnosins verbesserte bei Radfahrern die Zeit über eine Stunde nicht (Chung 2014, PMID 24457999) – folgerichtig, denn bei Ausdauerbelastungen spielt die Säurepufferung eine kleinere Rolle.</w:t>
      </w:r>
    </w:p>
    <w:p>
      <w:pPr>
        <w:pStyle w:val="BodyText"/>
      </w:pPr>
      <w:r>
        <w:t xml:space="preserve">Für</w:t>
      </w:r>
      <w:r>
        <w:t xml:space="preserve"> </w:t>
      </w:r>
      <w:r>
        <w:rPr>
          <w:bCs/>
          <w:b/>
        </w:rPr>
        <w:t xml:space="preserve">Carnosin selbst</w:t>
      </w:r>
      <w:r>
        <w:t xml:space="preserve"> </w:t>
      </w:r>
      <w:r>
        <w:t xml:space="preserve">gibt es nur wenige Leistungsstudien. In der NEAT-Studie (Nucleophilic Defense Against PM Toxicity, NCT03314987) erhielten 299 Erwachsene 2 g Carnosin oder Placebo über zwölf Wochen. Bei Griffkraft, Gehgeschwindigkeit und den meisten Tests gab es keine Unterschiede; signifikante Verbesserungen zeigten sich nur in einzelnen Untergruppen (bestimmte Alters- und Geschlechtsgruppen) bei Wadenheben und Stufentest (O’Toole 2026, PMID 42308284). Solche Untergruppenbefunde sind anfällig für Zufallstreffer und müssen bestätigt werden.</w:t>
      </w:r>
    </w:p>
    <w:bookmarkEnd w:id="891"/>
    <w:bookmarkStart w:id="892" w:name="diabetes-und-stoffwechsel"/>
    <w:p>
      <w:pPr>
        <w:pStyle w:val="Heading4"/>
      </w:pPr>
      <w:r>
        <w:t xml:space="preserve">Diabetes und Stoffwechsel</w:t>
      </w:r>
    </w:p>
    <w:p>
      <w:pPr>
        <w:pStyle w:val="FirstParagraph"/>
      </w:pPr>
      <w:r>
        <w:t xml:space="preserve">Dies ist das am intensivsten untersuchte medizinische Feld: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de Courten 2016, PMID 27040154</w:t>
            </w:r>
          </w:p>
        </w:tc>
        <w:tc>
          <w:tcPr/>
          <w:p>
            <w:pPr>
              <w:pStyle w:val="Compact"/>
              <w:jc w:val="left"/>
            </w:pPr>
            <w:r>
              <w:t xml:space="preserve">30 Erwachsene mit Übergewicht ohne Diabetes, 2 g vs. Placebo</w:t>
            </w:r>
          </w:p>
        </w:tc>
        <w:tc>
          <w:tcPr/>
          <w:p>
            <w:pPr>
              <w:pStyle w:val="Compact"/>
              <w:jc w:val="left"/>
            </w:pPr>
            <w:r>
              <w:t xml:space="preserve">12 Wochen</w:t>
            </w:r>
          </w:p>
        </w:tc>
        <w:tc>
          <w:tcPr/>
          <w:p>
            <w:pPr>
              <w:pStyle w:val="Compact"/>
              <w:jc w:val="left"/>
            </w:pPr>
            <w:r>
              <w:t xml:space="preserve">Anstieg von Nüchterninsulin und Insulinresistenz unter Carnosin gebremst (Pilotstudie)</w:t>
            </w:r>
          </w:p>
        </w:tc>
      </w:tr>
      <w:tr>
        <w:tc>
          <w:tcPr/>
          <w:p>
            <w:pPr>
              <w:pStyle w:val="Compact"/>
              <w:jc w:val="left"/>
            </w:pPr>
            <w:r>
              <w:t xml:space="preserve">Houjeghani 2018, PMID 29420997</w:t>
            </w:r>
          </w:p>
        </w:tc>
        <w:tc>
          <w:tcPr/>
          <w:p>
            <w:pPr>
              <w:pStyle w:val="Compact"/>
              <w:jc w:val="left"/>
            </w:pPr>
            <w:r>
              <w:t xml:space="preserve">54 Personen mit Typ-2-Diabetes, 1 g vs. Placebo</w:t>
            </w:r>
          </w:p>
        </w:tc>
        <w:tc>
          <w:tcPr/>
          <w:p>
            <w:pPr>
              <w:pStyle w:val="Compact"/>
              <w:jc w:val="left"/>
            </w:pPr>
            <w:r>
              <w:t xml:space="preserve">12 Wochen</w:t>
            </w:r>
          </w:p>
        </w:tc>
        <w:tc>
          <w:tcPr/>
          <w:p>
            <w:pPr>
              <w:pStyle w:val="Compact"/>
              <w:jc w:val="left"/>
            </w:pPr>
            <w:r>
              <w:t xml:space="preserve">Nüchternzucker −13,1 mg/dl, HbA1c −0,6 Prozentpunkte vs. Placebo</w:t>
            </w:r>
          </w:p>
        </w:tc>
      </w:tr>
      <w:tr>
        <w:tc>
          <w:tcPr/>
          <w:p>
            <w:pPr>
              <w:pStyle w:val="Compact"/>
              <w:jc w:val="left"/>
            </w:pPr>
            <w:r>
              <w:t xml:space="preserve">Hariharan 2024, PMID 38172006</w:t>
            </w:r>
          </w:p>
        </w:tc>
        <w:tc>
          <w:tcPr/>
          <w:p>
            <w:pPr>
              <w:pStyle w:val="Compact"/>
              <w:jc w:val="left"/>
            </w:pPr>
            <w:r>
              <w:t xml:space="preserve">43 Erwachsene mit Prädiabetes oder Typ-2-Diabetes, 2 g vs. Placebo</w:t>
            </w:r>
          </w:p>
        </w:tc>
        <w:tc>
          <w:tcPr/>
          <w:p>
            <w:pPr>
              <w:pStyle w:val="Compact"/>
              <w:jc w:val="left"/>
            </w:pPr>
            <w:r>
              <w:t xml:space="preserve">14 Wochen</w:t>
            </w:r>
          </w:p>
        </w:tc>
        <w:tc>
          <w:tcPr/>
          <w:p>
            <w:pPr>
              <w:pStyle w:val="Compact"/>
              <w:jc w:val="left"/>
            </w:pPr>
            <w:r>
              <w:t xml:space="preserve">Niedrigerer Blutzucker 90 und 120 Minuten nach Zuckerbelastung; Insulin unverändert</w:t>
            </w:r>
          </w:p>
        </w:tc>
      </w:tr>
      <w:tr>
        <w:tc>
          <w:tcPr/>
          <w:p>
            <w:pPr>
              <w:pStyle w:val="Compact"/>
              <w:jc w:val="left"/>
            </w:pPr>
            <w:r>
              <w:t xml:space="preserve">Saadati 2023, PMID 38004228</w:t>
            </w:r>
          </w:p>
        </w:tc>
        <w:tc>
          <w:tcPr/>
          <w:p>
            <w:pPr>
              <w:pStyle w:val="Compact"/>
              <w:jc w:val="left"/>
            </w:pPr>
            <w:r>
              <w:t xml:space="preserve">49 Erwachsene mit Prädiabetes oder gut eingestelltem Typ-2-Diabetes, 2 g vs. Placebo</w:t>
            </w:r>
          </w:p>
        </w:tc>
        <w:tc>
          <w:tcPr/>
          <w:p>
            <w:pPr>
              <w:pStyle w:val="Compact"/>
              <w:jc w:val="left"/>
            </w:pPr>
            <w:r>
              <w:t xml:space="preserve">14 Wochen</w:t>
            </w:r>
          </w:p>
        </w:tc>
        <w:tc>
          <w:tcPr/>
          <w:p>
            <w:pPr>
              <w:pStyle w:val="Compact"/>
              <w:jc w:val="left"/>
            </w:pPr>
            <w:r>
              <w:t xml:space="preserve">Kein Effekt auf Gefäßfunktion, Gefäßsteifigkeit, Blutfette, Blutdruck, Leber- und Nierenwerte</w:t>
            </w:r>
          </w:p>
        </w:tc>
      </w:tr>
      <w:tr>
        <w:tc>
          <w:tcPr/>
          <w:p>
            <w:pPr>
              <w:pStyle w:val="Compact"/>
              <w:jc w:val="left"/>
            </w:pPr>
            <w:r>
              <w:t xml:space="preserve">Elbarbary 2018, PMID 28744992</w:t>
            </w:r>
          </w:p>
        </w:tc>
        <w:tc>
          <w:tcPr/>
          <w:p>
            <w:pPr>
              <w:pStyle w:val="Compact"/>
              <w:jc w:val="left"/>
            </w:pPr>
            <w:r>
              <w:t xml:space="preserve">90 Kinder und Jugendliche mit Typ-1-Diabetes und Nierenschaden, 1 g vs. Placebo</w:t>
            </w:r>
          </w:p>
        </w:tc>
        <w:tc>
          <w:tcPr/>
          <w:p>
            <w:pPr>
              <w:pStyle w:val="Compact"/>
              <w:jc w:val="left"/>
            </w:pPr>
            <w:r>
              <w:t xml:space="preserve">12 Wochen</w:t>
            </w:r>
          </w:p>
        </w:tc>
        <w:tc>
          <w:tcPr/>
          <w:p>
            <w:pPr>
              <w:pStyle w:val="Compact"/>
              <w:jc w:val="left"/>
            </w:pPr>
            <w:r>
              <w:t xml:space="preserve">Albumin im Urin, HbA1c und Oxidationsmarker verbessert</w:t>
            </w:r>
          </w:p>
        </w:tc>
      </w:tr>
    </w:tbl>
    <w:p>
      <w:pPr>
        <w:pStyle w:val="BodyText"/>
      </w:pPr>
      <w:r>
        <w:t xml:space="preserve">Mehrere Meta-Analysen fassen diese Studien zusammen. Eine Auswertung von vier Studien mit 184 Teilnehmenden fand eine Senkung des HbA1c um 0,92 Prozentpunkte, aber keine Wirkung auf Nüchternzucker, Insulinresistenz oder Blutfette (Peng 2020, PMID 31987255). Eine Bayes’sche Meta-Analyse, die Carnosin und Beta-Alanin gemeinsam betrachtete, schätzte für den Menschen eine HbA1c-Senkung um 0,91 Prozentpunkte – auf Basis von nur vier Humanstudien (Matthews 2021, PMID 34333586). Eine neuere Meta-Analyse mit acht Studien und 377 Teilnehmenden mit Prädiabetes oder Typ-2-Diabetes fand Verbesserungen bei Nüchternzucker und HbA1c, nicht aber bei Insulin oder Körpergewicht (Li 2025, PMID 40999397).</w:t>
      </w:r>
    </w:p>
    <w:p>
      <w:pPr>
        <w:pStyle w:val="BodyText"/>
      </w:pPr>
      <w:r>
        <w:t xml:space="preserve">Die Effekte wirken auf dem Papier beachtlich, stehen aber auf einer sehr schmalen Basis: wenige, kleine, kurze Studien, oft aus einzelnen Zentren, mit teils widersprüchlichen Ergebnissen (vgl. die ähnlich angelegten 14-Wochen-Studien von Hariharan 2024 und Saadati 2023, von denen die eine günstige Effekte auf den Blutzucker, die andere keine Effekte auf Gefäße und Stoffwechselwerte fand). Ob Carnosin langfristig Folgeschäden des Diabetes verhindert, wurde nie untersucht.</w:t>
      </w:r>
    </w:p>
    <w:bookmarkEnd w:id="892"/>
    <w:bookmarkStart w:id="893" w:name="entzündung-und-oxidativer-stress"/>
    <w:p>
      <w:pPr>
        <w:pStyle w:val="Heading4"/>
      </w:pPr>
      <w:r>
        <w:t xml:space="preserve">Entzündung und oxidativer Stress</w:t>
      </w:r>
    </w:p>
    <w:p>
      <w:pPr>
        <w:pStyle w:val="FirstParagraph"/>
      </w:pPr>
      <w:r>
        <w:t xml:space="preserve">Eine Meta-Analyse von neun Studien mit 350 Teilnehmenden fand unter Carnosin bzw. histidinhaltigen Dipeptiden niedrigere Werte des Entzündungsmarkers CRP und des Oxidationsmarkers Malondialdehyd, aber keine Veränderung bei mehreren anderen Markern (Saadati 2024, PMID 38086332). Laborwerte sind allerdings Surrogatparameter – ob sie mit einem gesundheitlichen Nutzen einhergehen, ist offen.</w:t>
      </w:r>
    </w:p>
    <w:bookmarkEnd w:id="893"/>
    <w:bookmarkStart w:id="894" w:name="gehirn-gedächtnis-und-psyche"/>
    <w:p>
      <w:pPr>
        <w:pStyle w:val="Heading4"/>
      </w:pPr>
      <w:r>
        <w:t xml:space="preserve">Gehirn, Gedächtnis und Psyche</w:t>
      </w:r>
    </w:p>
    <w:p>
      <w:pPr>
        <w:numPr>
          <w:ilvl w:val="0"/>
          <w:numId w:val="1303"/>
        </w:numPr>
        <w:pStyle w:val="Compact"/>
      </w:pPr>
      <w:r>
        <w:rPr>
          <w:bCs/>
          <w:b/>
        </w:rPr>
        <w:t xml:space="preserve">Ältere Menschen:</w:t>
      </w:r>
      <w:r>
        <w:t xml:space="preserve"> </w:t>
      </w:r>
      <w:r>
        <w:t xml:space="preserve">In japanischen Studien einer Arbeitsgruppe erhielten Ältere eine Mischung aus Anserin und Carnosin (3:1). Bei 39 gesunden Älteren blieb das verzögerte Wiedergeben von Wortinhalten besser erhalten als unter Placebo (Hisatsune 2016, PMID 26682691). Bei 54 Menschen mit leichter kognitiver Störung war ein globaler Demenz-Schweregrad unter der Mischung günstiger, die meisten anderen Tests unterschieden sich nicht (Masuoka 2019, PMID 31319510).</w:t>
      </w:r>
    </w:p>
    <w:p>
      <w:pPr>
        <w:numPr>
          <w:ilvl w:val="0"/>
          <w:numId w:val="1303"/>
        </w:numPr>
        <w:pStyle w:val="Compact"/>
      </w:pPr>
      <w:r>
        <w:rPr>
          <w:bCs/>
          <w:b/>
        </w:rPr>
        <w:t xml:space="preserve">Jüngere Erwachsene:</w:t>
      </w:r>
      <w:r>
        <w:t xml:space="preserve"> </w:t>
      </w:r>
      <w:r>
        <w:t xml:space="preserve">In einer nachträglichen Auswertung der NEAT-Studie verbesserten sich Geschwindigkeit und Effizienz in Kognitionstests nur in der jüngsten Altersgruppe (23–35 Jahre) (O’Toole 2025, PMID 39919936).</w:t>
      </w:r>
    </w:p>
    <w:p>
      <w:pPr>
        <w:numPr>
          <w:ilvl w:val="0"/>
          <w:numId w:val="1303"/>
        </w:numPr>
        <w:pStyle w:val="Compact"/>
      </w:pPr>
      <w:r>
        <w:rPr>
          <w:bCs/>
          <w:b/>
        </w:rPr>
        <w:t xml:space="preserve">Zusammenfassung:</w:t>
      </w:r>
      <w:r>
        <w:t xml:space="preserve"> </w:t>
      </w:r>
      <w:r>
        <w:t xml:space="preserve">Eine Meta-Analyse aus dem Jahr 2026 schloss 13 Studien ein. Die meisten Kognitionstests zeigten keinen Unterschied zu Placebo; günstige gepoolte Effekte beruhten zum Teil auf drei Studien derselben Forschungsgruppe. Die Autoren bewerten die Evidenzstärke als niedrig (Hsiao 2026, PMID 42123986). Eine weitere Meta-Analyse fand eine Verringerung von Depressionswerten (moderate Vertrauenswürdigkeit), betont aber kleine Studien mit mäßigem bis hohem Verzerrungsrisiko (Kabthymer 2025, PMID 38545720).</w:t>
      </w:r>
    </w:p>
    <w:p>
      <w:pPr>
        <w:numPr>
          <w:ilvl w:val="0"/>
          <w:numId w:val="1303"/>
        </w:numPr>
        <w:pStyle w:val="Compact"/>
      </w:pPr>
      <w:r>
        <w:rPr>
          <w:bCs/>
          <w:b/>
        </w:rPr>
        <w:t xml:space="preserve">Autismus:</w:t>
      </w:r>
      <w:r>
        <w:t xml:space="preserve"> </w:t>
      </w:r>
      <w:r>
        <w:t xml:space="preserve">Eine frühe Studie mit 31 Kindern berichtete Verbesserungen in einer Verhaltensskala (Chez 2002, PMID 12585724). Eine spätere randomisierte Studie mit 63 auswertbaren Kindern fand dagegen bei keinem Endpunkt einen Unterschied (Abraham 2020, PMID 33170378).</w:t>
      </w:r>
    </w:p>
    <w:bookmarkEnd w:id="894"/>
    <w:bookmarkStart w:id="895" w:name="weitere-anwendungen-2"/>
    <w:p>
      <w:pPr>
        <w:pStyle w:val="Heading4"/>
      </w:pPr>
      <w:r>
        <w:t xml:space="preserve">Weitere Anwendungen</w:t>
      </w:r>
    </w:p>
    <w:p>
      <w:pPr>
        <w:numPr>
          <w:ilvl w:val="0"/>
          <w:numId w:val="1304"/>
        </w:numPr>
        <w:pStyle w:val="Compact"/>
      </w:pPr>
      <w:r>
        <w:rPr>
          <w:bCs/>
          <w:b/>
        </w:rPr>
        <w:t xml:space="preserve">Chemotherapie-Nervenschäden:</w:t>
      </w:r>
      <w:r>
        <w:t xml:space="preserve"> </w:t>
      </w:r>
      <w:r>
        <w:t xml:space="preserve">In einer randomisierten Pilotstudie mit 65 Patientinnen und Patienten mit Darmkrebs traten unter Oxaliplatin-Chemotherapie plus Carnosin seltener Nervenschäden zweiten Grades auf (1 von 30 gegenüber 19 von 31 ohne Carnosin) (Yehia 2019, PMID 30592963). Die Studie war nicht verblindet und ohne Placebo; eine Bestätigung steht aus.</w:t>
      </w:r>
    </w:p>
    <w:p>
      <w:pPr>
        <w:numPr>
          <w:ilvl w:val="0"/>
          <w:numId w:val="1304"/>
        </w:numPr>
        <w:pStyle w:val="Compact"/>
      </w:pPr>
      <w:r>
        <w:rPr>
          <w:bCs/>
          <w:b/>
        </w:rPr>
        <w:t xml:space="preserve">Herzinsuffizienz:</w:t>
      </w:r>
      <w:r>
        <w:t xml:space="preserve"> </w:t>
      </w:r>
      <w:r>
        <w:t xml:space="preserve">Bei 50 Patientinnen und Patienten mit schwerer Herzschwäche verbesserten sich Gehstrecke, maximale Sauerstoffaufnahme und Lebensqualität unter Carnosin im Vergleich zur Standardbehandlung (Lombardi 2015, PMID 25287762) – ebenfalls ohne Placebo.</w:t>
      </w:r>
    </w:p>
    <w:p>
      <w:pPr>
        <w:numPr>
          <w:ilvl w:val="0"/>
          <w:numId w:val="1304"/>
        </w:numPr>
        <w:pStyle w:val="Compact"/>
      </w:pPr>
      <w:r>
        <w:rPr>
          <w:bCs/>
          <w:b/>
        </w:rPr>
        <w:t xml:space="preserve">Golfkriegssyndrom:</w:t>
      </w:r>
      <w:r>
        <w:t xml:space="preserve"> </w:t>
      </w:r>
      <w:r>
        <w:t xml:space="preserve">In einer kleinen Studie mit 25 Veteranen verbesserte sich ein Kognitionstest; Müdigkeit und Schmerz blieben unverändert (Baraniuk 2013, PMID 23618477).</w:t>
      </w:r>
    </w:p>
    <w:p>
      <w:pPr>
        <w:numPr>
          <w:ilvl w:val="0"/>
          <w:numId w:val="1304"/>
        </w:numPr>
        <w:pStyle w:val="Compact"/>
      </w:pPr>
      <w:r>
        <w:rPr>
          <w:bCs/>
          <w:b/>
        </w:rPr>
        <w:t xml:space="preserve">Haut:</w:t>
      </w:r>
      <w:r>
        <w:t xml:space="preserve"> </w:t>
      </w:r>
      <w:r>
        <w:t xml:space="preserve">Eine Studie mit einer „nicht hydrolysierbaren“ Carnosin-Zubereitung berichtete Hautverbesserungen; sie stammt vom Erfinder der patentierten Formulierung und vermischt Laborversuche mit einer klinischen Prüfung (Babizhayev 2012, PMID 21756141).</w:t>
      </w:r>
    </w:p>
    <w:bookmarkEnd w:id="895"/>
    <w:bookmarkStart w:id="896" w:name="X856450719c3804045d149b7b98f8b726cc2d9c9"/>
    <w:p>
      <w:pPr>
        <w:pStyle w:val="Heading4"/>
      </w:pPr>
      <w:r>
        <w:t xml:space="preserve">Verwandte Stoffe: Zink-Carnosin und N-Acetylcarnosin</w:t>
      </w:r>
    </w:p>
    <w:p>
      <w:pPr>
        <w:pStyle w:val="FirstParagraph"/>
      </w:pPr>
      <w:r>
        <w:rPr>
          <w:bCs/>
          <w:b/>
        </w:rPr>
        <w:t xml:space="preserve">Zink-Carnosin (Polaprezinc)</w:t>
      </w:r>
      <w:r>
        <w:t xml:space="preserve"> </w:t>
      </w:r>
      <w:r>
        <w:t xml:space="preserve">ist eine Verbindung aus Zink und Carnosin, die in Japan als Arzneimittel gegen Magengeschwüre eingesetzt wird. In einer chinesischen Studie mit 224 Patientinnen und Patienten war es nach acht Wochen ähnlich wirksam wie das Vergleichsmedikament Rebamipid (81,5 % gegenüber 74,3 % Heilungsrate, Unterschied nicht signifikant) (Shen 2022, PMID 35999163). Diese Wirkung ist wahrscheinlich stark an das Zink gebunden und lässt sich nicht auf reines Carnosin übertragen.</w:t>
      </w:r>
    </w:p>
    <w:p>
      <w:pPr>
        <w:pStyle w:val="BodyText"/>
      </w:pPr>
      <w:r>
        <w:rPr>
          <w:bCs/>
          <w:b/>
        </w:rPr>
        <w:t xml:space="preserve">N-Acetylcarnosin-Augentropfen</w:t>
      </w:r>
      <w:r>
        <w:t xml:space="preserve"> </w:t>
      </w:r>
      <w:r>
        <w:t xml:space="preserve">werden im Internet gegen grauen Star (Katarakt) beworben. Ein Cochrane-Review fand nur zwei mögliche Studien mit 114 Teilnehmenden, deren Methodik nicht nachvollziehbar war, und kam zu dem Schluss, dass es keine überzeugenden Belege gibt, dass die Tropfen einen grauen Star rückgängig machen oder sein Fortschreiten verhindern (Dubois 2017, PMID 28245346). Die einzige wirksame Behandlung bleibt die Operation.</w:t>
      </w:r>
    </w:p>
    <w:bookmarkEnd w:id="896"/>
    <w:bookmarkEnd w:id="897"/>
    <w:bookmarkStart w:id="898" w:name="tier--und-laborstudien-54"/>
    <w:p>
      <w:pPr>
        <w:pStyle w:val="Heading3"/>
      </w:pPr>
      <w:r>
        <w:t xml:space="preserve">Tier- und Laborstudien</w:t>
      </w:r>
    </w:p>
    <w:p>
      <w:pPr>
        <w:pStyle w:val="FirstParagraph"/>
      </w:pPr>
      <w:r>
        <w:t xml:space="preserve">In Zellkulturen und bei Nagetieren wirkt Carnosin antioxidativ, hemmt die Glykation von Eiweißen und bindet reaktive Aldehyde. Bei Mäusen und Ratten verbesserte es in vielen Versuchen Blutzucker, Nierenschäden bei Diabetes, Wundheilung und Gefäßfunktion. Die Meta-Analyse von Matthews 2021 schloss neben vier Humanstudien 16 Nagerstudien ein und bewertete die Vertrauenswürdigkeit der Tierdaten als sehr niedrig (Matthews 2021, PMID 34333586).</w:t>
      </w:r>
    </w:p>
    <w:p>
      <w:pPr>
        <w:pStyle w:val="BodyText"/>
      </w:pPr>
      <w:r>
        <w:t xml:space="preserve">Ein grundsätzliches Übertragungsproblem bleibt: Nagetiere besitzen im Blut praktisch keine Carnosinase. Bei Mäusen, denen man das menschliche Enzym gentechnisch einbaute, verliefen Diabetes und Nierenschäden schwerer (Qiu 2020, PMID 32803273). Das spricht dafür, dass das Enzym beim Menschen die Wirkung von zugeführtem Carnosin deutlich begrenzen könnte.</w:t>
      </w:r>
    </w:p>
    <w:bookmarkEnd w:id="898"/>
    <w:bookmarkStart w:id="899" w:name="risiken-und-nebenwirkungen-54"/>
    <w:p>
      <w:pPr>
        <w:pStyle w:val="Heading3"/>
      </w:pPr>
      <w:r>
        <w:t xml:space="preserve">Risiken und Nebenwirkungen</w:t>
      </w:r>
    </w:p>
    <w:p>
      <w:pPr>
        <w:pStyle w:val="FirstParagraph"/>
      </w:pPr>
      <w:r>
        <w:rPr>
          <w:bCs/>
          <w:b/>
        </w:rPr>
        <w:t xml:space="preserve">Belegt:</w:t>
      </w:r>
      <w:r>
        <w:t xml:space="preserve"> </w:t>
      </w:r>
      <w:r>
        <w:t xml:space="preserve">In den bisherigen Studien – mit Tagesmengen bis 2 g über bis zu 14 Wochen – wurden keine relevanten Nebenwirkungen berichtet. In der NEAT-Studie mit knapp 300 Teilnehmenden fanden sich keine Veränderungen von Nieren-, Leber- und Herzfunktion oder Blutsalzen (Baba 2024, PMID 39215872).</w:t>
      </w:r>
    </w:p>
    <w:p>
      <w:pPr>
        <w:pStyle w:val="BodyText"/>
      </w:pPr>
      <w:r>
        <w:rPr>
          <w:bCs/>
          <w:b/>
        </w:rPr>
        <w:t xml:space="preserve">Beta-Alanin:</w:t>
      </w:r>
      <w:r>
        <w:t xml:space="preserve"> </w:t>
      </w:r>
      <w:r>
        <w:t xml:space="preserve">Die einzige regelmäßig berichtete Nebenwirkung ist ein harmloses, aber unangenehmes Kribbeln der Haut (Parästhesie), meist im Gesicht und an den Händen, kurz nach der Einnahme. Eine Risikobewertung mit 101 Humanstudien schätzte die Wahrscheinlichkeit dafür unter Beta-Alanin etwa neunmal so hoch wie unter Placebo; die Abbruchraten unterschieden sich nicht, und ein geringer Anstieg eines Leberwerts blieb im Normbereich (Dolan 2019, PMID 30980076).</w:t>
      </w:r>
    </w:p>
    <w:p>
      <w:pPr>
        <w:pStyle w:val="BodyText"/>
      </w:pPr>
      <w:r>
        <w:rPr>
          <w:bCs/>
          <w:b/>
        </w:rPr>
        <w:t xml:space="preserve">Theoretisch bzw. unklar:</w:t>
      </w:r>
    </w:p>
    <w:p>
      <w:pPr>
        <w:numPr>
          <w:ilvl w:val="0"/>
          <w:numId w:val="1305"/>
        </w:numPr>
        <w:pStyle w:val="Compact"/>
      </w:pPr>
      <w:r>
        <w:t xml:space="preserve">Langzeitdaten über mehr als ein Jahr fehlen.</w:t>
      </w:r>
    </w:p>
    <w:p>
      <w:pPr>
        <w:numPr>
          <w:ilvl w:val="0"/>
          <w:numId w:val="1305"/>
        </w:numPr>
        <w:pStyle w:val="Compact"/>
      </w:pPr>
      <w:r>
        <w:t xml:space="preserve">Für Schwangerschaft, Stillzeit und Kinder (außer den genannten kleinen Studien) liegen keine Sicherheitsdaten vor.</w:t>
      </w:r>
    </w:p>
    <w:p>
      <w:pPr>
        <w:numPr>
          <w:ilvl w:val="0"/>
          <w:numId w:val="1305"/>
        </w:numPr>
        <w:pStyle w:val="Compact"/>
      </w:pPr>
      <w:r>
        <w:t xml:space="preserve">Bei Diabetes-Medikamenten ist eine Verstärkung der Blutzuckersenkung denkbar, aber nicht belegt; Blutzuckerkontrollen und ärztliche Rücksprache sind sinnvoll.</w:t>
      </w:r>
    </w:p>
    <w:p>
      <w:pPr>
        <w:numPr>
          <w:ilvl w:val="0"/>
          <w:numId w:val="1305"/>
        </w:numPr>
        <w:pStyle w:val="Compact"/>
      </w:pPr>
      <w:r>
        <w:t xml:space="preserve">Wie bei allen Nahrungsergänzungsmitteln hängt die Qualität vom Hersteller ab.</w:t>
      </w:r>
    </w:p>
    <w:bookmarkEnd w:id="899"/>
    <w:bookmarkStart w:id="900" w:name="rechtslage-54"/>
    <w:p>
      <w:pPr>
        <w:pStyle w:val="Heading3"/>
      </w:pPr>
      <w:r>
        <w:t xml:space="preserve">Rechtslage</w:t>
      </w:r>
    </w:p>
    <w:p>
      <w:pPr>
        <w:numPr>
          <w:ilvl w:val="0"/>
          <w:numId w:val="1306"/>
        </w:numPr>
        <w:pStyle w:val="Compact"/>
      </w:pPr>
      <w:r>
        <w:rPr>
          <w:bCs/>
          <w:b/>
        </w:rPr>
        <w:t xml:space="preserve">EU / Österreich / Deutschland:</w:t>
      </w:r>
      <w:r>
        <w:t xml:space="preserve"> </w:t>
      </w:r>
      <w:r>
        <w:t xml:space="preserve">Carnosin ist als Nahrungsergänzungsmittel im Handel. Für Carnosin gibt es keine zugelassene gesundheitsbezogene Angabe nach der Health-Claims-Verordnung (Verordnung (EG) Nr. 1924/2006); Werbeaussagen wie „Anti-Aging“ oder „schützt die Zellen“ sind damit nicht zulässig. Ob einzelne Zubereitungen als neuartige Lebensmittel (Novel Food) einzustufen sind, kann von Produkt zu Produkt unterschiedlich sein – bitte aktuell prüfen. Zink-Carnosin ist in der EU nicht als Arzneimittel zugelassen; für N-Acetylcarnosin-Augentropfen gibt es keine Arzneimittelzulassung gegen grauen Star.</w:t>
      </w:r>
    </w:p>
    <w:p>
      <w:pPr>
        <w:numPr>
          <w:ilvl w:val="0"/>
          <w:numId w:val="1306"/>
        </w:numPr>
        <w:pStyle w:val="Compact"/>
      </w:pPr>
      <w:r>
        <w:rPr>
          <w:bCs/>
          <w:b/>
        </w:rPr>
        <w:t xml:space="preserve">USA:</w:t>
      </w:r>
      <w:r>
        <w:t xml:space="preserve"> </w:t>
      </w:r>
      <w:r>
        <w:t xml:space="preserve">als Nahrungsergänzungsmittel erhältlich, ohne Arzneimittelzulassung.</w:t>
      </w:r>
    </w:p>
    <w:p>
      <w:pPr>
        <w:numPr>
          <w:ilvl w:val="0"/>
          <w:numId w:val="1306"/>
        </w:numPr>
        <w:pStyle w:val="Compact"/>
      </w:pPr>
      <w:r>
        <w:rPr>
          <w:bCs/>
          <w:b/>
        </w:rPr>
        <w:t xml:space="preserve">Japan:</w:t>
      </w:r>
      <w:r>
        <w:t xml:space="preserve"> </w:t>
      </w:r>
      <w:r>
        <w:t xml:space="preserve">Polaprezinc (Zink-Carnosin) ist ein zugelassenes Magenmittel.</w:t>
      </w:r>
    </w:p>
    <w:p>
      <w:pPr>
        <w:numPr>
          <w:ilvl w:val="0"/>
          <w:numId w:val="1306"/>
        </w:numPr>
        <w:pStyle w:val="Compact"/>
      </w:pPr>
      <w:r>
        <w:rPr>
          <w:bCs/>
          <w:b/>
        </w:rPr>
        <w:t xml:space="preserve">Sport:</w:t>
      </w:r>
      <w:r>
        <w:t xml:space="preserve"> </w:t>
      </w:r>
      <w:r>
        <w:t xml:space="preserve">Weder Carnosin noch Beta-Alanin stehen auf der WADA-Verbotsliste (Stand 2026, bitte aktuell prüfen).</w:t>
      </w:r>
    </w:p>
    <w:bookmarkEnd w:id="900"/>
    <w:bookmarkStart w:id="901" w:name="laufende-studien-und-ausblick-54"/>
    <w:p>
      <w:pPr>
        <w:pStyle w:val="Heading3"/>
      </w:pPr>
      <w:r>
        <w:t xml:space="preserve">Laufende Studien und Ausblick</w:t>
      </w:r>
    </w:p>
    <w:p>
      <w:pPr>
        <w:pStyle w:val="FirstParagraph"/>
      </w:pPr>
      <w:r>
        <w:rPr>
          <w:bCs/>
          <w:b/>
        </w:rPr>
        <w:t xml:space="preserve">Gesichert (registrierte Studien, Stand Oktober 2026):</w:t>
      </w:r>
    </w:p>
    <w:p>
      <w:pPr>
        <w:numPr>
          <w:ilvl w:val="0"/>
          <w:numId w:val="1307"/>
        </w:numPr>
        <w:pStyle w:val="Compact"/>
      </w:pPr>
      <w:r>
        <w:rPr>
          <w:bCs/>
          <w:b/>
        </w:rPr>
        <w:t xml:space="preserve">Periphere arterielle Verschlusskrankheit:</w:t>
      </w:r>
      <w:r>
        <w:t xml:space="preserve"> </w:t>
      </w:r>
      <w:r>
        <w:t xml:space="preserve">Eine Phase-1/2-Studie mit geplant 144 Teilnehmenden untersucht Carnosin bei Durchblutungsstörungen der Beine (NCT06480760); frühere kleinere Studien zum selben Thema sind abgeschlossen oder mit unbekanntem Status gelistet.</w:t>
      </w:r>
    </w:p>
    <w:p>
      <w:pPr>
        <w:numPr>
          <w:ilvl w:val="0"/>
          <w:numId w:val="1307"/>
        </w:numPr>
        <w:pStyle w:val="Compact"/>
      </w:pPr>
      <w:r>
        <w:rPr>
          <w:bCs/>
          <w:b/>
        </w:rPr>
        <w:t xml:space="preserve">Gerotherapie:</w:t>
      </w:r>
      <w:r>
        <w:t xml:space="preserve"> </w:t>
      </w:r>
      <w:r>
        <w:t xml:space="preserve">Eine kleine Phase-3-Studie mit 30 Teilnehmenden prüft Kombinationen von Substanzen zur Verbesserung der gesunden Lebensspanne, darunter Carnosin (NCT07475546).</w:t>
      </w:r>
    </w:p>
    <w:p>
      <w:pPr>
        <w:numPr>
          <w:ilvl w:val="0"/>
          <w:numId w:val="1307"/>
        </w:numPr>
        <w:pStyle w:val="Compact"/>
      </w:pPr>
      <w:r>
        <w:t xml:space="preserve">Die NEAT-Studie (NCT03314987) ist abgeschlossen; weitere Auswertungen zu Gefäßen und Luftverschmutzung sind möglich.</w:t>
      </w:r>
    </w:p>
    <w:p>
      <w:pPr>
        <w:pStyle w:val="FirstParagraph"/>
      </w:pPr>
      <w:r>
        <w:rPr>
          <w:bCs/>
          <w:b/>
        </w:rPr>
        <w:t xml:space="preserve">Einschätzung:</w:t>
      </w:r>
      <w:r>
        <w:t xml:space="preserve"> </w:t>
      </w:r>
      <w:r>
        <w:t xml:space="preserve">Carnosin ist biologisch interessant, aber die Humanstudien sind klein und uneinheitlich. Für den Sport ist die Vorstufe Beta-Alanin der besser belegte Weg. Für Diabetes und Gehirnalterung wären größere, längere Studien mit klinischen Endpunkten nötig. Ein Ansatz der Forschung sind carnosinase-resistente Abkömmlinge, die im Blut nicht sofort abgebaut werden – sie befinden sich jedoch noch im Laborstadium.</w:t>
      </w:r>
    </w:p>
    <w:bookmarkEnd w:id="901"/>
    <w:bookmarkStart w:id="902" w:name="fazit-54"/>
    <w:p>
      <w:pPr>
        <w:pStyle w:val="Heading3"/>
      </w:pPr>
      <w:r>
        <w:t xml:space="preserve">Fazit</w:t>
      </w:r>
    </w:p>
    <w:p>
      <w:pPr>
        <w:pStyle w:val="FirstParagraph"/>
      </w:pPr>
      <w:r>
        <w:t xml:space="preserve">Carnosin ist ein körpereigenes Dipeptid, das im Muskel Säure puffert und im Labor Zellen vor Zucker- und Fettabbauprodukten schützt. Beim Menschen wird es im Blut rasch durch das Enzym Carnosinase abgebaut, weshalb Tierergebnisse nur begrenzt übertragbar sind. Kleine Studien und Meta-Analysen deuten auf eine leichte Verbesserung des Langzeitzuckers bei Diabetes und auf Effekte auf Entzündungsmarker hin; für Leistung, Gedächtnis und Hautalterung sind die Daten schwach oder widersprüchlich. Für die Sportleistung ist die Vorstufe Beta-Alanin besser untersucht und mit kleinen Vorteilen bei kurzen intensiven Belastungen verbunden. Carnosin gilt in den untersuchten Mengen als gut verträglich.</w:t>
      </w:r>
    </w:p>
    <w:bookmarkEnd w:id="902"/>
    <w:bookmarkEnd w:id="903"/>
    <w:bookmarkStart w:id="913" w:name="ghk-cu-kupferpeptid"/>
    <w:p>
      <w:pPr>
        <w:pStyle w:val="Heading2"/>
      </w:pPr>
      <w:r>
        <w:t xml:space="preserve">GHK-Cu (Kupferpeptid)</w:t>
      </w:r>
    </w:p>
    <w:bookmarkStart w:id="904" w:name="steckbrief-55"/>
    <w:p>
      <w:pPr>
        <w:pStyle w:val="Heading3"/>
      </w:pPr>
      <w:r>
        <w:t xml:space="preserve">Steckbrief</w:t>
      </w:r>
    </w:p>
    <w:p>
      <w:pPr>
        <w:numPr>
          <w:ilvl w:val="0"/>
          <w:numId w:val="1308"/>
        </w:numPr>
        <w:pStyle w:val="Compact"/>
      </w:pPr>
      <w:r>
        <w:rPr>
          <w:bCs/>
          <w:b/>
        </w:rPr>
        <w:t xml:space="preserve">Art/Struktur:</w:t>
      </w:r>
      <w:r>
        <w:t xml:space="preserve"> </w:t>
      </w:r>
      <w:r>
        <w:t xml:space="preserve">Tripeptid aus Glycin, Histidin und Lysin (Gly-His-Lys, kurz GHK), das ein Kupferion fest bindet. In Kosmetik-Inhaltsstofflisten heißt es meist</w:t>
      </w:r>
      <w:r>
        <w:t xml:space="preserve"> </w:t>
      </w:r>
      <w:r>
        <w:rPr>
          <w:iCs/>
          <w:i/>
        </w:rPr>
        <w:t xml:space="preserve">Copper Tripeptide-1</w:t>
      </w:r>
      <w:r>
        <w:t xml:space="preserve">. Eine verwandte Form ohne Kupfer, aber mit Fettsäurerest, ist Palmitoyl-Tripeptid-1 (Pal-GHK), ein Bestandteil von „Matrixyl 3000“.</w:t>
      </w:r>
    </w:p>
    <w:p>
      <w:pPr>
        <w:numPr>
          <w:ilvl w:val="0"/>
          <w:numId w:val="1308"/>
        </w:numPr>
        <w:pStyle w:val="Compact"/>
      </w:pPr>
      <w:r>
        <w:rPr>
          <w:bCs/>
          <w:b/>
        </w:rPr>
        <w:t xml:space="preserve">Herkunft:</w:t>
      </w:r>
      <w:r>
        <w:t xml:space="preserve"> </w:t>
      </w:r>
      <w:r>
        <w:t xml:space="preserve">körpereigen. GHK wurde in den 1970er-Jahren im menschlichen Blutplasma entdeckt (Pickart 1973, PMID 4349963) und kommt auch in Speichel und Urin vor. Die Sequenz GHK ist Teil des Kollagens und könnte bei dessen Abbau freigesetzt werden. Für Produkte wird es synthetisch hergestellt.</w:t>
      </w:r>
    </w:p>
    <w:p>
      <w:pPr>
        <w:numPr>
          <w:ilvl w:val="0"/>
          <w:numId w:val="1308"/>
        </w:numPr>
        <w:pStyle w:val="Compact"/>
      </w:pPr>
      <w:r>
        <w:rPr>
          <w:bCs/>
          <w:b/>
        </w:rPr>
        <w:t xml:space="preserve">Wirkprinzip:</w:t>
      </w:r>
      <w:r>
        <w:t xml:space="preserve"> </w:t>
      </w:r>
      <w:r>
        <w:t xml:space="preserve">soll die Wundheilung und den Umbau des Bindegewebes anregen, unter anderem durch Transport von Kupfer in Zellen und Stimulation der Kollagenbildung.</w:t>
      </w:r>
    </w:p>
    <w:p>
      <w:pPr>
        <w:numPr>
          <w:ilvl w:val="0"/>
          <w:numId w:val="1308"/>
        </w:numPr>
        <w:pStyle w:val="Compact"/>
      </w:pPr>
      <w:r>
        <w:rPr>
          <w:bCs/>
          <w:b/>
        </w:rPr>
        <w:t xml:space="preserve">Verwendung:</w:t>
      </w:r>
      <w:r>
        <w:t xml:space="preserve"> </w:t>
      </w:r>
      <w:r>
        <w:t xml:space="preserve">zugelassen als Inhaltsstoff in Kosmetika (Cremes, Seren, Haarpflege). Daneben auf dem Graumarkt als „Research Peptide“ zur Injektion angeboten.</w:t>
      </w:r>
    </w:p>
    <w:p>
      <w:pPr>
        <w:numPr>
          <w:ilvl w:val="0"/>
          <w:numId w:val="1308"/>
        </w:numPr>
        <w:pStyle w:val="Compact"/>
      </w:pPr>
      <w:r>
        <w:rPr>
          <w:bCs/>
          <w:b/>
        </w:rPr>
        <w:t xml:space="preserve">Zulassung EU:</w:t>
      </w:r>
      <w:r>
        <w:t xml:space="preserve"> </w:t>
      </w:r>
      <w:r>
        <w:t xml:space="preserve">keine Arzneimittelzulassung. Als kosmetischer Inhaltsstoff verwendbar.</w:t>
      </w:r>
    </w:p>
    <w:p>
      <w:pPr>
        <w:numPr>
          <w:ilvl w:val="0"/>
          <w:numId w:val="1308"/>
        </w:numPr>
        <w:pStyle w:val="Compact"/>
      </w:pPr>
      <w:r>
        <w:rPr>
          <w:bCs/>
          <w:b/>
        </w:rPr>
        <w:t xml:space="preserve">Zulassung USA:</w:t>
      </w:r>
      <w:r>
        <w:t xml:space="preserve"> </w:t>
      </w:r>
      <w:r>
        <w:t xml:space="preserve">keine Arzneimittelzulassung; als kosmetischer Inhaltsstoff im Handel. Für die Herstellung injizierbarer Zubereitungen in Apotheken bestehen Einschränkungen (siehe Rechtslage).</w:t>
      </w:r>
    </w:p>
    <w:p>
      <w:pPr>
        <w:numPr>
          <w:ilvl w:val="0"/>
          <w:numId w:val="1308"/>
        </w:numPr>
        <w:pStyle w:val="Compact"/>
      </w:pPr>
      <w:r>
        <w:rPr>
          <w:bCs/>
          <w:b/>
        </w:rPr>
        <w:t xml:space="preserve">WADA:</w:t>
      </w:r>
      <w:r>
        <w:t xml:space="preserve"> </w:t>
      </w:r>
      <w:r>
        <w:t xml:space="preserve">nicht namentlich gelistet. Bei Injektion als nicht zugelassener Wirkstoff kann die Kategorie S0 („nicht zugelassene Substanzen“) greifen (Stand 2026, bitte aktuell prüfen).</w:t>
      </w:r>
    </w:p>
    <w:p>
      <w:pPr>
        <w:numPr>
          <w:ilvl w:val="0"/>
          <w:numId w:val="1308"/>
        </w:numPr>
        <w:pStyle w:val="Compact"/>
      </w:pPr>
      <w:r>
        <w:rPr>
          <w:bCs/>
          <w:b/>
        </w:rPr>
        <w:t xml:space="preserve">Evidenzstufe:</w:t>
      </w:r>
      <w:r>
        <w:t xml:space="preserve"> </w:t>
      </w:r>
      <w:r>
        <w:rPr>
          <w:bCs/>
          <w:b/>
        </w:rPr>
        <w:t xml:space="preserve">C</w:t>
      </w:r>
      <w:r>
        <w:t xml:space="preserve"> </w:t>
      </w:r>
      <w:r>
        <w:t xml:space="preserve">– eine ältere randomisierte Wundstudie und wenige sehr kleine Hautstudien; für die heute beworbenen Anwendungen (Anti-Aging-Kosmetik, Injektionen) keine belastbaren kontrollierten Humandaten.</w:t>
      </w:r>
    </w:p>
    <w:bookmarkEnd w:id="904"/>
    <w:bookmarkStart w:id="906" w:name="wie-es-wirken-soll-55"/>
    <w:p>
      <w:pPr>
        <w:pStyle w:val="Heading3"/>
      </w:pPr>
      <w:r>
        <w:t xml:space="preserve">Wie es wirken soll</w:t>
      </w:r>
    </w:p>
    <w:p>
      <w:pPr>
        <w:pStyle w:val="FirstParagraph"/>
      </w:pPr>
      <w:r>
        <w:t xml:space="preserve">GHK bindet Kupfer so fest, dass es dieses lebenswichtige Spurenelement in Zellen transportieren kann. Kupfer wird von mehreren Enzymen benötigt, die für das Bindegewebe wichtig sind, etwa von der Lysyloxidase, die Kollagen- und Elastinfasern miteinander vernetzt. Eine frühe Arbeit vermutete bereits 1980, dass GHK seine Wirkung auf Zellen über die Erleichterung der Kupferaufnahme entfaltet (Pickart 1980, PMID 7453802).</w:t>
      </w:r>
    </w:p>
    <w:p>
      <w:pPr>
        <w:pStyle w:val="BodyText"/>
      </w:pPr>
      <w:r>
        <w:t xml:space="preserve">In Zellkulturen regte GHK-Cu die Kollagenbildung von Fibroblasten bereits in extrem niedrigen Konzentrationen an; das Maximum lag bei etwa einem Nanomol pro Liter (Maquart 1988, PMID 3169264). Der Entdecker von GHK, Loren Pickart, hat in mehreren Übersichtsarbeiten eine Vielzahl weiterer Wirkungen beschrieben – auf Wundheilung, Haarwachstum, Entzündung, Nervenwachstum und sogar auf die Aktivität tausender Gene (Pickart 2015, PMID 26236730; Pickart 2018, PMID 29986520). Diese Aussagen beruhen überwiegend auf Zell- und Tierversuchen sowie auf Genexpressionsdaten aus Datenbanken, nicht auf Studien am Menschen. Zudem stammen viele dieser Übersichten aus dem Umfeld der Personen, die GHK-Cu auch kommerziell entwickelt haben – ein Umstand, den Leserinnen und Leser bei der Bewertung kennen sollten.</w:t>
      </w:r>
    </w:p>
    <w:bookmarkStart w:id="905" w:name="kommt-das-peptid-durch-die-haut"/>
    <w:p>
      <w:pPr>
        <w:pStyle w:val="Heading4"/>
      </w:pPr>
      <w:r>
        <w:t xml:space="preserve">Kommt das Peptid durch die Haut?</w:t>
      </w:r>
    </w:p>
    <w:p>
      <w:pPr>
        <w:pStyle w:val="FirstParagraph"/>
      </w:pPr>
      <w:r>
        <w:t xml:space="preserve">Für die kosmetische Anwendung ist entscheidend, ob GHK-Cu die Hautbarriere überwindet. Die Hornschicht der Haut ist für wasserlösliche, geladene Moleküle wie GHK schlecht durchlässig. Eine Übersichtsarbeit aus dem Jahr 2025 kommt zu dem Schluss, dass GHK in Zellversuchen zweifellos als Anti-Falten-Wirkstoff gelten könne, dass es aber auffallend wenige klinische Studien gebe; Kupferbindung und Fettsäure-Anhängsel verbessern die Durchlässigkeit, Mikronadeln und andere Hilfsmittel werden erforscht (Mortazavi 2025, PMID 39963574). Eine Untersuchung an drei Freiwilligen fand das verwandte Pal-GHK nach dem Auftragen in allen Schichten der Hornschicht, allerdings nur zwischen den Zellen und mit abnehmender Menge in der Tiefe (Trzaska 2026, PMID 42790608). Ob ausreichende Mengen die tieferen Hautschichten erreichen, in denen Kollagen gebildet wird, ist nicht geklärt.</w:t>
      </w:r>
    </w:p>
    <w:bookmarkEnd w:id="905"/>
    <w:bookmarkEnd w:id="906"/>
    <w:bookmarkStart w:id="907" w:name="studien-am-menschen-55"/>
    <w:p>
      <w:pPr>
        <w:pStyle w:val="Heading3"/>
      </w:pPr>
      <w:r>
        <w:t xml:space="preserve">Studien am Menschen</w:t>
      </w:r>
    </w:p>
    <w:p>
      <w:pPr>
        <w:pStyle w:val="FirstParagraph"/>
      </w:pPr>
      <w:r>
        <w:t xml:space="preserve">Die für dieses Buch ausgewertete PubMed-Abfrage (GHK-Cu, Kupfer-Tripeptid oder Kupferpeptid GHK in Titel oder Abstract, Abfragedatum Oktober 2026) ergab nur</w:t>
      </w:r>
      <w:r>
        <w:t xml:space="preserve"> </w:t>
      </w:r>
      <w:r>
        <w:rPr>
          <w:bCs/>
          <w:b/>
        </w:rPr>
        <w:t xml:space="preserve">eine</w:t>
      </w:r>
      <w:r>
        <w:t xml:space="preserve"> </w:t>
      </w:r>
      <w:r>
        <w:t xml:space="preserve">Humanstudie. Auf ClinicalTrials.gov ergab die Suche 25 Einträge, von denen jedoch fast alle andere Kupferverbindungen betreffen (etwa radioaktives Kupfer-64 für die Bildgebung). Nur ein glaubwürdiger Eintrag untersucht tatsächlich GHK bzw. GHK-Cu; ein weiterer Eintrag zu einem GHK-Cu-Wundgel stammt von einem Sponsor, dessen Registereinträge nach unserer Prüfung offenbar fiktive Beispiel- oder Testeinträge sind, und wird deshalb hier nicht berücksichtigt. Eine erweiterte Suche ergab zusätzlich die unten genannte ältere Wundstudie sowie Einzelfallberichte.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Mulder 1994, PMID 17147644</w:t>
            </w:r>
          </w:p>
        </w:tc>
        <w:tc>
          <w:tcPr/>
          <w:p>
            <w:pPr>
              <w:pStyle w:val="Compact"/>
              <w:jc w:val="left"/>
            </w:pPr>
            <w:r>
              <w:t xml:space="preserve">Menschen mit diabetischen Fußgeschwüren, multizentrisch, randomisiert, verblindete Bewertung, GHK-Cu-Gel vs. Trägergel</w:t>
            </w:r>
          </w:p>
        </w:tc>
        <w:tc>
          <w:tcPr/>
          <w:p>
            <w:pPr>
              <w:pStyle w:val="Compact"/>
              <w:jc w:val="left"/>
            </w:pPr>
            <w:r>
              <w:t xml:space="preserve">k. A. im Abstract</w:t>
            </w:r>
          </w:p>
        </w:tc>
        <w:tc>
          <w:tcPr/>
          <w:p>
            <w:pPr>
              <w:pStyle w:val="Compact"/>
              <w:jc w:val="left"/>
            </w:pPr>
            <w:r>
              <w:t xml:space="preserve">Mediane Wundflächenverkleinerung 98,5 % vs. 60,8 %; Infektionen 7 % vs. 34 %</w:t>
            </w:r>
          </w:p>
        </w:tc>
      </w:tr>
      <w:tr>
        <w:tc>
          <w:tcPr/>
          <w:p>
            <w:pPr>
              <w:pStyle w:val="Compact"/>
              <w:jc w:val="left"/>
            </w:pPr>
            <w:r>
              <w:t xml:space="preserve">Miller 2006, PMID 16847171</w:t>
            </w:r>
          </w:p>
        </w:tc>
        <w:tc>
          <w:tcPr/>
          <w:p>
            <w:pPr>
              <w:pStyle w:val="Compact"/>
              <w:jc w:val="left"/>
            </w:pPr>
            <w:r>
              <w:t xml:space="preserve">Hautpflege nach CO₂-Laserbehandlung, randomisiert, 13 Auswertbare</w:t>
            </w:r>
          </w:p>
        </w:tc>
        <w:tc>
          <w:tcPr/>
          <w:p>
            <w:pPr>
              <w:pStyle w:val="Compact"/>
              <w:jc w:val="left"/>
            </w:pPr>
            <w:r>
              <w:t xml:space="preserve">12 Wochen</w:t>
            </w:r>
          </w:p>
        </w:tc>
        <w:tc>
          <w:tcPr/>
          <w:p>
            <w:pPr>
              <w:pStyle w:val="Compact"/>
              <w:jc w:val="left"/>
            </w:pPr>
            <w:r>
              <w:t xml:space="preserve">Kein Unterschied bei Rötung, Falten oder Hautqualität laut Messung und verblindeter Bewertung; höhere Zufriedenheit im Fragebogen</w:t>
            </w:r>
          </w:p>
        </w:tc>
      </w:tr>
      <w:tr>
        <w:tc>
          <w:tcPr/>
          <w:p>
            <w:pPr>
              <w:pStyle w:val="Compact"/>
              <w:jc w:val="left"/>
            </w:pPr>
            <w:r>
              <w:t xml:space="preserve">Byun 2016, PMID 27064823</w:t>
            </w:r>
          </w:p>
        </w:tc>
        <w:tc>
          <w:tcPr/>
          <w:p>
            <w:pPr>
              <w:pStyle w:val="Compact"/>
              <w:jc w:val="left"/>
            </w:pPr>
            <w:r>
              <w:t xml:space="preserve">1 Mann, Mischung aus GHK-Cu, Hyaluronsäure, Pflanzenextrakt, Tranexamsäure und Beta-Glucan mit Sprühgerät</w:t>
            </w:r>
          </w:p>
        </w:tc>
        <w:tc>
          <w:tcPr/>
          <w:p>
            <w:pPr>
              <w:pStyle w:val="Compact"/>
              <w:jc w:val="left"/>
            </w:pPr>
            <w:r>
              <w:t xml:space="preserve">12 Wochen</w:t>
            </w:r>
          </w:p>
        </w:tc>
        <w:tc>
          <w:tcPr/>
          <w:p>
            <w:pPr>
              <w:pStyle w:val="Compact"/>
              <w:jc w:val="left"/>
            </w:pPr>
            <w:r>
              <w:t xml:space="preserve">Weniger Augenfalten; mehr Kollagen in Hautproben (Einzelfall, Kombinationsprodukt)</w:t>
            </w:r>
          </w:p>
        </w:tc>
      </w:tr>
    </w:tbl>
    <w:p>
      <w:pPr>
        <w:pStyle w:val="BodyText"/>
      </w:pPr>
      <w:r>
        <w:rPr>
          <w:bCs/>
          <w:b/>
        </w:rPr>
        <w:t xml:space="preserve">Die Wundstudie von 1994</w:t>
      </w:r>
      <w:r>
        <w:t xml:space="preserve"> </w:t>
      </w:r>
      <w:r>
        <w:t xml:space="preserve">ist die einzige kontrollierte Studie, die einen klinisch relevanten Endpunkt verbessert hat. Das Präparat (unter dem Namen Iamin entwickelt) hat jedoch keine Arzneimittelzulassung erlangt. Das Abstract nennt weder die Zahl der Teilnehmenden noch die Studiendauer; spätere Bestätigungsstudien sind in PubMed nicht auffindbar.</w:t>
      </w:r>
    </w:p>
    <w:p>
      <w:pPr>
        <w:pStyle w:val="BodyText"/>
      </w:pPr>
      <w:r>
        <w:rPr>
          <w:bCs/>
          <w:b/>
        </w:rPr>
        <w:t xml:space="preserve">Die Laserstudie von 2006</w:t>
      </w:r>
      <w:r>
        <w:t xml:space="preserve"> </w:t>
      </w:r>
      <w:r>
        <w:t xml:space="preserve">ist die einzige randomisierte Studie mit kosmetischer Fragestellung, die in PubMed erfasst ist. Mit nur 13 auswertbaren Patientinnen und Patienten war sie zu klein, um Unterschiede sicher zu erkennen – und sie fand objektiv keine.</w:t>
      </w:r>
    </w:p>
    <w:p>
      <w:pPr>
        <w:pStyle w:val="BodyText"/>
      </w:pPr>
      <w:r>
        <w:rPr>
          <w:bCs/>
          <w:b/>
        </w:rPr>
        <w:t xml:space="preserve">Kosmetische Studien:</w:t>
      </w:r>
      <w:r>
        <w:t xml:space="preserve"> </w:t>
      </w:r>
      <w:r>
        <w:t xml:space="preserve">In Fachbüchern und Werbematerialien werden Studien zitiert, nach denen GHK-Cu-Cremes Falten, Hautdichte und Elastizität verbessert hätten. Diese sind überwiegend nicht in PubMed-gelisteten Fachzeitschriften erschienen oder nur als Kongressbeiträge und Herstellerberichte verfügbar und konnten für dieses Buch nicht im Original geprüft werden. Eine Meta-Analyse zu oralen und äußerlich angewendeten Peptiden gegen Hautalterung aus dem Jahr 2026 fand, dass der Nutzen bei Falten vor allem von</w:t>
      </w:r>
      <w:r>
        <w:t xml:space="preserve"> </w:t>
      </w:r>
      <w:r>
        <w:rPr>
          <w:iCs/>
          <w:i/>
        </w:rPr>
        <w:t xml:space="preserve">oral</w:t>
      </w:r>
      <w:r>
        <w:t xml:space="preserve"> </w:t>
      </w:r>
      <w:r>
        <w:t xml:space="preserve">eingenommenen Peptiden getragen wurde; Ergebnisse speziell für GHK-Cu weist das Abstract nicht aus (Nukaly 2026, PMID 41924746).</w:t>
      </w:r>
    </w:p>
    <w:p>
      <w:pPr>
        <w:pStyle w:val="BodyText"/>
      </w:pPr>
      <w:r>
        <w:rPr>
          <w:bCs/>
          <w:b/>
        </w:rPr>
        <w:t xml:space="preserve">Injektionen:</w:t>
      </w:r>
      <w:r>
        <w:t xml:space="preserve"> </w:t>
      </w:r>
      <w:r>
        <w:t xml:space="preserve">Für injiziertes GHK-Cu gibt es keine einzige veröffentlichte kontrollierte Studie am Menschen. Eine Übersichtsarbeit für Orthopädie und Sportmedizin hält fest, dass für den Einsatz bei Erkrankungen des Bewegungsapparats keine klinischen Daten vorliegen und dass Dosierung, Häufigkeit und Dauer einer Behandlung unbekannt sind (Mayfield 2026, PMID 41476424). Eine weitere Übersicht zu nicht zugelassenen Peptiden in der Sportmedizin kommt zu dem Schluss, dass belastbare Sicherheitsdaten am Menschen fehlen und ein Schadenspotenzial besteht (Mendias 2026, PMID 41966639).</w:t>
      </w:r>
    </w:p>
    <w:bookmarkEnd w:id="907"/>
    <w:bookmarkStart w:id="908" w:name="tier--und-laborstudien-55"/>
    <w:p>
      <w:pPr>
        <w:pStyle w:val="Heading3"/>
      </w:pPr>
      <w:r>
        <w:t xml:space="preserve">Tier- und Laborstudien</w:t>
      </w:r>
    </w:p>
    <w:p>
      <w:pPr>
        <w:pStyle w:val="FirstParagraph"/>
      </w:pPr>
      <w:r>
        <w:t xml:space="preserve">Die präklinische Literatur ist umfangreich:</w:t>
      </w:r>
    </w:p>
    <w:p>
      <w:pPr>
        <w:numPr>
          <w:ilvl w:val="0"/>
          <w:numId w:val="1309"/>
        </w:numPr>
        <w:pStyle w:val="Compact"/>
      </w:pPr>
      <w:r>
        <w:rPr>
          <w:bCs/>
          <w:b/>
        </w:rPr>
        <w:t xml:space="preserve">Zellkultur:</w:t>
      </w:r>
      <w:r>
        <w:t xml:space="preserve"> </w:t>
      </w:r>
      <w:r>
        <w:t xml:space="preserve">Steigerung der Kollagenbildung in Fibroblasten (Maquart 1988, PMID 3169264); Beeinflussung von Enzymen, die Bindegewebe auf- und abbauen.</w:t>
      </w:r>
    </w:p>
    <w:p>
      <w:pPr>
        <w:numPr>
          <w:ilvl w:val="0"/>
          <w:numId w:val="1309"/>
        </w:numPr>
        <w:pStyle w:val="Compact"/>
      </w:pPr>
      <w:r>
        <w:rPr>
          <w:bCs/>
          <w:b/>
        </w:rPr>
        <w:t xml:space="preserve">Wundheilung bei Tieren:</w:t>
      </w:r>
      <w:r>
        <w:t xml:space="preserve"> </w:t>
      </w:r>
      <w:r>
        <w:t xml:space="preserve">Bei Ratten mit schlecht durchbluteten Wunden verkleinerte sich die Wundfläche unter GHK-Cu-Gel nach 13 Tagen um 64,5 %, unter dem Trägergel um 45,6 % und ohne Behandlung um 28,2 % (Canapp 2003, PMID 14648529). Bei Mäusen förderten GHK-Cu-haltige Liposomen die Gefäßneubildung in verbrühter Haut und verkürzten die Heilungszeit (Wang 2017, PMID 28370978).</w:t>
      </w:r>
    </w:p>
    <w:p>
      <w:pPr>
        <w:numPr>
          <w:ilvl w:val="0"/>
          <w:numId w:val="1309"/>
        </w:numPr>
        <w:pStyle w:val="Compact"/>
      </w:pPr>
      <w:r>
        <w:rPr>
          <w:bCs/>
          <w:b/>
        </w:rPr>
        <w:t xml:space="preserve">Andere Organe (bei Tieren):</w:t>
      </w:r>
      <w:r>
        <w:t xml:space="preserve"> </w:t>
      </w:r>
      <w:r>
        <w:t xml:space="preserve">In Mäusen milderte GHK-Cu, in die Bauchhöhle gespritzt, eine experimentell ausgelöste Lungenfibrose (Ma 2020, PMID 31809714); weitere Mausstudien beschreiben Effekte bei Lungenschäden, Darmentzündung und Muskelschwäche nach Zigarettenrauch. Bei Ratten verbesserte es die Heilung nach Kreuzbandersatz nur vorübergehend (Fu 2015, PMID 25731775).</w:t>
      </w:r>
    </w:p>
    <w:p>
      <w:pPr>
        <w:numPr>
          <w:ilvl w:val="0"/>
          <w:numId w:val="1309"/>
        </w:numPr>
        <w:pStyle w:val="Compact"/>
      </w:pPr>
      <w:r>
        <w:rPr>
          <w:bCs/>
          <w:b/>
        </w:rPr>
        <w:t xml:space="preserve">Gehirn (bei Mäusen):</w:t>
      </w:r>
      <w:r>
        <w:t xml:space="preserve"> </w:t>
      </w:r>
      <w:r>
        <w:t xml:space="preserve">Eine noch nicht begutachtete Vorabveröffentlichung aus 2026 beschrieb bei alten Mäusen bessere Lernleistungen nach achtwöchiger Gabe durch die Nase, nach kurzer Gabe in die Bauchhöhle nur vorübergehend und nur bei Männchen (Mazzola 2026, PMID 42245779).</w:t>
      </w:r>
    </w:p>
    <w:p>
      <w:pPr>
        <w:pStyle w:val="FirstParagraph"/>
      </w:pPr>
      <w:r>
        <w:t xml:space="preserve">Diese Befunde zeigen eine biologische Aktivität, lassen sich aber nicht ohne Weiteres auf den Menschen übertragen – schon gar nicht auf kosmetische Cremes mit unklarer Hautdurchlässigkeit.</w:t>
      </w:r>
    </w:p>
    <w:bookmarkEnd w:id="908"/>
    <w:bookmarkStart w:id="909" w:name="risiken-und-nebenwirkungen-55"/>
    <w:p>
      <w:pPr>
        <w:pStyle w:val="Heading3"/>
      </w:pPr>
      <w:r>
        <w:t xml:space="preserve">Risiken und Nebenwirkungen</w:t>
      </w:r>
    </w:p>
    <w:p>
      <w:pPr>
        <w:pStyle w:val="FirstParagraph"/>
      </w:pPr>
      <w:r>
        <w:rPr>
          <w:bCs/>
          <w:b/>
        </w:rPr>
        <w:t xml:space="preserve">Kosmetische Anwendung (belegt bzw. wahrscheinlich):</w:t>
      </w:r>
      <w:r>
        <w:t xml:space="preserve"> </w:t>
      </w:r>
      <w:r>
        <w:t xml:space="preserve">GHK-Cu wird seit Jahrzehnten in Kosmetika verwendet; in den wenigen Studien wurden keine relevanten Nebenwirkungen berichtet. Wie bei jedem kosmetischen Inhaltsstoff sind Hautreizungen und Kontaktallergien möglich. Kupferhaltige Seren können sich mit anderen Wirkstoffen (etwa Vitamin C oder Säuren) chemisch vertragen oder nicht – das ist eine Frage der Rezeptur.</w:t>
      </w:r>
    </w:p>
    <w:p>
      <w:pPr>
        <w:pStyle w:val="BodyText"/>
      </w:pPr>
      <w:r>
        <w:rPr>
          <w:bCs/>
          <w:b/>
        </w:rPr>
        <w:t xml:space="preserve">Injektion (theoretisch, aber ernst zu nehmen):</w:t>
      </w:r>
    </w:p>
    <w:p>
      <w:pPr>
        <w:numPr>
          <w:ilvl w:val="0"/>
          <w:numId w:val="1310"/>
        </w:numPr>
        <w:pStyle w:val="Compact"/>
      </w:pPr>
      <w:r>
        <w:rPr>
          <w:bCs/>
          <w:b/>
        </w:rPr>
        <w:t xml:space="preserve">Keine Sicherheitsdaten:</w:t>
      </w:r>
      <w:r>
        <w:t xml:space="preserve"> </w:t>
      </w:r>
      <w:r>
        <w:t xml:space="preserve">Es gibt keine systematischen Daten zu Verträglichkeit, Dosierung oder Langzeitfolgen beim Menschen.</w:t>
      </w:r>
    </w:p>
    <w:p>
      <w:pPr>
        <w:numPr>
          <w:ilvl w:val="0"/>
          <w:numId w:val="1310"/>
        </w:numPr>
        <w:pStyle w:val="Compact"/>
      </w:pPr>
      <w:r>
        <w:rPr>
          <w:bCs/>
          <w:b/>
        </w:rPr>
        <w:t xml:space="preserve">Uneinheitliche Zellwirkungen:</w:t>
      </w:r>
      <w:r>
        <w:t xml:space="preserve"> </w:t>
      </w:r>
      <w:r>
        <w:t xml:space="preserve">Schon die frühen Laborarbeiten beschrieben, dass GHK je nach Zellsystem Wachstum fördern, aber auch giftig wirken kann (Pickart 1980, PMID 7453802).</w:t>
      </w:r>
    </w:p>
    <w:p>
      <w:pPr>
        <w:numPr>
          <w:ilvl w:val="0"/>
          <w:numId w:val="1310"/>
        </w:numPr>
        <w:pStyle w:val="Compact"/>
      </w:pPr>
      <w:r>
        <w:rPr>
          <w:bCs/>
          <w:b/>
        </w:rPr>
        <w:t xml:space="preserve">Kupferbelastung:</w:t>
      </w:r>
      <w:r>
        <w:t xml:space="preserve"> </w:t>
      </w:r>
      <w:r>
        <w:t xml:space="preserve">Kupfer ist in höheren Mengen giftig. Wie viel Kupfer bei wiederholten Injektionen im Körper verbleibt, ist nicht untersucht. Besonders gefährdet wären Menschen mit Morbus Wilson, einer angeborenen Kupferspeicherkrankheit.</w:t>
      </w:r>
    </w:p>
    <w:p>
      <w:pPr>
        <w:numPr>
          <w:ilvl w:val="0"/>
          <w:numId w:val="1310"/>
        </w:numPr>
        <w:pStyle w:val="Compact"/>
      </w:pPr>
      <w:r>
        <w:rPr>
          <w:bCs/>
          <w:b/>
        </w:rPr>
        <w:t xml:space="preserve">Wachstumssignale:</w:t>
      </w:r>
      <w:r>
        <w:t xml:space="preserve"> </w:t>
      </w:r>
      <w:r>
        <w:t xml:space="preserve">GHK-Cu fördert in Tierversuchen die Bildung neuer Blutgefäße (Angiogenese). Ob das bei bestehenden Tumoren ein Risiko darstellt, ist unbekannt (theoretisches Risiko).</w:t>
      </w:r>
    </w:p>
    <w:p>
      <w:pPr>
        <w:numPr>
          <w:ilvl w:val="0"/>
          <w:numId w:val="1310"/>
        </w:numPr>
        <w:pStyle w:val="Compact"/>
      </w:pPr>
      <w:r>
        <w:rPr>
          <w:bCs/>
          <w:b/>
        </w:rPr>
        <w:t xml:space="preserve">Graumarktqualität:</w:t>
      </w:r>
      <w:r>
        <w:t xml:space="preserve"> </w:t>
      </w:r>
      <w:r>
        <w:t xml:space="preserve">„Research Peptides“ werden ohne pharmazeutische Qualitätskontrolle hergestellt. Verunreinigungen, falsche Mengen oder bakterielle Kontamination sind möglich; Injektionen nicht steriler Produkte können zu Abszessen und Infektionen führen. Eine Übersicht beschreibt diese Risiken für injizierbare „Biohacking“-Peptide allgemein (Moiz 2026, PMID 42757290). Ausführlich behandelt Teil IV das Thema.</w:t>
      </w:r>
    </w:p>
    <w:bookmarkEnd w:id="909"/>
    <w:bookmarkStart w:id="910" w:name="rechtslage-55"/>
    <w:p>
      <w:pPr>
        <w:pStyle w:val="Heading3"/>
      </w:pPr>
      <w:r>
        <w:t xml:space="preserve">Rechtslage</w:t>
      </w:r>
    </w:p>
    <w:p>
      <w:pPr>
        <w:numPr>
          <w:ilvl w:val="0"/>
          <w:numId w:val="1311"/>
        </w:numPr>
        <w:pStyle w:val="Compact"/>
      </w:pPr>
      <w:r>
        <w:rPr>
          <w:bCs/>
          <w:b/>
        </w:rPr>
        <w:t xml:space="preserve">EU / Österreich / Deutschland:</w:t>
      </w:r>
      <w:r>
        <w:t xml:space="preserve"> </w:t>
      </w:r>
      <w:r>
        <w:t xml:space="preserve">GHK-Cu (Copper Tripeptide-1) darf als Inhaltsstoff in Kosmetika verwendet werden; es gilt die EU-Kosmetikverordnung (Verordnung (EG) Nr. 1223/2009). Kosmetika dürfen nur für die Anwendung auf der Haut und ihren Anhangsgebilden bestimmt sein und keine arzneilichen Wirkungen beanspruchen; Werbeaussagen müssen nach der Verordnung (EU) Nr. 655/2013 belegbar sein. Ein zur Injektion bestimmtes GHK-Cu ist kein Kosmetikum, sondern ein nicht zugelassenes Arzneimittel. Sein Verkauf zur Anwendung am Menschen ist nicht erlaubt; Etiketten wie „nur für Forschungszwecke“ ändern daran nichts.</w:t>
      </w:r>
    </w:p>
    <w:p>
      <w:pPr>
        <w:numPr>
          <w:ilvl w:val="0"/>
          <w:numId w:val="1311"/>
        </w:numPr>
        <w:pStyle w:val="Compact"/>
      </w:pPr>
      <w:r>
        <w:rPr>
          <w:bCs/>
          <w:b/>
        </w:rPr>
        <w:t xml:space="preserve">USA:</w:t>
      </w:r>
      <w:r>
        <w:t xml:space="preserve"> </w:t>
      </w:r>
      <w:r>
        <w:t xml:space="preserve">In Kosmetika erlaubt. Die FDA hat GHK-Cu zur Injektion nach unserem Kenntnisstand 2023 auf eine Liste von Wirkstoffen gesetzt, bei denen sie erhebliche Sicherheitsbedenken für die Herstellung in Apotheken (Compounding) sieht; die Einstufung mehrerer Peptide wurde seitdem neu diskutiert (Stand 2026, bitte aktuell prüfen).</w:t>
      </w:r>
    </w:p>
    <w:p>
      <w:pPr>
        <w:numPr>
          <w:ilvl w:val="0"/>
          <w:numId w:val="1311"/>
        </w:numPr>
        <w:pStyle w:val="Compact"/>
      </w:pPr>
      <w:r>
        <w:rPr>
          <w:bCs/>
          <w:b/>
        </w:rPr>
        <w:t xml:space="preserve">Sport:</w:t>
      </w:r>
      <w:r>
        <w:t xml:space="preserve"> </w:t>
      </w:r>
      <w:r>
        <w:t xml:space="preserve">GHK-Cu ist nicht namentlich auf der WADA-Liste. Kosmetische Cremes gelten als unproblematisch. Injiziertes GHK-Cu als nicht zugelassene Substanz könnte unter die Kategorie S0 fallen; Athletinnen und Athleten sollten im Zweifel bei der Nationalen Anti-Doping-Agentur nachfragen (Stand 2026, bitte aktuell prüfen).</w:t>
      </w:r>
    </w:p>
    <w:bookmarkEnd w:id="910"/>
    <w:bookmarkStart w:id="911" w:name="laufende-studien-und-ausblick-55"/>
    <w:p>
      <w:pPr>
        <w:pStyle w:val="Heading3"/>
      </w:pPr>
      <w:r>
        <w:t xml:space="preserve">Laufende Studien und Ausblick</w:t>
      </w:r>
    </w:p>
    <w:p>
      <w:pPr>
        <w:pStyle w:val="FirstParagraph"/>
      </w:pPr>
      <w:r>
        <w:rPr>
          <w:bCs/>
          <w:b/>
        </w:rPr>
        <w:t xml:space="preserve">Gesichert (registrierte Studien, Stand Oktober 2026):</w:t>
      </w:r>
    </w:p>
    <w:p>
      <w:pPr>
        <w:numPr>
          <w:ilvl w:val="0"/>
          <w:numId w:val="1312"/>
        </w:numPr>
        <w:pStyle w:val="Compact"/>
      </w:pPr>
      <w:r>
        <w:rPr>
          <w:bCs/>
          <w:b/>
        </w:rPr>
        <w:t xml:space="preserve">Pflaster:</w:t>
      </w:r>
      <w:r>
        <w:t xml:space="preserve"> </w:t>
      </w:r>
      <w:r>
        <w:t xml:space="preserve">Eine Studie mit geplant 100 Gesunden soll untersuchen, ob ein Pflaster (X39) die GHK- und GHK-Cu-Spiegel im Blut verändert; Beginn geplant 2027 (NCT07706361). Der Sponsor ist ein Unternehmen, das das Pflaster vertreibt.</w:t>
      </w:r>
    </w:p>
    <w:p>
      <w:pPr>
        <w:pStyle w:val="FirstParagraph"/>
      </w:pPr>
      <w:r>
        <w:rPr>
          <w:bCs/>
          <w:b/>
        </w:rPr>
        <w:t xml:space="preserve">Einschätzung:</w:t>
      </w:r>
      <w:r>
        <w:t xml:space="preserve"> </w:t>
      </w:r>
      <w:r>
        <w:t xml:space="preserve">Eine seriöse, registrierte Studie zu einem medizinisch relevanten Endpunkt – etwa der Wundheilung, wo die einzigen positiven kontrollierten Humandaten herkommen – ist derzeit nicht erkennbar. Für die kosmetische Anwendung wären unabhängige, ausreichend große, placebokontrollierte Studien mit einer Creme ohne weitere Wirkstoffe nötig. Für Injektionen ist keine seriöse Studie in Sicht; das Interesse wird vor allem in sozialen Medien und auf dem Graumarkt angeheizt.</w:t>
      </w:r>
    </w:p>
    <w:bookmarkEnd w:id="911"/>
    <w:bookmarkStart w:id="912" w:name="fazit-55"/>
    <w:p>
      <w:pPr>
        <w:pStyle w:val="Heading3"/>
      </w:pPr>
      <w:r>
        <w:t xml:space="preserve">Fazit</w:t>
      </w:r>
    </w:p>
    <w:p>
      <w:pPr>
        <w:pStyle w:val="FirstParagraph"/>
      </w:pPr>
      <w:r>
        <w:t xml:space="preserve">GHK-Cu ist ein körpereigenes Kupferpeptid, das im Labor die Kollagenbildung anregt und in Tierversuchen die Wundheilung beschleunigt. Am Menschen gibt es nur eine ältere randomisierte Studie zu diabetischen Fußgeschwüren mit positivem Ergebnis und eine winzige kosmetische Studie ohne messbaren Effekt. Ob GHK-Cu aus Cremes in ausreichender Menge in die Haut gelangt, ist ungeklärt; Werbeaussagen stützen sich vor allem auf Labordaten und nicht unabhängig geprüfte Herstellerstudien. Als kosmetischer Inhaltsstoff ist es legal und gilt als gut verträglich. Injektionen von Graumarkt-GHK-Cu sind weder untersucht noch zugelassen und bergen vermeidbare Risiken.</w:t>
      </w:r>
    </w:p>
    <w:bookmarkEnd w:id="912"/>
    <w:bookmarkEnd w:id="913"/>
    <w:bookmarkStart w:id="922" w:name="palmitoyl-pentapeptid-4-matrixyl"/>
    <w:p>
      <w:pPr>
        <w:pStyle w:val="Heading2"/>
      </w:pPr>
      <w:r>
        <w:t xml:space="preserve">Palmitoyl-Pentapeptid-4 (Matrixyl)</w:t>
      </w:r>
    </w:p>
    <w:bookmarkStart w:id="914" w:name="steckbrief-56"/>
    <w:p>
      <w:pPr>
        <w:pStyle w:val="Heading3"/>
      </w:pPr>
      <w:r>
        <w:t xml:space="preserve">Steckbrief</w:t>
      </w:r>
    </w:p>
    <w:p>
      <w:pPr>
        <w:numPr>
          <w:ilvl w:val="0"/>
          <w:numId w:val="1313"/>
        </w:numPr>
        <w:pStyle w:val="Compact"/>
      </w:pPr>
      <w:r>
        <w:rPr>
          <w:bCs/>
          <w:b/>
        </w:rPr>
        <w:t xml:space="preserve">Art/Struktur:</w:t>
      </w:r>
      <w:r>
        <w:t xml:space="preserve"> </w:t>
      </w:r>
      <w:r>
        <w:t xml:space="preserve">Pentapeptid aus Lysin, Threonin, Threonin, Lysin und Serin (KTTKS), an das eine Palmitinsäure (eine Fettsäure mit 16 Kohlenstoffatomen) gekoppelt ist. Kurzbezeichnung Pal-KTTKS; früher als Palmitoyl-Pentapeptid-3 geführt. Handelsname des Rohstoffs: Matrixyl.</w:t>
      </w:r>
    </w:p>
    <w:p>
      <w:pPr>
        <w:numPr>
          <w:ilvl w:val="0"/>
          <w:numId w:val="1313"/>
        </w:numPr>
        <w:pStyle w:val="Compact"/>
      </w:pPr>
      <w:r>
        <w:rPr>
          <w:bCs/>
          <w:b/>
        </w:rPr>
        <w:t xml:space="preserve">Herkunft:</w:t>
      </w:r>
      <w:r>
        <w:t xml:space="preserve"> </w:t>
      </w:r>
      <w:r>
        <w:t xml:space="preserve">synthetisch. Die Sequenz KTTKS stammt aus dem Vorläufermolekül von Typ-I-Kollagen (Prokollagen). Das Fettsäure-Anhängsel soll das Eindringen in die Haut verbessern.</w:t>
      </w:r>
    </w:p>
    <w:p>
      <w:pPr>
        <w:numPr>
          <w:ilvl w:val="0"/>
          <w:numId w:val="1313"/>
        </w:numPr>
        <w:pStyle w:val="Compact"/>
      </w:pPr>
      <w:r>
        <w:rPr>
          <w:bCs/>
          <w:b/>
        </w:rPr>
        <w:t xml:space="preserve">Wirkprinzip:</w:t>
      </w:r>
      <w:r>
        <w:t xml:space="preserve"> </w:t>
      </w:r>
      <w:r>
        <w:t xml:space="preserve">soll als „Matrikin“ – ein Bruchstück der Bindegewebsmatrix mit Signalwirkung – Fibroblasten in der Haut zur Bildung von Kollagen und anderen Matrixbestandteilen anregen.</w:t>
      </w:r>
    </w:p>
    <w:p>
      <w:pPr>
        <w:numPr>
          <w:ilvl w:val="0"/>
          <w:numId w:val="1313"/>
        </w:numPr>
        <w:pStyle w:val="Compact"/>
      </w:pPr>
      <w:r>
        <w:rPr>
          <w:bCs/>
          <w:b/>
        </w:rPr>
        <w:t xml:space="preserve">Abgrenzung:</w:t>
      </w:r>
      <w:r>
        <w:t xml:space="preserve"> </w:t>
      </w:r>
      <w:r>
        <w:t xml:space="preserve">„Matrixyl 3000“ ist ein anderes Produkt, eine Kombination aus Palmitoyl-Tripeptid-1 (Pal-GHK, siehe Kapitel GHK-Cu) und Palmitoyl-Tetrapeptid-7.</w:t>
      </w:r>
    </w:p>
    <w:p>
      <w:pPr>
        <w:numPr>
          <w:ilvl w:val="0"/>
          <w:numId w:val="1313"/>
        </w:numPr>
        <w:pStyle w:val="Compact"/>
      </w:pPr>
      <w:r>
        <w:rPr>
          <w:bCs/>
          <w:b/>
        </w:rPr>
        <w:t xml:space="preserve">Zulassung EU:</w:t>
      </w:r>
      <w:r>
        <w:t xml:space="preserve"> </w:t>
      </w:r>
      <w:r>
        <w:t xml:space="preserve">kein Arzneimittel; kosmetischer Inhaltsstoff.</w:t>
      </w:r>
    </w:p>
    <w:p>
      <w:pPr>
        <w:numPr>
          <w:ilvl w:val="0"/>
          <w:numId w:val="1313"/>
        </w:numPr>
        <w:pStyle w:val="Compact"/>
      </w:pPr>
      <w:r>
        <w:rPr>
          <w:bCs/>
          <w:b/>
        </w:rPr>
        <w:t xml:space="preserve">Zulassung USA:</w:t>
      </w:r>
      <w:r>
        <w:t xml:space="preserve"> </w:t>
      </w:r>
      <w:r>
        <w:t xml:space="preserve">kein Arzneimittel; kosmetischer Inhaltsstoff.</w:t>
      </w:r>
    </w:p>
    <w:p>
      <w:pPr>
        <w:numPr>
          <w:ilvl w:val="0"/>
          <w:numId w:val="1313"/>
        </w:numPr>
        <w:pStyle w:val="Compact"/>
      </w:pPr>
      <w:r>
        <w:rPr>
          <w:bCs/>
          <w:b/>
        </w:rPr>
        <w:t xml:space="preserve">WADA:</w:t>
      </w:r>
      <w:r>
        <w:t xml:space="preserve"> </w:t>
      </w:r>
      <w:r>
        <w:t xml:space="preserve">nicht gelistet; als Kosmetikbestandteil sportrechtlich ohne Bedeutung (Stand 2026, bitte aktuell prüfen).</w:t>
      </w:r>
    </w:p>
    <w:p>
      <w:pPr>
        <w:numPr>
          <w:ilvl w:val="0"/>
          <w:numId w:val="1313"/>
        </w:numPr>
        <w:pStyle w:val="Compact"/>
      </w:pPr>
      <w:r>
        <w:rPr>
          <w:bCs/>
          <w:b/>
        </w:rPr>
        <w:t xml:space="preserve">Evidenzstufe:</w:t>
      </w:r>
      <w:r>
        <w:t xml:space="preserve"> </w:t>
      </w:r>
      <w:r>
        <w:rPr>
          <w:bCs/>
          <w:b/>
        </w:rPr>
        <w:t xml:space="preserve">B</w:t>
      </w:r>
      <w:r>
        <w:t xml:space="preserve"> </w:t>
      </w:r>
      <w:r>
        <w:t xml:space="preserve">(schwach) – eine größere randomisierte Halbseitenstudie aus dem Jahr 2005 und eine sehr kleine randomisierte Studie; keine unabhängigen Bestätigungsstudien.</w:t>
      </w:r>
    </w:p>
    <w:bookmarkEnd w:id="914"/>
    <w:bookmarkStart w:id="915" w:name="wie-es-wirken-soll-56"/>
    <w:p>
      <w:pPr>
        <w:pStyle w:val="Heading3"/>
      </w:pPr>
      <w:r>
        <w:t xml:space="preserve">Wie es wirken soll</w:t>
      </w:r>
    </w:p>
    <w:p>
      <w:pPr>
        <w:pStyle w:val="FirstParagraph"/>
      </w:pPr>
      <w:r>
        <w:t xml:space="preserve">Wenn Bindegewebe verletzt wird, zerlegen Enzyme Kollagen und andere Matrixbestandteile in Bruchstücke. Einige dieser Bruchstücke wirken als Signal: Sie zeigen den Bindegewebszellen an, dass Reparaturbedarf besteht. Solche Signalfragmente werden Matrikine genannt.</w:t>
      </w:r>
    </w:p>
    <w:p>
      <w:pPr>
        <w:pStyle w:val="BodyText"/>
      </w:pPr>
      <w:r>
        <w:t xml:space="preserve">1993 beschrieb eine Arbeitsgruppe, dass das Pentapeptid KTTKS – ein kleines Stück aus dem Ende des Typ-I-Prokollagens – in Fibroblasten-Kulturen die Bildung von Typ-I- und Typ-III-Kollagen sowie Fibronectin kräftig steigert. KTTKS war die kleinste Sequenz, die diesen Effekt noch auslöste (Katayama 1993, PMID 8486721). Die Kosmetikindustrie griff die Idee auf: Ein Peptid, das der Haut „Reparaturbedarf“ signalisiert, könnte die altersbedingt nachlassende Kollagenbildung ankurbeln.</w:t>
      </w:r>
    </w:p>
    <w:p>
      <w:pPr>
        <w:pStyle w:val="BodyText"/>
      </w:pPr>
      <w:r>
        <w:t xml:space="preserve">Reines KTTKS dringt allerdings kaum in die Haut ein. Durch das Anhängen einer Fettsäure (Palmitoylierung) wird das Molekül fettlöslicher. In Zellkultur regte Pal-KTTKS die Kollagenbildung von Haut- und Hornhautfibroblasten konzentrationsabhängig an; der Effekt trat nahe der Konzentration auf, ab der sich die Moleküle zu bandförmigen Nanostrukturen zusammenlagern (Jones 2013, PMID 23320752).</w:t>
      </w:r>
    </w:p>
    <w:p>
      <w:pPr>
        <w:pStyle w:val="BodyText"/>
      </w:pPr>
      <w:r>
        <w:t xml:space="preserve">Offen bleibt, wie viel Pal-KTTKS aus einer Creme tatsächlich die Lederhaut erreicht, wo die Fibroblasten sitzen. Für das verwandte Pal-GHK zeigte eine Untersuchung an Freiwilligen, dass es sich nach dem Auftragen nur zwischen den Zellen der Hornschicht verteilt und mit der Tiefe abnimmt (Trzaska 2026, PMID 42790608). Für Pal-KTTKS selbst fehlen vergleichbare Messungen beim Menschen in der ausgewerteten Literatur.</w:t>
      </w:r>
    </w:p>
    <w:bookmarkEnd w:id="915"/>
    <w:bookmarkStart w:id="916" w:name="studien-am-menschen-56"/>
    <w:p>
      <w:pPr>
        <w:pStyle w:val="Heading3"/>
      </w:pPr>
      <w:r>
        <w:t xml:space="preserve">Studien am Menschen</w:t>
      </w:r>
    </w:p>
    <w:p>
      <w:pPr>
        <w:pStyle w:val="FirstParagraph"/>
      </w:pPr>
      <w:r>
        <w:t xml:space="preserve">Die für dieses Buch ausgewertete PubMed-Abfrage (Palmitoyl-Pentapeptid oder Matrixyl in Titel oder Abstract, Abfragedatum Oktober 2026) ergab nur</w:t>
      </w:r>
      <w:r>
        <w:t xml:space="preserve"> </w:t>
      </w:r>
      <w:r>
        <w:rPr>
          <w:bCs/>
          <w:b/>
        </w:rPr>
        <w:t xml:space="preserve">eine</w:t>
      </w:r>
      <w:r>
        <w:t xml:space="preserve"> </w:t>
      </w:r>
      <w:r>
        <w:t xml:space="preserve">als Humanstudie klassifizierte Arbeit; auf ClinicalTrials.gov ist kein Registereintrag verzeichnet. Bei der manuellen Durchsicht fanden sich zwei weitere kontrollierte Studien sowie Studien mit Kombinationsprodukten.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Robinson 2005, PMID 18492182</w:t>
            </w:r>
          </w:p>
        </w:tc>
        <w:tc>
          <w:tcPr/>
          <w:p>
            <w:pPr>
              <w:pStyle w:val="Compact"/>
              <w:jc w:val="left"/>
            </w:pPr>
            <w:r>
              <w:t xml:space="preserve">93 hellhäutige Frauen (35–55 J.), Feuchtigkeitscreme mit Pal-KTTKS auf einer Gesichtshälfte vs. gleiche Creme ohne Wirkstoff auf der anderen, doppelblind</w:t>
            </w:r>
          </w:p>
        </w:tc>
        <w:tc>
          <w:tcPr/>
          <w:p>
            <w:pPr>
              <w:pStyle w:val="Compact"/>
              <w:jc w:val="left"/>
            </w:pPr>
            <w:r>
              <w:t xml:space="preserve">12 Wochen</w:t>
            </w:r>
          </w:p>
        </w:tc>
        <w:tc>
          <w:tcPr/>
          <w:p>
            <w:pPr>
              <w:pStyle w:val="Compact"/>
              <w:jc w:val="left"/>
            </w:pPr>
            <w:r>
              <w:t xml:space="preserve">Signifikante Verringerung von Falten und feinen Linien gegenüber der Kontrollseite, gemessen mit Bildanalyse und durch Fachleute; gut verträglich</w:t>
            </w:r>
          </w:p>
        </w:tc>
      </w:tr>
      <w:tr>
        <w:tc>
          <w:tcPr/>
          <w:p>
            <w:pPr>
              <w:pStyle w:val="Compact"/>
              <w:jc w:val="left"/>
            </w:pPr>
            <w:r>
              <w:t xml:space="preserve">Aruan 2023, PMID 36909866</w:t>
            </w:r>
          </w:p>
        </w:tc>
        <w:tc>
          <w:tcPr/>
          <w:p>
            <w:pPr>
              <w:pStyle w:val="Compact"/>
              <w:jc w:val="left"/>
            </w:pPr>
            <w:r>
              <w:t xml:space="preserve">21 indonesische Frauen (26–55 J.), Creme mit Palmitoyl-Pentapeptid-4 vs. Acetyl-Hexapeptid-3 vs. Placebo, doppelblind</w:t>
            </w:r>
          </w:p>
        </w:tc>
        <w:tc>
          <w:tcPr/>
          <w:p>
            <w:pPr>
              <w:pStyle w:val="Compact"/>
              <w:jc w:val="left"/>
            </w:pPr>
            <w:r>
              <w:t xml:space="preserve">8 Wochen</w:t>
            </w:r>
          </w:p>
        </w:tc>
        <w:tc>
          <w:tcPr/>
          <w:p>
            <w:pPr>
              <w:pStyle w:val="Compact"/>
              <w:jc w:val="left"/>
            </w:pPr>
            <w:r>
              <w:t xml:space="preserve">Verbesserungen „bei einigen Teilnehmerinnen“; Palmitoyl-Pentapeptid-4 schnitt besser ab als die Vergleichsgruppen; keine belastbaren Effektgrößen im Abstract</w:t>
            </w:r>
          </w:p>
        </w:tc>
      </w:tr>
      <w:tr>
        <w:tc>
          <w:tcPr/>
          <w:p>
            <w:pPr>
              <w:pStyle w:val="Compact"/>
              <w:jc w:val="left"/>
            </w:pPr>
            <w:r>
              <w:t xml:space="preserve">Röper 2004, PMID 15127162</w:t>
            </w:r>
          </w:p>
        </w:tc>
        <w:tc>
          <w:tcPr/>
          <w:p>
            <w:pPr>
              <w:pStyle w:val="Compact"/>
              <w:jc w:val="left"/>
            </w:pPr>
            <w:r>
              <w:t xml:space="preserve">20 Frauen mit Brustkrebs unter Strahlentherapie, Creme mit Matrixyl und weiteren Wirkstoffen vs. Dexpanthenol-Lotion</w:t>
            </w:r>
          </w:p>
        </w:tc>
        <w:tc>
          <w:tcPr/>
          <w:p>
            <w:pPr>
              <w:pStyle w:val="Compact"/>
              <w:jc w:val="left"/>
            </w:pPr>
            <w:r>
              <w:t xml:space="preserve">Therapiedauer</w:t>
            </w:r>
          </w:p>
        </w:tc>
        <w:tc>
          <w:tcPr/>
          <w:p>
            <w:pPr>
              <w:pStyle w:val="Compact"/>
              <w:jc w:val="left"/>
            </w:pPr>
            <w:r>
              <w:t xml:space="preserve">Kein Vorteil bei Hautreaktionen; Juckreiz und ein Verdacht auf allergische Reaktion nur in der Matrixyl-Gruppe</w:t>
            </w:r>
          </w:p>
        </w:tc>
      </w:tr>
    </w:tbl>
    <w:p>
      <w:pPr>
        <w:pStyle w:val="BodyText"/>
      </w:pPr>
      <w:r>
        <w:rPr>
          <w:bCs/>
          <w:b/>
        </w:rPr>
        <w:t xml:space="preserve">Robinson 2005</w:t>
      </w:r>
      <w:r>
        <w:t xml:space="preserve"> </w:t>
      </w:r>
      <w:r>
        <w:t xml:space="preserve">ist die zentrale Studie. Das Halbseitendesign ist klug, weil jede Teilnehmerin ihre eigene Kontrolle ist. Die Konzentration im Produkt betrug 3 ppm (Millionstel). Einschränkungen: Das Abstract nennt keine Effektgrößen; die Studie wurde in einer Kosmetik-Fachzeitschrift veröffentlicht und seither nicht von unabhängiger Seite wiederholt. Untersucht wurden ausschließlich hellhäutige Frauen mit lichtgealterter Haut; ob die Ergebnisse auf andere Hauttypen übertragbar sind, ist offen.</w:t>
      </w:r>
    </w:p>
    <w:p>
      <w:pPr>
        <w:pStyle w:val="BodyText"/>
      </w:pPr>
      <w:r>
        <w:rPr>
          <w:bCs/>
          <w:b/>
        </w:rPr>
        <w:t xml:space="preserve">Aruan 2023</w:t>
      </w:r>
      <w:r>
        <w:t xml:space="preserve"> </w:t>
      </w:r>
      <w:r>
        <w:t xml:space="preserve">war mit 21 Teilnehmerinnen in drei Gruppen zu klein für verlässliche Aussagen; die Autoren bezeichnen sie selbst als Ausgangspunkt für größere Studien.</w:t>
      </w:r>
    </w:p>
    <w:p>
      <w:pPr>
        <w:pStyle w:val="BodyText"/>
      </w:pPr>
      <w:r>
        <w:rPr>
          <w:bCs/>
          <w:b/>
        </w:rPr>
        <w:t xml:space="preserve">Röper 2004</w:t>
      </w:r>
      <w:r>
        <w:t xml:space="preserve"> </w:t>
      </w:r>
      <w:r>
        <w:t xml:space="preserve">prüfte ein Kombinationsprodukt in einem medizinischen Zusammenhang und fand keinen Nutzen.</w:t>
      </w:r>
    </w:p>
    <w:p>
      <w:pPr>
        <w:pStyle w:val="BodyText"/>
      </w:pPr>
      <w:r>
        <w:rPr>
          <w:bCs/>
          <w:b/>
        </w:rPr>
        <w:t xml:space="preserve">Kombinationsprodukte:</w:t>
      </w:r>
      <w:r>
        <w:t xml:space="preserve"> </w:t>
      </w:r>
      <w:r>
        <w:t xml:space="preserve">In zwei Halbseitenstudien mit 42 bzw. 35 Frauen verbesserten Pflegeprodukte, die Pal-KTTKS zusammen mit Niacinamid, einem weiteren Peptid, Carnosin und teils Retinylpropionat enthielten, die Glätte der Haut um die Augen gegenüber unbehandelter Haut (Kaczvinsky 2009, PMID 19735523). Weil mehrere Wirkstoffe gleichzeitig getestet und mit „keiner Behandlung“ verglichen wurden, lässt sich der Effekt nicht dem Peptid zuordnen.</w:t>
      </w:r>
    </w:p>
    <w:p>
      <w:pPr>
        <w:pStyle w:val="BodyText"/>
      </w:pPr>
      <w:r>
        <w:rPr>
          <w:bCs/>
          <w:b/>
        </w:rPr>
        <w:t xml:space="preserve">Meta-Analyse:</w:t>
      </w:r>
      <w:r>
        <w:t xml:space="preserve"> </w:t>
      </w:r>
      <w:r>
        <w:t xml:space="preserve">Eine Meta-Analyse zu oralen und äußerlich angewendeten Peptiden gegen Hautalterung (19 Studien, 1.341 Teilnehmende) fand einen bescheidenen Gesamteffekt auf Falten, der vor allem von oral eingenommenen Peptiden getragen wurde (Nukaly 2026, PMID 41924746). Für äußerlich angewendete Peptide wie Pal-KTTKS ergibt sich daraus kein eigener Nachweis.</w:t>
      </w:r>
    </w:p>
    <w:bookmarkEnd w:id="916"/>
    <w:bookmarkStart w:id="917" w:name="tier--und-laborstudien-56"/>
    <w:p>
      <w:pPr>
        <w:pStyle w:val="Heading3"/>
      </w:pPr>
      <w:r>
        <w:t xml:space="preserve">Tier- und Laborstudien</w:t>
      </w:r>
    </w:p>
    <w:p>
      <w:pPr>
        <w:numPr>
          <w:ilvl w:val="0"/>
          <w:numId w:val="1314"/>
        </w:numPr>
        <w:pStyle w:val="Compact"/>
      </w:pPr>
      <w:r>
        <w:rPr>
          <w:bCs/>
          <w:b/>
        </w:rPr>
        <w:t xml:space="preserve">Zellkultur:</w:t>
      </w:r>
      <w:r>
        <w:t xml:space="preserve"> </w:t>
      </w:r>
      <w:r>
        <w:t xml:space="preserve">KTTKS und Pal-KTTKS steigern die Bildung von Kollagen und Fibronectin in Fibroblasten (Katayama 1993, PMID 8486721; Jones 2013, PMID 23320752). In einer anderen Zellstudie verringerte Pal-KTTKS in niedriger Konzentration die Umwandlung von Fibroblasten in narbenbildende Myofibroblasten; in höherer Konzentration war der Effekt nicht signifikant (Park 2017, PMID 30603464).</w:t>
      </w:r>
    </w:p>
    <w:p>
      <w:pPr>
        <w:numPr>
          <w:ilvl w:val="0"/>
          <w:numId w:val="1314"/>
        </w:numPr>
        <w:pStyle w:val="Compact"/>
      </w:pPr>
      <w:r>
        <w:rPr>
          <w:bCs/>
          <w:b/>
        </w:rPr>
        <w:t xml:space="preserve">Tierversuche:</w:t>
      </w:r>
      <w:r>
        <w:t xml:space="preserve"> </w:t>
      </w:r>
      <w:r>
        <w:t xml:space="preserve">Bei Versuchstieren verbesserten Pflaster und Cremes mit Matrixyl die Heilung von Hautwunden gegenüber unbehandelten Kontrollen (Kachooeian 2022, PMID 35874243).</w:t>
      </w:r>
    </w:p>
    <w:p>
      <w:pPr>
        <w:numPr>
          <w:ilvl w:val="0"/>
          <w:numId w:val="1314"/>
        </w:numPr>
        <w:pStyle w:val="Compact"/>
      </w:pPr>
      <w:r>
        <w:rPr>
          <w:bCs/>
          <w:b/>
        </w:rPr>
        <w:t xml:space="preserve">Neue Abwandlungen:</w:t>
      </w:r>
      <w:r>
        <w:t xml:space="preserve"> </w:t>
      </w:r>
      <w:r>
        <w:t xml:space="preserve">Forschungsgruppen koppeln KTTKS an andere Moleküle, um antibakterielle oder stärker kollagenanregende Varianten zu erzeugen – bislang ausschließlich im Labor.</w:t>
      </w:r>
    </w:p>
    <w:bookmarkEnd w:id="917"/>
    <w:bookmarkStart w:id="918" w:name="risiken-und-nebenwirkungen-56"/>
    <w:p>
      <w:pPr>
        <w:pStyle w:val="Heading3"/>
      </w:pPr>
      <w:r>
        <w:t xml:space="preserve">Risiken und Nebenwirkungen</w:t>
      </w:r>
    </w:p>
    <w:p>
      <w:pPr>
        <w:pStyle w:val="FirstParagraph"/>
      </w:pPr>
      <w:r>
        <w:rPr>
          <w:bCs/>
          <w:b/>
        </w:rPr>
        <w:t xml:space="preserve">Belegt:</w:t>
      </w:r>
      <w:r>
        <w:t xml:space="preserve"> </w:t>
      </w:r>
      <w:r>
        <w:t xml:space="preserve">In der Studie von Robinson war das Peptid gut verträglich. In der Strahlentherapie-Studie traten Juckreiz und ein Verdacht auf eine allergische Reaktion nur unter dem Matrixyl-haltigen Kombinationsprodukt auf (Röper 2004, PMID 15127162); welcher Bestandteil verantwortlich war, ist unklar.</w:t>
      </w:r>
    </w:p>
    <w:p>
      <w:pPr>
        <w:pStyle w:val="BodyText"/>
      </w:pPr>
      <w:r>
        <w:rPr>
          <w:bCs/>
          <w:b/>
        </w:rPr>
        <w:t xml:space="preserve">Allgemein:</w:t>
      </w:r>
      <w:r>
        <w:t xml:space="preserve"> </w:t>
      </w:r>
      <w:r>
        <w:t xml:space="preserve">Wie bei jedem Kosmetikbestandteil sind Reizungen und Kontaktallergien möglich, sie scheinen aber selten zu sein. Eine Arbeit aus der Kosmetikindustrie, die Peptide mit bioinformatischen Werkzeugen auf Gift- und Allergiepotenzial prüfte, fand für Palmitoyl-Pentapeptid-4 Ähnlichkeiten mit Bindegewebseiweißen der Haut, aber keine Hinweise auf Toxin- oder Allergenstrukturen (Bjerke 2026, PMID 41953401). Solche Computeranalysen ersetzen keine klinische Beobachtung.</w:t>
      </w:r>
    </w:p>
    <w:p>
      <w:pPr>
        <w:pStyle w:val="BodyText"/>
      </w:pPr>
      <w:r>
        <w:rPr>
          <w:bCs/>
          <w:b/>
        </w:rPr>
        <w:t xml:space="preserve">Theoretisch:</w:t>
      </w:r>
      <w:r>
        <w:t xml:space="preserve"> </w:t>
      </w:r>
      <w:r>
        <w:t xml:space="preserve">Ein Signalstoff, der Fibroblasten tatsächlich zur Kollagenbildung anregt, könnte bei Neigung zu Narbenwucherungen unerwünscht sein. Dafür gibt es keine Fallberichte; die geringe Hautdurchlässigkeit spricht gegen eine relevante Wirkung.</w:t>
      </w:r>
    </w:p>
    <w:bookmarkEnd w:id="918"/>
    <w:bookmarkStart w:id="919" w:name="rechtslage-56"/>
    <w:p>
      <w:pPr>
        <w:pStyle w:val="Heading3"/>
      </w:pPr>
      <w:r>
        <w:t xml:space="preserve">Rechtslage</w:t>
      </w:r>
    </w:p>
    <w:p>
      <w:pPr>
        <w:numPr>
          <w:ilvl w:val="0"/>
          <w:numId w:val="1315"/>
        </w:numPr>
        <w:pStyle w:val="Compact"/>
      </w:pPr>
      <w:r>
        <w:rPr>
          <w:bCs/>
          <w:b/>
        </w:rPr>
        <w:t xml:space="preserve">EU / Österreich / Deutschland:</w:t>
      </w:r>
      <w:r>
        <w:t xml:space="preserve"> </w:t>
      </w:r>
      <w:r>
        <w:t xml:space="preserve">Palmitoyl-Pentapeptid-4 ist ein zulässiger kosmetischer Inhaltsstoff nach der EU-Kosmetikverordnung (Verordnung (EG) Nr. 1223/2009). Kosmetika werden vor dem Verkauf nicht behördlich auf Wirksamkeit geprüft; der Hersteller muss eine Sicherheitsbewertung erstellen und Werbeaussagen nach der Verordnung (EU) Nr. 655/2013 belegen können. Aussagen wie „wirkt wie eine Faltenunterspritzung“ oder „baut Kollagen auf“ sind daher rechtlich heikel, wenn sie nicht durch Studien am Produkt gedeckt sind.</w:t>
      </w:r>
    </w:p>
    <w:p>
      <w:pPr>
        <w:numPr>
          <w:ilvl w:val="0"/>
          <w:numId w:val="1315"/>
        </w:numPr>
        <w:pStyle w:val="Compact"/>
      </w:pPr>
      <w:r>
        <w:rPr>
          <w:bCs/>
          <w:b/>
        </w:rPr>
        <w:t xml:space="preserve">USA:</w:t>
      </w:r>
      <w:r>
        <w:t xml:space="preserve"> </w:t>
      </w:r>
      <w:r>
        <w:t xml:space="preserve">kosmetischer Inhaltsstoff ohne Vorabprüfung durch die FDA. Werbeaussagen, die eine Veränderung der Hautstruktur versprechen, können ein Produkt rechtlich zum Arzneimittel machen.</w:t>
      </w:r>
    </w:p>
    <w:p>
      <w:pPr>
        <w:numPr>
          <w:ilvl w:val="0"/>
          <w:numId w:val="1315"/>
        </w:numPr>
        <w:pStyle w:val="Compact"/>
      </w:pPr>
      <w:r>
        <w:rPr>
          <w:bCs/>
          <w:b/>
        </w:rPr>
        <w:t xml:space="preserve">Sport:</w:t>
      </w:r>
      <w:r>
        <w:t xml:space="preserve"> </w:t>
      </w:r>
      <w:r>
        <w:t xml:space="preserve">ohne Bedeutung (Stand 2026, bitte aktuell prüfen).</w:t>
      </w:r>
    </w:p>
    <w:bookmarkEnd w:id="919"/>
    <w:bookmarkStart w:id="920" w:name="laufende-studien-und-ausblick-56"/>
    <w:p>
      <w:pPr>
        <w:pStyle w:val="Heading3"/>
      </w:pPr>
      <w:r>
        <w:t xml:space="preserve">Laufende Studien und Ausblick</w:t>
      </w:r>
    </w:p>
    <w:p>
      <w:pPr>
        <w:pStyle w:val="FirstParagraph"/>
      </w:pPr>
      <w:r>
        <w:rPr>
          <w:bCs/>
          <w:b/>
        </w:rPr>
        <w:t xml:space="preserve">Gesichert:</w:t>
      </w:r>
      <w:r>
        <w:t xml:space="preserve"> </w:t>
      </w:r>
      <w:r>
        <w:t xml:space="preserve">Auf ClinicalTrials.gov ist unter „palmitoyl pentapeptide“ keine Studie registriert (Stand Oktober 2026). Kosmetische Wirksamkeitsstudien werden in der Regel nicht registriert, sondern von den Herstellern in Auftrag gegeben und nur teilweise veröffentlicht.</w:t>
      </w:r>
    </w:p>
    <w:p>
      <w:pPr>
        <w:pStyle w:val="BodyText"/>
      </w:pPr>
      <w:r>
        <w:rPr>
          <w:bCs/>
          <w:b/>
        </w:rPr>
        <w:t xml:space="preserve">Einschätzung:</w:t>
      </w:r>
      <w:r>
        <w:t xml:space="preserve"> </w:t>
      </w:r>
      <w:r>
        <w:t xml:space="preserve">Matrixyl ist eines der ältesten und meistverwendeten „Anti-Aging-Peptide“ in Kosmetika. Seine wissenschaftliche Grundlage – eine Zellkulturarbeit von 1993 und eine Halbseitenstudie von 2005 – ist für ein so verbreitetes Produkt erstaunlich schmal. Neue Entwicklungen zielen auf bessere Hautgängigkeit (Mikronadeln, Nanostrukturen) und auf Kombinationen mit anderen Peptiden. Ohne unabhängige, ausreichend große Studien mit dem einzelnen Wirkstoff wird sich am Kenntnisstand wenig ändern.</w:t>
      </w:r>
    </w:p>
    <w:bookmarkEnd w:id="920"/>
    <w:bookmarkStart w:id="921" w:name="fazit-56"/>
    <w:p>
      <w:pPr>
        <w:pStyle w:val="Heading3"/>
      </w:pPr>
      <w:r>
        <w:t xml:space="preserve">Fazit</w:t>
      </w:r>
    </w:p>
    <w:p>
      <w:pPr>
        <w:pStyle w:val="FirstParagraph"/>
      </w:pPr>
      <w:r>
        <w:t xml:space="preserve">Palmitoyl-Pentapeptid-4 ist ein Fettsäure-gekoppeltes Bruchstück des Kollagen-Vorläufers, das im Labor Fibroblasten zur Kollagenbildung anregt. Am Menschen stützt sich die Wirksamkeit vor allem auf eine Halbseitenstudie mit 93 Frauen aus dem Jahr 2005, die eine Verringerung feiner Linien zeigte, sowie auf eine sehr kleine Studie aus dem Jahr 2023. Wie viel Wirkstoff tatsächlich die tiefere Haut erreicht, ist nicht geklärt. Als kosmetischer Inhaltsstoff gilt es als gut verträglich. Wer Matrixyl-Produkte verwendet, sollte einen kleinen, kosmetischen Effekt erwarten – keinen Ersatz für UV-Schutz oder medizinisch geprüfte Wirkstoffe wie Retinoide.</w:t>
      </w:r>
    </w:p>
    <w:bookmarkEnd w:id="921"/>
    <w:bookmarkEnd w:id="922"/>
    <w:bookmarkStart w:id="932" w:name="acetyl-hexapeptid-8-argireline"/>
    <w:p>
      <w:pPr>
        <w:pStyle w:val="Heading2"/>
      </w:pPr>
      <w:r>
        <w:t xml:space="preserve">Acetyl-Hexapeptid-8 (Argireline)</w:t>
      </w:r>
    </w:p>
    <w:bookmarkStart w:id="923" w:name="steckbrief-57"/>
    <w:p>
      <w:pPr>
        <w:pStyle w:val="Heading3"/>
      </w:pPr>
      <w:r>
        <w:t xml:space="preserve">Steckbrief</w:t>
      </w:r>
    </w:p>
    <w:p>
      <w:pPr>
        <w:numPr>
          <w:ilvl w:val="0"/>
          <w:numId w:val="1316"/>
        </w:numPr>
        <w:pStyle w:val="Compact"/>
      </w:pPr>
      <w:r>
        <w:rPr>
          <w:bCs/>
          <w:b/>
        </w:rPr>
        <w:t xml:space="preserve">Art/Struktur:</w:t>
      </w:r>
      <w:r>
        <w:t xml:space="preserve"> </w:t>
      </w:r>
      <w:r>
        <w:t xml:space="preserve">Hexapeptid mit der Sequenz Glutamat-Glutamat-Methionin-Glutamin-Arginin-Arginin (Ac-EEMQRR-NH₂), am Anfang acetyliert und am Ende amidiert. Früher als Acetyl-Hexapeptid-3 bezeichnet; Handelsname des Rohstoffs: Argireline.</w:t>
      </w:r>
    </w:p>
    <w:p>
      <w:pPr>
        <w:numPr>
          <w:ilvl w:val="0"/>
          <w:numId w:val="1316"/>
        </w:numPr>
        <w:pStyle w:val="Compact"/>
      </w:pPr>
      <w:r>
        <w:rPr>
          <w:bCs/>
          <w:b/>
        </w:rPr>
        <w:t xml:space="preserve">Herkunft:</w:t>
      </w:r>
      <w:r>
        <w:t xml:space="preserve"> </w:t>
      </w:r>
      <w:r>
        <w:t xml:space="preserve">synthetisch, Anfang der 2000er-Jahre gezielt entworfen. Die Sequenz ist dem Anfangsstück des Nervenzell-Eiweißes SNAP-25 nachgebildet.</w:t>
      </w:r>
    </w:p>
    <w:p>
      <w:pPr>
        <w:numPr>
          <w:ilvl w:val="0"/>
          <w:numId w:val="1316"/>
        </w:numPr>
        <w:pStyle w:val="Compact"/>
      </w:pPr>
      <w:r>
        <w:rPr>
          <w:bCs/>
          <w:b/>
        </w:rPr>
        <w:t xml:space="preserve">Wirkprinzip:</w:t>
      </w:r>
      <w:r>
        <w:t xml:space="preserve"> </w:t>
      </w:r>
      <w:r>
        <w:t xml:space="preserve">soll die Freisetzung des Botenstoffs Acetylcholin an der Verbindung zwischen Nerv und Muskel abschwächen und so mimisch bedingte Falten glätten – ein ähnlicher Angriffspunkt wie beim Botulinumtoxin, nur viel schwächer. Daher der Werbebegriff „Botox aus der Tube“.</w:t>
      </w:r>
    </w:p>
    <w:p>
      <w:pPr>
        <w:numPr>
          <w:ilvl w:val="0"/>
          <w:numId w:val="1316"/>
        </w:numPr>
        <w:pStyle w:val="Compact"/>
      </w:pPr>
      <w:r>
        <w:rPr>
          <w:bCs/>
          <w:b/>
        </w:rPr>
        <w:t xml:space="preserve">Zulassung EU:</w:t>
      </w:r>
      <w:r>
        <w:t xml:space="preserve"> </w:t>
      </w:r>
      <w:r>
        <w:t xml:space="preserve">kein Arzneimittel; kosmetischer Inhaltsstoff.</w:t>
      </w:r>
    </w:p>
    <w:p>
      <w:pPr>
        <w:numPr>
          <w:ilvl w:val="0"/>
          <w:numId w:val="1316"/>
        </w:numPr>
        <w:pStyle w:val="Compact"/>
      </w:pPr>
      <w:r>
        <w:rPr>
          <w:bCs/>
          <w:b/>
        </w:rPr>
        <w:t xml:space="preserve">Zulassung USA:</w:t>
      </w:r>
      <w:r>
        <w:t xml:space="preserve"> </w:t>
      </w:r>
      <w:r>
        <w:t xml:space="preserve">kein Arzneimittel; kosmetischer Inhaltsstoff.</w:t>
      </w:r>
    </w:p>
    <w:p>
      <w:pPr>
        <w:numPr>
          <w:ilvl w:val="0"/>
          <w:numId w:val="1316"/>
        </w:numPr>
        <w:pStyle w:val="Compact"/>
      </w:pPr>
      <w:r>
        <w:rPr>
          <w:bCs/>
          <w:b/>
        </w:rPr>
        <w:t xml:space="preserve">WADA:</w:t>
      </w:r>
      <w:r>
        <w:t xml:space="preserve"> </w:t>
      </w:r>
      <w:r>
        <w:t xml:space="preserve">nicht gelistet (Stand 2026, bitte aktuell prüfen).</w:t>
      </w:r>
    </w:p>
    <w:p>
      <w:pPr>
        <w:numPr>
          <w:ilvl w:val="0"/>
          <w:numId w:val="1316"/>
        </w:numPr>
        <w:pStyle w:val="Compact"/>
      </w:pPr>
      <w:r>
        <w:rPr>
          <w:bCs/>
          <w:b/>
        </w:rPr>
        <w:t xml:space="preserve">Evidenzstufe:</w:t>
      </w:r>
      <w:r>
        <w:t xml:space="preserve"> </w:t>
      </w:r>
      <w:r>
        <w:rPr>
          <w:bCs/>
          <w:b/>
        </w:rPr>
        <w:t xml:space="preserve">B</w:t>
      </w:r>
      <w:r>
        <w:t xml:space="preserve"> </w:t>
      </w:r>
      <w:r>
        <w:t xml:space="preserve">(schwach) – einige kleine randomisierte Studien mit überwiegend kurzen Laufzeiten und uneinheitlichen Ergebnissen.</w:t>
      </w:r>
    </w:p>
    <w:bookmarkEnd w:id="923"/>
    <w:bookmarkStart w:id="924" w:name="wie-es-wirken-soll-57"/>
    <w:p>
      <w:pPr>
        <w:pStyle w:val="Heading3"/>
      </w:pPr>
      <w:r>
        <w:t xml:space="preserve">Wie es wirken soll</w:t>
      </w:r>
    </w:p>
    <w:p>
      <w:pPr>
        <w:pStyle w:val="FirstParagraph"/>
      </w:pPr>
      <w:r>
        <w:t xml:space="preserve">Damit ein Muskel sich zusammenzieht, muss eine Nervenzelle den Botenstoff Acetylcholin freisetzen. Dazu verschmelzen kleine Bläschen, gefüllt mit dem Botenstoff, mit der Zellmembran. Diese Verschmelzung wird von einem Eiweißkomplex vermittelt, dem SNARE-Komplex, an dem unter anderem das Eiweiß SNAP-25 beteiligt ist. Botulinumtoxin Typ A zerschneidet SNAP-25 und legt so die Freisetzung des Botenstoffs für Monate lahm – der Muskel entspannt sich, die darüberliegende Falte glättet sich.</w:t>
      </w:r>
    </w:p>
    <w:p>
      <w:pPr>
        <w:pStyle w:val="BodyText"/>
      </w:pPr>
      <w:r>
        <w:t xml:space="preserve">Argireline wurde als Nachbildung des Anfangsstücks von SNAP-25 entworfen. Die Idee: Das kurze Peptid konkurriert mit dem echten SNAP-25 um seinen Platz im SNARE-Komplex und stört dessen Bildung. In der Erstbeschreibung hemmte Argireline in Zellversuchen die Freisetzung von Botenstoffen mit einer ähnlichen</w:t>
      </w:r>
      <w:r>
        <w:t xml:space="preserve"> </w:t>
      </w:r>
      <w:r>
        <w:rPr>
          <w:iCs/>
          <w:i/>
        </w:rPr>
        <w:t xml:space="preserve">Wirkstärke</w:t>
      </w:r>
      <w:r>
        <w:t xml:space="preserve"> </w:t>
      </w:r>
      <w:r>
        <w:t xml:space="preserve">wie Botulinumtoxin A, erreichte aber erwartungsgemäß eine viel geringere</w:t>
      </w:r>
      <w:r>
        <w:t xml:space="preserve"> </w:t>
      </w:r>
      <w:r>
        <w:rPr>
          <w:iCs/>
          <w:i/>
        </w:rPr>
        <w:t xml:space="preserve">Wirksamkeit</w:t>
      </w:r>
      <w:r>
        <w:t xml:space="preserve"> </w:t>
      </w:r>
      <w:r>
        <w:t xml:space="preserve">– also einen deutlich kleineren Maximaleffekt (Blanes-Mira 2002, PMID 18498523).</w:t>
      </w:r>
    </w:p>
    <w:p>
      <w:pPr>
        <w:pStyle w:val="BodyText"/>
      </w:pPr>
      <w:r>
        <w:t xml:space="preserve">Der entscheidende Haken: Um zu wirken, müsste Argireline aus einer Creme durch Ober- und Lederhaut bis zu den Nervenendigungen an den Gesichtsmuskeln gelangen. Das Molekül ist wasserlöslich, elektrisch geladen und für die Haut vergleichsweise groß. In einem Laborversuch mit Haut von Körperspendern blieb nach 24 Stunden der größte Teil auf der Hautoberfläche; 0,22 % des aufgetragenen Peptids fanden sich in der Hornschicht, 0,01 % in der Oberhaut, in der Lederhaut und darunter war nichts nachweisbar (Kraeling 2015, PMID 24754410). Eine Übersichtsarbeit aus dem Jahr 2025 hält fest, dass unklar bleibt, ob das Peptid die Nerv-Muskel-Verbindung überhaupt erreicht (Zdrada-Nowak 2025, PMID 40565185).</w:t>
      </w:r>
    </w:p>
    <w:p>
      <w:pPr>
        <w:pStyle w:val="BodyText"/>
      </w:pPr>
      <w:r>
        <w:t xml:space="preserve">Das schließt Effekte auf die Haut nicht aus – etwa auf Feuchtigkeit oder über Nervenendigungen in den oberen Hautschichten –, macht aber den beworbenen „Botox-Mechanismus“ beim Auftragen auf die Haut wenig wahrscheinlich.</w:t>
      </w:r>
    </w:p>
    <w:bookmarkEnd w:id="924"/>
    <w:bookmarkStart w:id="926" w:name="studien-am-menschen-57"/>
    <w:p>
      <w:pPr>
        <w:pStyle w:val="Heading3"/>
      </w:pPr>
      <w:r>
        <w:t xml:space="preserve">Studien am Menschen</w:t>
      </w:r>
    </w:p>
    <w:p>
      <w:pPr>
        <w:pStyle w:val="FirstParagraph"/>
      </w:pPr>
      <w:r>
        <w:t xml:space="preserve">Die für dieses Buch ausgewertete PubMed-Abfrage (Acetyl-Hexapeptid oder Argireline in Titel oder Abstract, Abfragedatum Oktober 2026) ergab drei als Humanstudien klassifizierte Arbeiten; auf ClinicalTrials.gov sind sieben Registereinträge verzeichnet. Bei der Durchsicht fanden sich einige weitere kleine Studien.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Blanes-Mira 2002, PMID 18498523</w:t>
            </w:r>
          </w:p>
        </w:tc>
        <w:tc>
          <w:tcPr/>
          <w:p>
            <w:pPr>
              <w:pStyle w:val="Compact"/>
              <w:jc w:val="left"/>
            </w:pPr>
            <w:r>
              <w:t xml:space="preserve">gesunde Frauen, Emulsion mit 10 % Argireline (Angaben im Abstract knapp)</w:t>
            </w:r>
          </w:p>
        </w:tc>
        <w:tc>
          <w:tcPr/>
          <w:p>
            <w:pPr>
              <w:pStyle w:val="Compact"/>
              <w:jc w:val="left"/>
            </w:pPr>
            <w:r>
              <w:t xml:space="preserve">30 Tage</w:t>
            </w:r>
          </w:p>
        </w:tc>
        <w:tc>
          <w:tcPr/>
          <w:p>
            <w:pPr>
              <w:pStyle w:val="Compact"/>
              <w:jc w:val="left"/>
            </w:pPr>
            <w:r>
              <w:t xml:space="preserve">Faltentiefe um bis zu 30 % verringert</w:t>
            </w:r>
          </w:p>
        </w:tc>
      </w:tr>
      <w:tr>
        <w:tc>
          <w:tcPr/>
          <w:p>
            <w:pPr>
              <w:pStyle w:val="Compact"/>
              <w:jc w:val="left"/>
            </w:pPr>
            <w:r>
              <w:t xml:space="preserve">Wang 2013, PMID 23417317</w:t>
            </w:r>
          </w:p>
        </w:tc>
        <w:tc>
          <w:tcPr/>
          <w:p>
            <w:pPr>
              <w:pStyle w:val="Compact"/>
              <w:jc w:val="left"/>
            </w:pPr>
            <w:r>
              <w:t xml:space="preserve">60 chinesische Erwachsene mit Augenfältchen, Argireline vs. Placebo im Verhältnis 3:1</w:t>
            </w:r>
          </w:p>
        </w:tc>
        <w:tc>
          <w:tcPr/>
          <w:p>
            <w:pPr>
              <w:pStyle w:val="Compact"/>
              <w:jc w:val="left"/>
            </w:pPr>
            <w:r>
              <w:t xml:space="preserve">4 Wochen</w:t>
            </w:r>
          </w:p>
        </w:tc>
        <w:tc>
          <w:tcPr/>
          <w:p>
            <w:pPr>
              <w:pStyle w:val="Compact"/>
              <w:jc w:val="left"/>
            </w:pPr>
            <w:r>
              <w:t xml:space="preserve">Subjektive „Gesamtwirksamkeit“ 48,9 % vs. 0 %; Rauigkeitswerte in Hautabdrücken gesunken</w:t>
            </w:r>
          </w:p>
        </w:tc>
      </w:tr>
      <w:tr>
        <w:tc>
          <w:tcPr/>
          <w:p>
            <w:pPr>
              <w:pStyle w:val="Compact"/>
              <w:jc w:val="left"/>
            </w:pPr>
            <w:r>
              <w:t xml:space="preserve">Raikou 2017, PMID 28150423</w:t>
            </w:r>
          </w:p>
        </w:tc>
        <w:tc>
          <w:tcPr/>
          <w:p>
            <w:pPr>
              <w:pStyle w:val="Compact"/>
              <w:jc w:val="left"/>
            </w:pPr>
            <w:r>
              <w:t xml:space="preserve">24 Gesunde, vier Gruppen: Argireline, Tripeptid-10-Citrullin, beide oder keines</w:t>
            </w:r>
          </w:p>
        </w:tc>
        <w:tc>
          <w:tcPr/>
          <w:p>
            <w:pPr>
              <w:pStyle w:val="Compact"/>
              <w:jc w:val="left"/>
            </w:pPr>
            <w:r>
              <w:t xml:space="preserve">60 Tage</w:t>
            </w:r>
          </w:p>
        </w:tc>
        <w:tc>
          <w:tcPr/>
          <w:p>
            <w:pPr>
              <w:pStyle w:val="Compact"/>
              <w:jc w:val="left"/>
            </w:pPr>
            <w:r>
              <w:t xml:space="preserve">Einzelne Faltenparameter und Wasserverlust der Haut besser mit Argireline</w:t>
            </w:r>
          </w:p>
        </w:tc>
      </w:tr>
      <w:tr>
        <w:tc>
          <w:tcPr/>
          <w:p>
            <w:pPr>
              <w:pStyle w:val="Compact"/>
              <w:jc w:val="left"/>
            </w:pPr>
            <w:r>
              <w:t xml:space="preserve">Henseler 2023, PMID 38024099</w:t>
            </w:r>
          </w:p>
        </w:tc>
        <w:tc>
          <w:tcPr/>
          <w:p>
            <w:pPr>
              <w:pStyle w:val="Compact"/>
              <w:jc w:val="left"/>
            </w:pPr>
            <w:r>
              <w:t xml:space="preserve">19 Frauen, Halbseitenvergleich: Hyaluronserum mit vs. ohne Argireline, doppelblind</w:t>
            </w:r>
          </w:p>
        </w:tc>
        <w:tc>
          <w:tcPr/>
          <w:p>
            <w:pPr>
              <w:pStyle w:val="Compact"/>
              <w:jc w:val="left"/>
            </w:pPr>
            <w:r>
              <w:t xml:space="preserve">4 Wochen</w:t>
            </w:r>
          </w:p>
        </w:tc>
        <w:tc>
          <w:tcPr/>
          <w:p>
            <w:pPr>
              <w:pStyle w:val="Compact"/>
              <w:jc w:val="left"/>
            </w:pPr>
            <w:r>
              <w:t xml:space="preserve">Kein signifikanter Unterschied zwischen den Gesichtshälften</w:t>
            </w:r>
          </w:p>
        </w:tc>
      </w:tr>
      <w:tr>
        <w:tc>
          <w:tcPr/>
          <w:p>
            <w:pPr>
              <w:pStyle w:val="Compact"/>
              <w:jc w:val="left"/>
            </w:pPr>
            <w:r>
              <w:t xml:space="preserve">Aruan 2023, PMID 36909866</w:t>
            </w:r>
          </w:p>
        </w:tc>
        <w:tc>
          <w:tcPr/>
          <w:p>
            <w:pPr>
              <w:pStyle w:val="Compact"/>
              <w:jc w:val="left"/>
            </w:pPr>
            <w:r>
              <w:t xml:space="preserve">21 Frauen, Acetyl-Hexapeptid-3 vs. Palmitoyl-Pentapeptid-4 vs. Placebo</w:t>
            </w:r>
          </w:p>
        </w:tc>
        <w:tc>
          <w:tcPr/>
          <w:p>
            <w:pPr>
              <w:pStyle w:val="Compact"/>
              <w:jc w:val="left"/>
            </w:pPr>
            <w:r>
              <w:t xml:space="preserve">8 Wochen</w:t>
            </w:r>
          </w:p>
        </w:tc>
        <w:tc>
          <w:tcPr/>
          <w:p>
            <w:pPr>
              <w:pStyle w:val="Compact"/>
              <w:jc w:val="left"/>
            </w:pPr>
            <w:r>
              <w:t xml:space="preserve">Palmitoyl-Pentapeptid-4 schnitt besser ab als Argireline und Placebo</w:t>
            </w:r>
          </w:p>
        </w:tc>
      </w:tr>
    </w:tbl>
    <w:p>
      <w:pPr>
        <w:pStyle w:val="BodyText"/>
      </w:pPr>
      <w:r>
        <w:rPr>
          <w:bCs/>
          <w:b/>
        </w:rPr>
        <w:t xml:space="preserve">Zur Einordnung der positiven Studien:</w:t>
      </w:r>
    </w:p>
    <w:p>
      <w:pPr>
        <w:numPr>
          <w:ilvl w:val="0"/>
          <w:numId w:val="1317"/>
        </w:numPr>
        <w:pStyle w:val="Compact"/>
      </w:pPr>
      <w:r>
        <w:t xml:space="preserve">Die Erstbeschreibung von 2002 stammt von den Entwicklern und enthält im Abstract weder Teilnehmerzahl noch Kontrollgruppe. Sie testete eine Konzentration von 10 % – weit über dem, was eine US-Sicherheitsbewertung später als ausreichend untersucht ansah (siehe Risiken).</w:t>
      </w:r>
    </w:p>
    <w:p>
      <w:pPr>
        <w:numPr>
          <w:ilvl w:val="0"/>
          <w:numId w:val="1317"/>
        </w:numPr>
        <w:pStyle w:val="Compact"/>
      </w:pPr>
      <w:r>
        <w:t xml:space="preserve">Die chinesische Studie (Wang 2013) ist die größte. Die Gruppen waren ungleich groß (etwa 45 gegenüber 15), die Hauptbewertung war subjektiv, und dieselben klinischen Daten erscheinen zusammen mit Mäuseversuchen in einer weiteren Veröffentlichung derselben Gruppe (Wang 2013, PMID 23607739). Bei Vergleichen mit dem Ausgangswert zeigte nur die Argireline-Gruppe sinkende Rauigkeitswerte – ein direkter statistischer Vergleich der Gruppen wird im Abstract nicht berichtet.</w:t>
      </w:r>
    </w:p>
    <w:p>
      <w:pPr>
        <w:numPr>
          <w:ilvl w:val="0"/>
          <w:numId w:val="1317"/>
        </w:numPr>
        <w:pStyle w:val="Compact"/>
      </w:pPr>
      <w:r>
        <w:t xml:space="preserve">Die Studie von Raikou hatte nur sechs Teilnehmende pro Gruppe und eine Vielzahl von Einzelvergleichen; einige Unterschiede waren signifikant, andere nicht.</w:t>
      </w:r>
    </w:p>
    <w:p>
      <w:pPr>
        <w:pStyle w:val="FirstParagraph"/>
      </w:pPr>
      <w:r>
        <w:rPr>
          <w:bCs/>
          <w:b/>
        </w:rPr>
        <w:t xml:space="preserve">Die negative Studie:</w:t>
      </w:r>
      <w:r>
        <w:t xml:space="preserve"> </w:t>
      </w:r>
      <w:r>
        <w:t xml:space="preserve">Eine doppelblinde Halbseitenstudie aus einer plastisch-chirurgischen Praxis mit objektiver Kameramessung (Henseler 2023) fand keinen Unterschied zwischen der Gesichtshälfte mit und ohne Argireline. Die Studienverantwortlichen schlossen, dass eine Wirkung nicht nachgewiesen wurde und Argireline nicht als Alternative zu Botulinumtoxin einzustufen ist. Mit 19 Teilnehmerinnen war allerdings auch diese Studie klein.</w:t>
      </w:r>
    </w:p>
    <w:bookmarkStart w:id="925" w:name="weitere-anwendungen-3"/>
    <w:p>
      <w:pPr>
        <w:pStyle w:val="Heading4"/>
      </w:pPr>
      <w:r>
        <w:t xml:space="preserve">Weitere Anwendungen</w:t>
      </w:r>
    </w:p>
    <w:p>
      <w:pPr>
        <w:numPr>
          <w:ilvl w:val="0"/>
          <w:numId w:val="1318"/>
        </w:numPr>
        <w:pStyle w:val="Compact"/>
      </w:pPr>
      <w:r>
        <w:rPr>
          <w:bCs/>
          <w:b/>
        </w:rPr>
        <w:t xml:space="preserve">Lidkrampf (Blepharospasmus):</w:t>
      </w:r>
      <w:r>
        <w:t xml:space="preserve"> </w:t>
      </w:r>
      <w:r>
        <w:t xml:space="preserve">Bei dieser neurologischen Erkrankung krampfen die Lidmuskeln unwillkürlich; Standardbehandlung ist die Injektion von Botulinumtoxin alle drei Monate. In einer Pilotstudie mit 24 Patientinnen und Patienten sollte eine Argireline-Creme die Wirkdauer der Injektion verlängern. Es gab einen nicht signifikanten Trend (3,7 gegenüber 3,0 Monate bis zur Rückkehr der Beschwerden) und keine relevanten Nebenwirkungen (Lungu 2013, PMID 23146065; registriert als NCT00942851). Eine Folgestudie wurde nach acht Teilnehmenden abgebrochen (NCT01750346).</w:t>
      </w:r>
    </w:p>
    <w:p>
      <w:pPr>
        <w:numPr>
          <w:ilvl w:val="0"/>
          <w:numId w:val="1318"/>
        </w:numPr>
        <w:pStyle w:val="Compact"/>
      </w:pPr>
      <w:r>
        <w:rPr>
          <w:bCs/>
          <w:b/>
        </w:rPr>
        <w:t xml:space="preserve">Mikronadel-Pflaster:</w:t>
      </w:r>
      <w:r>
        <w:t xml:space="preserve"> </w:t>
      </w:r>
      <w:r>
        <w:t xml:space="preserve">In einer koreanischen Halbseitenstudie mit 52 Frauen verbesserte ein Hyaluron-Mikronadelpflaster mit Argireline die Falten stärker als das Pflaster allein (An 2019, PMID 33911590). Hier wird das Peptid durch winzige Nadeln in die Haut gebracht – das Ergebnis ist nicht auf normale Cremes übertragbar.</w:t>
      </w:r>
    </w:p>
    <w:p>
      <w:pPr>
        <w:numPr>
          <w:ilvl w:val="0"/>
          <w:numId w:val="1318"/>
        </w:numPr>
        <w:pStyle w:val="Compact"/>
      </w:pPr>
      <w:r>
        <w:rPr>
          <w:bCs/>
          <w:b/>
        </w:rPr>
        <w:t xml:space="preserve">Kombinationsprodukte:</w:t>
      </w:r>
      <w:r>
        <w:t xml:space="preserve"> </w:t>
      </w:r>
      <w:r>
        <w:t xml:space="preserve">Viele Studien testen Seren, die Argireline zusammen mit Retinol, Hyaluronsäure oder anderen Peptiden enthalten. Ihr Ergebnis lässt sich dem einzelnen Peptid nicht zuordnen.</w:t>
      </w:r>
    </w:p>
    <w:p>
      <w:pPr>
        <w:numPr>
          <w:ilvl w:val="0"/>
          <w:numId w:val="1318"/>
        </w:numPr>
        <w:pStyle w:val="Compact"/>
      </w:pPr>
      <w:r>
        <w:rPr>
          <w:bCs/>
          <w:b/>
        </w:rPr>
        <w:t xml:space="preserve">Registrierte Kleinstudien:</w:t>
      </w:r>
      <w:r>
        <w:t xml:space="preserve"> </w:t>
      </w:r>
      <w:r>
        <w:t xml:space="preserve">Auf ClinicalTrials.gov sind unter anderem eine abgeschlossene Studie zu öliger Haut mit 14 Teilnehmenden (NCT02597777) und eine als Phase 3 bezeichnete Studie zu Augenfältchen mit 70 Teilnehmenden (NCT01381484) gelistet; ob Letztere der oben genannten chinesischen Studie entspricht, ließ sich nicht eindeutig klären.</w:t>
      </w:r>
    </w:p>
    <w:bookmarkEnd w:id="925"/>
    <w:bookmarkEnd w:id="926"/>
    <w:bookmarkStart w:id="927" w:name="tier--und-laborstudien-57"/>
    <w:p>
      <w:pPr>
        <w:pStyle w:val="Heading3"/>
      </w:pPr>
      <w:r>
        <w:t xml:space="preserve">Tier- und Laborstudien</w:t>
      </w:r>
    </w:p>
    <w:p>
      <w:pPr>
        <w:numPr>
          <w:ilvl w:val="0"/>
          <w:numId w:val="1319"/>
        </w:numPr>
        <w:pStyle w:val="Compact"/>
      </w:pPr>
      <w:r>
        <w:rPr>
          <w:bCs/>
          <w:b/>
        </w:rPr>
        <w:t xml:space="preserve">Zellversuche:</w:t>
      </w:r>
      <w:r>
        <w:t xml:space="preserve"> </w:t>
      </w:r>
      <w:r>
        <w:t xml:space="preserve">Hemmung der Botenstofffreisetzung und Störung der SNARE-Komplex-Bildung (Blanes-Mira 2002, PMID 18498523). In Zellkulturen menschlicher Hautfibroblasten und anderer Zelllinien hemmte Argireline die Zellvermehrung dosisabhängig, allerdings erst in Konzentrationen, die 18- bis 10.000-mal höher lagen als beim Vergleichsstoff Doxorubicin, einem Krebsmedikament (Grosicki 2014, PMID 24644551).</w:t>
      </w:r>
    </w:p>
    <w:p>
      <w:pPr>
        <w:numPr>
          <w:ilvl w:val="0"/>
          <w:numId w:val="1319"/>
        </w:numPr>
        <w:pStyle w:val="Compact"/>
      </w:pPr>
      <w:r>
        <w:rPr>
          <w:bCs/>
          <w:b/>
        </w:rPr>
        <w:t xml:space="preserve">Tierversuche:</w:t>
      </w:r>
      <w:r>
        <w:t xml:space="preserve"> </w:t>
      </w:r>
      <w:r>
        <w:t xml:space="preserve">Bei Mäusen mit künstlich beschleunigter Alterung (durch D-Galaktose) nahm unter Argireline der Anteil von Typ-I-Kollagenfasern in der Haut zu (Wang 2013, PMID 23464592).</w:t>
      </w:r>
    </w:p>
    <w:p>
      <w:pPr>
        <w:numPr>
          <w:ilvl w:val="0"/>
          <w:numId w:val="1319"/>
        </w:numPr>
        <w:pStyle w:val="Compact"/>
      </w:pPr>
      <w:r>
        <w:rPr>
          <w:bCs/>
          <w:b/>
        </w:rPr>
        <w:t xml:space="preserve">Hautdurchlässigkeit:</w:t>
      </w:r>
      <w:r>
        <w:t xml:space="preserve"> </w:t>
      </w:r>
      <w:r>
        <w:t xml:space="preserve">Neben der Studie an Körperspenderhaut (Kraeling 2015, PMID 24754410) untersuchen zahlreiche Laborarbeiten Emulsionen, Mikronadeln, Iontophorese und chemische Abwandlungen, um mehr Wirkstoff in die Haut zu bringen.</w:t>
      </w:r>
    </w:p>
    <w:bookmarkEnd w:id="927"/>
    <w:bookmarkStart w:id="928" w:name="risiken-und-nebenwirkungen-57"/>
    <w:p>
      <w:pPr>
        <w:pStyle w:val="Heading3"/>
      </w:pPr>
      <w:r>
        <w:t xml:space="preserve">Risiken und Nebenwirkungen</w:t>
      </w:r>
    </w:p>
    <w:p>
      <w:pPr>
        <w:pStyle w:val="FirstParagraph"/>
      </w:pPr>
      <w:r>
        <w:rPr>
          <w:bCs/>
          <w:b/>
        </w:rPr>
        <w:t xml:space="preserve">Als Creme (belegt):</w:t>
      </w:r>
      <w:r>
        <w:t xml:space="preserve"> </w:t>
      </w:r>
      <w:r>
        <w:t xml:space="preserve">In den Studien wurden keine relevanten Nebenwirkungen beobachtet; Hautreizungen und Allergien sind wie bei jedem Kosmetikbestandteil möglich. Das unabhängige US-Expertengremium für die Sicherheit kosmetischer Inhaltsstoffe (Cosmetic Ingredient Review) kam 2025 zu dem Ergebnis, dass Acetyl-Hexapeptid-8 in den derzeit üblichen Konzentrationen bis 0,005 % sicher ist. Für höhere Konzentrationen reichten die vorliegenden Daten für eine Sicherheitsaussage nicht aus (Johnson 2025, PMID 40673537).</w:t>
      </w:r>
    </w:p>
    <w:p>
      <w:pPr>
        <w:pStyle w:val="BodyText"/>
      </w:pPr>
      <w:r>
        <w:rPr>
          <w:bCs/>
          <w:b/>
        </w:rPr>
        <w:t xml:space="preserve">Als Injektion:</w:t>
      </w:r>
      <w:r>
        <w:t xml:space="preserve"> </w:t>
      </w:r>
      <w:r>
        <w:t xml:space="preserve">Argireline wird teils auch in die Haut gespritzt, etwa in Kosmetikstudios oder über Graumarktprodukte. Dafür gibt es keine Zulassung und keine Studien. Ein Fallbericht beschreibt eine 45-jährige Frau, bei der nach Argireline-Injektionen in Stirn und Schläfen Rötungen, Knoten und Abszesse auftraten; Ursache war eine Infektion mit dem schwer behandelbaren Bakterium</w:t>
      </w:r>
      <w:r>
        <w:t xml:space="preserve"> </w:t>
      </w:r>
      <w:r>
        <w:rPr>
          <w:iCs/>
          <w:i/>
        </w:rPr>
        <w:t xml:space="preserve">Mycobacterium abscessus</w:t>
      </w:r>
      <w:r>
        <w:t xml:space="preserve">, die eine fünfmonatige Antibiotikatherapie erforderte (Chen 2021, PMID 33748252). Das Risiko liegt hier weniger im Peptid selbst als in unsterilen Produkten und Verfahren.</w:t>
      </w:r>
    </w:p>
    <w:p>
      <w:pPr>
        <w:pStyle w:val="BodyText"/>
      </w:pPr>
      <w:r>
        <w:rPr>
          <w:bCs/>
          <w:b/>
        </w:rPr>
        <w:t xml:space="preserve">Theoretisch:</w:t>
      </w:r>
      <w:r>
        <w:t xml:space="preserve"> </w:t>
      </w:r>
      <w:r>
        <w:t xml:space="preserve">Würde Argireline in nennenswerter Menge an Nerv-Muskel-Verbindungen gelangen, wären – wie bei Botulinumtoxin – unerwünschte Muskelschwächen denkbar. Dafür gibt es bei äußerlicher Anwendung keine Hinweise.</w:t>
      </w:r>
    </w:p>
    <w:bookmarkEnd w:id="928"/>
    <w:bookmarkStart w:id="929" w:name="rechtslage-57"/>
    <w:p>
      <w:pPr>
        <w:pStyle w:val="Heading3"/>
      </w:pPr>
      <w:r>
        <w:t xml:space="preserve">Rechtslage</w:t>
      </w:r>
    </w:p>
    <w:p>
      <w:pPr>
        <w:numPr>
          <w:ilvl w:val="0"/>
          <w:numId w:val="1320"/>
        </w:numPr>
        <w:pStyle w:val="Compact"/>
      </w:pPr>
      <w:r>
        <w:rPr>
          <w:bCs/>
          <w:b/>
        </w:rPr>
        <w:t xml:space="preserve">EU / Österreich / Deutschland:</w:t>
      </w:r>
      <w:r>
        <w:t xml:space="preserve"> </w:t>
      </w:r>
      <w:r>
        <w:t xml:space="preserve">Acetyl-Hexapeptid-8 ist ein zulässiger kosmetischer Inhaltsstoff nach der EU-Kosmetikverordnung (Verordnung (EG) Nr. 1223/2009). Werbeaussagen müssen nach der Verordnung (EU) Nr. 655/2013 belegbar sein. Vergleiche mit Botulinumtoxin („wie Botox“) sind irreführend, wenn sie eine vergleichbare Wirkung nahelegen. Eine Injektion ist keine kosmetische Anwendung; ein zur Injektion bestimmtes Produkt wäre ein nicht zugelassenes Arzneimittel bzw. Medizinprodukt und darf so nicht vertrieben werden.</w:t>
      </w:r>
    </w:p>
    <w:p>
      <w:pPr>
        <w:numPr>
          <w:ilvl w:val="0"/>
          <w:numId w:val="1320"/>
        </w:numPr>
        <w:pStyle w:val="Compact"/>
      </w:pPr>
      <w:r>
        <w:rPr>
          <w:bCs/>
          <w:b/>
        </w:rPr>
        <w:t xml:space="preserve">USA:</w:t>
      </w:r>
      <w:r>
        <w:t xml:space="preserve"> </w:t>
      </w:r>
      <w:r>
        <w:t xml:space="preserve">kosmetischer Inhaltsstoff ohne Vorabprüfung durch die FDA; Aussagen, die eine Muskelwirkung versprechen, können ein Produkt rechtlich zum Arzneimittel machen.</w:t>
      </w:r>
    </w:p>
    <w:p>
      <w:pPr>
        <w:numPr>
          <w:ilvl w:val="0"/>
          <w:numId w:val="1320"/>
        </w:numPr>
        <w:pStyle w:val="Compact"/>
      </w:pPr>
      <w:r>
        <w:rPr>
          <w:bCs/>
          <w:b/>
        </w:rPr>
        <w:t xml:space="preserve">Sport:</w:t>
      </w:r>
      <w:r>
        <w:t xml:space="preserve"> </w:t>
      </w:r>
      <w:r>
        <w:t xml:space="preserve">ohne Bedeutung (Stand 2026, bitte aktuell prüfen).</w:t>
      </w:r>
    </w:p>
    <w:bookmarkEnd w:id="929"/>
    <w:bookmarkStart w:id="930" w:name="laufende-studien-und-ausblick-57"/>
    <w:p>
      <w:pPr>
        <w:pStyle w:val="Heading3"/>
      </w:pPr>
      <w:r>
        <w:t xml:space="preserve">Laufende Studien und Ausblick</w:t>
      </w:r>
    </w:p>
    <w:p>
      <w:pPr>
        <w:pStyle w:val="FirstParagraph"/>
      </w:pPr>
      <w:r>
        <w:rPr>
          <w:bCs/>
          <w:b/>
        </w:rPr>
        <w:t xml:space="preserve">Gesichert:</w:t>
      </w:r>
      <w:r>
        <w:t xml:space="preserve"> </w:t>
      </w:r>
      <w:r>
        <w:t xml:space="preserve">Auf ClinicalTrials.gov ist (Stand Oktober 2026) keine laufende Studie mit Acetyl-Hexapeptid-8 als Einzelwirkstoff verzeichnet; die gelisteten Einträge sind abgeschlossen oder abgebrochen. Kosmetische Wirksamkeitsstudien werden selten registriert.</w:t>
      </w:r>
    </w:p>
    <w:p>
      <w:pPr>
        <w:pStyle w:val="BodyText"/>
      </w:pPr>
      <w:r>
        <w:rPr>
          <w:bCs/>
          <w:b/>
        </w:rPr>
        <w:t xml:space="preserve">Einschätzung:</w:t>
      </w:r>
      <w:r>
        <w:t xml:space="preserve"> </w:t>
      </w:r>
      <w:r>
        <w:t xml:space="preserve">Argireline ist ein Beispiel für ein rational entworfenes Peptid, dessen Laborbefund überzeugend ist, dessen Weg zum Wirkort aber ungelöst bleibt. Die Forschung konzentriert sich daher auf Transportsysteme wie Mikronadeln und Nanoträger. Ob diese einen Effekt erreichen, der für Anwenderinnen und Anwender sichtbar ist und über den eines guten Feuchtigkeitsprodukts hinausgeht, müssen größere, unabhängige Studien zeigen. Eine echte Alternative zu Botulinumtoxin ist nach heutigem Wissen nicht zu erwarten.</w:t>
      </w:r>
    </w:p>
    <w:bookmarkEnd w:id="930"/>
    <w:bookmarkStart w:id="931" w:name="fazit-57"/>
    <w:p>
      <w:pPr>
        <w:pStyle w:val="Heading3"/>
      </w:pPr>
      <w:r>
        <w:t xml:space="preserve">Fazit</w:t>
      </w:r>
    </w:p>
    <w:p>
      <w:pPr>
        <w:pStyle w:val="FirstParagraph"/>
      </w:pPr>
      <w:r>
        <w:t xml:space="preserve">Acetyl-Hexapeptid-8 ist ein synthetisches Peptid, das im Labor die Freisetzung von Botenstoffen an Nervenzellen ähnlich wie Botulinumtoxin, aber wesentlich schwächer hemmt. Aus Cremes dringt es kaum in die Haut ein; in einem Laborversuch blieb es fast vollständig in den oberflächlichen Schichten. Kleine, kurze Studien – teils von den Entwicklern, teils mit Kombinationsprodukten – berichten weniger Fältchen; eine verblindete Halbseitenstudie mit objektiver Messung fand dagegen keinen Unterschied. Als Creme gilt es in üblichen Konzentrationen als sicher; Injektionen sind weder untersucht noch zugelassen und können zu schweren Infektionen führen. Der Werbebegriff „Botox aus der Tube“ ist durch die Daten nicht gedeckt.</w:t>
      </w:r>
    </w:p>
    <w:bookmarkEnd w:id="931"/>
    <w:bookmarkEnd w:id="932"/>
    <w:bookmarkEnd w:id="933"/>
    <w:bookmarkStart w:id="974" w:name="teil-iii-der-große-vergleich"/>
    <w:p>
      <w:pPr>
        <w:pStyle w:val="Heading1"/>
      </w:pPr>
      <w:r>
        <w:t xml:space="preserve">Teil III – Der große Vergleich</w:t>
      </w:r>
    </w:p>
    <w:p>
      <w:pPr>
        <w:pStyle w:val="FirstParagraph"/>
      </w:pPr>
      <w:r>
        <w:t xml:space="preserve">In Teil II wurde jedes Peptid einzeln betrachtet. Dieser Teil legt die Ergebnisse nebeneinander und beantwortet drei Fragen: Wie gut ist ein Peptid im Vergleich zu den anderen untersucht? Wie schneiden die Abnehm- und Diabetesmedikamente gegeneinander ab? Und was bleibt von den Versprechen aus dem Internet, wenn man nur Studien am Menschen gelten lässt?</w:t>
      </w:r>
    </w:p>
    <w:p>
      <w:pPr>
        <w:pStyle w:val="BodyText"/>
      </w:pPr>
      <w:r>
        <w:t xml:space="preserve">Die Tabellen sind Verdichtungen. Quellen und Einschränkungen jeder Zahl stehen in den Kapiteln von Teil II. Alle Angaben zu Zulassung und Dopingstatus geben den Stand 2026 wieder und sollten aktuell geprüft werden.</w:t>
      </w:r>
    </w:p>
    <w:bookmarkStart w:id="946" w:name="alle-peptide-auf-einen-blick"/>
    <w:p>
      <w:pPr>
        <w:pStyle w:val="Heading2"/>
      </w:pPr>
      <w:r>
        <w:t xml:space="preserve">Alle Peptide auf einen Blick</w:t>
      </w:r>
    </w:p>
    <w:bookmarkStart w:id="934" w:name="so-lesen-sie-die-tabellen"/>
    <w:p>
      <w:pPr>
        <w:pStyle w:val="Heading3"/>
      </w:pPr>
      <w:r>
        <w:t xml:space="preserve">So lesen Sie die Tabellen</w:t>
      </w:r>
    </w:p>
    <w:p>
      <w:pPr>
        <w:pStyle w:val="FirstParagraph"/>
      </w:pPr>
      <w:r>
        <w:t xml:space="preserve">Für jede Gruppe aus Teil II folgen zwei Tabellen: die erste mit Evidenzstufe, Zulassung und Größenordnung der Studienlage, die zweite mit dem wichtigsten Studienergebnis und dem Hauptrisiko.</w:t>
      </w:r>
    </w:p>
    <w:p>
      <w:pPr>
        <w:pStyle w:val="BodyText"/>
      </w:pPr>
      <w:r>
        <w:rPr>
          <w:bCs/>
          <w:b/>
        </w:rPr>
        <w:t xml:space="preserve">Evidenzstufe</w:t>
      </w:r>
      <w:r>
        <w:t xml:space="preserve"> </w:t>
      </w:r>
      <w:r>
        <w:t xml:space="preserve">(wie in Teil II):</w:t>
      </w:r>
    </w:p>
    <w:p>
      <w:pPr>
        <w:numPr>
          <w:ilvl w:val="0"/>
          <w:numId w:val="1321"/>
        </w:numPr>
        <w:pStyle w:val="Compact"/>
      </w:pPr>
      <w:r>
        <w:rPr>
          <w:bCs/>
          <w:b/>
        </w:rPr>
        <w:t xml:space="preserve">A</w:t>
      </w:r>
      <w:r>
        <w:t xml:space="preserve">: mehrere große randomisierte Studien am Menschen, meist mit Zulassung</w:t>
      </w:r>
    </w:p>
    <w:p>
      <w:pPr>
        <w:numPr>
          <w:ilvl w:val="0"/>
          <w:numId w:val="1321"/>
        </w:numPr>
        <w:pStyle w:val="Compact"/>
      </w:pPr>
      <w:r>
        <w:rPr>
          <w:bCs/>
          <w:b/>
        </w:rPr>
        <w:t xml:space="preserve">B</w:t>
      </w:r>
      <w:r>
        <w:t xml:space="preserve">: einzelne randomisierte Studien am Menschen</w:t>
      </w:r>
    </w:p>
    <w:p>
      <w:pPr>
        <w:numPr>
          <w:ilvl w:val="0"/>
          <w:numId w:val="1321"/>
        </w:numPr>
        <w:pStyle w:val="Compact"/>
      </w:pPr>
      <w:r>
        <w:rPr>
          <w:bCs/>
          <w:b/>
        </w:rPr>
        <w:t xml:space="preserve">C</w:t>
      </w:r>
      <w:r>
        <w:t xml:space="preserve">: nur kleine oder unkontrollierte Humanstudien</w:t>
      </w:r>
    </w:p>
    <w:p>
      <w:pPr>
        <w:numPr>
          <w:ilvl w:val="0"/>
          <w:numId w:val="1321"/>
        </w:numPr>
        <w:pStyle w:val="Compact"/>
      </w:pPr>
      <w:r>
        <w:rPr>
          <w:bCs/>
          <w:b/>
        </w:rPr>
        <w:t xml:space="preserve">D</w:t>
      </w:r>
      <w:r>
        <w:t xml:space="preserve">: nur Tier- und Laborstudien</w:t>
      </w:r>
    </w:p>
    <w:p>
      <w:pPr>
        <w:pStyle w:val="FirstParagraph"/>
      </w:pPr>
      <w:r>
        <w:t xml:space="preserve">Die Stufe beschreibt,</w:t>
      </w:r>
      <w:r>
        <w:t xml:space="preserve"> </w:t>
      </w:r>
      <w:r>
        <w:rPr>
          <w:iCs/>
          <w:i/>
        </w:rPr>
        <w:t xml:space="preserve">wie gut</w:t>
      </w:r>
      <w:r>
        <w:t xml:space="preserve"> </w:t>
      </w:r>
      <w:r>
        <w:t xml:space="preserve">etwas untersucht ist, nicht,</w:t>
      </w:r>
      <w:r>
        <w:t xml:space="preserve"> </w:t>
      </w:r>
      <w:r>
        <w:rPr>
          <w:iCs/>
          <w:i/>
        </w:rPr>
        <w:t xml:space="preserve">ob</w:t>
      </w:r>
      <w:r>
        <w:t xml:space="preserve"> </w:t>
      </w:r>
      <w:r>
        <w:t xml:space="preserve">es wirkt – und gilt nur für die untersuchte Anwendung.</w:t>
      </w:r>
    </w:p>
    <w:p>
      <w:pPr>
        <w:pStyle w:val="BodyText"/>
      </w:pPr>
      <w:r>
        <w:rPr>
          <w:bCs/>
          <w:b/>
        </w:rPr>
        <w:t xml:space="preserve">Humanstudien / Register:</w:t>
      </w:r>
      <w:r>
        <w:t xml:space="preserve"> </w:t>
      </w:r>
      <w:r>
        <w:t xml:space="preserve">Die Zahlen stammen aus der automatisierten Abfrage für dieses Buch (Oktober 2026, Methodik im Anhang): als Humanstudie eingeordnete Veröffentlichungen in PubMed und Einträge im Studienregister ClinicalTrials.gov. Sie zeigen nur die Größenordnung, hängen stark vom Suchbegriff ab und enthalten teils fachfremde Treffer, während ältere Arbeiten unter anderen Namen fehlen können. Wo eine Zahl deutlich in die Irre führt, ist sie mit „(Anm.)“ markiert und unter der Tabelle erläutert. Registereinträge eines Sponsors, dessen Einträge sich bei der Prüfung als offenbar fiktive Beispiel- oder Testeinträge erwiesen, sind nicht mitgezählt.</w:t>
      </w:r>
    </w:p>
    <w:bookmarkEnd w:id="934"/>
    <w:bookmarkStart w:id="935" w:name="a.-stoffwechsel-und-gewicht"/>
    <w:p>
      <w:pPr>
        <w:pStyle w:val="Heading3"/>
      </w:pPr>
      <w:r>
        <w:t xml:space="preserve">A. Stoffwechsel und Gewicht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Exenatid</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437 / 379</w:t>
            </w:r>
          </w:p>
        </w:tc>
      </w:tr>
      <w:tr>
        <w:tc>
          <w:tcPr/>
          <w:p>
            <w:pPr>
              <w:pStyle w:val="Compact"/>
              <w:jc w:val="left"/>
            </w:pPr>
            <w:r>
              <w:t xml:space="preserve">Liraglutid</w:t>
            </w:r>
          </w:p>
        </w:tc>
        <w:tc>
          <w:tcPr/>
          <w:p>
            <w:pPr>
              <w:pStyle w:val="Compact"/>
              <w:jc w:val="left"/>
            </w:pPr>
            <w:r>
              <w:t xml:space="preserve">A</w:t>
            </w:r>
          </w:p>
        </w:tc>
        <w:tc>
          <w:tcPr/>
          <w:p>
            <w:pPr>
              <w:pStyle w:val="Compact"/>
              <w:jc w:val="left"/>
            </w:pPr>
            <w:r>
              <w:t xml:space="preserve">ja / ja (auch Generika)</w:t>
            </w:r>
          </w:p>
        </w:tc>
        <w:tc>
          <w:tcPr/>
          <w:p>
            <w:pPr>
              <w:pStyle w:val="Compact"/>
              <w:jc w:val="left"/>
            </w:pPr>
            <w:r>
              <w:t xml:space="preserve">613 / 517</w:t>
            </w:r>
          </w:p>
        </w:tc>
      </w:tr>
      <w:tr>
        <w:tc>
          <w:tcPr/>
          <w:p>
            <w:pPr>
              <w:pStyle w:val="Compact"/>
              <w:jc w:val="left"/>
            </w:pPr>
            <w:r>
              <w:t xml:space="preserve">Dulaglutid</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158 / 143</w:t>
            </w:r>
          </w:p>
        </w:tc>
      </w:tr>
      <w:tr>
        <w:tc>
          <w:tcPr/>
          <w:p>
            <w:pPr>
              <w:pStyle w:val="Compact"/>
              <w:jc w:val="left"/>
            </w:pPr>
            <w:r>
              <w:t xml:space="preserve">Semaglutid</w:t>
            </w:r>
          </w:p>
        </w:tc>
        <w:tc>
          <w:tcPr/>
          <w:p>
            <w:pPr>
              <w:pStyle w:val="Compact"/>
              <w:jc w:val="left"/>
            </w:pPr>
            <w:r>
              <w:t xml:space="preserve">A</w:t>
            </w:r>
          </w:p>
        </w:tc>
        <w:tc>
          <w:tcPr/>
          <w:p>
            <w:pPr>
              <w:pStyle w:val="Compact"/>
              <w:jc w:val="left"/>
            </w:pPr>
            <w:r>
              <w:t xml:space="preserve">ja / ja (Spritze und Tablette)</w:t>
            </w:r>
          </w:p>
        </w:tc>
        <w:tc>
          <w:tcPr/>
          <w:p>
            <w:pPr>
              <w:pStyle w:val="Compact"/>
              <w:jc w:val="left"/>
            </w:pPr>
            <w:r>
              <w:t xml:space="preserve">342 / 793</w:t>
            </w:r>
          </w:p>
        </w:tc>
      </w:tr>
      <w:tr>
        <w:tc>
          <w:tcPr/>
          <w:p>
            <w:pPr>
              <w:pStyle w:val="Compact"/>
              <w:jc w:val="left"/>
            </w:pPr>
            <w:r>
              <w:t xml:space="preserve">Tirzepatid</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144 / 307</w:t>
            </w:r>
          </w:p>
        </w:tc>
      </w:tr>
      <w:tr>
        <w:tc>
          <w:tcPr/>
          <w:p>
            <w:pPr>
              <w:pStyle w:val="Compact"/>
              <w:jc w:val="left"/>
            </w:pPr>
            <w:r>
              <w:t xml:space="preserve">Retatrutid</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10 / 32</w:t>
            </w:r>
          </w:p>
        </w:tc>
      </w:tr>
      <w:tr>
        <w:tc>
          <w:tcPr/>
          <w:p>
            <w:pPr>
              <w:pStyle w:val="Compact"/>
              <w:jc w:val="left"/>
            </w:pPr>
            <w:r>
              <w:t xml:space="preserve">Survodutid</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10 / 29</w:t>
            </w:r>
          </w:p>
        </w:tc>
      </w:tr>
      <w:tr>
        <w:tc>
          <w:tcPr/>
          <w:p>
            <w:pPr>
              <w:pStyle w:val="Compact"/>
              <w:jc w:val="left"/>
            </w:pPr>
            <w:r>
              <w:t xml:space="preserve">Mazdutid</w:t>
            </w:r>
          </w:p>
        </w:tc>
        <w:tc>
          <w:tcPr/>
          <w:p>
            <w:pPr>
              <w:pStyle w:val="Compact"/>
              <w:jc w:val="left"/>
            </w:pPr>
            <w:r>
              <w:t xml:space="preserve">A</w:t>
            </w:r>
          </w:p>
        </w:tc>
        <w:tc>
          <w:tcPr/>
          <w:p>
            <w:pPr>
              <w:pStyle w:val="Compact"/>
              <w:jc w:val="left"/>
            </w:pPr>
            <w:r>
              <w:t xml:space="preserve">nein / nein (nur China, 2025)</w:t>
            </w:r>
          </w:p>
        </w:tc>
        <w:tc>
          <w:tcPr/>
          <w:p>
            <w:pPr>
              <w:pStyle w:val="Compact"/>
              <w:jc w:val="left"/>
            </w:pPr>
            <w:r>
              <w:t xml:space="preserve">9 / 44</w:t>
            </w:r>
          </w:p>
        </w:tc>
      </w:tr>
      <w:tr>
        <w:tc>
          <w:tcPr/>
          <w:p>
            <w:pPr>
              <w:pStyle w:val="Compact"/>
              <w:jc w:val="left"/>
            </w:pPr>
            <w:r>
              <w:t xml:space="preserve">Cagrilintid / CagriSema</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15 / 44</w:t>
            </w:r>
          </w:p>
        </w:tc>
      </w:tr>
      <w:tr>
        <w:tc>
          <w:tcPr/>
          <w:p>
            <w:pPr>
              <w:pStyle w:val="Compact"/>
              <w:jc w:val="left"/>
            </w:pPr>
            <w:r>
              <w:t xml:space="preserve">Amycretin</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4 / 1 (Anm.)</w:t>
            </w:r>
          </w:p>
        </w:tc>
      </w:tr>
      <w:tr>
        <w:tc>
          <w:tcPr/>
          <w:p>
            <w:pPr>
              <w:pStyle w:val="Compact"/>
              <w:jc w:val="left"/>
            </w:pPr>
            <w:r>
              <w:t xml:space="preserve">Maridebart Cafraglutid</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2 / 28</w:t>
            </w:r>
          </w:p>
        </w:tc>
      </w:tr>
      <w:tr>
        <w:tc>
          <w:tcPr/>
          <w:p>
            <w:pPr>
              <w:pStyle w:val="Compact"/>
              <w:jc w:val="left"/>
            </w:pPr>
            <w:r>
              <w:t xml:space="preserve">Pramlintid</w:t>
            </w:r>
          </w:p>
        </w:tc>
        <w:tc>
          <w:tcPr/>
          <w:p>
            <w:pPr>
              <w:pStyle w:val="Compact"/>
              <w:jc w:val="left"/>
            </w:pPr>
            <w:r>
              <w:t xml:space="preserve">A</w:t>
            </w:r>
          </w:p>
        </w:tc>
        <w:tc>
          <w:tcPr/>
          <w:p>
            <w:pPr>
              <w:pStyle w:val="Compact"/>
              <w:jc w:val="left"/>
            </w:pPr>
            <w:r>
              <w:t xml:space="preserve">nein / ja</w:t>
            </w:r>
          </w:p>
        </w:tc>
        <w:tc>
          <w:tcPr/>
          <w:p>
            <w:pPr>
              <w:pStyle w:val="Compact"/>
              <w:jc w:val="left"/>
            </w:pPr>
            <w:r>
              <w:t xml:space="preserve">76 / 64</w:t>
            </w:r>
          </w:p>
        </w:tc>
      </w:tr>
      <w:tr>
        <w:tc>
          <w:tcPr/>
          <w:p>
            <w:pPr>
              <w:pStyle w:val="Compact"/>
              <w:jc w:val="left"/>
            </w:pPr>
            <w:r>
              <w:t xml:space="preserve">Setmelanotid</w:t>
            </w:r>
          </w:p>
        </w:tc>
        <w:tc>
          <w:tcPr/>
          <w:p>
            <w:pPr>
              <w:pStyle w:val="Compact"/>
              <w:jc w:val="left"/>
            </w:pPr>
            <w:r>
              <w:t xml:space="preserve">A</w:t>
            </w:r>
          </w:p>
        </w:tc>
        <w:tc>
          <w:tcPr/>
          <w:p>
            <w:pPr>
              <w:pStyle w:val="Compact"/>
              <w:jc w:val="left"/>
            </w:pPr>
            <w:r>
              <w:t xml:space="preserve">ja / ja (seltene genetische Formen)</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0 / 0</w:t>
            </w:r>
          </w:p>
        </w:tc>
      </w:tr>
      <w:tr>
        <w:tc>
          <w:tcPr/>
          <w:p>
            <w:pPr>
              <w:pStyle w:val="Compact"/>
              <w:jc w:val="left"/>
            </w:pPr>
            <w:r>
              <w:t xml:space="preserve">Orforglipron (kein Peptid)</w:t>
            </w:r>
          </w:p>
        </w:tc>
        <w:tc>
          <w:tcPr/>
          <w:p>
            <w:pPr>
              <w:pStyle w:val="Compact"/>
              <w:jc w:val="left"/>
            </w:pPr>
            <w:r>
              <w:t xml:space="preserve">A</w:t>
            </w:r>
          </w:p>
        </w:tc>
        <w:tc>
          <w:tcPr/>
          <w:p>
            <w:pPr>
              <w:pStyle w:val="Compact"/>
              <w:jc w:val="left"/>
            </w:pPr>
            <w:r>
              <w:t xml:space="preserve">nein / Antrag gestellt (bitte prüfen)</w:t>
            </w:r>
          </w:p>
        </w:tc>
        <w:tc>
          <w:tcPr/>
          <w:p>
            <w:pPr>
              <w:pStyle w:val="Compact"/>
              <w:jc w:val="left"/>
            </w:pPr>
            <w:r>
              <w:t xml:space="preserve">20 / 53</w:t>
            </w:r>
          </w:p>
        </w:tc>
      </w:tr>
    </w:tbl>
    <w:p>
      <w:pPr>
        <w:pStyle w:val="BodyText"/>
      </w:pPr>
      <w:r>
        <w:t xml:space="preserve">Anmerkung zur Tabelle: Bei</w:t>
      </w:r>
      <w:r>
        <w:t xml:space="preserve"> </w:t>
      </w:r>
      <w:r>
        <w:rPr>
          <w:bCs/>
          <w:b/>
        </w:rPr>
        <w:t xml:space="preserve">Amycretin</w:t>
      </w:r>
      <w:r>
        <w:t xml:space="preserve"> </w:t>
      </w:r>
      <w:r>
        <w:t xml:space="preserve">fand die Registersuche nur einen Eintrag; unter dem Namen Zenagamtid und dem Entwicklungscode sind rund 30 Studien registriert, darunter das 2026 begonnene Phase-3-Programm. Bei</w:t>
      </w:r>
      <w:r>
        <w:t xml:space="preserve"> </w:t>
      </w:r>
      <w:r>
        <w:rPr>
          <w:bCs/>
          <w:b/>
        </w:rPr>
        <w:t xml:space="preserve">Mazdutid</w:t>
      </w:r>
      <w:r>
        <w:t xml:space="preserve"> </w:t>
      </w:r>
      <w:r>
        <w:t xml:space="preserve">stammen die Studien fast nur aus China; bei</w:t>
      </w:r>
      <w:r>
        <w:t xml:space="preserve"> </w:t>
      </w:r>
      <w:r>
        <w:rPr>
          <w:bCs/>
          <w:b/>
        </w:rPr>
        <w:t xml:space="preserve">Orforglipron</w:t>
      </w:r>
      <w:r>
        <w:t xml:space="preserve"> </w:t>
      </w:r>
      <w:r>
        <w:t xml:space="preserve">stand die Zulassung bei Redaktionsschluss aus.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Exenatid</w:t>
            </w:r>
          </w:p>
        </w:tc>
        <w:tc>
          <w:tcPr/>
          <w:p>
            <w:pPr>
              <w:pStyle w:val="Compact"/>
              <w:jc w:val="left"/>
            </w:pPr>
            <w:r>
              <w:t xml:space="preserve">EXSCEL: Herz-Kreislauf-Risiko nicht erhöht, aber auch nicht signifikant gesenkt (HR 0,91; PMID 28910237)</w:t>
            </w:r>
          </w:p>
        </w:tc>
        <w:tc>
          <w:tcPr/>
          <w:p>
            <w:pPr>
              <w:pStyle w:val="Compact"/>
              <w:jc w:val="left"/>
            </w:pPr>
            <w:r>
              <w:t xml:space="preserve">Übelkeit, Knötchen, Antikörper</w:t>
            </w:r>
          </w:p>
        </w:tc>
      </w:tr>
      <w:tr>
        <w:tc>
          <w:tcPr/>
          <w:p>
            <w:pPr>
              <w:pStyle w:val="Compact"/>
              <w:jc w:val="left"/>
            </w:pPr>
            <w:r>
              <w:t xml:space="preserve">Liraglutid</w:t>
            </w:r>
          </w:p>
        </w:tc>
        <w:tc>
          <w:tcPr/>
          <w:p>
            <w:pPr>
              <w:pStyle w:val="Compact"/>
              <w:jc w:val="left"/>
            </w:pPr>
            <w:r>
              <w:t xml:space="preserve">LEADER: 13 % weniger Herz-Kreislauf-Ereignisse (PMID 27295427); SCALE: −8,4 vs. −2,8 kg (PMID 26132939)</w:t>
            </w:r>
          </w:p>
        </w:tc>
        <w:tc>
          <w:tcPr/>
          <w:p>
            <w:pPr>
              <w:pStyle w:val="Compact"/>
              <w:jc w:val="left"/>
            </w:pPr>
            <w:r>
              <w:t xml:space="preserve">Magen-Darm-Beschwerden, Gallenblase</w:t>
            </w:r>
          </w:p>
        </w:tc>
      </w:tr>
      <w:tr>
        <w:tc>
          <w:tcPr/>
          <w:p>
            <w:pPr>
              <w:pStyle w:val="Compact"/>
              <w:jc w:val="left"/>
            </w:pPr>
            <w:r>
              <w:t xml:space="preserve">Dulaglutid</w:t>
            </w:r>
          </w:p>
        </w:tc>
        <w:tc>
          <w:tcPr/>
          <w:p>
            <w:pPr>
              <w:pStyle w:val="Compact"/>
              <w:jc w:val="left"/>
            </w:pPr>
            <w:r>
              <w:t xml:space="preserve">REWIND: 12 % weniger schwere Herz-Kreislauf-Ereignisse bei 9.901 Teilnehmenden (PMID 31189511)</w:t>
            </w:r>
          </w:p>
        </w:tc>
        <w:tc>
          <w:tcPr/>
          <w:p>
            <w:pPr>
              <w:pStyle w:val="Compact"/>
              <w:jc w:val="left"/>
            </w:pPr>
            <w:r>
              <w:t xml:space="preserve">Magen-Darm; Unterzuckerung in Kombination</w:t>
            </w:r>
          </w:p>
        </w:tc>
      </w:tr>
      <w:tr>
        <w:tc>
          <w:tcPr/>
          <w:p>
            <w:pPr>
              <w:pStyle w:val="Compact"/>
              <w:jc w:val="left"/>
            </w:pPr>
            <w:r>
              <w:t xml:space="preserve">Semaglutid</w:t>
            </w:r>
          </w:p>
        </w:tc>
        <w:tc>
          <w:tcPr/>
          <w:p>
            <w:pPr>
              <w:pStyle w:val="Compact"/>
              <w:jc w:val="left"/>
            </w:pPr>
            <w:r>
              <w:t xml:space="preserve">STEP 1: −14,9 % vs. −2,4 % (PMID 33567185); SELECT: 20 % weniger Herz-Kreislauf-Ereignisse (PMID 37952131)</w:t>
            </w:r>
          </w:p>
        </w:tc>
        <w:tc>
          <w:tcPr/>
          <w:p>
            <w:pPr>
              <w:pStyle w:val="Compact"/>
              <w:jc w:val="left"/>
            </w:pPr>
            <w:r>
              <w:t xml:space="preserve">Magen-Darm, Gallenblase, seltenes NAION-Signal, Fälschungen</w:t>
            </w:r>
          </w:p>
        </w:tc>
      </w:tr>
      <w:tr>
        <w:tc>
          <w:tcPr/>
          <w:p>
            <w:pPr>
              <w:pStyle w:val="Compact"/>
              <w:jc w:val="left"/>
            </w:pPr>
            <w:r>
              <w:t xml:space="preserve">Tirzepatid</w:t>
            </w:r>
          </w:p>
        </w:tc>
        <w:tc>
          <w:tcPr/>
          <w:p>
            <w:pPr>
              <w:pStyle w:val="Compact"/>
              <w:jc w:val="left"/>
            </w:pPr>
            <w:r>
              <w:t xml:space="preserve">SURMOUNT-5: −20,2 % vs. −13,7 % unter Semaglutid (PMID 40353578)</w:t>
            </w:r>
          </w:p>
        </w:tc>
        <w:tc>
          <w:tcPr/>
          <w:p>
            <w:pPr>
              <w:pStyle w:val="Compact"/>
              <w:jc w:val="left"/>
            </w:pPr>
            <w:r>
              <w:t xml:space="preserve">Magen-Darm, Gallenwege; Wiederzunahme nach Absetzen</w:t>
            </w:r>
          </w:p>
        </w:tc>
      </w:tr>
      <w:tr>
        <w:tc>
          <w:tcPr/>
          <w:p>
            <w:pPr>
              <w:pStyle w:val="Compact"/>
              <w:jc w:val="left"/>
            </w:pPr>
            <w:r>
              <w:t xml:space="preserve">Retatrutid</w:t>
            </w:r>
          </w:p>
        </w:tc>
        <w:tc>
          <w:tcPr/>
          <w:p>
            <w:pPr>
              <w:pStyle w:val="Compact"/>
              <w:jc w:val="left"/>
            </w:pPr>
            <w:r>
              <w:t xml:space="preserve">TRIUMPH-1: bis −25,0 % vs. −3,9 % nach 80 Wochen (PMID 42814954)</w:t>
            </w:r>
          </w:p>
        </w:tc>
        <w:tc>
          <w:tcPr/>
          <w:p>
            <w:pPr>
              <w:pStyle w:val="Compact"/>
              <w:jc w:val="left"/>
            </w:pPr>
            <w:r>
              <w:t xml:space="preserve">Magen-Darm, Hautmissempfindungen, mehr Abbrüche bei hoher Dosis</w:t>
            </w:r>
          </w:p>
        </w:tc>
      </w:tr>
      <w:tr>
        <w:tc>
          <w:tcPr/>
          <w:p>
            <w:pPr>
              <w:pStyle w:val="Compact"/>
              <w:jc w:val="left"/>
            </w:pPr>
            <w:r>
              <w:t xml:space="preserve">Survodutid</w:t>
            </w:r>
          </w:p>
        </w:tc>
        <w:tc>
          <w:tcPr/>
          <w:p>
            <w:pPr>
              <w:pStyle w:val="Compact"/>
              <w:jc w:val="left"/>
            </w:pPr>
            <w:r>
              <w:t xml:space="preserve">SYNCHRONIZE-1: bis −13,0 % vs. −5,4 % nach 76 Wochen (PMID 42253238)</w:t>
            </w:r>
          </w:p>
        </w:tc>
        <w:tc>
          <w:tcPr/>
          <w:p>
            <w:pPr>
              <w:pStyle w:val="Compact"/>
              <w:jc w:val="left"/>
            </w:pPr>
            <w:r>
              <w:t xml:space="preserve">sehr häufig Magen-Darm-Beschwerden</w:t>
            </w:r>
          </w:p>
        </w:tc>
      </w:tr>
      <w:tr>
        <w:tc>
          <w:tcPr/>
          <w:p>
            <w:pPr>
              <w:pStyle w:val="Compact"/>
              <w:jc w:val="left"/>
            </w:pPr>
            <w:r>
              <w:t xml:space="preserve">Mazdutid</w:t>
            </w:r>
          </w:p>
        </w:tc>
        <w:tc>
          <w:tcPr/>
          <w:p>
            <w:pPr>
              <w:pStyle w:val="Compact"/>
              <w:jc w:val="left"/>
            </w:pPr>
            <w:r>
              <w:t xml:space="preserve">GLORY-1: bis −14,0 % vs. +0,3 % nach 48 Wochen (PMID 40421736)</w:t>
            </w:r>
          </w:p>
        </w:tc>
        <w:tc>
          <w:tcPr/>
          <w:p>
            <w:pPr>
              <w:pStyle w:val="Compact"/>
              <w:jc w:val="left"/>
            </w:pPr>
            <w:r>
              <w:t xml:space="preserve">Magen-Darm, vor allem Erbrechen</w:t>
            </w:r>
          </w:p>
        </w:tc>
      </w:tr>
      <w:tr>
        <w:tc>
          <w:tcPr/>
          <w:p>
            <w:pPr>
              <w:pStyle w:val="Compact"/>
              <w:jc w:val="left"/>
            </w:pPr>
            <w:r>
              <w:t xml:space="preserve">Cagrilintid / CagriSema</w:t>
            </w:r>
          </w:p>
        </w:tc>
        <w:tc>
          <w:tcPr/>
          <w:p>
            <w:pPr>
              <w:pStyle w:val="Compact"/>
              <w:jc w:val="left"/>
            </w:pPr>
            <w:r>
              <w:t xml:space="preserve">REDEFINE 1: −20,4 % vs. −3,0 % nach 68 Wochen (PMID 40544433)</w:t>
            </w:r>
          </w:p>
        </w:tc>
        <w:tc>
          <w:tcPr/>
          <w:p>
            <w:pPr>
              <w:pStyle w:val="Compact"/>
              <w:jc w:val="left"/>
            </w:pPr>
            <w:r>
              <w:t xml:space="preserve">Magen-Darm-Beschwerden bei rund 80 %</w:t>
            </w:r>
          </w:p>
        </w:tc>
      </w:tr>
      <w:tr>
        <w:tc>
          <w:tcPr/>
          <w:p>
            <w:pPr>
              <w:pStyle w:val="Compact"/>
              <w:jc w:val="left"/>
            </w:pPr>
            <w:r>
              <w:t xml:space="preserve">Amycretin</w:t>
            </w:r>
          </w:p>
        </w:tc>
        <w:tc>
          <w:tcPr/>
          <w:p>
            <w:pPr>
              <w:pStyle w:val="Compact"/>
              <w:jc w:val="left"/>
            </w:pPr>
            <w:r>
              <w:t xml:space="preserve">Phase 1b/2a: bis −24,3 % vs. −1,1 % nach 36 Wochen (PMID 40550231)</w:t>
            </w:r>
          </w:p>
        </w:tc>
        <w:tc>
          <w:tcPr/>
          <w:p>
            <w:pPr>
              <w:pStyle w:val="Compact"/>
              <w:jc w:val="left"/>
            </w:pPr>
            <w:r>
              <w:t xml:space="preserve">Magen-Darm; Langzeitfolgen unbekannt</w:t>
            </w:r>
          </w:p>
        </w:tc>
      </w:tr>
      <w:tr>
        <w:tc>
          <w:tcPr/>
          <w:p>
            <w:pPr>
              <w:pStyle w:val="Compact"/>
              <w:jc w:val="left"/>
            </w:pPr>
            <w:r>
              <w:t xml:space="preserve">Maridebart Cafraglutid</w:t>
            </w:r>
          </w:p>
        </w:tc>
        <w:tc>
          <w:tcPr/>
          <w:p>
            <w:pPr>
              <w:pStyle w:val="Compact"/>
              <w:jc w:val="left"/>
            </w:pPr>
            <w:r>
              <w:t xml:space="preserve">Phase 2: −12,3 bis −16,2 % vs. −2,5 % nach 52 Wochen (PMID 40549887)</w:t>
            </w:r>
          </w:p>
        </w:tc>
        <w:tc>
          <w:tcPr/>
          <w:p>
            <w:pPr>
              <w:pStyle w:val="Compact"/>
              <w:jc w:val="left"/>
            </w:pPr>
            <w:r>
              <w:t xml:space="preserve">Magen-Darm; sehr lange Wirkdauer</w:t>
            </w:r>
          </w:p>
        </w:tc>
      </w:tr>
      <w:tr>
        <w:tc>
          <w:tcPr/>
          <w:p>
            <w:pPr>
              <w:pStyle w:val="Compact"/>
              <w:jc w:val="left"/>
            </w:pPr>
            <w:r>
              <w:t xml:space="preserve">Pramlintid</w:t>
            </w:r>
          </w:p>
        </w:tc>
        <w:tc>
          <w:tcPr/>
          <w:p>
            <w:pPr>
              <w:pStyle w:val="Compact"/>
              <w:jc w:val="left"/>
            </w:pPr>
            <w:r>
              <w:t xml:space="preserve">HbA1c −0,62 Prozentpunkte, Gewicht −1,4 kg (PMID 12610038)</w:t>
            </w:r>
          </w:p>
        </w:tc>
        <w:tc>
          <w:tcPr/>
          <w:p>
            <w:pPr>
              <w:pStyle w:val="Compact"/>
              <w:jc w:val="left"/>
            </w:pPr>
            <w:r>
              <w:t xml:space="preserve">schwere Unterzuckerung mit Insulin, Übelkeit</w:t>
            </w:r>
          </w:p>
        </w:tc>
      </w:tr>
      <w:tr>
        <w:tc>
          <w:tcPr/>
          <w:p>
            <w:pPr>
              <w:pStyle w:val="Compact"/>
              <w:jc w:val="left"/>
            </w:pPr>
            <w:r>
              <w:t xml:space="preserve">Setmelanotid</w:t>
            </w:r>
          </w:p>
        </w:tc>
        <w:tc>
          <w:tcPr/>
          <w:p>
            <w:pPr>
              <w:pStyle w:val="Compact"/>
              <w:jc w:val="left"/>
            </w:pPr>
            <w:r>
              <w:t xml:space="preserve">TRANSCEND: BMI −16,5 % vs. +3,3 % bei hypothalamischer Adipositas (PMID 42418774)</w:t>
            </w:r>
          </w:p>
        </w:tc>
        <w:tc>
          <w:tcPr/>
          <w:p>
            <w:pPr>
              <w:pStyle w:val="Compact"/>
              <w:jc w:val="left"/>
            </w:pPr>
            <w:r>
              <w:t xml:space="preserve">Einstichstellen, Hautverdunklung, Übelkeit</w:t>
            </w:r>
          </w:p>
        </w:tc>
      </w:tr>
      <w:tr>
        <w:tc>
          <w:tcPr/>
          <w:p>
            <w:pPr>
              <w:pStyle w:val="Compact"/>
              <w:jc w:val="left"/>
            </w:pPr>
            <w:r>
              <w:t xml:space="preserve">AOD-9604</w:t>
            </w:r>
          </w:p>
        </w:tc>
        <w:tc>
          <w:tcPr/>
          <w:p>
            <w:pPr>
              <w:pStyle w:val="Compact"/>
              <w:jc w:val="left"/>
            </w:pPr>
            <w:r>
              <w:t xml:space="preserve">Nur Tierdaten: bei Mäusen weniger Gewichtszunahme (PMID 11673763)</w:t>
            </w:r>
          </w:p>
        </w:tc>
        <w:tc>
          <w:tcPr/>
          <w:p>
            <w:pPr>
              <w:pStyle w:val="Compact"/>
              <w:jc w:val="left"/>
            </w:pPr>
            <w:r>
              <w:t xml:space="preserve">Wirkung beim Menschen unbekannt</w:t>
            </w:r>
          </w:p>
        </w:tc>
      </w:tr>
      <w:tr>
        <w:tc>
          <w:tcPr/>
          <w:p>
            <w:pPr>
              <w:pStyle w:val="Compact"/>
              <w:jc w:val="left"/>
            </w:pPr>
            <w:r>
              <w:t xml:space="preserve">Orforglipron</w:t>
            </w:r>
          </w:p>
        </w:tc>
        <w:tc>
          <w:tcPr/>
          <w:p>
            <w:pPr>
              <w:pStyle w:val="Compact"/>
              <w:jc w:val="left"/>
            </w:pPr>
            <w:r>
              <w:t xml:space="preserve">ATTAIN-1: bis −11,2 % vs. −2,1 % als Tablette (PMID 40960239)</w:t>
            </w:r>
          </w:p>
        </w:tc>
        <w:tc>
          <w:tcPr/>
          <w:p>
            <w:pPr>
              <w:pStyle w:val="Compact"/>
              <w:jc w:val="left"/>
            </w:pPr>
            <w:r>
              <w:t xml:space="preserve">Magen-Darm, etwas mehr Abbrüche als Semaglutid-Tablette</w:t>
            </w:r>
          </w:p>
        </w:tc>
      </w:tr>
    </w:tbl>
    <w:bookmarkEnd w:id="935"/>
    <w:bookmarkStart w:id="936" w:name="b.-heilung-regeneration-und-immunsystem"/>
    <w:p>
      <w:pPr>
        <w:pStyle w:val="Heading3"/>
      </w:pPr>
      <w:r>
        <w:t xml:space="preserve">B. Heilung, Regeneration und Immunsystem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0 / 4 (Anm.)</w:t>
            </w:r>
          </w:p>
        </w:tc>
      </w:tr>
      <w:tr>
        <w:tc>
          <w:tcPr/>
          <w:p>
            <w:pPr>
              <w:pStyle w:val="Compact"/>
              <w:jc w:val="left"/>
            </w:pPr>
            <w:r>
              <w:t xml:space="preserve">TB-500 / Thymosin Beta-4</w:t>
            </w:r>
          </w:p>
        </w:tc>
        <w:tc>
          <w:tcPr/>
          <w:p>
            <w:pPr>
              <w:pStyle w:val="Compact"/>
              <w:jc w:val="left"/>
            </w:pPr>
            <w:r>
              <w:t xml:space="preserve">B (Tβ4) / D (TB-500)</w:t>
            </w:r>
          </w:p>
        </w:tc>
        <w:tc>
          <w:tcPr/>
          <w:p>
            <w:pPr>
              <w:pStyle w:val="Compact"/>
              <w:jc w:val="left"/>
            </w:pPr>
            <w:r>
              <w:t xml:space="preserve">nein / nein</w:t>
            </w:r>
          </w:p>
        </w:tc>
        <w:tc>
          <w:tcPr/>
          <w:p>
            <w:pPr>
              <w:pStyle w:val="Compact"/>
              <w:jc w:val="left"/>
            </w:pPr>
            <w:r>
              <w:t xml:space="preserve">9 / 18 (Anm.)</w:t>
            </w:r>
          </w:p>
        </w:tc>
      </w:tr>
      <w:tr>
        <w:tc>
          <w:tcPr/>
          <w:p>
            <w:pPr>
              <w:pStyle w:val="Compact"/>
              <w:jc w:val="left"/>
            </w:pPr>
            <w:r>
              <w:t xml:space="preserve">Thymosin Alpha-1</w:t>
            </w:r>
          </w:p>
        </w:tc>
        <w:tc>
          <w:tcPr/>
          <w:p>
            <w:pPr>
              <w:pStyle w:val="Compact"/>
              <w:jc w:val="left"/>
            </w:pPr>
            <w:r>
              <w:t xml:space="preserve">B</w:t>
            </w:r>
          </w:p>
        </w:tc>
        <w:tc>
          <w:tcPr/>
          <w:p>
            <w:pPr>
              <w:pStyle w:val="Compact"/>
              <w:jc w:val="left"/>
            </w:pPr>
            <w:r>
              <w:t xml:space="preserve">nein / nein (in China u. a. zugelassen)</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91 / 20 (Anm.)</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5 / 5</w:t>
            </w:r>
          </w:p>
        </w:tc>
      </w:tr>
      <w:tr>
        <w:tc>
          <w:tcPr/>
          <w:p>
            <w:pPr>
              <w:pStyle w:val="Compact"/>
              <w:jc w:val="left"/>
            </w:pPr>
            <w:r>
              <w:t xml:space="preserve">Larazotid</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4 / 10 (Anm.)</w:t>
            </w:r>
          </w:p>
        </w:tc>
      </w:tr>
      <w:tr>
        <w:tc>
          <w:tcPr/>
          <w:p>
            <w:pPr>
              <w:pStyle w:val="Compact"/>
              <w:jc w:val="left"/>
            </w:pPr>
            <w:r>
              <w:t xml:space="preserve">Thymalin</w:t>
            </w:r>
          </w:p>
        </w:tc>
        <w:tc>
          <w:tcPr/>
          <w:p>
            <w:pPr>
              <w:pStyle w:val="Compact"/>
              <w:jc w:val="left"/>
            </w:pPr>
            <w:r>
              <w:t xml:space="preserve">C</w:t>
            </w:r>
          </w:p>
        </w:tc>
        <w:tc>
          <w:tcPr/>
          <w:p>
            <w:pPr>
              <w:pStyle w:val="Compact"/>
              <w:jc w:val="left"/>
            </w:pPr>
            <w:r>
              <w:t xml:space="preserve">nein / nein (in Russland zugelassen)</w:t>
            </w:r>
          </w:p>
        </w:tc>
        <w:tc>
          <w:tcPr/>
          <w:p>
            <w:pPr>
              <w:pStyle w:val="Compact"/>
              <w:jc w:val="left"/>
            </w:pPr>
            <w:r>
              <w:t xml:space="preserve">17 / 0</w:t>
            </w:r>
          </w:p>
        </w:tc>
      </w:tr>
    </w:tbl>
    <w:p>
      <w:pPr>
        <w:pStyle w:val="BodyText"/>
      </w:pPr>
      <w:r>
        <w:t xml:space="preserve">Anmerkungen zur Tabelle: Bei</w:t>
      </w:r>
      <w:r>
        <w:t xml:space="preserve"> </w:t>
      </w:r>
      <w:r>
        <w:rPr>
          <w:bCs/>
          <w:b/>
        </w:rPr>
        <w:t xml:space="preserve">BPC-157</w:t>
      </w:r>
      <w:r>
        <w:t xml:space="preserve"> </w:t>
      </w:r>
      <w:r>
        <w:t xml:space="preserve">erfüllte keine Veröffentlichung die Filterkriterien der automatischen Suche; tatsächlich gibt es drei kleine, unkontrollierte Untersuchungen mit zusammen rund 30 Personen. Bei</w:t>
      </w:r>
      <w:r>
        <w:t xml:space="preserve"> </w:t>
      </w:r>
      <w:r>
        <w:rPr>
          <w:bCs/>
          <w:b/>
        </w:rPr>
        <w:t xml:space="preserve">TB-500</w:t>
      </w:r>
      <w:r>
        <w:t xml:space="preserve"> </w:t>
      </w:r>
      <w:r>
        <w:t xml:space="preserve">betreffen die Treffer das ganze Eiweiß Thymosin Beta-4 (nur sechs davon als Wirkstoff); keine untersucht TB-500. Bei</w:t>
      </w:r>
      <w:r>
        <w:t xml:space="preserve"> </w:t>
      </w:r>
      <w:r>
        <w:rPr>
          <w:bCs/>
          <w:b/>
        </w:rPr>
        <w:t xml:space="preserve">LL-37</w:t>
      </w:r>
      <w:r>
        <w:t xml:space="preserve"> </w:t>
      </w:r>
      <w:r>
        <w:t xml:space="preserve">messen die meisten Treffer LL-37 nur als Laborwert, etwa in Vitamin-D-Studien; Studien, in denen LL-37 selbst gegeben wurde, sind in PubMed nur fünf, im Register zwei. Bei</w:t>
      </w:r>
      <w:r>
        <w:t xml:space="preserve"> </w:t>
      </w:r>
      <w:r>
        <w:rPr>
          <w:bCs/>
          <w:b/>
        </w:rPr>
        <w:t xml:space="preserve">Larazotid</w:t>
      </w:r>
      <w:r>
        <w:t xml:space="preserve"> </w:t>
      </w:r>
      <w:r>
        <w:t xml:space="preserve">fand die Suche 29 Registereinträge, von denen 19 ein anderes Medikament mit demselben früheren Entwicklungscode betreffen; die Tabelle nennt die bereinigte Zahl.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BPC-157</w:t>
            </w:r>
          </w:p>
        </w:tc>
        <w:tc>
          <w:tcPr/>
          <w:p>
            <w:pPr>
              <w:pStyle w:val="Compact"/>
              <w:jc w:val="left"/>
            </w:pPr>
            <w:r>
              <w:t xml:space="preserve">Drei unkontrollierte Pilotuntersuchungen, Evidenz laut Übersicht sehr niedrig (PMID 42885452)</w:t>
            </w:r>
          </w:p>
        </w:tc>
        <w:tc>
          <w:tcPr/>
          <w:p>
            <w:pPr>
              <w:pStyle w:val="Compact"/>
              <w:jc w:val="left"/>
            </w:pPr>
            <w:r>
              <w:t xml:space="preserve">unbekannte Langzeitsicherheit, Graumarkt-Qualität</w:t>
            </w:r>
          </w:p>
        </w:tc>
      </w:tr>
      <w:tr>
        <w:tc>
          <w:tcPr/>
          <w:p>
            <w:pPr>
              <w:pStyle w:val="Compact"/>
              <w:jc w:val="left"/>
            </w:pPr>
            <w:r>
              <w:t xml:space="preserve">TB-500 / Thymosin Beta-4</w:t>
            </w:r>
          </w:p>
        </w:tc>
        <w:tc>
          <w:tcPr/>
          <w:p>
            <w:pPr>
              <w:pStyle w:val="Compact"/>
              <w:jc w:val="left"/>
            </w:pPr>
            <w:r>
              <w:t xml:space="preserve">Tβ4 nach Herzinfarkt: Infarktgröße nicht signifikant kleiner (PMID 41229390); TB-500 ungeprüft</w:t>
            </w:r>
          </w:p>
        </w:tc>
        <w:tc>
          <w:tcPr/>
          <w:p>
            <w:pPr>
              <w:pStyle w:val="Compact"/>
              <w:jc w:val="left"/>
            </w:pPr>
            <w:r>
              <w:t xml:space="preserve">unklarer Inhalt, theoretisch Tumorförderung</w:t>
            </w:r>
          </w:p>
        </w:tc>
      </w:tr>
      <w:tr>
        <w:tc>
          <w:tcPr/>
          <w:p>
            <w:pPr>
              <w:pStyle w:val="Compact"/>
              <w:jc w:val="left"/>
            </w:pPr>
            <w:r>
              <w:t xml:space="preserve">Thymosin Alpha-1</w:t>
            </w:r>
          </w:p>
        </w:tc>
        <w:tc>
          <w:tcPr/>
          <w:p>
            <w:pPr>
              <w:pStyle w:val="Compact"/>
              <w:jc w:val="left"/>
            </w:pPr>
            <w:r>
              <w:t xml:space="preserve">TESTS bei Sepsis: 28-Tage-Sterblichkeit 23,4 % vs. 24,1 %, kein Unterschied (PMID 39814420)</w:t>
            </w:r>
          </w:p>
        </w:tc>
        <w:tc>
          <w:tcPr/>
          <w:p>
            <w:pPr>
              <w:pStyle w:val="Compact"/>
              <w:jc w:val="left"/>
            </w:pPr>
            <w:r>
              <w:t xml:space="preserve">mögliche Nachteile in Untergruppen; Graumarkt</w:t>
            </w:r>
          </w:p>
        </w:tc>
      </w:tr>
      <w:tr>
        <w:tc>
          <w:tcPr/>
          <w:p>
            <w:pPr>
              <w:pStyle w:val="Compact"/>
              <w:jc w:val="left"/>
            </w:pPr>
            <w:r>
              <w:t xml:space="preserve">KPV</w:t>
            </w:r>
          </w:p>
        </w:tc>
        <w:tc>
          <w:tcPr/>
          <w:p>
            <w:pPr>
              <w:pStyle w:val="Compact"/>
              <w:jc w:val="left"/>
            </w:pPr>
            <w:r>
              <w:t xml:space="preserve">Nur Tierdaten: weniger Darmentzündung bei Mäusen (PMID 18061177)</w:t>
            </w:r>
          </w:p>
        </w:tc>
        <w:tc>
          <w:tcPr/>
          <w:p>
            <w:pPr>
              <w:pStyle w:val="Compact"/>
              <w:jc w:val="left"/>
            </w:pPr>
            <w:r>
              <w:t xml:space="preserve">völlig unbekanntes Profil am Menschen</w:t>
            </w:r>
          </w:p>
        </w:tc>
      </w:tr>
      <w:tr>
        <w:tc>
          <w:tcPr/>
          <w:p>
            <w:pPr>
              <w:pStyle w:val="Compact"/>
              <w:jc w:val="left"/>
            </w:pPr>
            <w:r>
              <w:t xml:space="preserve">LL-37</w:t>
            </w:r>
          </w:p>
        </w:tc>
        <w:tc>
          <w:tcPr/>
          <w:p>
            <w:pPr>
              <w:pStyle w:val="Compact"/>
              <w:jc w:val="left"/>
            </w:pPr>
            <w:r>
              <w:t xml:space="preserve">HEAL LL-37: Beingeschwüre heilten nicht besser als unter Placebo (PMID 34687253)</w:t>
            </w:r>
          </w:p>
        </w:tc>
        <w:tc>
          <w:tcPr/>
          <w:p>
            <w:pPr>
              <w:pStyle w:val="Compact"/>
              <w:jc w:val="left"/>
            </w:pPr>
            <w:r>
              <w:t xml:space="preserve">Entzündungs- und Autoimmunreaktionen</w:t>
            </w:r>
          </w:p>
        </w:tc>
      </w:tr>
      <w:tr>
        <w:tc>
          <w:tcPr/>
          <w:p>
            <w:pPr>
              <w:pStyle w:val="Compact"/>
              <w:jc w:val="left"/>
            </w:pPr>
            <w:r>
              <w:t xml:space="preserve">ARA-290</w:t>
            </w:r>
          </w:p>
        </w:tc>
        <w:tc>
          <w:tcPr/>
          <w:p>
            <w:pPr>
              <w:pStyle w:val="Compact"/>
              <w:jc w:val="left"/>
            </w:pPr>
            <w:r>
              <w:t xml:space="preserve">Phase 2b: Nervenfasern nur unter einer von drei Dosen vermehrt (PMID 28475703)</w:t>
            </w:r>
          </w:p>
        </w:tc>
        <w:tc>
          <w:tcPr/>
          <w:p>
            <w:pPr>
              <w:pStyle w:val="Compact"/>
              <w:jc w:val="left"/>
            </w:pPr>
            <w:r>
              <w:t xml:space="preserve">kaum Daten über zwölf Wochen hinaus</w:t>
            </w:r>
          </w:p>
        </w:tc>
      </w:tr>
      <w:tr>
        <w:tc>
          <w:tcPr/>
          <w:p>
            <w:pPr>
              <w:pStyle w:val="Compact"/>
              <w:jc w:val="left"/>
            </w:pPr>
            <w:r>
              <w:t xml:space="preserve">Larazotid</w:t>
            </w:r>
          </w:p>
        </w:tc>
        <w:tc>
          <w:tcPr/>
          <w:p>
            <w:pPr>
              <w:pStyle w:val="Compact"/>
              <w:jc w:val="left"/>
            </w:pPr>
            <w:r>
              <w:t xml:space="preserve">Nur die niedrigste von drei Dosen besser als Placebo (PMID 25683116); Phase 3 abgebrochen</w:t>
            </w:r>
          </w:p>
        </w:tc>
        <w:tc>
          <w:tcPr/>
          <w:p>
            <w:pPr>
              <w:pStyle w:val="Compact"/>
              <w:jc w:val="left"/>
            </w:pPr>
            <w:r>
              <w:t xml:space="preserve">gelockerte glutenfreie Diät</w:t>
            </w:r>
          </w:p>
        </w:tc>
      </w:tr>
      <w:tr>
        <w:tc>
          <w:tcPr/>
          <w:p>
            <w:pPr>
              <w:pStyle w:val="Compact"/>
              <w:jc w:val="left"/>
            </w:pPr>
            <w:r>
              <w:t xml:space="preserve">Thymalin</w:t>
            </w:r>
          </w:p>
        </w:tc>
        <w:tc>
          <w:tcPr/>
          <w:p>
            <w:pPr>
              <w:pStyle w:val="Compact"/>
              <w:jc w:val="left"/>
            </w:pPr>
            <w:r>
              <w:t xml:space="preserve">Russische Beobachtung: geringere Sterblichkeit, Zuteilung unklar (PMID 14523363)</w:t>
            </w:r>
          </w:p>
        </w:tc>
        <w:tc>
          <w:tcPr/>
          <w:p>
            <w:pPr>
              <w:pStyle w:val="Compact"/>
              <w:jc w:val="left"/>
            </w:pPr>
            <w:r>
              <w:t xml:space="preserve">tierischer Extrakt, Chargenrisiken</w:t>
            </w:r>
          </w:p>
        </w:tc>
      </w:tr>
    </w:tbl>
    <w:bookmarkEnd w:id="936"/>
    <w:bookmarkStart w:id="937" w:name="c.-wachstumshormon-achse"/>
    <w:p>
      <w:pPr>
        <w:pStyle w:val="Heading3"/>
      </w:pPr>
      <w:r>
        <w:t xml:space="preserve">C. Wachstumshormon-Achse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Sermorelin</w:t>
            </w:r>
          </w:p>
        </w:tc>
        <w:tc>
          <w:tcPr/>
          <w:p>
            <w:pPr>
              <w:pStyle w:val="Compact"/>
              <w:jc w:val="left"/>
            </w:pPr>
            <w:r>
              <w:t xml:space="preserve">B</w:t>
            </w:r>
          </w:p>
        </w:tc>
        <w:tc>
          <w:tcPr/>
          <w:p>
            <w:pPr>
              <w:pStyle w:val="Compact"/>
              <w:jc w:val="left"/>
            </w:pPr>
            <w:r>
              <w:t xml:space="preserve">nein / früher ja, vom Markt</w:t>
            </w:r>
          </w:p>
        </w:tc>
        <w:tc>
          <w:tcPr/>
          <w:p>
            <w:pPr>
              <w:pStyle w:val="Compact"/>
              <w:jc w:val="left"/>
            </w:pPr>
            <w:r>
              <w:t xml:space="preserve">0 / 27 (Anm.)</w:t>
            </w:r>
          </w:p>
        </w:tc>
      </w:tr>
      <w:tr>
        <w:tc>
          <w:tcPr/>
          <w:p>
            <w:pPr>
              <w:pStyle w:val="Compact"/>
              <w:jc w:val="left"/>
            </w:pPr>
            <w:r>
              <w:t xml:space="preserve">Tesamorelin</w:t>
            </w:r>
          </w:p>
        </w:tc>
        <w:tc>
          <w:tcPr/>
          <w:p>
            <w:pPr>
              <w:pStyle w:val="Compact"/>
              <w:jc w:val="left"/>
            </w:pPr>
            <w:r>
              <w:t xml:space="preserve">A</w:t>
            </w:r>
          </w:p>
        </w:tc>
        <w:tc>
          <w:tcPr/>
          <w:p>
            <w:pPr>
              <w:pStyle w:val="Compact"/>
              <w:jc w:val="left"/>
            </w:pPr>
            <w:r>
              <w:t xml:space="preserve">nein / ja (HIV-Lipodystrophie)</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2 / 1</w:t>
            </w:r>
          </w:p>
        </w:tc>
      </w:tr>
      <w:tr>
        <w:tc>
          <w:tcPr/>
          <w:p>
            <w:pPr>
              <w:pStyle w:val="Compact"/>
              <w:jc w:val="left"/>
            </w:pPr>
            <w:r>
              <w:t xml:space="preserve">Ipamorelin</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nein / nein (Japan: Diagnostikum)</w:t>
            </w:r>
          </w:p>
        </w:tc>
        <w:tc>
          <w:tcPr/>
          <w:p>
            <w:pPr>
              <w:pStyle w:val="Compact"/>
              <w:jc w:val="left"/>
            </w:pPr>
            <w:r>
              <w:t xml:space="preserve">55 / 0 (Anm.)</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40 / 0 (Anm.)</w:t>
            </w:r>
          </w:p>
        </w:tc>
      </w:tr>
      <w:tr>
        <w:tc>
          <w:tcPr/>
          <w:p>
            <w:pPr>
              <w:pStyle w:val="Compact"/>
              <w:jc w:val="left"/>
            </w:pPr>
            <w:r>
              <w:t xml:space="preserve">Hexarelin</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58 / 0 (Anm.)</w:t>
            </w:r>
          </w:p>
        </w:tc>
      </w:tr>
      <w:tr>
        <w:tc>
          <w:tcPr/>
          <w:p>
            <w:pPr>
              <w:pStyle w:val="Compact"/>
              <w:jc w:val="left"/>
            </w:pPr>
            <w:r>
              <w:t xml:space="preserve">Macimorelin</w:t>
            </w:r>
          </w:p>
        </w:tc>
        <w:tc>
          <w:tcPr/>
          <w:p>
            <w:pPr>
              <w:pStyle w:val="Compact"/>
              <w:jc w:val="left"/>
            </w:pPr>
            <w:r>
              <w:t xml:space="preserve">A</w:t>
            </w:r>
          </w:p>
        </w:tc>
        <w:tc>
          <w:tcPr/>
          <w:p>
            <w:pPr>
              <w:pStyle w:val="Compact"/>
              <w:jc w:val="left"/>
            </w:pPr>
            <w:r>
              <w:t xml:space="preserve">ja / ja (nur Diagnostikum)</w:t>
            </w:r>
          </w:p>
        </w:tc>
        <w:tc>
          <w:tcPr/>
          <w:p>
            <w:pPr>
              <w:pStyle w:val="Compact"/>
              <w:jc w:val="left"/>
            </w:pPr>
            <w:r>
              <w:t xml:space="preserve">4 / 6</w:t>
            </w:r>
          </w:p>
        </w:tc>
      </w:tr>
      <w:tr>
        <w:tc>
          <w:tcPr/>
          <w:p>
            <w:pPr>
              <w:pStyle w:val="Compact"/>
              <w:jc w:val="left"/>
            </w:pPr>
            <w:r>
              <w:t xml:space="preserve">Mecasermin (IGF-1)</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0 / 0</w:t>
            </w:r>
          </w:p>
        </w:tc>
      </w:tr>
      <w:tr>
        <w:tc>
          <w:tcPr/>
          <w:p>
            <w:pPr>
              <w:pStyle w:val="Compact"/>
              <w:jc w:val="left"/>
            </w:pPr>
            <w:r>
              <w:t xml:space="preserve">Ibutamoren (kein Peptid)</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19 / 8</w:t>
            </w:r>
          </w:p>
        </w:tc>
      </w:tr>
    </w:tbl>
    <w:p>
      <w:pPr>
        <w:pStyle w:val="BodyText"/>
      </w:pPr>
      <w:r>
        <w:t xml:space="preserve">Anmerkungen zur Tabelle: Bei</w:t>
      </w:r>
      <w:r>
        <w:t xml:space="preserve"> </w:t>
      </w:r>
      <w:r>
        <w:rPr>
          <w:bCs/>
          <w:b/>
        </w:rPr>
        <w:t xml:space="preserve">Sermorelin</w:t>
      </w:r>
      <w:r>
        <w:t xml:space="preserve"> </w:t>
      </w:r>
      <w:r>
        <w:t xml:space="preserve">findet die Namenssuche keine Humanstudie, weil die meisten Arbeiten unter „GHRH(1-29)“ oder „GRF 1-29“ erschienen sind; gezielt nachgesucht sind es mehrere Dutzend kleine Studien, meist vor 2000. Viele der 27 Registertreffer betreffen dagegen Tesamorelin oder GHRH-Tests allgemein. Bei</w:t>
      </w:r>
      <w:r>
        <w:t xml:space="preserve"> </w:t>
      </w:r>
      <w:r>
        <w:rPr>
          <w:bCs/>
          <w:b/>
        </w:rPr>
        <w:t xml:space="preserve">GHRP-2, GHRP-6 und Hexarelin</w:t>
      </w:r>
      <w:r>
        <w:t xml:space="preserve"> </w:t>
      </w:r>
      <w:r>
        <w:t xml:space="preserve">nutzen fast alle Arbeiten den Stoff nur als einmalige Testsubstanz zur Erforschung der Hormonsteuerung; über einen Nutzen sagen sie nichts.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Sermorelin</w:t>
            </w:r>
          </w:p>
        </w:tc>
        <w:tc>
          <w:tcPr/>
          <w:p>
            <w:pPr>
              <w:pStyle w:val="Compact"/>
              <w:jc w:val="left"/>
            </w:pPr>
            <w:r>
              <w:t xml:space="preserve">110 Kinder mit GH-Mangel: Wachstum 4,1 auf 7,2 cm/Jahr (PMID 8772599)</w:t>
            </w:r>
          </w:p>
        </w:tc>
        <w:tc>
          <w:tcPr/>
          <w:p>
            <w:pPr>
              <w:pStyle w:val="Compact"/>
              <w:jc w:val="left"/>
            </w:pPr>
            <w:r>
              <w:t xml:space="preserve">Flush; Langzeitfolgen bei Erwachsenen ungeklärt</w:t>
            </w:r>
          </w:p>
        </w:tc>
      </w:tr>
      <w:tr>
        <w:tc>
          <w:tcPr/>
          <w:p>
            <w:pPr>
              <w:pStyle w:val="Compact"/>
              <w:jc w:val="left"/>
            </w:pPr>
            <w:r>
              <w:t xml:space="preserve">Tesamorelin</w:t>
            </w:r>
          </w:p>
        </w:tc>
        <w:tc>
          <w:tcPr/>
          <w:p>
            <w:pPr>
              <w:pStyle w:val="Compact"/>
              <w:jc w:val="left"/>
            </w:pPr>
            <w:r>
              <w:t xml:space="preserve">Zwei Phase-3-Studien mit 806 Personen: viszerales Bauchfett −15,4 % gegenüber Placebo (PMID 20554713)</w:t>
            </w:r>
          </w:p>
        </w:tc>
        <w:tc>
          <w:tcPr/>
          <w:p>
            <w:pPr>
              <w:pStyle w:val="Compact"/>
              <w:jc w:val="left"/>
            </w:pPr>
            <w:r>
              <w:t xml:space="preserve">Gelenkschmerzen, Wassereinlagerung, Blutzucker</w:t>
            </w:r>
          </w:p>
        </w:tc>
      </w:tr>
      <w:tr>
        <w:tc>
          <w:tcPr/>
          <w:p>
            <w:pPr>
              <w:pStyle w:val="Compact"/>
              <w:jc w:val="left"/>
            </w:pPr>
            <w:r>
              <w:t xml:space="preserve">CJC-1295</w:t>
            </w:r>
          </w:p>
        </w:tc>
        <w:tc>
          <w:tcPr/>
          <w:p>
            <w:pPr>
              <w:pStyle w:val="Compact"/>
              <w:jc w:val="left"/>
            </w:pPr>
            <w:r>
              <w:t xml:space="preserve">Einzelinjektion: GH 2- bis 10-fach, IGF-1 1,5- bis 3-fach erhöht (PMID 16352683)</w:t>
            </w:r>
          </w:p>
        </w:tc>
        <w:tc>
          <w:tcPr/>
          <w:p>
            <w:pPr>
              <w:pStyle w:val="Compact"/>
              <w:jc w:val="left"/>
            </w:pPr>
            <w:r>
              <w:t xml:space="preserve">Dauerstimulation unerforscht, unklarer Inhalt</w:t>
            </w:r>
          </w:p>
        </w:tc>
      </w:tr>
      <w:tr>
        <w:tc>
          <w:tcPr/>
          <w:p>
            <w:pPr>
              <w:pStyle w:val="Compact"/>
              <w:jc w:val="left"/>
            </w:pPr>
            <w:r>
              <w:t xml:space="preserve">Ipamorelin</w:t>
            </w:r>
          </w:p>
        </w:tc>
        <w:tc>
          <w:tcPr/>
          <w:p>
            <w:pPr>
              <w:pStyle w:val="Compact"/>
              <w:jc w:val="left"/>
            </w:pPr>
            <w:r>
              <w:t xml:space="preserve">Phase 2 nach Darmoperation: kein signifikanter Nutzen (PMID 25331030)</w:t>
            </w:r>
          </w:p>
        </w:tc>
        <w:tc>
          <w:tcPr/>
          <w:p>
            <w:pPr>
              <w:pStyle w:val="Compact"/>
              <w:jc w:val="left"/>
            </w:pPr>
            <w:r>
              <w:t xml:space="preserve">keine Daten zur Daueranwendung; abgewandelte Moleküle</w:t>
            </w:r>
          </w:p>
        </w:tc>
      </w:tr>
      <w:tr>
        <w:tc>
          <w:tcPr/>
          <w:p>
            <w:pPr>
              <w:pStyle w:val="Compact"/>
              <w:jc w:val="left"/>
            </w:pPr>
            <w:r>
              <w:t xml:space="preserve">GHRP-2</w:t>
            </w:r>
          </w:p>
        </w:tc>
        <w:tc>
          <w:tcPr/>
          <w:p>
            <w:pPr>
              <w:pStyle w:val="Compact"/>
              <w:jc w:val="left"/>
            </w:pPr>
            <w:r>
              <w:t xml:space="preserve">Als Test trennte es GH-Mangel zuverlässig von Gesunden (PMID 17609397)</w:t>
            </w:r>
          </w:p>
        </w:tc>
        <w:tc>
          <w:tcPr/>
          <w:p>
            <w:pPr>
              <w:pStyle w:val="Compact"/>
              <w:jc w:val="left"/>
            </w:pPr>
            <w:r>
              <w:t xml:space="preserve">Heißhunger, Stresshormonanstieg</w:t>
            </w:r>
          </w:p>
        </w:tc>
      </w:tr>
      <w:tr>
        <w:tc>
          <w:tcPr/>
          <w:p>
            <w:pPr>
              <w:pStyle w:val="Compact"/>
              <w:jc w:val="left"/>
            </w:pPr>
            <w:r>
              <w:t xml:space="preserve">GHRP-6</w:t>
            </w:r>
          </w:p>
        </w:tc>
        <w:tc>
          <w:tcPr/>
          <w:p>
            <w:pPr>
              <w:pStyle w:val="Compact"/>
              <w:jc w:val="left"/>
            </w:pPr>
            <w:r>
              <w:t xml:space="preserve">Kombinationstest erkannte GH-Mangel zuverlässig (PMID 11030292)</w:t>
            </w:r>
          </w:p>
        </w:tc>
        <w:tc>
          <w:tcPr/>
          <w:p>
            <w:pPr>
              <w:pStyle w:val="Compact"/>
              <w:jc w:val="left"/>
            </w:pPr>
            <w:r>
              <w:t xml:space="preserve">Flush, Hormonanstiege, Hunger</w:t>
            </w:r>
          </w:p>
        </w:tc>
      </w:tr>
      <w:tr>
        <w:tc>
          <w:tcPr/>
          <w:p>
            <w:pPr>
              <w:pStyle w:val="Compact"/>
              <w:jc w:val="left"/>
            </w:pPr>
            <w:r>
              <w:t xml:space="preserve">Hexarelin</w:t>
            </w:r>
          </w:p>
        </w:tc>
        <w:tc>
          <w:tcPr/>
          <w:p>
            <w:pPr>
              <w:pStyle w:val="Compact"/>
              <w:jc w:val="left"/>
            </w:pPr>
            <w:r>
              <w:t xml:space="preserve">Über 16 Wochen Wirkverlust, Körperzusammensetzung unverändert (PMID 9589671)</w:t>
            </w:r>
          </w:p>
        </w:tc>
        <w:tc>
          <w:tcPr/>
          <w:p>
            <w:pPr>
              <w:pStyle w:val="Compact"/>
              <w:jc w:val="left"/>
            </w:pPr>
            <w:r>
              <w:t xml:space="preserve">Stresshormone, Prolaktin, Wirkverlust</w:t>
            </w:r>
          </w:p>
        </w:tc>
      </w:tr>
      <w:tr>
        <w:tc>
          <w:tcPr/>
          <w:p>
            <w:pPr>
              <w:pStyle w:val="Compact"/>
              <w:jc w:val="left"/>
            </w:pPr>
            <w:r>
              <w:t xml:space="preserve">Macimorelin</w:t>
            </w:r>
          </w:p>
        </w:tc>
        <w:tc>
          <w:tcPr/>
          <w:p>
            <w:pPr>
              <w:pStyle w:val="Compact"/>
              <w:jc w:val="left"/>
            </w:pPr>
            <w:r>
              <w:t xml:space="preserve">Test mit 87 % Sensitivität und 96 % Spezifität gegenüber dem Insulintest (PMID 29860473)</w:t>
            </w:r>
          </w:p>
        </w:tc>
        <w:tc>
          <w:tcPr/>
          <w:p>
            <w:pPr>
              <w:pStyle w:val="Compact"/>
              <w:jc w:val="left"/>
            </w:pPr>
            <w:r>
              <w:t xml:space="preserve">QT-Verlängerung bei Überdosis</w:t>
            </w:r>
          </w:p>
        </w:tc>
      </w:tr>
      <w:tr>
        <w:tc>
          <w:tcPr/>
          <w:p>
            <w:pPr>
              <w:pStyle w:val="Compact"/>
              <w:jc w:val="left"/>
            </w:pPr>
            <w:r>
              <w:t xml:space="preserve">Mecasermin (IGF-1)</w:t>
            </w:r>
          </w:p>
        </w:tc>
        <w:tc>
          <w:tcPr/>
          <w:p>
            <w:pPr>
              <w:pStyle w:val="Compact"/>
              <w:jc w:val="left"/>
            </w:pPr>
            <w:r>
              <w:t xml:space="preserve">76 Kinder mit GH-Resistenz: Wachstum 2,8 auf 8,0 cm/Jahr (PMID 17192294)</w:t>
            </w:r>
          </w:p>
        </w:tc>
        <w:tc>
          <w:tcPr/>
          <w:p>
            <w:pPr>
              <w:pStyle w:val="Compact"/>
              <w:jc w:val="left"/>
            </w:pPr>
            <w:r>
              <w:t xml:space="preserve">Unterzuckerung; Warnhinweis Neubildungen</w:t>
            </w:r>
          </w:p>
        </w:tc>
      </w:tr>
      <w:tr>
        <w:tc>
          <w:tcPr/>
          <w:p>
            <w:pPr>
              <w:pStyle w:val="Compact"/>
              <w:jc w:val="left"/>
            </w:pPr>
            <w:r>
              <w:t xml:space="preserve">IGF-1 LR3</w:t>
            </w:r>
          </w:p>
        </w:tc>
        <w:tc>
          <w:tcPr/>
          <w:p>
            <w:pPr>
              <w:pStyle w:val="Compact"/>
              <w:jc w:val="left"/>
            </w:pPr>
            <w:r>
              <w:t xml:space="preserve">Keine Humanstudie; im Schwarzmarkt-Fläschchen eine Laborvariante (PMID 20675162)</w:t>
            </w:r>
          </w:p>
        </w:tc>
        <w:tc>
          <w:tcPr/>
          <w:p>
            <w:pPr>
              <w:pStyle w:val="Compact"/>
              <w:jc w:val="left"/>
            </w:pPr>
            <w:r>
              <w:t xml:space="preserve">Unterzuckerung, Wachstumssignale (theoretisch)</w:t>
            </w:r>
          </w:p>
        </w:tc>
      </w:tr>
      <w:tr>
        <w:tc>
          <w:tcPr/>
          <w:p>
            <w:pPr>
              <w:pStyle w:val="Compact"/>
              <w:jc w:val="left"/>
            </w:pPr>
            <w:r>
              <w:t xml:space="preserve">Ibutamoren</w:t>
            </w:r>
          </w:p>
        </w:tc>
        <w:tc>
          <w:tcPr/>
          <w:p>
            <w:pPr>
              <w:pStyle w:val="Compact"/>
              <w:jc w:val="left"/>
            </w:pPr>
            <w:r>
              <w:t xml:space="preserve">65 Ältere: fettfreie Masse +1,1 kg, Kraft und Funktion unverändert (PMID 18981485)</w:t>
            </w:r>
          </w:p>
        </w:tc>
        <w:tc>
          <w:tcPr/>
          <w:p>
            <w:pPr>
              <w:pStyle w:val="Compact"/>
              <w:jc w:val="left"/>
            </w:pPr>
            <w:r>
              <w:t xml:space="preserve">Herzinsuffizienz-Signal, höherer Blutzucker</w:t>
            </w:r>
          </w:p>
        </w:tc>
      </w:tr>
    </w:tbl>
    <w:bookmarkEnd w:id="937"/>
    <w:bookmarkStart w:id="938" w:name="d.-gehirn-schlaf-und-langlebigkeit"/>
    <w:p>
      <w:pPr>
        <w:pStyle w:val="Heading3"/>
      </w:pPr>
      <w:r>
        <w:t xml:space="preserve">D. Gehirn, Schlaf und Langlebigkeit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nein / nein (in Russland registriert)</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nein / nein (in Russland registriert)</w:t>
            </w:r>
          </w:p>
        </w:tc>
        <w:tc>
          <w:tcPr/>
          <w:p>
            <w:pPr>
              <w:pStyle w:val="Compact"/>
              <w:jc w:val="left"/>
            </w:pPr>
            <w:r>
              <w:t xml:space="preserve">3 / 2 (Anm.)</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 (u. a. Österreich) / nein</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18 / 1 (Anm.)</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1 / 1 (Anm.)</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5 / 4 (Anm.)</w:t>
            </w:r>
          </w:p>
        </w:tc>
      </w:tr>
      <w:tr>
        <w:tc>
          <w:tcPr/>
          <w:p>
            <w:pPr>
              <w:pStyle w:val="Compact"/>
              <w:jc w:val="left"/>
            </w:pPr>
            <w:r>
              <w:t xml:space="preserve">Humanin</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8 / 3 (Anm.)</w:t>
            </w:r>
          </w:p>
        </w:tc>
      </w:tr>
      <w:tr>
        <w:tc>
          <w:tcPr/>
          <w:p>
            <w:pPr>
              <w:pStyle w:val="Compact"/>
              <w:jc w:val="left"/>
            </w:pPr>
            <w:r>
              <w:t xml:space="preserve">SS-31 (Elamipretid)</w:t>
            </w:r>
          </w:p>
        </w:tc>
        <w:tc>
          <w:tcPr/>
          <w:p>
            <w:pPr>
              <w:pStyle w:val="Compact"/>
              <w:jc w:val="left"/>
            </w:pPr>
            <w:r>
              <w:t xml:space="preserve">B</w:t>
            </w:r>
          </w:p>
        </w:tc>
        <w:tc>
          <w:tcPr/>
          <w:p>
            <w:pPr>
              <w:pStyle w:val="Compact"/>
              <w:jc w:val="left"/>
            </w:pPr>
            <w:r>
              <w:t xml:space="preserve">nein / ja, beschleunigt (nur Barth-Syndrom)</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nein / nein</w:t>
            </w:r>
          </w:p>
        </w:tc>
        <w:tc>
          <w:tcPr/>
          <w:p>
            <w:pPr>
              <w:pStyle w:val="Compact"/>
              <w:jc w:val="left"/>
            </w:pPr>
            <w:r>
              <w:t xml:space="preserve">0 / 0</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Nahrungsergänzung / Nahrungsergänzung</w:t>
            </w:r>
          </w:p>
        </w:tc>
        <w:tc>
          <w:tcPr/>
          <w:p>
            <w:pPr>
              <w:pStyle w:val="Compact"/>
              <w:jc w:val="left"/>
            </w:pPr>
            <w:r>
              <w:t xml:space="preserve">161 / 273 (Anm.)</w:t>
            </w:r>
          </w:p>
        </w:tc>
      </w:tr>
    </w:tbl>
    <w:p>
      <w:pPr>
        <w:pStyle w:val="BodyText"/>
      </w:pPr>
      <w:r>
        <w:t xml:space="preserve">Anmerkungen zur Tabelle: Bei</w:t>
      </w:r>
      <w:r>
        <w:t xml:space="preserve"> </w:t>
      </w:r>
      <w:r>
        <w:rPr>
          <w:bCs/>
          <w:b/>
        </w:rPr>
        <w:t xml:space="preserve">Selank</w:t>
      </w:r>
      <w:r>
        <w:t xml:space="preserve"> </w:t>
      </w:r>
      <w:r>
        <w:t xml:space="preserve">und</w:t>
      </w:r>
      <w:r>
        <w:t xml:space="preserve"> </w:t>
      </w:r>
      <w:r>
        <w:rPr>
          <w:bCs/>
          <w:b/>
        </w:rPr>
        <w:t xml:space="preserve">DSIP</w:t>
      </w:r>
      <w:r>
        <w:t xml:space="preserve"> </w:t>
      </w:r>
      <w:r>
        <w:t xml:space="preserve">betreffen die Registertreffer andere Verfahren bzw. Themen; eine registrierte Studie mit dem Peptid gibt es nicht. Der einzige Registereintrag zu</w:t>
      </w:r>
      <w:r>
        <w:t xml:space="preserve"> </w:t>
      </w:r>
      <w:r>
        <w:rPr>
          <w:bCs/>
          <w:b/>
        </w:rPr>
        <w:t xml:space="preserve">Epitalon</w:t>
      </w:r>
      <w:r>
        <w:t xml:space="preserve"> </w:t>
      </w:r>
      <w:r>
        <w:t xml:space="preserve">ist eine unkontrollierte Studie mit einem Hautserum, in dem Epitalon einer von fünf Bestandteilen ist. Bei</w:t>
      </w:r>
      <w:r>
        <w:t xml:space="preserve"> </w:t>
      </w:r>
      <w:r>
        <w:rPr>
          <w:bCs/>
          <w:b/>
        </w:rPr>
        <w:t xml:space="preserve">MOTS-c</w:t>
      </w:r>
      <w:r>
        <w:t xml:space="preserve"> </w:t>
      </w:r>
      <w:r>
        <w:t xml:space="preserve">und</w:t>
      </w:r>
      <w:r>
        <w:t xml:space="preserve"> </w:t>
      </w:r>
      <w:r>
        <w:rPr>
          <w:bCs/>
          <w:b/>
        </w:rPr>
        <w:t xml:space="preserve">Humanin</w:t>
      </w:r>
      <w:r>
        <w:t xml:space="preserve"> </w:t>
      </w:r>
      <w:r>
        <w:t xml:space="preserve">wurde in keiner der Veröffentlichungen das Peptid verabreicht; sie messen körpereigene Spiegel. Bei</w:t>
      </w:r>
      <w:r>
        <w:t xml:space="preserve"> </w:t>
      </w:r>
      <w:r>
        <w:rPr>
          <w:bCs/>
          <w:b/>
        </w:rPr>
        <w:t xml:space="preserve">Glutathion</w:t>
      </w:r>
      <w:r>
        <w:t xml:space="preserve"> </w:t>
      </w:r>
      <w:r>
        <w:t xml:space="preserve">messen viele Treffer Glutathion nur als Laborwert oder betreffen das Enzym Glutathion-S-Transferase; Studien mit Gabe von Glutathion sind eine Minderheit von einigen Dutzend.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Semax</w:t>
            </w:r>
          </w:p>
        </w:tc>
        <w:tc>
          <w:tcPr/>
          <w:p>
            <w:pPr>
              <w:pStyle w:val="Compact"/>
              <w:jc w:val="left"/>
            </w:pPr>
            <w:r>
              <w:t xml:space="preserve">Offene Studie nach Schlaganfall: höheres BDNF, schnellere Besserung (PMID 29798983)</w:t>
            </w:r>
          </w:p>
        </w:tc>
        <w:tc>
          <w:tcPr/>
          <w:p>
            <w:pPr>
              <w:pStyle w:val="Compact"/>
              <w:jc w:val="left"/>
            </w:pPr>
            <w:r>
              <w:t xml:space="preserve">keine systematischen Sicherheitsdaten</w:t>
            </w:r>
          </w:p>
        </w:tc>
      </w:tr>
      <w:tr>
        <w:tc>
          <w:tcPr/>
          <w:p>
            <w:pPr>
              <w:pStyle w:val="Compact"/>
              <w:jc w:val="left"/>
            </w:pPr>
            <w:r>
              <w:t xml:space="preserve">Selank</w:t>
            </w:r>
          </w:p>
        </w:tc>
        <w:tc>
          <w:tcPr/>
          <w:p>
            <w:pPr>
              <w:pStyle w:val="Compact"/>
              <w:jc w:val="left"/>
            </w:pPr>
            <w:r>
              <w:t xml:space="preserve">Angstlösende Wirkung ähnlich Medazepam, ohne Placebogruppe (PMID 18454096)</w:t>
            </w:r>
          </w:p>
        </w:tc>
        <w:tc>
          <w:tcPr/>
          <w:p>
            <w:pPr>
              <w:pStyle w:val="Compact"/>
              <w:jc w:val="left"/>
            </w:pPr>
            <w:r>
              <w:t xml:space="preserve">keine Langzeitdaten; Graumarkt</w:t>
            </w:r>
          </w:p>
        </w:tc>
      </w:tr>
      <w:tr>
        <w:tc>
          <w:tcPr/>
          <w:p>
            <w:pPr>
              <w:pStyle w:val="Compact"/>
              <w:jc w:val="left"/>
            </w:pPr>
            <w:r>
              <w:t xml:space="preserve">Cerebrolysin</w:t>
            </w:r>
          </w:p>
        </w:tc>
        <w:tc>
          <w:tcPr/>
          <w:p>
            <w:pPr>
              <w:pStyle w:val="Compact"/>
              <w:jc w:val="left"/>
            </w:pPr>
            <w:r>
              <w:t xml:space="preserve">CASTA mit 1.070 Personen: Hauptendpunkt verfehlt (PMID 22282884)</w:t>
            </w:r>
          </w:p>
        </w:tc>
        <w:tc>
          <w:tcPr/>
          <w:p>
            <w:pPr>
              <w:pStyle w:val="Compact"/>
              <w:jc w:val="left"/>
            </w:pPr>
            <w:r>
              <w:t xml:space="preserve">mögliches Signal für schwere Nebenwirkungen (Cochrane)</w:t>
            </w:r>
          </w:p>
        </w:tc>
      </w:tr>
      <w:tr>
        <w:tc>
          <w:tcPr/>
          <w:p>
            <w:pPr>
              <w:pStyle w:val="Compact"/>
              <w:jc w:val="left"/>
            </w:pPr>
            <w:r>
              <w:t xml:space="preserve">Dihexa</w:t>
            </w:r>
          </w:p>
        </w:tc>
        <w:tc>
          <w:tcPr/>
          <w:p>
            <w:pPr>
              <w:pStyle w:val="Compact"/>
              <w:jc w:val="left"/>
            </w:pPr>
            <w:r>
              <w:t xml:space="preserve">Nur Tierdaten: bei Ratten besseres Lernen (PMID 25187433)</w:t>
            </w:r>
          </w:p>
        </w:tc>
        <w:tc>
          <w:tcPr/>
          <w:p>
            <w:pPr>
              <w:pStyle w:val="Compact"/>
              <w:jc w:val="left"/>
            </w:pPr>
            <w:r>
              <w:t xml:space="preserve">keine Humandaten; theoretisches Krebsrisiko</w:t>
            </w:r>
          </w:p>
        </w:tc>
      </w:tr>
      <w:tr>
        <w:tc>
          <w:tcPr/>
          <w:p>
            <w:pPr>
              <w:pStyle w:val="Compact"/>
              <w:jc w:val="left"/>
            </w:pPr>
            <w:r>
              <w:t xml:space="preserve">DSIP</w:t>
            </w:r>
          </w:p>
        </w:tc>
        <w:tc>
          <w:tcPr/>
          <w:p>
            <w:pPr>
              <w:pStyle w:val="Compact"/>
              <w:jc w:val="left"/>
            </w:pPr>
            <w:r>
              <w:t xml:space="preserve">16 Personen mit Schlaflosigkeit: nur schwache Effekte (PMID 1299794)</w:t>
            </w:r>
          </w:p>
        </w:tc>
        <w:tc>
          <w:tcPr/>
          <w:p>
            <w:pPr>
              <w:pStyle w:val="Compact"/>
              <w:jc w:val="left"/>
            </w:pPr>
            <w:r>
              <w:t xml:space="preserve">keine systematischen Sicherheitsdaten</w:t>
            </w:r>
          </w:p>
        </w:tc>
      </w:tr>
      <w:tr>
        <w:tc>
          <w:tcPr/>
          <w:p>
            <w:pPr>
              <w:pStyle w:val="Compact"/>
              <w:jc w:val="left"/>
            </w:pPr>
            <w:r>
              <w:t xml:space="preserve">Epitalon</w:t>
            </w:r>
          </w:p>
        </w:tc>
        <w:tc>
          <w:tcPr/>
          <w:p>
            <w:pPr>
              <w:pStyle w:val="Compact"/>
              <w:jc w:val="left"/>
            </w:pPr>
            <w:r>
              <w:t xml:space="preserve">Bei Mäusen keine längere mittlere Lebensdauer (PMID 14501183)</w:t>
            </w:r>
          </w:p>
        </w:tc>
        <w:tc>
          <w:tcPr/>
          <w:p>
            <w:pPr>
              <w:pStyle w:val="Compact"/>
              <w:jc w:val="left"/>
            </w:pPr>
            <w:r>
              <w:t xml:space="preserve">keine Humandaten; Telomerase-Frage</w:t>
            </w:r>
          </w:p>
        </w:tc>
      </w:tr>
      <w:tr>
        <w:tc>
          <w:tcPr/>
          <w:p>
            <w:pPr>
              <w:pStyle w:val="Compact"/>
              <w:jc w:val="left"/>
            </w:pPr>
            <w:r>
              <w:t xml:space="preserve">Pinealon</w:t>
            </w:r>
          </w:p>
        </w:tc>
        <w:tc>
          <w:tcPr/>
          <w:p>
            <w:pPr>
              <w:pStyle w:val="Compact"/>
              <w:jc w:val="left"/>
            </w:pPr>
            <w:r>
              <w:t xml:space="preserve">32 Ältere, unkontrolliert; auch Hemmung der Blutbildung (PMID 26390612)</w:t>
            </w:r>
          </w:p>
        </w:tc>
        <w:tc>
          <w:tcPr/>
          <w:p>
            <w:pPr>
              <w:pStyle w:val="Compact"/>
              <w:jc w:val="left"/>
            </w:pPr>
            <w:r>
              <w:t xml:space="preserve">keine systematischen Sicherheitsdaten</w:t>
            </w:r>
          </w:p>
        </w:tc>
      </w:tr>
      <w:tr>
        <w:tc>
          <w:tcPr/>
          <w:p>
            <w:pPr>
              <w:pStyle w:val="Compact"/>
              <w:jc w:val="left"/>
            </w:pPr>
            <w:r>
              <w:t xml:space="preserve">MOTS-c</w:t>
            </w:r>
          </w:p>
        </w:tc>
        <w:tc>
          <w:tcPr/>
          <w:p>
            <w:pPr>
              <w:pStyle w:val="Compact"/>
              <w:jc w:val="left"/>
            </w:pPr>
            <w:r>
              <w:t xml:space="preserve">Nur Tierdaten zur Gabe: bei Mäusen weniger Übergewicht (PMID 25738459)</w:t>
            </w:r>
          </w:p>
        </w:tc>
        <w:tc>
          <w:tcPr/>
          <w:p>
            <w:pPr>
              <w:pStyle w:val="Compact"/>
              <w:jc w:val="left"/>
            </w:pPr>
            <w:r>
              <w:t xml:space="preserve">keine Daten zur Gabe am Menschen</w:t>
            </w:r>
          </w:p>
        </w:tc>
      </w:tr>
      <w:tr>
        <w:tc>
          <w:tcPr/>
          <w:p>
            <w:pPr>
              <w:pStyle w:val="Compact"/>
              <w:jc w:val="left"/>
            </w:pPr>
            <w:r>
              <w:t xml:space="preserve">Humanin</w:t>
            </w:r>
          </w:p>
        </w:tc>
        <w:tc>
          <w:tcPr/>
          <w:p>
            <w:pPr>
              <w:pStyle w:val="Compact"/>
              <w:jc w:val="left"/>
            </w:pPr>
            <w:r>
              <w:t xml:space="preserve">Nur Spiegelmessungen am Menschen (PMID 32575074)</w:t>
            </w:r>
          </w:p>
        </w:tc>
        <w:tc>
          <w:tcPr/>
          <w:p>
            <w:pPr>
              <w:pStyle w:val="Compact"/>
              <w:jc w:val="left"/>
            </w:pPr>
            <w:r>
              <w:t xml:space="preserve">bei Mäusen mehr Brustkrebswachstum (PMID 32444831)</w:t>
            </w:r>
          </w:p>
        </w:tc>
      </w:tr>
      <w:tr>
        <w:tc>
          <w:tcPr/>
          <w:p>
            <w:pPr>
              <w:pStyle w:val="Compact"/>
              <w:jc w:val="left"/>
            </w:pPr>
            <w:r>
              <w:t xml:space="preserve">SS-31 (Elamipretid)</w:t>
            </w:r>
          </w:p>
        </w:tc>
        <w:tc>
          <w:tcPr/>
          <w:p>
            <w:pPr>
              <w:pStyle w:val="Compact"/>
              <w:jc w:val="left"/>
            </w:pPr>
            <w:r>
              <w:t xml:space="preserve">MMPOWER-3 mit 218 Personen: kein Nutzen bei Myopathie (PMID 37268435)</w:t>
            </w:r>
          </w:p>
        </w:tc>
        <w:tc>
          <w:tcPr/>
          <w:p>
            <w:pPr>
              <w:pStyle w:val="Compact"/>
              <w:jc w:val="left"/>
            </w:pPr>
            <w:r>
              <w:t xml:space="preserve">Einstichstellen; Graumarkt-Ware nicht identisch</w:t>
            </w:r>
          </w:p>
        </w:tc>
      </w:tr>
      <w:tr>
        <w:tc>
          <w:tcPr/>
          <w:p>
            <w:pPr>
              <w:pStyle w:val="Compact"/>
              <w:jc w:val="left"/>
            </w:pPr>
            <w:r>
              <w:t xml:space="preserve">FOXO4-DRI</w:t>
            </w:r>
          </w:p>
        </w:tc>
        <w:tc>
          <w:tcPr/>
          <w:p>
            <w:pPr>
              <w:pStyle w:val="Compact"/>
              <w:jc w:val="left"/>
            </w:pPr>
            <w:r>
              <w:t xml:space="preserve">Nur Tierdaten: bei gealterten Mäusen bessere Fitness (PMID 28340339)</w:t>
            </w:r>
          </w:p>
        </w:tc>
        <w:tc>
          <w:tcPr/>
          <w:p>
            <w:pPr>
              <w:pStyle w:val="Compact"/>
              <w:jc w:val="left"/>
            </w:pPr>
            <w:r>
              <w:t xml:space="preserve">keine Humandaten; Eingriff in p53</w:t>
            </w:r>
          </w:p>
        </w:tc>
      </w:tr>
      <w:tr>
        <w:tc>
          <w:tcPr/>
          <w:p>
            <w:pPr>
              <w:pStyle w:val="Compact"/>
              <w:jc w:val="left"/>
            </w:pPr>
            <w:r>
              <w:t xml:space="preserve">Glutathion</w:t>
            </w:r>
          </w:p>
        </w:tc>
        <w:tc>
          <w:tcPr/>
          <w:p>
            <w:pPr>
              <w:pStyle w:val="Compact"/>
              <w:jc w:val="left"/>
            </w:pPr>
            <w:r>
              <w:t xml:space="preserve">Phase 3 mit 185 Personen: kein Schutz vor Nervenschäden durch Chemotherapie (PMID 24619793)</w:t>
            </w:r>
          </w:p>
        </w:tc>
        <w:tc>
          <w:tcPr/>
          <w:p>
            <w:pPr>
              <w:pStyle w:val="Compact"/>
              <w:jc w:val="left"/>
            </w:pPr>
            <w:r>
              <w:t xml:space="preserve">Infusionen zur Hautaufhellung: Behördenwarnungen</w:t>
            </w:r>
          </w:p>
        </w:tc>
      </w:tr>
    </w:tbl>
    <w:bookmarkEnd w:id="938"/>
    <w:bookmarkStart w:id="939" w:name="e.-hormone-sexualität-und-pigmentierung"/>
    <w:p>
      <w:pPr>
        <w:pStyle w:val="Heading3"/>
      </w:pPr>
      <w:r>
        <w:t xml:space="preserve">E. Hormone, Sexualität und Pigmentierung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Bremelanotid (PT-141)</w:t>
            </w:r>
          </w:p>
        </w:tc>
        <w:tc>
          <w:tcPr/>
          <w:p>
            <w:pPr>
              <w:pStyle w:val="Compact"/>
              <w:jc w:val="left"/>
            </w:pPr>
            <w:r>
              <w:t xml:space="preserve">A</w:t>
            </w:r>
          </w:p>
        </w:tc>
        <w:tc>
          <w:tcPr/>
          <w:p>
            <w:pPr>
              <w:pStyle w:val="Compact"/>
              <w:jc w:val="left"/>
            </w:pPr>
            <w:r>
              <w:t xml:space="preserve">nein / ja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nein / nein</w:t>
            </w:r>
          </w:p>
        </w:tc>
        <w:tc>
          <w:tcPr/>
          <w:p>
            <w:pPr>
              <w:pStyle w:val="Compact"/>
              <w:jc w:val="left"/>
            </w:pPr>
            <w:r>
              <w:t xml:space="preserve">8 / 0 (Anm.)</w:t>
            </w:r>
          </w:p>
        </w:tc>
      </w:tr>
      <w:tr>
        <w:tc>
          <w:tcPr/>
          <w:p>
            <w:pPr>
              <w:pStyle w:val="Compact"/>
              <w:jc w:val="left"/>
            </w:pPr>
            <w:r>
              <w:t xml:space="preserve">Afamelanotid</w:t>
            </w:r>
          </w:p>
        </w:tc>
        <w:tc>
          <w:tcPr/>
          <w:p>
            <w:pPr>
              <w:pStyle w:val="Compact"/>
              <w:jc w:val="left"/>
            </w:pPr>
            <w:r>
              <w:t xml:space="preserve">A</w:t>
            </w:r>
          </w:p>
        </w:tc>
        <w:tc>
          <w:tcPr/>
          <w:p>
            <w:pPr>
              <w:pStyle w:val="Compact"/>
              <w:jc w:val="left"/>
            </w:pPr>
            <w:r>
              <w:t xml:space="preserve">ja / ja (Scenesse, nur EPP)</w:t>
            </w:r>
          </w:p>
        </w:tc>
        <w:tc>
          <w:tcPr/>
          <w:p>
            <w:pPr>
              <w:pStyle w:val="Compact"/>
              <w:jc w:val="left"/>
            </w:pPr>
            <w:r>
              <w:t xml:space="preserve">10 / 23 (Anm.)</w:t>
            </w:r>
          </w:p>
        </w:tc>
      </w:tr>
      <w:tr>
        <w:tc>
          <w:tcPr/>
          <w:p>
            <w:pPr>
              <w:pStyle w:val="Compact"/>
              <w:jc w:val="left"/>
            </w:pPr>
            <w:r>
              <w:t xml:space="preserve">Kisspeptin</w:t>
            </w:r>
          </w:p>
        </w:tc>
        <w:tc>
          <w:tcPr/>
          <w:p>
            <w:pPr>
              <w:pStyle w:val="Compact"/>
              <w:jc w:val="left"/>
            </w:pPr>
            <w:r>
              <w:t xml:space="preserve">B</w:t>
            </w:r>
          </w:p>
        </w:tc>
        <w:tc>
          <w:tcPr/>
          <w:p>
            <w:pPr>
              <w:pStyle w:val="Compact"/>
              <w:jc w:val="left"/>
            </w:pPr>
            <w:r>
              <w:t xml:space="preserve">nein / nein</w:t>
            </w:r>
          </w:p>
        </w:tc>
        <w:tc>
          <w:tcPr/>
          <w:p>
            <w:pPr>
              <w:pStyle w:val="Compact"/>
              <w:jc w:val="left"/>
            </w:pPr>
            <w:r>
              <w:t xml:space="preserve">37 / 36</w:t>
            </w:r>
          </w:p>
        </w:tc>
      </w:tr>
      <w:tr>
        <w:tc>
          <w:tcPr/>
          <w:p>
            <w:pPr>
              <w:pStyle w:val="Compact"/>
              <w:jc w:val="left"/>
            </w:pPr>
            <w:r>
              <w:t xml:space="preserve">Oxytocin (Nasenspray)</w:t>
            </w:r>
          </w:p>
        </w:tc>
        <w:tc>
          <w:tcPr/>
          <w:p>
            <w:pPr>
              <w:pStyle w:val="Compact"/>
              <w:jc w:val="left"/>
            </w:pPr>
            <w:r>
              <w:t xml:space="preserve">B</w:t>
            </w:r>
          </w:p>
        </w:tc>
        <w:tc>
          <w:tcPr/>
          <w:p>
            <w:pPr>
              <w:pStyle w:val="Compact"/>
              <w:jc w:val="left"/>
            </w:pPr>
            <w:r>
              <w:t xml:space="preserve">nur Geburtshilfe / nur Geburtshilfe</w:t>
            </w:r>
          </w:p>
        </w:tc>
        <w:tc>
          <w:tcPr/>
          <w:p>
            <w:pPr>
              <w:pStyle w:val="Compact"/>
              <w:jc w:val="left"/>
            </w:pPr>
            <w:r>
              <w:t xml:space="preserve">349 / 263</w:t>
            </w:r>
          </w:p>
        </w:tc>
      </w:tr>
      <w:tr>
        <w:tc>
          <w:tcPr/>
          <w:p>
            <w:pPr>
              <w:pStyle w:val="Compact"/>
              <w:jc w:val="left"/>
            </w:pPr>
            <w:r>
              <w:t xml:space="preserve">Gonadorelin</w:t>
            </w:r>
          </w:p>
        </w:tc>
        <w:tc>
          <w:tcPr/>
          <w:p>
            <w:pPr>
              <w:pStyle w:val="Compact"/>
              <w:jc w:val="left"/>
            </w:pPr>
            <w:r>
              <w:t xml:space="preserve">B</w:t>
            </w:r>
          </w:p>
        </w:tc>
        <w:tc>
          <w:tcPr/>
          <w:p>
            <w:pPr>
              <w:pStyle w:val="Compact"/>
              <w:jc w:val="left"/>
            </w:pPr>
            <w:r>
              <w:t xml:space="preserve">national in einzelnen Staaten / nein</w:t>
            </w:r>
          </w:p>
        </w:tc>
        <w:tc>
          <w:tcPr/>
          <w:p>
            <w:pPr>
              <w:pStyle w:val="Compact"/>
              <w:jc w:val="left"/>
            </w:pPr>
            <w:r>
              <w:t xml:space="preserve">9 / 1.000 (Anm.)</w:t>
            </w:r>
          </w:p>
        </w:tc>
      </w:tr>
    </w:tbl>
    <w:p>
      <w:pPr>
        <w:pStyle w:val="BodyText"/>
      </w:pPr>
      <w:r>
        <w:t xml:space="preserve">Anmerkungen zur Tabelle: Bei</w:t>
      </w:r>
      <w:r>
        <w:t xml:space="preserve"> </w:t>
      </w:r>
      <w:r>
        <w:rPr>
          <w:bCs/>
          <w:b/>
        </w:rPr>
        <w:t xml:space="preserve">Melanotan II</w:t>
      </w:r>
      <w:r>
        <w:t xml:space="preserve"> </w:t>
      </w:r>
      <w:r>
        <w:t xml:space="preserve">betreffen vier der acht PubMed-Treffer Melanotan I (das spätere Afamelanotid); der einzige Registereintrag erwies sich als nicht vertrauenswürdig. Bei</w:t>
      </w:r>
      <w:r>
        <w:t xml:space="preserve"> </w:t>
      </w:r>
      <w:r>
        <w:rPr>
          <w:bCs/>
          <w:b/>
        </w:rPr>
        <w:t xml:space="preserve">Afamelanotid</w:t>
      </w:r>
      <w:r>
        <w:t xml:space="preserve"> </w:t>
      </w:r>
      <w:r>
        <w:t xml:space="preserve">fehlen in der Zählung ältere Studien unter den Namen Melanotan I oder NDP-MSH. Bei</w:t>
      </w:r>
      <w:r>
        <w:t xml:space="preserve"> </w:t>
      </w:r>
      <w:r>
        <w:rPr>
          <w:bCs/>
          <w:b/>
        </w:rPr>
        <w:t xml:space="preserve">Oxytocin</w:t>
      </w:r>
      <w:r>
        <w:t xml:space="preserve"> </w:t>
      </w:r>
      <w:r>
        <w:t xml:space="preserve">ist nur die Anwendung als Infusion oder Spritze in der Geburtshilfe zugelassen, nicht das Nasenspray. Die Zahlen für</w:t>
      </w:r>
      <w:r>
        <w:t xml:space="preserve"> </w:t>
      </w:r>
      <w:r>
        <w:rPr>
          <w:bCs/>
          <w:b/>
        </w:rPr>
        <w:t xml:space="preserve">Gonadorelin</w:t>
      </w:r>
      <w:r>
        <w:t xml:space="preserve"> </w:t>
      </w:r>
      <w:r>
        <w:t xml:space="preserve">sind unbrauchbar: Die Registersuche stieß an ihre Obergrenze von 1.000 Treffern, weil das Register den Oberbegriff „Gonadotropin-Releasing Hormone“ einbezieht; fast alle Treffer betreffen GnRH-Analoga, etwa bei Prostatakrebs, nur rund zehn das körpergleiche Hormon. Die PubMed-Zahl ist zu niedrig, weil die meisten Studien „GnRH“ oder „LHRH“ schreiben.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Bremelanotid (PT-141)</w:t>
            </w:r>
          </w:p>
        </w:tc>
        <w:tc>
          <w:tcPr/>
          <w:p>
            <w:pPr>
              <w:pStyle w:val="Compact"/>
              <w:jc w:val="left"/>
            </w:pPr>
            <w:r>
              <w:t xml:space="preserve">RECONNECT, 1.267 Frauen: nur geringer Vorteil gegenüber Placebo (PMID 31599840)</w:t>
            </w:r>
          </w:p>
        </w:tc>
        <w:tc>
          <w:tcPr/>
          <w:p>
            <w:pPr>
              <w:pStyle w:val="Compact"/>
              <w:jc w:val="left"/>
            </w:pPr>
            <w:r>
              <w:t xml:space="preserve">Übelkeit bei rund 40 %, kurzer Blutdruckanstieg</w:t>
            </w:r>
          </w:p>
        </w:tc>
      </w:tr>
      <w:tr>
        <w:tc>
          <w:tcPr/>
          <w:p>
            <w:pPr>
              <w:pStyle w:val="Compact"/>
              <w:jc w:val="left"/>
            </w:pPr>
            <w:r>
              <w:t xml:space="preserve">Melanotan II</w:t>
            </w:r>
          </w:p>
        </w:tc>
        <w:tc>
          <w:tcPr/>
          <w:p>
            <w:pPr>
              <w:pStyle w:val="Compact"/>
              <w:jc w:val="left"/>
            </w:pPr>
            <w:r>
              <w:t xml:space="preserve">Kleine Kreuzstudien: Erektionen bei 17 von 20 Männern, häufig Übelkeit (PMID 11035391)</w:t>
            </w:r>
          </w:p>
        </w:tc>
        <w:tc>
          <w:tcPr/>
          <w:p>
            <w:pPr>
              <w:pStyle w:val="Compact"/>
              <w:jc w:val="left"/>
            </w:pPr>
            <w:r>
              <w:t xml:space="preserve">Muttermalveränderungen, Melanom-Fallberichte, Priapismus</w:t>
            </w:r>
          </w:p>
        </w:tc>
      </w:tr>
      <w:tr>
        <w:tc>
          <w:tcPr/>
          <w:p>
            <w:pPr>
              <w:pStyle w:val="Compact"/>
              <w:jc w:val="left"/>
            </w:pPr>
            <w:r>
              <w:t xml:space="preserve">Afamelanotid</w:t>
            </w:r>
          </w:p>
        </w:tc>
        <w:tc>
          <w:tcPr/>
          <w:p>
            <w:pPr>
              <w:pStyle w:val="Compact"/>
              <w:jc w:val="left"/>
            </w:pPr>
            <w:r>
              <w:t xml:space="preserve">Zwei RCTs: längere schmerzfreie Zeit im Sonnenlicht bei EPP (PMID 26132941)</w:t>
            </w:r>
          </w:p>
        </w:tc>
        <w:tc>
          <w:tcPr/>
          <w:p>
            <w:pPr>
              <w:pStyle w:val="Compact"/>
              <w:jc w:val="left"/>
            </w:pPr>
            <w:r>
              <w:t xml:space="preserve">Übelkeit, Kopfschmerz; Hautkontrollen nötig</w:t>
            </w:r>
          </w:p>
        </w:tc>
      </w:tr>
      <w:tr>
        <w:tc>
          <w:tcPr/>
          <w:p>
            <w:pPr>
              <w:pStyle w:val="Compact"/>
              <w:jc w:val="left"/>
            </w:pPr>
            <w:r>
              <w:t xml:space="preserve">Kisspeptin</w:t>
            </w:r>
          </w:p>
        </w:tc>
        <w:tc>
          <w:tcPr/>
          <w:p>
            <w:pPr>
              <w:pStyle w:val="Compact"/>
              <w:jc w:val="left"/>
            </w:pPr>
            <w:r>
              <w:t xml:space="preserve">60 Frauen mit OHSS-Risiko: Eizellreifung bei 95 %, kein schweres OHSS (PMID 26192876)</w:t>
            </w:r>
          </w:p>
        </w:tc>
        <w:tc>
          <w:tcPr/>
          <w:p>
            <w:pPr>
              <w:pStyle w:val="Compact"/>
              <w:jc w:val="left"/>
            </w:pPr>
            <w:r>
              <w:t xml:space="preserve">Gewöhnung bis zur Unterdrückung der Hormonachse</w:t>
            </w:r>
          </w:p>
        </w:tc>
      </w:tr>
      <w:tr>
        <w:tc>
          <w:tcPr/>
          <w:p>
            <w:pPr>
              <w:pStyle w:val="Compact"/>
              <w:jc w:val="left"/>
            </w:pPr>
            <w:r>
              <w:t xml:space="preserve">Oxytocin (Nasenspray)</w:t>
            </w:r>
          </w:p>
        </w:tc>
        <w:tc>
          <w:tcPr/>
          <w:p>
            <w:pPr>
              <w:pStyle w:val="Compact"/>
              <w:jc w:val="left"/>
            </w:pPr>
            <w:r>
              <w:t xml:space="preserve">SOARS-B, 290 Kinder mit Autismus: kein Unterschied zu Placebo (PMID 34644471)</w:t>
            </w:r>
          </w:p>
        </w:tc>
        <w:tc>
          <w:tcPr/>
          <w:p>
            <w:pPr>
              <w:pStyle w:val="Compact"/>
              <w:jc w:val="left"/>
            </w:pPr>
            <w:r>
              <w:t xml:space="preserve">Wasserretention in hohen Dosen, Wehenauslösung</w:t>
            </w:r>
          </w:p>
        </w:tc>
      </w:tr>
      <w:tr>
        <w:tc>
          <w:tcPr/>
          <w:p>
            <w:pPr>
              <w:pStyle w:val="Compact"/>
              <w:jc w:val="left"/>
            </w:pPr>
            <w:r>
              <w:t xml:space="preserve">Gonadorelin</w:t>
            </w:r>
          </w:p>
        </w:tc>
        <w:tc>
          <w:tcPr/>
          <w:p>
            <w:pPr>
              <w:pStyle w:val="Compact"/>
              <w:jc w:val="left"/>
            </w:pPr>
            <w:r>
              <w:t xml:space="preserve">Pulsatile Gabe: Eisprung bei 91 % bzw. 96 % von 109 Frauen (PMID 2122733)</w:t>
            </w:r>
          </w:p>
        </w:tc>
        <w:tc>
          <w:tcPr/>
          <w:p>
            <w:pPr>
              <w:pStyle w:val="Compact"/>
              <w:jc w:val="left"/>
            </w:pPr>
            <w:r>
              <w:t xml:space="preserve">bei falschem Rhythmus Unterdrückung der Hormonachse</w:t>
            </w:r>
          </w:p>
        </w:tc>
      </w:tr>
    </w:tbl>
    <w:bookmarkEnd w:id="939"/>
    <w:bookmarkStart w:id="940" w:name="f.-kollagen-ernährung-und-kosmetik"/>
    <w:p>
      <w:pPr>
        <w:pStyle w:val="Heading3"/>
      </w:pPr>
      <w:r>
        <w:t xml:space="preserve">F. Kollagen, Ernährung und Kosmetik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Evidenz</w:t>
            </w:r>
          </w:p>
        </w:tc>
        <w:tc>
          <w:tcPr/>
          <w:p>
            <w:pPr>
              <w:pStyle w:val="Compact"/>
              <w:jc w:val="left"/>
            </w:pPr>
            <w:r>
              <w:t xml:space="preserve">Zulassung EU / USA</w:t>
            </w:r>
          </w:p>
        </w:tc>
        <w:tc>
          <w:tcPr/>
          <w:p>
            <w:pPr>
              <w:pStyle w:val="Compact"/>
              <w:jc w:val="left"/>
            </w:pPr>
            <w:r>
              <w:t xml:space="preserve">Humanstudien / Register</w:t>
            </w:r>
          </w:p>
        </w:tc>
      </w:tr>
      <w:tr>
        <w:tc>
          <w:tcPr/>
          <w:p>
            <w:pPr>
              <w:pStyle w:val="Compact"/>
              <w:jc w:val="left"/>
            </w:pPr>
            <w:r>
              <w:t xml:space="preserve">Kollagenpeptide</w:t>
            </w:r>
          </w:p>
        </w:tc>
        <w:tc>
          <w:tcPr/>
          <w:p>
            <w:pPr>
              <w:pStyle w:val="Compact"/>
              <w:jc w:val="left"/>
            </w:pPr>
            <w:r>
              <w:t xml:space="preserve">B</w:t>
            </w:r>
          </w:p>
        </w:tc>
        <w:tc>
          <w:tcPr/>
          <w:p>
            <w:pPr>
              <w:pStyle w:val="Compact"/>
              <w:jc w:val="left"/>
            </w:pPr>
            <w:r>
              <w:t xml:space="preserve">Lebensmittel / Nahrungsergänzung</w:t>
            </w:r>
          </w:p>
        </w:tc>
        <w:tc>
          <w:tcPr/>
          <w:p>
            <w:pPr>
              <w:pStyle w:val="Compact"/>
              <w:jc w:val="left"/>
            </w:pPr>
            <w:r>
              <w:t xml:space="preserve">101 / 237 (Anm.)</w:t>
            </w:r>
          </w:p>
        </w:tc>
      </w:tr>
      <w:tr>
        <w:tc>
          <w:tcPr/>
          <w:p>
            <w:pPr>
              <w:pStyle w:val="Compact"/>
              <w:jc w:val="left"/>
            </w:pPr>
            <w:r>
              <w:t xml:space="preserve">Lactotripeptide</w:t>
            </w:r>
          </w:p>
        </w:tc>
        <w:tc>
          <w:tcPr/>
          <w:p>
            <w:pPr>
              <w:pStyle w:val="Compact"/>
              <w:jc w:val="left"/>
            </w:pPr>
            <w:r>
              <w:t xml:space="preserve">B</w:t>
            </w:r>
          </w:p>
        </w:tc>
        <w:tc>
          <w:tcPr/>
          <w:p>
            <w:pPr>
              <w:pStyle w:val="Compact"/>
              <w:jc w:val="left"/>
            </w:pPr>
            <w:r>
              <w:t xml:space="preserve">Lebensmittel / Nahrungsergänzung</w:t>
            </w:r>
          </w:p>
        </w:tc>
        <w:tc>
          <w:tcPr/>
          <w:p>
            <w:pPr>
              <w:pStyle w:val="Compact"/>
              <w:jc w:val="left"/>
            </w:pPr>
            <w:r>
              <w:t xml:space="preserve">21 / 0</w:t>
            </w:r>
          </w:p>
        </w:tc>
      </w:tr>
      <w:tr>
        <w:tc>
          <w:tcPr/>
          <w:p>
            <w:pPr>
              <w:pStyle w:val="Compact"/>
              <w:jc w:val="left"/>
            </w:pPr>
            <w:r>
              <w:t xml:space="preserve">Carnosin</w:t>
            </w:r>
          </w:p>
        </w:tc>
        <w:tc>
          <w:tcPr/>
          <w:p>
            <w:pPr>
              <w:pStyle w:val="Compact"/>
              <w:jc w:val="left"/>
            </w:pPr>
            <w:r>
              <w:t xml:space="preserve">B</w:t>
            </w:r>
          </w:p>
        </w:tc>
        <w:tc>
          <w:tcPr/>
          <w:p>
            <w:pPr>
              <w:pStyle w:val="Compact"/>
              <w:jc w:val="left"/>
            </w:pPr>
            <w:r>
              <w:t xml:space="preserve">Nahrungsergänzung / Nahrungsergänzung</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Kosmetik / Kosmetik</w:t>
            </w:r>
          </w:p>
        </w:tc>
        <w:tc>
          <w:tcPr/>
          <w:p>
            <w:pPr>
              <w:pStyle w:val="Compact"/>
              <w:jc w:val="left"/>
            </w:pPr>
            <w:r>
              <w:t xml:space="preserve">1 / 24 (Anm.)</w:t>
            </w:r>
          </w:p>
        </w:tc>
      </w:tr>
      <w:tr>
        <w:tc>
          <w:tcPr/>
          <w:p>
            <w:pPr>
              <w:pStyle w:val="Compact"/>
              <w:jc w:val="left"/>
            </w:pPr>
            <w:r>
              <w:t xml:space="preserve">Palmitoyl-Pentapeptid-4</w:t>
            </w:r>
          </w:p>
        </w:tc>
        <w:tc>
          <w:tcPr/>
          <w:p>
            <w:pPr>
              <w:pStyle w:val="Compact"/>
              <w:jc w:val="left"/>
            </w:pPr>
            <w:r>
              <w:t xml:space="preserve">B (schwach)</w:t>
            </w:r>
          </w:p>
        </w:tc>
        <w:tc>
          <w:tcPr/>
          <w:p>
            <w:pPr>
              <w:pStyle w:val="Compact"/>
              <w:jc w:val="left"/>
            </w:pPr>
            <w:r>
              <w:t xml:space="preserve">Kosmetik / Kosmetik</w:t>
            </w:r>
          </w:p>
        </w:tc>
        <w:tc>
          <w:tcPr/>
          <w:p>
            <w:pPr>
              <w:pStyle w:val="Compact"/>
              <w:jc w:val="left"/>
            </w:pPr>
            <w:r>
              <w:t xml:space="preserve">1 / 0</w:t>
            </w:r>
          </w:p>
        </w:tc>
      </w:tr>
      <w:tr>
        <w:tc>
          <w:tcPr/>
          <w:p>
            <w:pPr>
              <w:pStyle w:val="Compact"/>
              <w:jc w:val="left"/>
            </w:pPr>
            <w:r>
              <w:t xml:space="preserve">Acetyl-Hexapeptid-8</w:t>
            </w:r>
          </w:p>
        </w:tc>
        <w:tc>
          <w:tcPr/>
          <w:p>
            <w:pPr>
              <w:pStyle w:val="Compact"/>
              <w:jc w:val="left"/>
            </w:pPr>
            <w:r>
              <w:t xml:space="preserve">B (schwach)</w:t>
            </w:r>
          </w:p>
        </w:tc>
        <w:tc>
          <w:tcPr/>
          <w:p>
            <w:pPr>
              <w:pStyle w:val="Compact"/>
              <w:jc w:val="left"/>
            </w:pPr>
            <w:r>
              <w:t xml:space="preserve">Kosmetik / Kosmetik</w:t>
            </w:r>
          </w:p>
        </w:tc>
        <w:tc>
          <w:tcPr/>
          <w:p>
            <w:pPr>
              <w:pStyle w:val="Compact"/>
              <w:jc w:val="left"/>
            </w:pPr>
            <w:r>
              <w:t xml:space="preserve">3 / 7</w:t>
            </w:r>
          </w:p>
        </w:tc>
      </w:tr>
    </w:tbl>
    <w:p>
      <w:pPr>
        <w:pStyle w:val="BodyText"/>
      </w:pPr>
      <w:r>
        <w:t xml:space="preserve">Anmerkungen zur Tabelle: Bei</w:t>
      </w:r>
      <w:r>
        <w:t xml:space="preserve"> </w:t>
      </w:r>
      <w:r>
        <w:rPr>
          <w:bCs/>
          <w:b/>
        </w:rPr>
        <w:t xml:space="preserve">Kollagenpeptiden</w:t>
      </w:r>
      <w:r>
        <w:t xml:space="preserve"> </w:t>
      </w:r>
      <w:r>
        <w:t xml:space="preserve">betrifft ein erheblicher Teil der Registertreffer andere Themen, etwa Kollagen-Implantate in der Zahnmedizin oder das Krebsmedikament Endostatin. Bei</w:t>
      </w:r>
      <w:r>
        <w:t xml:space="preserve"> </w:t>
      </w:r>
      <w:r>
        <w:rPr>
          <w:bCs/>
          <w:b/>
        </w:rPr>
        <w:t xml:space="preserve">GHK-Cu</w:t>
      </w:r>
      <w:r>
        <w:t xml:space="preserve"> </w:t>
      </w:r>
      <w:r>
        <w:t xml:space="preserve">betreffen fast alle Registertreffer andere Kupferverbindungen, zum Beispiel radioaktives Kupfer-64 für die Bildgebung; nur ein glaubwürdiger Eintrag untersucht tatsächlich GHK. Bei keinem Stoff dieser Gruppe ist ein gesundheitsbezogener Werbeslogan in der EU zugelassen; für Lactotripeptide hat die Europäische Behörde für Lebensmittelsicherheit (EFSA) die beantragte Blutdruck-Aussage abgelehnt.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Kernergebnis</w:t>
            </w:r>
          </w:p>
        </w:tc>
        <w:tc>
          <w:tcPr/>
          <w:p>
            <w:pPr>
              <w:pStyle w:val="Compact"/>
              <w:jc w:val="left"/>
            </w:pPr>
            <w:r>
              <w:t xml:space="preserve">Hauptrisiko</w:t>
            </w:r>
          </w:p>
        </w:tc>
      </w:tr>
      <w:tr>
        <w:tc>
          <w:tcPr/>
          <w:p>
            <w:pPr>
              <w:pStyle w:val="Compact"/>
              <w:jc w:val="left"/>
            </w:pPr>
            <w:r>
              <w:t xml:space="preserve">Kollagenpeptide</w:t>
            </w:r>
          </w:p>
        </w:tc>
        <w:tc>
          <w:tcPr/>
          <w:p>
            <w:pPr>
              <w:pStyle w:val="Compact"/>
              <w:jc w:val="left"/>
            </w:pPr>
            <w:r>
              <w:t xml:space="preserve">Arthrose: nur kleine Effekte (PMID 38218227); Hautnutzen nicht in unabhängigen Studien (PMID 40324552)</w:t>
            </w:r>
          </w:p>
        </w:tc>
        <w:tc>
          <w:tcPr/>
          <w:p>
            <w:pPr>
              <w:pStyle w:val="Compact"/>
              <w:jc w:val="left"/>
            </w:pPr>
            <w:r>
              <w:t xml:space="preserve">Ersatz wirksamer Maßnahmen; Oxalat bei Nierensteinneigung</w:t>
            </w:r>
          </w:p>
        </w:tc>
      </w:tr>
      <w:tr>
        <w:tc>
          <w:tcPr/>
          <w:p>
            <w:pPr>
              <w:pStyle w:val="Compact"/>
              <w:jc w:val="left"/>
            </w:pPr>
            <w:r>
              <w:t xml:space="preserve">Lactotripeptide</w:t>
            </w:r>
          </w:p>
        </w:tc>
        <w:tc>
          <w:tcPr/>
          <w:p>
            <w:pPr>
              <w:pStyle w:val="Compact"/>
              <w:jc w:val="left"/>
            </w:pPr>
            <w:r>
              <w:t xml:space="preserve">Meta-Analyse, 30 RCTs: systolisch −2,95 mmHg, mit Publikationsverzerrung (PMID 25608938)</w:t>
            </w:r>
          </w:p>
        </w:tc>
        <w:tc>
          <w:tcPr/>
          <w:p>
            <w:pPr>
              <w:pStyle w:val="Compact"/>
              <w:jc w:val="left"/>
            </w:pPr>
            <w:r>
              <w:t xml:space="preserve">Ersatz einer wirksamen Blutdruckbehandlung</w:t>
            </w:r>
          </w:p>
        </w:tc>
      </w:tr>
      <w:tr>
        <w:tc>
          <w:tcPr/>
          <w:p>
            <w:pPr>
              <w:pStyle w:val="Compact"/>
              <w:jc w:val="left"/>
            </w:pPr>
            <w:r>
              <w:t xml:space="preserve">Carnosin</w:t>
            </w:r>
          </w:p>
        </w:tc>
        <w:tc>
          <w:tcPr/>
          <w:p>
            <w:pPr>
              <w:pStyle w:val="Compact"/>
              <w:jc w:val="left"/>
            </w:pPr>
            <w:r>
              <w:t xml:space="preserve">Meta-Analyse, 8 RCTs: etwas niedrigere Zucker- und HbA1c-Werte (PMID 40999397)</w:t>
            </w:r>
          </w:p>
        </w:tc>
        <w:tc>
          <w:tcPr/>
          <w:p>
            <w:pPr>
              <w:pStyle w:val="Compact"/>
              <w:jc w:val="left"/>
            </w:pPr>
            <w:r>
              <w:t xml:space="preserve">keine relevanten; Langzeitdaten fehlen</w:t>
            </w:r>
          </w:p>
        </w:tc>
      </w:tr>
      <w:tr>
        <w:tc>
          <w:tcPr/>
          <w:p>
            <w:pPr>
              <w:pStyle w:val="Compact"/>
              <w:jc w:val="left"/>
            </w:pPr>
            <w:r>
              <w:t xml:space="preserve">GHK-Cu</w:t>
            </w:r>
          </w:p>
        </w:tc>
        <w:tc>
          <w:tcPr/>
          <w:p>
            <w:pPr>
              <w:pStyle w:val="Compact"/>
              <w:jc w:val="left"/>
            </w:pPr>
            <w:r>
              <w:t xml:space="preserve">Fußgeschwüre: Wundfläche median −98,5 % vs. −60,8 % (PMID 17147644)</w:t>
            </w:r>
          </w:p>
        </w:tc>
        <w:tc>
          <w:tcPr/>
          <w:p>
            <w:pPr>
              <w:pStyle w:val="Compact"/>
              <w:jc w:val="left"/>
            </w:pPr>
            <w:r>
              <w:t xml:space="preserve">Injektionen von Graumarkt-Ware ungeprüft</w:t>
            </w:r>
          </w:p>
        </w:tc>
      </w:tr>
      <w:tr>
        <w:tc>
          <w:tcPr/>
          <w:p>
            <w:pPr>
              <w:pStyle w:val="Compact"/>
              <w:jc w:val="left"/>
            </w:pPr>
            <w:r>
              <w:t xml:space="preserve">Palmitoyl-Pentapeptid-4</w:t>
            </w:r>
          </w:p>
        </w:tc>
        <w:tc>
          <w:tcPr/>
          <w:p>
            <w:pPr>
              <w:pStyle w:val="Compact"/>
              <w:jc w:val="left"/>
            </w:pPr>
            <w:r>
              <w:t xml:space="preserve">93 Frauen, Halbseitenstudie: weniger Falten nach 12 Wochen (PMID 18492182)</w:t>
            </w:r>
          </w:p>
        </w:tc>
        <w:tc>
          <w:tcPr/>
          <w:p>
            <w:pPr>
              <w:pStyle w:val="Compact"/>
              <w:jc w:val="left"/>
            </w:pPr>
            <w:r>
              <w:t xml:space="preserve">selten Hautreizung</w:t>
            </w:r>
          </w:p>
        </w:tc>
      </w:tr>
      <w:tr>
        <w:tc>
          <w:tcPr/>
          <w:p>
            <w:pPr>
              <w:pStyle w:val="Compact"/>
              <w:jc w:val="left"/>
            </w:pPr>
            <w:r>
              <w:t xml:space="preserve">Acetyl-Hexapeptid-8</w:t>
            </w:r>
          </w:p>
        </w:tc>
        <w:tc>
          <w:tcPr/>
          <w:p>
            <w:pPr>
              <w:pStyle w:val="Compact"/>
              <w:jc w:val="left"/>
            </w:pPr>
            <w:r>
              <w:t xml:space="preserve">19 Frauen, Halbseitenstudie: kein Unterschied nach 4 Wochen (PMID 38024099)</w:t>
            </w:r>
          </w:p>
        </w:tc>
        <w:tc>
          <w:tcPr/>
          <w:p>
            <w:pPr>
              <w:pStyle w:val="Compact"/>
              <w:jc w:val="left"/>
            </w:pPr>
            <w:r>
              <w:t xml:space="preserve">Injektionen nicht zugelassen, Infektions-Fallbericht</w:t>
            </w:r>
          </w:p>
        </w:tc>
      </w:tr>
    </w:tbl>
    <w:bookmarkEnd w:id="940"/>
    <w:bookmarkStart w:id="944" w:name="Xe22c8775aecd4678dba705cd67e3f4b9e465887"/>
    <w:p>
      <w:pPr>
        <w:pStyle w:val="Heading3"/>
      </w:pPr>
      <w:r>
        <w:t xml:space="preserve">Auswertung: Wie gut sind Peptide insgesamt untersucht?</w:t>
      </w:r>
    </w:p>
    <w:bookmarkStart w:id="941" w:name="verteilung-der-evidenzstufen"/>
    <w:p>
      <w:pPr>
        <w:pStyle w:val="Heading4"/>
      </w:pPr>
      <w:r>
        <w:t xml:space="preserve">Verteilung der Evidenzstufen</w:t>
      </w:r>
    </w:p>
    <w:p>
      <w:pPr>
        <w:pStyle w:val="FirstParagraph"/>
      </w:pPr>
      <w:r>
        <w:t xml:space="preserve">Die 58 Einträge dieses Buches – 56 Peptide und zwei Vergleichssubstanzen, die keine Peptide sind (Orforglipron und Ibutamoren) – verteilen sich wie folgt: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Evidenzstufe</w:t>
            </w:r>
          </w:p>
        </w:tc>
        <w:tc>
          <w:tcPr/>
          <w:p>
            <w:pPr>
              <w:pStyle w:val="Compact"/>
              <w:jc w:val="left"/>
            </w:pPr>
            <w:r>
              <w:t xml:space="preserve">Anzahl</w:t>
            </w:r>
          </w:p>
        </w:tc>
        <w:tc>
          <w:tcPr/>
          <w:p>
            <w:pPr>
              <w:pStyle w:val="Compact"/>
              <w:jc w:val="left"/>
            </w:pPr>
            <w:r>
              <w:t xml:space="preserve">Anteil</w:t>
            </w:r>
          </w:p>
        </w:tc>
        <w:tc>
          <w:tcPr/>
          <w:p>
            <w:pPr>
              <w:pStyle w:val="Compact"/>
              <w:jc w:val="left"/>
            </w:pPr>
            <w:r>
              <w:t xml:space="preserve">Beispiele</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24 %</w:t>
            </w:r>
          </w:p>
        </w:tc>
        <w:tc>
          <w:tcPr/>
          <w:p>
            <w:pPr>
              <w:pStyle w:val="Compact"/>
              <w:jc w:val="left"/>
            </w:pPr>
            <w:r>
              <w:t xml:space="preserve">Semaglutid, Tirzepatid, Tesamorelin, Afamelanotid</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43 %</w:t>
            </w:r>
          </w:p>
        </w:tc>
        <w:tc>
          <w:tcPr/>
          <w:p>
            <w:pPr>
              <w:pStyle w:val="Compact"/>
              <w:jc w:val="left"/>
            </w:pPr>
            <w:r>
              <w:t xml:space="preserve">Retatrutid, Thymosin Alpha-1, Glutathion, Kollagenpeptide</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21 %</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12 %</w:t>
            </w:r>
          </w:p>
        </w:tc>
        <w:tc>
          <w:tcPr/>
          <w:p>
            <w:pPr>
              <w:pStyle w:val="Compact"/>
              <w:jc w:val="left"/>
            </w:pPr>
            <w:r>
              <w:t xml:space="preserve">AOD-9604, KPV, Dihexa, MOTS-c, IGF-1 LR3</w:t>
            </w:r>
          </w:p>
        </w:tc>
      </w:tr>
    </w:tbl>
    <w:p>
      <w:pPr>
        <w:pStyle w:val="BodyText"/>
      </w:pPr>
      <w:r>
        <w:t xml:space="preserve">Anmerkung: TB-500 ist in der Zählung mit der Stufe B für Thymosin Beta-4 erfasst; für das Fragment TB-500 allein gilt Stufe D.</w:t>
      </w:r>
    </w:p>
    <w:p>
      <w:pPr>
        <w:pStyle w:val="BodyText"/>
      </w:pPr>
      <w:r>
        <w:t xml:space="preserve">Drei Muster:</w:t>
      </w:r>
    </w:p>
    <w:p>
      <w:pPr>
        <w:numPr>
          <w:ilvl w:val="0"/>
          <w:numId w:val="1322"/>
        </w:numPr>
        <w:pStyle w:val="Compact"/>
      </w:pPr>
      <w:r>
        <w:rPr>
          <w:bCs/>
          <w:b/>
        </w:rPr>
        <w:t xml:space="preserve">Stufe A erreichen fast nur Wirkstoffe, die ein reguläres Zulassungsprogramm eines Arzneimittelherstellers durchlaufen haben.</w:t>
      </w:r>
      <w:r>
        <w:t xml:space="preserve"> </w:t>
      </w:r>
      <w:r>
        <w:t xml:space="preserve">Neun der 14 Einträge mit Stufe A stammen aus Gruppe A (Stoffwechsel und Gewicht). Die übrigen sind Tesamorelin, Macimorelin und Mecasermin aus der Wachstumshormon-Achse sowie Bremelanotid und Afamelanotid. Keiner der in Gruppe B (Heilung) und Gruppe D (Gehirn und Langlebigkeit) beschriebenen Stoffe erreicht Stufe A.</w:t>
      </w:r>
    </w:p>
    <w:p>
      <w:pPr>
        <w:numPr>
          <w:ilvl w:val="0"/>
          <w:numId w:val="1322"/>
        </w:numPr>
        <w:pStyle w:val="Compact"/>
      </w:pPr>
      <w:r>
        <w:rPr>
          <w:bCs/>
          <w:b/>
        </w:rPr>
        <w:t xml:space="preserve">Stufe B heißt oft „geprüft und nicht bestätigt“.</w:t>
      </w:r>
      <w:r>
        <w:t xml:space="preserve"> </w:t>
      </w:r>
      <w:r>
        <w:t xml:space="preserve">Bei vielen der 25 Einträge verfehlte die größte randomisierte Studie ihr Hauptziel: Thymosin Alpha-1 bei Sepsis, LL-37 bei Beingeschwüren, Ipamorelin nach Darmoperationen, Elamipretid bei Myopathie, Oxytocin bei Autismus, Glutathion gegen Nervenschäden durch Chemotherapie.</w:t>
      </w:r>
    </w:p>
    <w:p>
      <w:pPr>
        <w:numPr>
          <w:ilvl w:val="0"/>
          <w:numId w:val="1322"/>
        </w:numPr>
        <w:pStyle w:val="Compact"/>
      </w:pPr>
      <w:r>
        <w:rPr>
          <w:bCs/>
          <w:b/>
        </w:rPr>
        <w:t xml:space="preserve">Ein Drittel hat Stufe C oder D.</w:t>
      </w:r>
      <w:r>
        <w:t xml:space="preserve"> </w:t>
      </w:r>
      <w:r>
        <w:t xml:space="preserve">19 von 58 Einträgen beruhen auf kleinen, unkontrollierten Humanstudien oder nur auf Tier- und Laborversuchen – darunter viele der im Internet am stärksten beworbenen Stoffe.</w:t>
      </w:r>
    </w:p>
    <w:p>
      <w:pPr>
        <w:pStyle w:val="FirstParagraph"/>
      </w:pPr>
      <w:r>
        <w:t xml:space="preserve">Nach Gruppen betrachtet:</w:t>
      </w:r>
    </w:p>
    <w:p>
      <w:pPr>
        <w:numPr>
          <w:ilvl w:val="0"/>
          <w:numId w:val="1323"/>
        </w:numPr>
        <w:pStyle w:val="Compact"/>
      </w:pPr>
      <w:r>
        <w:t xml:space="preserve">A. Stoffwechsel und Gewicht (15 Einträge): 9 × A, 5 × B, 1 × D</w:t>
      </w:r>
    </w:p>
    <w:p>
      <w:pPr>
        <w:numPr>
          <w:ilvl w:val="0"/>
          <w:numId w:val="1323"/>
        </w:numPr>
        <w:pStyle w:val="Compact"/>
      </w:pPr>
      <w:r>
        <w:t xml:space="preserve">B. Heilung und Immunsystem (8): 5 × B, 2 × C, 1 × D</w:t>
      </w:r>
    </w:p>
    <w:p>
      <w:pPr>
        <w:numPr>
          <w:ilvl w:val="0"/>
          <w:numId w:val="1323"/>
        </w:numPr>
        <w:pStyle w:val="Compact"/>
      </w:pPr>
      <w:r>
        <w:t xml:space="preserve">C. Wachstumshormon-Achse (11): 3 × A, 4 × B, 3 × C, 1 × D</w:t>
      </w:r>
    </w:p>
    <w:p>
      <w:pPr>
        <w:numPr>
          <w:ilvl w:val="0"/>
          <w:numId w:val="1323"/>
        </w:numPr>
        <w:pStyle w:val="Compact"/>
      </w:pPr>
      <w:r>
        <w:t xml:space="preserve">D. Gehirn und Langlebigkeit (12): 3 × B, 5 × C, 4 × D</w:t>
      </w:r>
    </w:p>
    <w:p>
      <w:pPr>
        <w:numPr>
          <w:ilvl w:val="0"/>
          <w:numId w:val="1323"/>
        </w:numPr>
        <w:pStyle w:val="Compact"/>
      </w:pPr>
      <w:r>
        <w:t xml:space="preserve">E. Hormone und Pigmentierung (6): 2 × A, 3 × B, 1 × C</w:t>
      </w:r>
    </w:p>
    <w:p>
      <w:pPr>
        <w:numPr>
          <w:ilvl w:val="0"/>
          <w:numId w:val="1323"/>
        </w:numPr>
        <w:pStyle w:val="Compact"/>
      </w:pPr>
      <w:r>
        <w:t xml:space="preserve">F. Kollagen und Kosmetik (6): 5 × B, 1 × C</w:t>
      </w:r>
    </w:p>
    <w:p>
      <w:pPr>
        <w:pStyle w:val="FirstParagraph"/>
      </w:pPr>
      <w:r>
        <w:t xml:space="preserve">Gruppe D hat die schwächste Datenlage: Vier ihrer zwölf Peptide wurden nie in einer veröffentlichten Studie am Menschen verabreicht, fünf weitere nur in kleinen, meist nicht randomisierten Studien.</w:t>
      </w:r>
    </w:p>
    <w:bookmarkEnd w:id="941"/>
    <w:bookmarkStart w:id="942" w:name="zugelassen-oder-nicht"/>
    <w:p>
      <w:pPr>
        <w:pStyle w:val="Heading4"/>
      </w:pPr>
      <w:r>
        <w:t xml:space="preserve">Zugelassen oder nicht?</w:t>
      </w:r>
    </w:p>
    <w:p>
      <w:pPr>
        <w:pStyle w:val="FirstParagraph"/>
      </w:pPr>
      <w:r>
        <w:t xml:space="preserve">„Zugelassen“ bedeutet in diesem Buch: Eine Arzneimittelbehörde hat Wirksamkeit, Unbedenklichkeit und Herstellungsqualität für eine bestimmte Anwendung geprüft. Die 58 Einträge lassen sich danach in fünf Gruppen einteilen (Stand Oktober 2026, bitte aktuell prüfen):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Anzahl</w:t>
            </w:r>
          </w:p>
        </w:tc>
        <w:tc>
          <w:tcPr/>
          <w:p>
            <w:pPr>
              <w:pStyle w:val="Compact"/>
              <w:jc w:val="left"/>
            </w:pPr>
            <w:r>
              <w:t xml:space="preserve">Peptide</w:t>
            </w:r>
          </w:p>
        </w:tc>
      </w:tr>
      <w:tr>
        <w:tc>
          <w:tcPr/>
          <w:p>
            <w:pPr>
              <w:pStyle w:val="Compact"/>
              <w:jc w:val="left"/>
            </w:pPr>
            <w:r>
              <w:t xml:space="preserve">Als Arzneimittel in der EU und/oder den USA zugelassen</w:t>
            </w:r>
          </w:p>
        </w:tc>
        <w:tc>
          <w:tcPr/>
          <w:p>
            <w:pPr>
              <w:pStyle w:val="Compact"/>
              <w:jc w:val="left"/>
            </w:pPr>
            <w:r>
              <w:t xml:space="preserve">14</w:t>
            </w:r>
          </w:p>
        </w:tc>
        <w:tc>
          <w:tcPr/>
          <w:p>
            <w:pPr>
              <w:pStyle w:val="Compact"/>
              <w:jc w:val="left"/>
            </w:pPr>
            <w:r>
              <w:t xml:space="preserve">Exenatid, Liraglutid, Dulaglutid, Semaglutid, Tirzepatid, Setmelanotid, Pramlintid, Tesamorelin, Macimorelin, Mecasermin, Afamelanotid, Bremelanotid, SS-31, Oxytocin (nur Geburtshilfe)</w:t>
            </w:r>
          </w:p>
        </w:tc>
      </w:tr>
      <w:tr>
        <w:tc>
          <w:tcPr/>
          <w:p>
            <w:pPr>
              <w:pStyle w:val="Compact"/>
              <w:jc w:val="left"/>
            </w:pPr>
            <w:r>
              <w:t xml:space="preserve">Nur national in einzelnen EU-Staaten oder nur außerhalb von EU und USA zugelassen</w:t>
            </w:r>
          </w:p>
        </w:tc>
        <w:tc>
          <w:tcPr/>
          <w:p>
            <w:pPr>
              <w:pStyle w:val="Compact"/>
              <w:jc w:val="left"/>
            </w:pPr>
            <w:r>
              <w:t xml:space="preserve">8</w:t>
            </w:r>
          </w:p>
        </w:tc>
        <w:tc>
          <w:tcPr/>
          <w:p>
            <w:pPr>
              <w:pStyle w:val="Compact"/>
              <w:jc w:val="left"/>
            </w:pPr>
            <w:r>
              <w:t xml:space="preserve">Cerebrolysin, Gonadorelin, Mazdutid (China), Thymosin Alpha-1 (u. a. China), Thymalin, Semax, Selank (Russland), GHRP-2 (Japan, Diagnostikum)</w:t>
            </w:r>
          </w:p>
        </w:tc>
      </w:tr>
      <w:tr>
        <w:tc>
          <w:tcPr/>
          <w:p>
            <w:pPr>
              <w:pStyle w:val="Compact"/>
              <w:jc w:val="left"/>
            </w:pPr>
            <w:r>
              <w:t xml:space="preserve">Früher in den USA zugelassen, heute nicht mehr im Handel</w:t>
            </w:r>
          </w:p>
        </w:tc>
        <w:tc>
          <w:tcPr/>
          <w:p>
            <w:pPr>
              <w:pStyle w:val="Compact"/>
              <w:jc w:val="left"/>
            </w:pPr>
            <w:r>
              <w:t xml:space="preserve">1</w:t>
            </w:r>
          </w:p>
        </w:tc>
        <w:tc>
          <w:tcPr/>
          <w:p>
            <w:pPr>
              <w:pStyle w:val="Compact"/>
              <w:jc w:val="left"/>
            </w:pPr>
            <w:r>
              <w:t xml:space="preserve">Sermorelin</w:t>
            </w:r>
          </w:p>
        </w:tc>
      </w:tr>
      <w:tr>
        <w:tc>
          <w:tcPr/>
          <w:p>
            <w:pPr>
              <w:pStyle w:val="Compact"/>
              <w:jc w:val="left"/>
            </w:pPr>
            <w:r>
              <w:t xml:space="preserve">Als Lebensmittel, Nahrungsergänzung oder Kosmetik erlaubt, ohne Arzneimittelzulassung</w:t>
            </w:r>
          </w:p>
        </w:tc>
        <w:tc>
          <w:tcPr/>
          <w:p>
            <w:pPr>
              <w:pStyle w:val="Compact"/>
              <w:jc w:val="left"/>
            </w:pPr>
            <w:r>
              <w:t xml:space="preserve">7</w:t>
            </w:r>
          </w:p>
        </w:tc>
        <w:tc>
          <w:tcPr/>
          <w:p>
            <w:pPr>
              <w:pStyle w:val="Compact"/>
              <w:jc w:val="left"/>
            </w:pPr>
            <w:r>
              <w:t xml:space="preserve">Kollagenpeptide, Lactotripeptide, Carnosin, Glutathion, GHK-Cu, Palmitoyl-Pentapeptid-4, Acetyl-Hexapeptid-8</w:t>
            </w:r>
          </w:p>
        </w:tc>
      </w:tr>
      <w:tr>
        <w:tc>
          <w:tcPr/>
          <w:p>
            <w:pPr>
              <w:pStyle w:val="Compact"/>
              <w:jc w:val="left"/>
            </w:pPr>
            <w:r>
              <w:t xml:space="preserve">Nirgends zugelassen</w:t>
            </w:r>
          </w:p>
        </w:tc>
        <w:tc>
          <w:tcPr/>
          <w:p>
            <w:pPr>
              <w:pStyle w:val="Compact"/>
              <w:jc w:val="left"/>
            </w:pPr>
            <w:r>
              <w:t xml:space="preserve">28</w:t>
            </w:r>
          </w:p>
        </w:tc>
        <w:tc>
          <w:tcPr/>
          <w:p>
            <w:pPr>
              <w:pStyle w:val="Compact"/>
              <w:jc w:val="left"/>
            </w:pPr>
            <w:r>
              <w:t xml:space="preserve">darunter Retatrutid, CagriSema, BPC-157, TB-500, CJC-1295, Ipamorelin, Epitalon, MOTS-c, Melanotan II, IGF-1 LR3, Orforglipron (Antrag gestellt) und Ibutamoren</w:t>
            </w:r>
          </w:p>
        </w:tc>
      </w:tr>
    </w:tbl>
    <w:p>
      <w:pPr>
        <w:pStyle w:val="BodyText"/>
      </w:pPr>
      <w:r>
        <w:t xml:space="preserve">Nur rund ein Viertel der Einträge ist in der EU oder den USA als Arzneimittel zugelassen – meist für eng umrissene Anwendungen: Afamelanotid für eine seltene Lichtunverträglichkeit (erythropoetische Protoporphyrie, EPP), nicht zum Bräunen; Elamipretid nur für das Barth-Syndrom; Oxytocin nur für die Geburtshilfe, nicht als Nasenspray; Tesamorelin nur für eine Fettverteilungsstörung bei HIV. Bei der Aussage „zugelassen“ lohnt daher immer die Frage: wo, wofür und in welcher Form?</w:t>
      </w:r>
    </w:p>
    <w:p>
      <w:pPr>
        <w:pStyle w:val="BodyText"/>
      </w:pPr>
      <w:r>
        <w:t xml:space="preserve">Die 28 nirgends zugelassenen Einträge zerfallen in zwei Gruppen. Retatrutid, Survodutid, CagriSema, Amycretin, Maridebart Cafraglutid und Orforglipron sind in der regulären Entwicklung mit Phase-3-Studien; eine Zulassung ist für sie wahrscheinlich, aber nicht gesichert (Einschätzung). Stoffe wie BPC-157, TB-500, CJC-1295, AOD-9604, Epitalon, MOTS-c, Dihexa oder IGF-1 LR3 haben dagegen keinen erkennbaren Zulassungsweg und werden überwiegend als „Research Peptides“ verkauft. Graumarkt-Angebote der ersten Gruppe sind mit den geprüften Arzneimitteln nicht gleichzusetzen.</w:t>
      </w:r>
    </w:p>
    <w:bookmarkEnd w:id="942"/>
    <w:bookmarkStart w:id="943" w:name="dopingstatus-nach-wada"/>
    <w:p>
      <w:pPr>
        <w:pStyle w:val="Heading4"/>
      </w:pPr>
      <w:r>
        <w:t xml:space="preserve">Dopingstatus nach WADA</w:t>
      </w:r>
    </w:p>
    <w:p>
      <w:pPr>
        <w:pStyle w:val="FirstParagraph"/>
      </w:pPr>
      <w:r>
        <w:t xml:space="preserve">Für den Wettkampfsport zählt die Verbotsliste der Welt-Anti-Doping-Agentur (WADA). Die wichtigsten Klassen:</w:t>
      </w:r>
    </w:p>
    <w:p>
      <w:pPr>
        <w:numPr>
          <w:ilvl w:val="0"/>
          <w:numId w:val="1324"/>
        </w:numPr>
        <w:pStyle w:val="Compact"/>
      </w:pPr>
      <w:r>
        <w:rPr>
          <w:bCs/>
          <w:b/>
        </w:rPr>
        <w:t xml:space="preserve">S0</w:t>
      </w:r>
      <w:r>
        <w:t xml:space="preserve"> </w:t>
      </w:r>
      <w:r>
        <w:t xml:space="preserve">– nicht zugelassene Substanzen: alle Stoffe ohne Arzneimittelzulassung für Menschen, auch ohne namentliche Nennung.</w:t>
      </w:r>
    </w:p>
    <w:p>
      <w:pPr>
        <w:numPr>
          <w:ilvl w:val="0"/>
          <w:numId w:val="1324"/>
        </w:numPr>
        <w:pStyle w:val="Compact"/>
      </w:pPr>
      <w:r>
        <w:rPr>
          <w:bCs/>
          <w:b/>
        </w:rPr>
        <w:t xml:space="preserve">S2</w:t>
      </w:r>
      <w:r>
        <w:t xml:space="preserve"> </w:t>
      </w:r>
      <w:r>
        <w:t xml:space="preserve">– Peptidhormone, Wachstumsfaktoren und verwandte Substanzen, darunter Wachstumshormon, seine Freisetzungsfaktoren und Fragmente, IGF-1, Thymosin Beta-4 und bei Männern Freisetzungsfaktoren für das luteinisierende Hormon (LH).</w:t>
      </w:r>
    </w:p>
    <w:p>
      <w:pPr>
        <w:numPr>
          <w:ilvl w:val="0"/>
          <w:numId w:val="1324"/>
        </w:numPr>
        <w:pStyle w:val="Compact"/>
      </w:pPr>
      <w:r>
        <w:rPr>
          <w:bCs/>
          <w:b/>
        </w:rPr>
        <w:t xml:space="preserve">S4</w:t>
      </w:r>
      <w:r>
        <w:t xml:space="preserve"> </w:t>
      </w:r>
      <w:r>
        <w:t xml:space="preserve">– Hormon- und Stoffwechsel-Modulatoren, darunter Aktivatoren des Enzyms AMPK.</w:t>
      </w:r>
    </w:p>
    <w:p>
      <w:pPr>
        <w:numPr>
          <w:ilvl w:val="0"/>
          <w:numId w:val="1324"/>
        </w:numPr>
        <w:pStyle w:val="Compact"/>
      </w:pPr>
      <w:r>
        <w:rPr>
          <w:bCs/>
          <w:b/>
        </w:rPr>
        <w:t xml:space="preserve">M2</w:t>
      </w:r>
      <w:r>
        <w:t xml:space="preserve"> </w:t>
      </w:r>
      <w:r>
        <w:t xml:space="preserve">– verbotene Methoden, darunter Infusionen über 100 ml innerhalb von zwölf Stunden.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WADA-Status (Stand 2026, bitte aktuell prüfen)</w:t>
            </w:r>
          </w:p>
        </w:tc>
      </w:tr>
      <w:tr>
        <w:tc>
          <w:tcPr/>
          <w:p>
            <w:pPr>
              <w:pStyle w:val="Compact"/>
              <w:jc w:val="left"/>
            </w:pPr>
            <w:r>
              <w:t xml:space="preserve">AOD-9604, TB-500 / Thymosin Beta-4, ARA-290, Sermorelin, Tesamorelin, CJC-1295, Ipamorelin, GHRP-2, GHRP-6, Hexarelin, Macimorelin, Mecasermin, IGF-1 LR3, Ibutamoren</w:t>
            </w:r>
          </w:p>
        </w:tc>
        <w:tc>
          <w:tcPr/>
          <w:p>
            <w:pPr>
              <w:pStyle w:val="Compact"/>
              <w:jc w:val="left"/>
            </w:pPr>
            <w:r>
              <w:t xml:space="preserve">verboten, S2</w:t>
            </w:r>
          </w:p>
        </w:tc>
      </w:tr>
      <w:tr>
        <w:tc>
          <w:tcPr/>
          <w:p>
            <w:pPr>
              <w:pStyle w:val="Compact"/>
              <w:jc w:val="left"/>
            </w:pPr>
            <w:r>
              <w:t xml:space="preserve">Gonadorelin; Kisspeptin</w:t>
            </w:r>
          </w:p>
        </w:tc>
        <w:tc>
          <w:tcPr/>
          <w:p>
            <w:pPr>
              <w:pStyle w:val="Compact"/>
              <w:jc w:val="left"/>
            </w:pPr>
            <w:r>
              <w:t xml:space="preserve">für Männer verboten, S2; Kisspeptin als nicht zugelassener Wirkstoff zusätzlich S0</w:t>
            </w:r>
          </w:p>
        </w:tc>
      </w:tr>
      <w:tr>
        <w:tc>
          <w:tcPr/>
          <w:p>
            <w:pPr>
              <w:pStyle w:val="Compact"/>
              <w:jc w:val="left"/>
            </w:pPr>
            <w:r>
              <w:t xml:space="preserve">MOTS-c</w:t>
            </w:r>
          </w:p>
        </w:tc>
        <w:tc>
          <w:tcPr/>
          <w:p>
            <w:pPr>
              <w:pStyle w:val="Compact"/>
              <w:jc w:val="left"/>
            </w:pPr>
            <w:r>
              <w:t xml:space="preserve">verboten, S4 (AMPK-Aktivator)</w:t>
            </w:r>
          </w:p>
        </w:tc>
      </w:tr>
      <w:tr>
        <w:tc>
          <w:tcPr/>
          <w:p>
            <w:pPr>
              <w:pStyle w:val="Compact"/>
              <w:jc w:val="left"/>
            </w:pPr>
            <w:r>
              <w:t xml:space="preserve">Retatrutid, Survodutid, CagriSema, Amycretin, Maridebart Cafraglutid, BPC-157, Melanotan II</w:t>
            </w:r>
          </w:p>
        </w:tc>
        <w:tc>
          <w:tcPr/>
          <w:p>
            <w:pPr>
              <w:pStyle w:val="Compact"/>
              <w:jc w:val="left"/>
            </w:pPr>
            <w:r>
              <w:t xml:space="preserve">verboten, S0</w:t>
            </w:r>
          </w:p>
        </w:tc>
      </w:tr>
      <w:tr>
        <w:tc>
          <w:tcPr/>
          <w:p>
            <w:pPr>
              <w:pStyle w:val="Compact"/>
              <w:jc w:val="left"/>
            </w:pPr>
            <w:r>
              <w:t xml:space="preserve">KPV, LL-37, Dihexa, Epitalon, Pinealon, Humanin, FOXO4-DRI, Orforglipron (bis zur Zulassung)</w:t>
            </w:r>
          </w:p>
        </w:tc>
        <w:tc>
          <w:tcPr/>
          <w:p>
            <w:pPr>
              <w:pStyle w:val="Compact"/>
              <w:jc w:val="left"/>
            </w:pPr>
            <w:r>
              <w:t xml:space="preserve">nicht namentlich genannt, als nicht zugelassene Substanz vermutlich S0</w:t>
            </w:r>
          </w:p>
        </w:tc>
      </w:tr>
      <w:tr>
        <w:tc>
          <w:tcPr/>
          <w:p>
            <w:pPr>
              <w:pStyle w:val="Compact"/>
              <w:jc w:val="left"/>
            </w:pPr>
            <w:r>
              <w:t xml:space="preserve">Mazdutid</w:t>
            </w:r>
          </w:p>
        </w:tc>
        <w:tc>
          <w:tcPr/>
          <w:p>
            <w:pPr>
              <w:pStyle w:val="Compact"/>
              <w:jc w:val="left"/>
            </w:pPr>
            <w:r>
              <w:t xml:space="preserve">nicht namentlich genannt; S0-Status wegen der Zulassung in China unklar</w:t>
            </w:r>
          </w:p>
        </w:tc>
      </w:tr>
      <w:tr>
        <w:tc>
          <w:tcPr/>
          <w:p>
            <w:pPr>
              <w:pStyle w:val="Compact"/>
              <w:jc w:val="left"/>
            </w:pPr>
            <w:r>
              <w:t xml:space="preserve">GHK-Cu</w:t>
            </w:r>
          </w:p>
        </w:tc>
        <w:tc>
          <w:tcPr/>
          <w:p>
            <w:pPr>
              <w:pStyle w:val="Compact"/>
              <w:jc w:val="left"/>
            </w:pPr>
            <w:r>
              <w:t xml:space="preserve">als Kosmetik nicht verboten; Injektion möglicherweise S0</w:t>
            </w:r>
          </w:p>
        </w:tc>
      </w:tr>
      <w:tr>
        <w:tc>
          <w:tcPr/>
          <w:p>
            <w:pPr>
              <w:pStyle w:val="Compact"/>
              <w:jc w:val="left"/>
            </w:pPr>
            <w:r>
              <w:t xml:space="preserve">Glutathion</w:t>
            </w:r>
          </w:p>
        </w:tc>
        <w:tc>
          <w:tcPr/>
          <w:p>
            <w:pPr>
              <w:pStyle w:val="Compact"/>
              <w:jc w:val="left"/>
            </w:pPr>
            <w:r>
              <w:t xml:space="preserve">Substanz nicht verboten; Infusionen über 100 ml in zwölf Stunden verboten (M2)</w:t>
            </w:r>
          </w:p>
        </w:tc>
      </w:tr>
      <w:tr>
        <w:tc>
          <w:tcPr/>
          <w:p>
            <w:pPr>
              <w:pStyle w:val="Compact"/>
              <w:jc w:val="left"/>
            </w:pPr>
            <w:r>
              <w:t xml:space="preserve">Semax, Selank, DSIP, SS-31, Bremelanotid</w:t>
            </w:r>
          </w:p>
        </w:tc>
        <w:tc>
          <w:tcPr/>
          <w:p>
            <w:pPr>
              <w:pStyle w:val="Compact"/>
              <w:jc w:val="left"/>
            </w:pPr>
            <w:r>
              <w:t xml:space="preserve">nicht namentlich genannt; Einordnung nicht eindeutig</w:t>
            </w:r>
          </w:p>
        </w:tc>
      </w:tr>
      <w:tr>
        <w:tc>
          <w:tcPr/>
          <w:p>
            <w:pPr>
              <w:pStyle w:val="Compact"/>
              <w:jc w:val="left"/>
            </w:pPr>
            <w:r>
              <w:t xml:space="preserve">Exenatid, Liraglutid, Dulaglutid, Semaglutid, Tirzepatid, Pramlintid, Setmelanotid, Thymosin Alpha-1, Larazotid, Thymalin, Cerebrolysin, Afamelanotid, Oxytocin, Kollagenpeptide, Lactotripeptide, Carnosin, Palmitoyl-Pentapeptid-4, Acetyl-Hexapeptid-8</w:t>
            </w:r>
          </w:p>
        </w:tc>
        <w:tc>
          <w:tcPr/>
          <w:p>
            <w:pPr>
              <w:pStyle w:val="Compact"/>
              <w:jc w:val="left"/>
            </w:pPr>
            <w:r>
              <w:t xml:space="preserve">nicht gelistet</w:t>
            </w:r>
          </w:p>
        </w:tc>
      </w:tr>
    </w:tbl>
    <w:p>
      <w:pPr>
        <w:pStyle w:val="BodyText"/>
      </w:pPr>
      <w:r>
        <w:t xml:space="preserve">Die Liste ist nicht abschließend: S0 erfasst jeden Stoff ohne Zulassung, S2 auch „verwandte Substanzen“ mit ähnlicher Wirkung. Nicht namentlich genannt heißt also nicht erlaubt. Gerade die im Kraftsport beliebten Stoffe der Wachstumshormon-Achse sowie BPC-157 und TB-500 sind ausdrücklich verboten. Im Zweifel geben die nationalen Anti-Doping-Agenturen Auskunft.</w:t>
      </w:r>
    </w:p>
    <w:bookmarkEnd w:id="943"/>
    <w:bookmarkEnd w:id="944"/>
    <w:bookmarkStart w:id="945" w:name="was-die-übersicht-zeigt"/>
    <w:p>
      <w:pPr>
        <w:pStyle w:val="Heading3"/>
      </w:pPr>
      <w:r>
        <w:t xml:space="preserve">Was die Übersicht zeigt</w:t>
      </w:r>
    </w:p>
    <w:p>
      <w:pPr>
        <w:pStyle w:val="FirstParagraph"/>
      </w:pPr>
      <w:r>
        <w:t xml:space="preserve">Die gut untersuchten Peptide sind fast ausschließlich zugelassene Arzneimittel aus großen, vorab registrierten Studien. Die meisten im Internet populären Peptide haben Evidenzstufe C oder D, sind nirgends zugelassen und im Sport häufig verboten. Dazwischen liegen Stoffe, die ernsthaft am Menschen untersucht wurden, deren Studien den erhofften Nutzen aber nicht bestätigt haben. Die beiden folgenden Kapitel vertiefen das für die GLP-1-Medikamente und für die populärsten Internet-Peptide.</w:t>
      </w:r>
    </w:p>
    <w:bookmarkEnd w:id="945"/>
    <w:bookmarkEnd w:id="946"/>
    <w:bookmarkStart w:id="957" w:name="glp-1-co.-direkt-verglichen"/>
    <w:p>
      <w:pPr>
        <w:pStyle w:val="Heading2"/>
      </w:pPr>
      <w:r>
        <w:t xml:space="preserve">GLP-1 &amp; Co. direkt verglichen</w:t>
      </w:r>
    </w:p>
    <w:p>
      <w:pPr>
        <w:pStyle w:val="FirstParagraph"/>
      </w:pPr>
      <w:r>
        <w:t xml:space="preserve">Keine andere Gruppe in diesem Buch ist so gut untersucht wie die Inkretin-Medikamente: GLP-1-Rezeptor-Agonisten wie Liraglutid und Semaglutid, der Zweifach-Agonist Tirzepatid und eine Reihe von Nachfolgern, die zusätzlich am Glukagon- oder Amylin-Rezeptor ansetzen. Für sie liegen Zulassungsprogramme mit Zehntausenden Teilnehmenden, große Herz-Kreislauf-Studien und zunehmend auch direkte Vergleichsstudien vor. Dieses Kapitel stellt die wichtigsten Ergebnisse nebeneinander. Alle Zahlen stammen aus den Kapiteln von Teil II, Gruppe A, und den dort zitierten Studien; dort finden Sie auch die Einschränkungen jeder einzelnen Studie.</w:t>
      </w:r>
    </w:p>
    <w:p>
      <w:pPr>
        <w:pStyle w:val="BodyText"/>
      </w:pPr>
      <w:r>
        <w:t xml:space="preserve">Das Kapitel ist keine Entscheidungshilfe für eine Behandlung. Welches Medikament im Einzelfall in Frage kommt, hängt von Begleiterkrankungen, Verträglichkeit, Zulassung, Kostenübernahme und Verfügbarkeit ab und gehört in ärztliche Hände. Maßgeblich sind die jeweilige Fachinformation und die ärztliche Begleitung.</w:t>
      </w:r>
    </w:p>
    <w:bookmarkStart w:id="947" w:name="X1d25371101b59b281e29ffb2c095eea03091de0"/>
    <w:p>
      <w:pPr>
        <w:pStyle w:val="Heading3"/>
      </w:pPr>
      <w:r>
        <w:t xml:space="preserve">Vorweg: Warum man Studien nicht einfach nebeneinanderlegen darf</w:t>
      </w:r>
    </w:p>
    <w:p>
      <w:pPr>
        <w:pStyle w:val="FirstParagraph"/>
      </w:pPr>
      <w:r>
        <w:t xml:space="preserve">Die Tabellen dieses Kapitels laden dazu ein, Zahlen aus verschiedenen Studien zu vergleichen – etwa 20,9 % Gewichtsverlust unter Tirzepatid gegen 14,9 % unter Semaglutid. Solche Quervergleiche („cross-trial comparisons“) sind nur eingeschränkt zulässig. Die Gründe:</w:t>
      </w:r>
    </w:p>
    <w:p>
      <w:pPr>
        <w:numPr>
          <w:ilvl w:val="0"/>
          <w:numId w:val="1325"/>
        </w:numPr>
        <w:pStyle w:val="Compact"/>
      </w:pPr>
      <w:r>
        <w:rPr>
          <w:bCs/>
          <w:b/>
        </w:rPr>
        <w:t xml:space="preserve">Unterschiedliche Teilnehmende:</w:t>
      </w:r>
      <w:r>
        <w:t xml:space="preserve"> </w:t>
      </w:r>
      <w:r>
        <w:t xml:space="preserve">Menschen mit Typ-2-Diabetes verlieren unter allen Inkretin-Medikamenten deutlich weniger Gewicht als Menschen ohne Diabetes. Studien in China oder Japan schließen Menschen mit niedrigerem Ausgangsgewicht ein als Studien in Nordamerika und Europa.</w:t>
      </w:r>
    </w:p>
    <w:p>
      <w:pPr>
        <w:numPr>
          <w:ilvl w:val="0"/>
          <w:numId w:val="1325"/>
        </w:numPr>
        <w:pStyle w:val="Compact"/>
      </w:pPr>
      <w:r>
        <w:rPr>
          <w:bCs/>
          <w:b/>
        </w:rPr>
        <w:t xml:space="preserve">Unterschiedliche Dauer:</w:t>
      </w:r>
      <w:r>
        <w:t xml:space="preserve"> </w:t>
      </w:r>
      <w:r>
        <w:t xml:space="preserve">Ein Gewichtsverlust nach 48 Wochen ist nicht dasselbe wie nach 80 Wochen; viele Kurven flachen erst spät ab.</w:t>
      </w:r>
    </w:p>
    <w:p>
      <w:pPr>
        <w:numPr>
          <w:ilvl w:val="0"/>
          <w:numId w:val="1325"/>
        </w:numPr>
        <w:pStyle w:val="Compact"/>
      </w:pPr>
      <w:r>
        <w:rPr>
          <w:bCs/>
          <w:b/>
        </w:rPr>
        <w:t xml:space="preserve">Unterschiedliche Auswertung:</w:t>
      </w:r>
      <w:r>
        <w:t xml:space="preserve"> </w:t>
      </w:r>
      <w:r>
        <w:t xml:space="preserve">Manche Studien werten alle Teilnehmenden aus, auch wenn sie die Behandlung abgebrochen haben (der sogenannte Behandlungsstrategie- oder „Treatment-Policy“-Schätzer). Andere rechnen so, als hätten alle das Medikament wie geplant genommen. Die zweite Variante liefert günstigere Zahlen.</w:t>
      </w:r>
    </w:p>
    <w:p>
      <w:pPr>
        <w:numPr>
          <w:ilvl w:val="0"/>
          <w:numId w:val="1325"/>
        </w:numPr>
        <w:pStyle w:val="Compact"/>
      </w:pPr>
      <w:r>
        <w:rPr>
          <w:bCs/>
          <w:b/>
        </w:rPr>
        <w:t xml:space="preserve">Unterschiedliche Placebogruppen:</w:t>
      </w:r>
      <w:r>
        <w:t xml:space="preserve"> </w:t>
      </w:r>
      <w:r>
        <w:t xml:space="preserve">Unter Placebo verloren die Teilnehmenden je nach Studie zwischen nichts und über 5 % ihres Gewichts, je nachdem, wie intensiv die begleitende Ernährungs- und Bewegungsberatung war.</w:t>
      </w:r>
    </w:p>
    <w:p>
      <w:pPr>
        <w:numPr>
          <w:ilvl w:val="0"/>
          <w:numId w:val="1325"/>
        </w:numPr>
        <w:pStyle w:val="Compact"/>
      </w:pPr>
      <w:r>
        <w:rPr>
          <w:bCs/>
          <w:b/>
        </w:rPr>
        <w:t xml:space="preserve">Unterschiedliche Phasen:</w:t>
      </w:r>
      <w:r>
        <w:t xml:space="preserve"> </w:t>
      </w:r>
      <w:r>
        <w:t xml:space="preserve">Ergebnisse aus kleinen Phase-2-Studien fallen oft günstiger aus als die späteren großen Phase-3-Studien.</w:t>
      </w:r>
    </w:p>
    <w:p>
      <w:pPr>
        <w:pStyle w:val="FirstParagraph"/>
      </w:pPr>
      <w:r>
        <w:t xml:space="preserve">Belastbar ist ein Vergleich nur, wenn zwei Wirkstoffe in</w:t>
      </w:r>
      <w:r>
        <w:t xml:space="preserve"> </w:t>
      </w:r>
      <w:r>
        <w:rPr>
          <w:iCs/>
          <w:i/>
        </w:rPr>
        <w:t xml:space="preserve">derselben</w:t>
      </w:r>
      <w:r>
        <w:t xml:space="preserve"> </w:t>
      </w:r>
      <w:r>
        <w:t xml:space="preserve">Studie zufällig zugeteilt wurden. Solche Direktvergleiche sind am Ende dieses Kapitels zusammengestellt. Die übrigen Tabellen zeigen Größenordnungen, keine Rangliste.</w:t>
      </w:r>
    </w:p>
    <w:bookmarkEnd w:id="947"/>
    <w:bookmarkStart w:id="950" w:name="gewichtsverlust-in-den-zulassungsstudien"/>
    <w:p>
      <w:pPr>
        <w:pStyle w:val="Heading3"/>
      </w:pPr>
      <w:r>
        <w:t xml:space="preserve">Gewichtsverlust in den Zulassungsstudien</w:t>
      </w:r>
    </w:p>
    <w:p>
      <w:pPr>
        <w:pStyle w:val="FirstParagraph"/>
      </w:pPr>
      <w:r>
        <w:t xml:space="preserve">Die folgende Tabelle zeigt die jeweils wichtigste placebokontrollierte Studie bei Erwachsenen mit Übergewicht oder Adipositas</w:t>
      </w:r>
      <w:r>
        <w:t xml:space="preserve"> </w:t>
      </w:r>
      <w:r>
        <w:rPr>
          <w:iCs/>
          <w:i/>
        </w:rPr>
        <w:t xml:space="preserve">ohne</w:t>
      </w:r>
      <w:r>
        <w:t xml:space="preserve"> </w:t>
      </w:r>
      <w:r>
        <w:t xml:space="preserve">Diabetes. Angegeben ist die mittlere Veränderung des Körpergewichts in der höchsten geprüften Dosis gegenüber Placebo. Exenatid, Dulaglutid und Pramlintid sind nicht zur Gewichtsreduktion zugelassen und fehlen deshalb.</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Studie</w:t>
            </w:r>
          </w:p>
        </w:tc>
        <w:tc>
          <w:tcPr/>
          <w:p>
            <w:pPr>
              <w:pStyle w:val="Compact"/>
              <w:jc w:val="left"/>
            </w:pPr>
            <w:r>
              <w:t xml:space="preserve">Dauer</w:t>
            </w:r>
          </w:p>
        </w:tc>
        <w:tc>
          <w:tcPr/>
          <w:p>
            <w:pPr>
              <w:pStyle w:val="Compact"/>
              <w:jc w:val="left"/>
            </w:pPr>
            <w:r>
              <w:t xml:space="preserve">Gewichtsverlust vs. Placebo</w:t>
            </w:r>
          </w:p>
        </w:tc>
      </w:tr>
      <w:tr>
        <w:tc>
          <w:tcPr/>
          <w:p>
            <w:pPr>
              <w:pStyle w:val="Compact"/>
              <w:jc w:val="left"/>
            </w:pPr>
            <w:r>
              <w:t xml:space="preserve">Liraglutid 3,0 mg</w:t>
            </w:r>
          </w:p>
        </w:tc>
        <w:tc>
          <w:tcPr/>
          <w:p>
            <w:pPr>
              <w:pStyle w:val="Compact"/>
              <w:jc w:val="left"/>
            </w:pPr>
            <w:r>
              <w:t xml:space="preserve">SCALE (Pi-Sunyer 2015), PMID 26132939</w:t>
            </w:r>
          </w:p>
        </w:tc>
        <w:tc>
          <w:tcPr/>
          <w:p>
            <w:pPr>
              <w:pStyle w:val="Compact"/>
              <w:jc w:val="left"/>
            </w:pPr>
            <w:r>
              <w:t xml:space="preserve">56 Wochen</w:t>
            </w:r>
          </w:p>
        </w:tc>
        <w:tc>
          <w:tcPr/>
          <w:p>
            <w:pPr>
              <w:pStyle w:val="Compact"/>
              <w:jc w:val="left"/>
            </w:pPr>
            <w:r>
              <w:t xml:space="preserve">−8,4 kg vs. −2,8 kg</w:t>
            </w:r>
          </w:p>
        </w:tc>
      </w:tr>
      <w:tr>
        <w:tc>
          <w:tcPr/>
          <w:p>
            <w:pPr>
              <w:pStyle w:val="Compact"/>
              <w:jc w:val="left"/>
            </w:pPr>
            <w:r>
              <w:t xml:space="preserve">Semaglutid 2,4 mg</w:t>
            </w:r>
          </w:p>
        </w:tc>
        <w:tc>
          <w:tcPr/>
          <w:p>
            <w:pPr>
              <w:pStyle w:val="Compact"/>
              <w:jc w:val="left"/>
            </w:pPr>
            <w:r>
              <w:t xml:space="preserve">STEP 1 (Wilding 2021), PMID 33567185</w:t>
            </w:r>
          </w:p>
        </w:tc>
        <w:tc>
          <w:tcPr/>
          <w:p>
            <w:pPr>
              <w:pStyle w:val="Compact"/>
              <w:jc w:val="left"/>
            </w:pPr>
            <w:r>
              <w:t xml:space="preserve">68 Wochen</w:t>
            </w:r>
          </w:p>
        </w:tc>
        <w:tc>
          <w:tcPr/>
          <w:p>
            <w:pPr>
              <w:pStyle w:val="Compact"/>
              <w:jc w:val="left"/>
            </w:pPr>
            <w:r>
              <w:t xml:space="preserve">−14,9 % vs. −2,4 %</w:t>
            </w:r>
          </w:p>
        </w:tc>
      </w:tr>
      <w:tr>
        <w:tc>
          <w:tcPr/>
          <w:p>
            <w:pPr>
              <w:pStyle w:val="Compact"/>
              <w:jc w:val="left"/>
            </w:pPr>
            <w:r>
              <w:t xml:space="preserve">Semaglutid 7,2 mg</w:t>
            </w:r>
          </w:p>
        </w:tc>
        <w:tc>
          <w:tcPr/>
          <w:p>
            <w:pPr>
              <w:pStyle w:val="Compact"/>
              <w:jc w:val="left"/>
            </w:pPr>
            <w:r>
              <w:t xml:space="preserve">STEP UP (Wharton 2025), PMID 40961952</w:t>
            </w:r>
          </w:p>
        </w:tc>
        <w:tc>
          <w:tcPr/>
          <w:p>
            <w:pPr>
              <w:pStyle w:val="Compact"/>
              <w:jc w:val="left"/>
            </w:pPr>
            <w:r>
              <w:t xml:space="preserve">72 Wochen</w:t>
            </w:r>
          </w:p>
        </w:tc>
        <w:tc>
          <w:tcPr/>
          <w:p>
            <w:pPr>
              <w:pStyle w:val="Compact"/>
              <w:jc w:val="left"/>
            </w:pPr>
            <w:r>
              <w:t xml:space="preserve">−18,7 % vs. −3,9 %</w:t>
            </w:r>
          </w:p>
        </w:tc>
      </w:tr>
      <w:tr>
        <w:tc>
          <w:tcPr/>
          <w:p>
            <w:pPr>
              <w:pStyle w:val="Compact"/>
              <w:jc w:val="left"/>
            </w:pPr>
            <w:r>
              <w:t xml:space="preserve">Semaglutid-Tablette 50 mg</w:t>
            </w:r>
          </w:p>
        </w:tc>
        <w:tc>
          <w:tcPr/>
          <w:p>
            <w:pPr>
              <w:pStyle w:val="Compact"/>
              <w:jc w:val="left"/>
            </w:pPr>
            <w:r>
              <w:t xml:space="preserve">OASIS 1 (Knop 2023), PMID 37385278</w:t>
            </w:r>
          </w:p>
        </w:tc>
        <w:tc>
          <w:tcPr/>
          <w:p>
            <w:pPr>
              <w:pStyle w:val="Compact"/>
              <w:jc w:val="left"/>
            </w:pPr>
            <w:r>
              <w:t xml:space="preserve">68 Wochen</w:t>
            </w:r>
          </w:p>
        </w:tc>
        <w:tc>
          <w:tcPr/>
          <w:p>
            <w:pPr>
              <w:pStyle w:val="Compact"/>
              <w:jc w:val="left"/>
            </w:pPr>
            <w:r>
              <w:t xml:space="preserve">−15,1 % vs. −2,4 %</w:t>
            </w:r>
          </w:p>
        </w:tc>
      </w:tr>
      <w:tr>
        <w:tc>
          <w:tcPr/>
          <w:p>
            <w:pPr>
              <w:pStyle w:val="Compact"/>
              <w:jc w:val="left"/>
            </w:pPr>
            <w:r>
              <w:t xml:space="preserve">Tirzepatid 15 mg</w:t>
            </w:r>
          </w:p>
        </w:tc>
        <w:tc>
          <w:tcPr/>
          <w:p>
            <w:pPr>
              <w:pStyle w:val="Compact"/>
              <w:jc w:val="left"/>
            </w:pPr>
            <w:r>
              <w:t xml:space="preserve">SURMOUNT-1 (Jastreboff 2022), PMID 35658024</w:t>
            </w:r>
          </w:p>
        </w:tc>
        <w:tc>
          <w:tcPr/>
          <w:p>
            <w:pPr>
              <w:pStyle w:val="Compact"/>
              <w:jc w:val="left"/>
            </w:pPr>
            <w:r>
              <w:t xml:space="preserve">72 Wochen</w:t>
            </w:r>
          </w:p>
        </w:tc>
        <w:tc>
          <w:tcPr/>
          <w:p>
            <w:pPr>
              <w:pStyle w:val="Compact"/>
              <w:jc w:val="left"/>
            </w:pPr>
            <w:r>
              <w:t xml:space="preserve">−20,9 % vs. −3,1 %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Wochen</w:t>
            </w:r>
          </w:p>
        </w:tc>
        <w:tc>
          <w:tcPr/>
          <w:p>
            <w:pPr>
              <w:pStyle w:val="Compact"/>
              <w:jc w:val="left"/>
            </w:pPr>
            <w:r>
              <w:t xml:space="preserve">−20,4 % vs. −3,0 %</w:t>
            </w:r>
          </w:p>
        </w:tc>
      </w:tr>
      <w:tr>
        <w:tc>
          <w:tcPr/>
          <w:p>
            <w:pPr>
              <w:pStyle w:val="Compact"/>
              <w:jc w:val="left"/>
            </w:pPr>
            <w:r>
              <w:t xml:space="preserve">Retatrutid 12 mg</w:t>
            </w:r>
          </w:p>
        </w:tc>
        <w:tc>
          <w:tcPr/>
          <w:p>
            <w:pPr>
              <w:pStyle w:val="Compact"/>
              <w:jc w:val="left"/>
            </w:pPr>
            <w:r>
              <w:t xml:space="preserve">TRIUMPH-1 (Jastreboff 2026), PMID 42814954</w:t>
            </w:r>
          </w:p>
        </w:tc>
        <w:tc>
          <w:tcPr/>
          <w:p>
            <w:pPr>
              <w:pStyle w:val="Compact"/>
              <w:jc w:val="left"/>
            </w:pPr>
            <w:r>
              <w:t xml:space="preserve">80 Wochen</w:t>
            </w:r>
          </w:p>
        </w:tc>
        <w:tc>
          <w:tcPr/>
          <w:p>
            <w:pPr>
              <w:pStyle w:val="Compact"/>
              <w:jc w:val="left"/>
            </w:pPr>
            <w:r>
              <w:t xml:space="preserve">−25,0 % vs. −3,9 %</w:t>
            </w:r>
          </w:p>
        </w:tc>
      </w:tr>
      <w:tr>
        <w:tc>
          <w:tcPr/>
          <w:p>
            <w:pPr>
              <w:pStyle w:val="Compact"/>
              <w:jc w:val="left"/>
            </w:pPr>
            <w:r>
              <w:t xml:space="preserve">Survodutid 6,0 mg</w:t>
            </w:r>
          </w:p>
        </w:tc>
        <w:tc>
          <w:tcPr/>
          <w:p>
            <w:pPr>
              <w:pStyle w:val="Compact"/>
              <w:jc w:val="left"/>
            </w:pPr>
            <w:r>
              <w:t xml:space="preserve">SYNCHRONIZE-1 (le Roux 2026), PMID 42253238</w:t>
            </w:r>
          </w:p>
        </w:tc>
        <w:tc>
          <w:tcPr/>
          <w:p>
            <w:pPr>
              <w:pStyle w:val="Compact"/>
              <w:jc w:val="left"/>
            </w:pPr>
            <w:r>
              <w:t xml:space="preserve">76 Wochen</w:t>
            </w:r>
          </w:p>
        </w:tc>
        <w:tc>
          <w:tcPr/>
          <w:p>
            <w:pPr>
              <w:pStyle w:val="Compact"/>
              <w:jc w:val="left"/>
            </w:pPr>
            <w:r>
              <w:t xml:space="preserve">−13,0 % vs. −5,4 %</w:t>
            </w:r>
          </w:p>
        </w:tc>
      </w:tr>
      <w:tr>
        <w:tc>
          <w:tcPr/>
          <w:p>
            <w:pPr>
              <w:pStyle w:val="Compact"/>
              <w:jc w:val="left"/>
            </w:pPr>
            <w:r>
              <w:t xml:space="preserve">Mazdutid 6 mg</w:t>
            </w:r>
          </w:p>
        </w:tc>
        <w:tc>
          <w:tcPr/>
          <w:p>
            <w:pPr>
              <w:pStyle w:val="Compact"/>
              <w:jc w:val="left"/>
            </w:pPr>
            <w:r>
              <w:t xml:space="preserve">GLORY-1 (Ji 2025), PMID 40421736</w:t>
            </w:r>
          </w:p>
        </w:tc>
        <w:tc>
          <w:tcPr/>
          <w:p>
            <w:pPr>
              <w:pStyle w:val="Compact"/>
              <w:jc w:val="left"/>
            </w:pPr>
            <w:r>
              <w:t xml:space="preserve">48 Wochen</w:t>
            </w:r>
          </w:p>
        </w:tc>
        <w:tc>
          <w:tcPr/>
          <w:p>
            <w:pPr>
              <w:pStyle w:val="Compact"/>
              <w:jc w:val="left"/>
            </w:pPr>
            <w:r>
              <w:t xml:space="preserve">−14,0 % vs. +0,3 %</w:t>
            </w:r>
          </w:p>
        </w:tc>
      </w:tr>
      <w:tr>
        <w:tc>
          <w:tcPr/>
          <w:p>
            <w:pPr>
              <w:pStyle w:val="Compact"/>
              <w:jc w:val="left"/>
            </w:pPr>
            <w:r>
              <w:t xml:space="preserve">Maridebart Cafraglutid</w:t>
            </w:r>
          </w:p>
        </w:tc>
        <w:tc>
          <w:tcPr/>
          <w:p>
            <w:pPr>
              <w:pStyle w:val="Compact"/>
              <w:jc w:val="left"/>
            </w:pPr>
            <w:r>
              <w:t xml:space="preserve">Phase 2 (Jastreboff 2025), PMID 40549887</w:t>
            </w:r>
          </w:p>
        </w:tc>
        <w:tc>
          <w:tcPr/>
          <w:p>
            <w:pPr>
              <w:pStyle w:val="Compact"/>
              <w:jc w:val="left"/>
            </w:pPr>
            <w:r>
              <w:t xml:space="preserve">52 Wochen</w:t>
            </w:r>
          </w:p>
        </w:tc>
        <w:tc>
          <w:tcPr/>
          <w:p>
            <w:pPr>
              <w:pStyle w:val="Compact"/>
              <w:jc w:val="left"/>
            </w:pPr>
            <w:r>
              <w:t xml:space="preserve">−12,3 bis −16,2 % vs. −2,5 %</w:t>
            </w:r>
          </w:p>
        </w:tc>
      </w:tr>
      <w:tr>
        <w:tc>
          <w:tcPr/>
          <w:p>
            <w:pPr>
              <w:pStyle w:val="Compact"/>
              <w:jc w:val="left"/>
            </w:pPr>
            <w:r>
              <w:t xml:space="preserve">Amycretin (Spritze)</w:t>
            </w:r>
          </w:p>
        </w:tc>
        <w:tc>
          <w:tcPr/>
          <w:p>
            <w:pPr>
              <w:pStyle w:val="Compact"/>
              <w:jc w:val="left"/>
            </w:pPr>
            <w:r>
              <w:t xml:space="preserve">Phase 1b/2a (Dahl 2025), PMID 40550231</w:t>
            </w:r>
          </w:p>
        </w:tc>
        <w:tc>
          <w:tcPr/>
          <w:p>
            <w:pPr>
              <w:pStyle w:val="Compact"/>
              <w:jc w:val="left"/>
            </w:pPr>
            <w:r>
              <w:t xml:space="preserve">36 Wochen</w:t>
            </w:r>
          </w:p>
        </w:tc>
        <w:tc>
          <w:tcPr/>
          <w:p>
            <w:pPr>
              <w:pStyle w:val="Compact"/>
              <w:jc w:val="left"/>
            </w:pPr>
            <w:r>
              <w:t xml:space="preserve">bis −24,3 % vs. −1,1 %</w:t>
            </w:r>
          </w:p>
        </w:tc>
      </w:tr>
      <w:tr>
        <w:tc>
          <w:tcPr/>
          <w:p>
            <w:pPr>
              <w:pStyle w:val="Compact"/>
              <w:jc w:val="left"/>
            </w:pPr>
            <w:r>
              <w:t xml:space="preserve">Orforglipron 36 mg (Tablette, kein Peptid)</w:t>
            </w:r>
          </w:p>
        </w:tc>
        <w:tc>
          <w:tcPr/>
          <w:p>
            <w:pPr>
              <w:pStyle w:val="Compact"/>
              <w:jc w:val="left"/>
            </w:pPr>
            <w:r>
              <w:t xml:space="preserve">ATTAIN-1 (Wharton 2025), PMID 40960239</w:t>
            </w:r>
          </w:p>
        </w:tc>
        <w:tc>
          <w:tcPr/>
          <w:p>
            <w:pPr>
              <w:pStyle w:val="Compact"/>
              <w:jc w:val="left"/>
            </w:pPr>
            <w:r>
              <w:t xml:space="preserve">72 Wochen</w:t>
            </w:r>
          </w:p>
        </w:tc>
        <w:tc>
          <w:tcPr/>
          <w:p>
            <w:pPr>
              <w:pStyle w:val="Compact"/>
              <w:jc w:val="left"/>
            </w:pPr>
            <w:r>
              <w:t xml:space="preserve">−11,2 % vs. −2,1 %</w:t>
            </w:r>
          </w:p>
        </w:tc>
      </w:tr>
    </w:tbl>
    <w:p>
      <w:pPr>
        <w:pStyle w:val="BodyText"/>
      </w:pPr>
      <w:r>
        <w:t xml:space="preserve">Zur Einordnung der einzelnen Zeilen:</w:t>
      </w:r>
    </w:p>
    <w:p>
      <w:pPr>
        <w:numPr>
          <w:ilvl w:val="0"/>
          <w:numId w:val="1326"/>
        </w:numPr>
        <w:pStyle w:val="Compact"/>
      </w:pPr>
      <w:r>
        <w:rPr>
          <w:bCs/>
          <w:b/>
        </w:rPr>
        <w:t xml:space="preserve">Liraglutid</w:t>
      </w:r>
      <w:r>
        <w:t xml:space="preserve"> </w:t>
      </w:r>
      <w:r>
        <w:t xml:space="preserve">ist der einzige Wirkstoff, für den die Zulassungsstudie den Verlust in Kilogramm als Hauptergebnis angibt; bei einem Ausgangsgewicht von 106,2 kg entspricht das grob 8 %. In der direkten Vergleichsstudie STEP 8 waren es −6,4 % (siehe unten).</w:t>
      </w:r>
    </w:p>
    <w:p>
      <w:pPr>
        <w:numPr>
          <w:ilvl w:val="0"/>
          <w:numId w:val="1326"/>
        </w:numPr>
        <w:pStyle w:val="Compact"/>
      </w:pPr>
      <w:r>
        <w:rPr>
          <w:bCs/>
          <w:b/>
        </w:rPr>
        <w:t xml:space="preserve">Retatrutid, CagriSema, Survodutid, Maridebart Cafraglutid und Amycretin</w:t>
      </w:r>
      <w:r>
        <w:t xml:space="preserve"> </w:t>
      </w:r>
      <w:r>
        <w:t xml:space="preserve">sind nicht zugelassen (Stand Oktober 2026). Für Maridebart Cafraglutid und Amycretin liegen nur Phase-2-Daten vor; die Amycretin-Studie umfasste 125 Personen, und der Wert gilt für die höchste Dosis einer Dosisfindungsstudie.</w:t>
      </w:r>
    </w:p>
    <w:p>
      <w:pPr>
        <w:numPr>
          <w:ilvl w:val="0"/>
          <w:numId w:val="1326"/>
        </w:numPr>
        <w:pStyle w:val="Compact"/>
      </w:pPr>
      <w:r>
        <w:rPr>
          <w:bCs/>
          <w:b/>
        </w:rPr>
        <w:t xml:space="preserve">Mazdutid</w:t>
      </w:r>
      <w:r>
        <w:t xml:space="preserve"> </w:t>
      </w:r>
      <w:r>
        <w:t xml:space="preserve">ist nur in China zugelassen. GLORY-1 schloss nach chinesischen Kriterien Menschen ab einem BMI von 28 (oder 24 mit Begleiterkrankung) ein, das mittlere Ausgangsgewicht lag bei 87,2 kg. In GLORY-2 mit einer höheren Dosis waren es nach 60 Wochen −16,65 % gegenüber −1,50 % (Gao 2026, PMID 42251595).</w:t>
      </w:r>
    </w:p>
    <w:p>
      <w:pPr>
        <w:numPr>
          <w:ilvl w:val="0"/>
          <w:numId w:val="1326"/>
        </w:numPr>
        <w:pStyle w:val="Compact"/>
      </w:pPr>
      <w:r>
        <w:rPr>
          <w:bCs/>
          <w:b/>
        </w:rPr>
        <w:t xml:space="preserve">Survodutid</w:t>
      </w:r>
      <w:r>
        <w:t xml:space="preserve"> </w:t>
      </w:r>
      <w:r>
        <w:t xml:space="preserve">fällt durch die hohe Placeboabnahme von 5,4 % auf; die Hauptanalyse berücksichtigte ausdrücklich auch Abbrüche und verlängerte Aufdosierungen.</w:t>
      </w:r>
    </w:p>
    <w:p>
      <w:pPr>
        <w:pStyle w:val="FirstParagraph"/>
      </w:pPr>
      <w:r>
        <w:t xml:space="preserve">Auffällig ist eine Stufenfolge: Reine GLP-1-Agonisten erreichen im Mittel etwa 8 bis 15 %, die höhere Semaglutid-Dosis knapp 19 %, Kombinationen mit GIP oder Amylin rund 20 %, der Dreifach-Agonist Retatrutid 25 %. Diese Reihenfolge wird durch die Direktvergleiche SURMOUNT-5, STEP 8 und REDEFINE 5 gestützt; für Retatrutid steht der direkte Vergleich mit Tirzepatid noch aus (NCT06662383).</w:t>
      </w:r>
    </w:p>
    <w:bookmarkStart w:id="948" w:name="Xb1b6f8bc1e10884e49547a9c172587372959a43"/>
    <w:p>
      <w:pPr>
        <w:pStyle w:val="Heading4"/>
      </w:pPr>
      <w:r>
        <w:t xml:space="preserve">Mit Typ-2-Diabetes fällt der Gewichtsverlust geringer aus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Studie</w:t>
            </w:r>
          </w:p>
        </w:tc>
        <w:tc>
          <w:tcPr/>
          <w:p>
            <w:pPr>
              <w:pStyle w:val="Compact"/>
              <w:jc w:val="left"/>
            </w:pPr>
            <w:r>
              <w:t xml:space="preserve">Dauer</w:t>
            </w:r>
          </w:p>
        </w:tc>
        <w:tc>
          <w:tcPr/>
          <w:p>
            <w:pPr>
              <w:pStyle w:val="Compact"/>
              <w:jc w:val="left"/>
            </w:pPr>
            <w:r>
              <w:t xml:space="preserve">Gewichtsverlust vs. Placebo</w:t>
            </w:r>
          </w:p>
        </w:tc>
      </w:tr>
      <w:tr>
        <w:tc>
          <w:tcPr/>
          <w:p>
            <w:pPr>
              <w:pStyle w:val="Compact"/>
              <w:jc w:val="left"/>
            </w:pPr>
            <w:r>
              <w:t xml:space="preserve">Liraglutid 3,0 mg</w:t>
            </w:r>
          </w:p>
        </w:tc>
        <w:tc>
          <w:tcPr/>
          <w:p>
            <w:pPr>
              <w:pStyle w:val="Compact"/>
              <w:jc w:val="left"/>
            </w:pPr>
            <w:r>
              <w:t xml:space="preserve">SCALE Diabetes (Davies 2015), PMID 26284720</w:t>
            </w:r>
          </w:p>
        </w:tc>
        <w:tc>
          <w:tcPr/>
          <w:p>
            <w:pPr>
              <w:pStyle w:val="Compact"/>
              <w:jc w:val="left"/>
            </w:pPr>
            <w:r>
              <w:t xml:space="preserve">56 Wochen</w:t>
            </w:r>
          </w:p>
        </w:tc>
        <w:tc>
          <w:tcPr/>
          <w:p>
            <w:pPr>
              <w:pStyle w:val="Compact"/>
              <w:jc w:val="left"/>
            </w:pPr>
            <w:r>
              <w:t xml:space="preserve">−6,0 % vs. −2,0 %</w:t>
            </w:r>
          </w:p>
        </w:tc>
      </w:tr>
      <w:tr>
        <w:tc>
          <w:tcPr/>
          <w:p>
            <w:pPr>
              <w:pStyle w:val="Compact"/>
              <w:jc w:val="left"/>
            </w:pPr>
            <w:r>
              <w:t xml:space="preserve">Semaglutid 2,4 mg</w:t>
            </w:r>
          </w:p>
        </w:tc>
        <w:tc>
          <w:tcPr/>
          <w:p>
            <w:pPr>
              <w:pStyle w:val="Compact"/>
              <w:jc w:val="left"/>
            </w:pPr>
            <w:r>
              <w:t xml:space="preserve">STEP 2 (Davies 2021), PMID 33667417</w:t>
            </w:r>
          </w:p>
        </w:tc>
        <w:tc>
          <w:tcPr/>
          <w:p>
            <w:pPr>
              <w:pStyle w:val="Compact"/>
              <w:jc w:val="left"/>
            </w:pPr>
            <w:r>
              <w:t xml:space="preserve">68 Wochen</w:t>
            </w:r>
          </w:p>
        </w:tc>
        <w:tc>
          <w:tcPr/>
          <w:p>
            <w:pPr>
              <w:pStyle w:val="Compact"/>
              <w:jc w:val="left"/>
            </w:pPr>
            <w:r>
              <w:t xml:space="preserve">−9,6 % vs. −3,4 %</w:t>
            </w:r>
          </w:p>
        </w:tc>
      </w:tr>
      <w:tr>
        <w:tc>
          <w:tcPr/>
          <w:p>
            <w:pPr>
              <w:pStyle w:val="Compact"/>
              <w:jc w:val="left"/>
            </w:pPr>
            <w:r>
              <w:t xml:space="preserve">Tirzepatid 10/15 mg</w:t>
            </w:r>
          </w:p>
        </w:tc>
        <w:tc>
          <w:tcPr/>
          <w:p>
            <w:pPr>
              <w:pStyle w:val="Compact"/>
              <w:jc w:val="left"/>
            </w:pPr>
            <w:r>
              <w:t xml:space="preserve">SURMOUNT-2 (Garvey 2023), PMID 37385275</w:t>
            </w:r>
          </w:p>
        </w:tc>
        <w:tc>
          <w:tcPr/>
          <w:p>
            <w:pPr>
              <w:pStyle w:val="Compact"/>
              <w:jc w:val="left"/>
            </w:pPr>
            <w:r>
              <w:t xml:space="preserve">72 Wochen</w:t>
            </w:r>
          </w:p>
        </w:tc>
        <w:tc>
          <w:tcPr/>
          <w:p>
            <w:pPr>
              <w:pStyle w:val="Compact"/>
              <w:jc w:val="left"/>
            </w:pPr>
            <w:r>
              <w:t xml:space="preserve">−12,8 / −14,7 % vs. −3,2 %</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Wochen</w:t>
            </w:r>
          </w:p>
        </w:tc>
        <w:tc>
          <w:tcPr/>
          <w:p>
            <w:pPr>
              <w:pStyle w:val="Compact"/>
              <w:jc w:val="left"/>
            </w:pPr>
            <w:r>
              <w:t xml:space="preserve">−13,7 % vs. −3,4 %</w:t>
            </w:r>
          </w:p>
        </w:tc>
      </w:tr>
      <w:tr>
        <w:tc>
          <w:tcPr/>
          <w:p>
            <w:pPr>
              <w:pStyle w:val="Compact"/>
              <w:jc w:val="left"/>
            </w:pPr>
            <w:r>
              <w:t xml:space="preserve">Retatrutid 12 mg</w:t>
            </w:r>
          </w:p>
        </w:tc>
        <w:tc>
          <w:tcPr/>
          <w:p>
            <w:pPr>
              <w:pStyle w:val="Compact"/>
              <w:jc w:val="left"/>
            </w:pPr>
            <w:r>
              <w:t xml:space="preserve">TRIUMPH-2 (Bellido 2026), PMID 42810372</w:t>
            </w:r>
          </w:p>
        </w:tc>
        <w:tc>
          <w:tcPr/>
          <w:p>
            <w:pPr>
              <w:pStyle w:val="Compact"/>
              <w:jc w:val="left"/>
            </w:pPr>
            <w:r>
              <w:t xml:space="preserve">80 Wochen</w:t>
            </w:r>
          </w:p>
        </w:tc>
        <w:tc>
          <w:tcPr/>
          <w:p>
            <w:pPr>
              <w:pStyle w:val="Compact"/>
              <w:jc w:val="left"/>
            </w:pPr>
            <w:r>
              <w:t xml:space="preserve">−18,8 % vs. −5,1 %</w:t>
            </w:r>
          </w:p>
        </w:tc>
      </w:tr>
      <w:tr>
        <w:tc>
          <w:tcPr/>
          <w:p>
            <w:pPr>
              <w:pStyle w:val="Compact"/>
              <w:jc w:val="left"/>
            </w:pPr>
            <w:r>
              <w:t xml:space="preserve">Survodutid</w:t>
            </w:r>
          </w:p>
        </w:tc>
        <w:tc>
          <w:tcPr/>
          <w:p>
            <w:pPr>
              <w:pStyle w:val="Compact"/>
              <w:jc w:val="left"/>
            </w:pPr>
            <w:r>
              <w:t xml:space="preserve">SYNCHRONIZE-2 (Wharton 2026), PMID 42820639</w:t>
            </w:r>
          </w:p>
        </w:tc>
        <w:tc>
          <w:tcPr/>
          <w:p>
            <w:pPr>
              <w:pStyle w:val="Compact"/>
              <w:jc w:val="left"/>
            </w:pPr>
            <w:r>
              <w:t xml:space="preserve">76 Wochen</w:t>
            </w:r>
          </w:p>
        </w:tc>
        <w:tc>
          <w:tcPr/>
          <w:p>
            <w:pPr>
              <w:pStyle w:val="Compact"/>
              <w:jc w:val="left"/>
            </w:pPr>
            <w:r>
              <w:t xml:space="preserve">−8,2 / −9,8 % vs. −3,9 %</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Wochen</w:t>
            </w:r>
          </w:p>
        </w:tc>
        <w:tc>
          <w:tcPr/>
          <w:p>
            <w:pPr>
              <w:pStyle w:val="Compact"/>
              <w:jc w:val="left"/>
            </w:pPr>
            <w:r>
              <w:t xml:space="preserve">−5,1 bis −9,6 % vs. −2,5 %</w:t>
            </w:r>
          </w:p>
        </w:tc>
      </w:tr>
    </w:tbl>
    <w:p>
      <w:pPr>
        <w:pStyle w:val="BodyText"/>
      </w:pPr>
      <w:r>
        <w:t xml:space="preserve">Bei jedem Wirkstoff liegt der Wert mit Diabetes deutlich niedriger als ohne, meist um ein Viertel bis ein Drittel. Dieses Muster ist so konstant, dass ein Vergleich einer Diabetesstudie mit einer Adipositasstudie ohne Diabetes immer in die Irre führt.</w:t>
      </w:r>
    </w:p>
    <w:bookmarkEnd w:id="948"/>
    <w:bookmarkStart w:id="949" w:name="nach-dem-absetzen"/>
    <w:p>
      <w:pPr>
        <w:pStyle w:val="Heading4"/>
      </w:pPr>
      <w:r>
        <w:t xml:space="preserve">Nach dem Absetzen</w:t>
      </w:r>
    </w:p>
    <w:p>
      <w:pPr>
        <w:pStyle w:val="FirstParagraph"/>
      </w:pPr>
      <w:r>
        <w:t xml:space="preserve">Zwei Studien haben gezielt untersucht, was nach dem Absetzen geschieht. In STEP 4 erhielten alle Teilnehmenden zunächst 20 Wochen Semaglutid; danach nahm die Gruppe, die auf Placebo wechselte, in 48 Wochen um 6,9 % wieder zu, während die Gruppe mit Semaglutid weitere 7,9 % verlor (Rubino 2021, PMID 33755728). In SURMOUNT-4 nahm die Placebogruppe nach 36 Wochen Tirzepatid in den folgenden 52 Wochen um 14,0 % wieder zu (Aronne 2024, PMID 38078870). Für beide Wirkstoffe gilt: Die Wirkung hält nur an, solange behandelt wird. Für die neueren Wirkstoffe gibt es dazu noch keine veröffentlichten Daten.</w:t>
      </w:r>
    </w:p>
    <w:bookmarkEnd w:id="949"/>
    <w:bookmarkEnd w:id="950"/>
    <w:bookmarkStart w:id="951" w:name="blutzucker-hba1c"/>
    <w:p>
      <w:pPr>
        <w:pStyle w:val="Heading3"/>
      </w:pPr>
      <w:r>
        <w:t xml:space="preserve">Blutzucker: HbA1c</w:t>
      </w:r>
    </w:p>
    <w:p>
      <w:pPr>
        <w:pStyle w:val="FirstParagraph"/>
      </w:pPr>
      <w:r>
        <w:t xml:space="preserve">Der HbA1c-Wert („Langzeitzucker“) gibt an, welcher Anteil des roten Blutfarbstoffs mit Zucker beladen ist, und spiegelt den mittleren Blutzucker der letzten zwei bis drei Monate wider. Eine Senkung um einen Prozentpunkt gilt als klinisch bedeutsam. Wie stark der Wert sinkt, hängt stark vom Ausgangswert ab: Wer mit 9 % beginnt, kann mehr verlieren als jemand mit 7,5 %.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Studie</w:t>
            </w:r>
          </w:p>
        </w:tc>
        <w:tc>
          <w:tcPr/>
          <w:p>
            <w:pPr>
              <w:pStyle w:val="Compact"/>
              <w:jc w:val="left"/>
            </w:pPr>
            <w:r>
              <w:t xml:space="preserve">Dauer</w:t>
            </w:r>
          </w:p>
        </w:tc>
        <w:tc>
          <w:tcPr/>
          <w:p>
            <w:pPr>
              <w:pStyle w:val="Compact"/>
              <w:jc w:val="left"/>
            </w:pPr>
            <w:r>
              <w:t xml:space="preserve">HbA1c-Veränderung (Prozentpunkte)</w:t>
            </w:r>
          </w:p>
        </w:tc>
      </w:tr>
      <w:tr>
        <w:tc>
          <w:tcPr/>
          <w:p>
            <w:pPr>
              <w:pStyle w:val="Compact"/>
              <w:jc w:val="left"/>
            </w:pPr>
            <w:r>
              <w:t xml:space="preserve">Exenatid zweimal täglich</w:t>
            </w:r>
          </w:p>
        </w:tc>
        <w:tc>
          <w:tcPr/>
          <w:p>
            <w:pPr>
              <w:pStyle w:val="Compact"/>
              <w:jc w:val="left"/>
            </w:pPr>
            <w:r>
              <w:t xml:space="preserve">DeFronzo 2005, PMID 15855572</w:t>
            </w:r>
          </w:p>
        </w:tc>
        <w:tc>
          <w:tcPr/>
          <w:p>
            <w:pPr>
              <w:pStyle w:val="Compact"/>
              <w:jc w:val="left"/>
            </w:pPr>
            <w:r>
              <w:t xml:space="preserve">30 Wochen</w:t>
            </w:r>
          </w:p>
        </w:tc>
        <w:tc>
          <w:tcPr/>
          <w:p>
            <w:pPr>
              <w:pStyle w:val="Compact"/>
              <w:jc w:val="left"/>
            </w:pPr>
            <w:r>
              <w:t xml:space="preserve">−0,78 vs. +0,08 (Placebo)</w:t>
            </w:r>
          </w:p>
        </w:tc>
      </w:tr>
      <w:tr>
        <w:tc>
          <w:tcPr/>
          <w:p>
            <w:pPr>
              <w:pStyle w:val="Compact"/>
              <w:jc w:val="left"/>
            </w:pPr>
            <w:r>
              <w:t xml:space="preserve">Pramlintid</w:t>
            </w:r>
          </w:p>
        </w:tc>
        <w:tc>
          <w:tcPr/>
          <w:p>
            <w:pPr>
              <w:pStyle w:val="Compact"/>
              <w:jc w:val="left"/>
            </w:pPr>
            <w:r>
              <w:t xml:space="preserve">Hollander 2003, PMID 12610038</w:t>
            </w:r>
          </w:p>
        </w:tc>
        <w:tc>
          <w:tcPr/>
          <w:p>
            <w:pPr>
              <w:pStyle w:val="Compact"/>
              <w:jc w:val="left"/>
            </w:pPr>
            <w:r>
              <w:t xml:space="preserve">52 Wochen</w:t>
            </w:r>
          </w:p>
        </w:tc>
        <w:tc>
          <w:tcPr/>
          <w:p>
            <w:pPr>
              <w:pStyle w:val="Compact"/>
              <w:jc w:val="left"/>
            </w:pPr>
            <w:r>
              <w:t xml:space="preserve">−0,62 (zusätzlich zu Insulin)</w:t>
            </w:r>
          </w:p>
        </w:tc>
      </w:tr>
      <w:tr>
        <w:tc>
          <w:tcPr/>
          <w:p>
            <w:pPr>
              <w:pStyle w:val="Compact"/>
              <w:jc w:val="left"/>
            </w:pPr>
            <w:r>
              <w:t xml:space="preserve">Liraglutid 1,8 mg</w:t>
            </w:r>
          </w:p>
        </w:tc>
        <w:tc>
          <w:tcPr/>
          <w:p>
            <w:pPr>
              <w:pStyle w:val="Compact"/>
              <w:jc w:val="left"/>
            </w:pPr>
            <w:r>
              <w:t xml:space="preserve">LEAD-3 (Garber 2009), PMID 18819705</w:t>
            </w:r>
          </w:p>
        </w:tc>
        <w:tc>
          <w:tcPr/>
          <w:p>
            <w:pPr>
              <w:pStyle w:val="Compact"/>
              <w:jc w:val="left"/>
            </w:pPr>
            <w:r>
              <w:t xml:space="preserve">52 Wochen</w:t>
            </w:r>
          </w:p>
        </w:tc>
        <w:tc>
          <w:tcPr/>
          <w:p>
            <w:pPr>
              <w:pStyle w:val="Compact"/>
              <w:jc w:val="left"/>
            </w:pPr>
            <w:r>
              <w:t xml:space="preserve">−1,14 vs. −0,51 (Glimepirid)</w:t>
            </w:r>
          </w:p>
        </w:tc>
      </w:tr>
      <w:tr>
        <w:tc>
          <w:tcPr/>
          <w:p>
            <w:pPr>
              <w:pStyle w:val="Compact"/>
              <w:jc w:val="left"/>
            </w:pPr>
            <w:r>
              <w:t xml:space="preserve">Dulaglutid 4,5 mg</w:t>
            </w:r>
          </w:p>
        </w:tc>
        <w:tc>
          <w:tcPr/>
          <w:p>
            <w:pPr>
              <w:pStyle w:val="Compact"/>
              <w:jc w:val="left"/>
            </w:pPr>
            <w:r>
              <w:t xml:space="preserve">AWARD-11 (Frias 2021), PMID 33397768</w:t>
            </w:r>
          </w:p>
        </w:tc>
        <w:tc>
          <w:tcPr/>
          <w:p>
            <w:pPr>
              <w:pStyle w:val="Compact"/>
              <w:jc w:val="left"/>
            </w:pPr>
            <w:r>
              <w:t xml:space="preserve">36 Wochen</w:t>
            </w:r>
          </w:p>
        </w:tc>
        <w:tc>
          <w:tcPr/>
          <w:p>
            <w:pPr>
              <w:pStyle w:val="Compact"/>
              <w:jc w:val="left"/>
            </w:pPr>
            <w:r>
              <w:t xml:space="preserve">−1,77 vs. −1,54 (1,5 mg)</w:t>
            </w:r>
          </w:p>
        </w:tc>
      </w:tr>
      <w:tr>
        <w:tc>
          <w:tcPr/>
          <w:p>
            <w:pPr>
              <w:pStyle w:val="Compact"/>
              <w:jc w:val="left"/>
            </w:pPr>
            <w:r>
              <w:t xml:space="preserve">Semaglutid 1,0 mg</w:t>
            </w:r>
          </w:p>
        </w:tc>
        <w:tc>
          <w:tcPr/>
          <w:p>
            <w:pPr>
              <w:pStyle w:val="Compact"/>
              <w:jc w:val="left"/>
            </w:pPr>
            <w:r>
              <w:t xml:space="preserve">SUSTAIN 1 (Sorli 2017), PMID 28110911</w:t>
            </w:r>
          </w:p>
        </w:tc>
        <w:tc>
          <w:tcPr/>
          <w:p>
            <w:pPr>
              <w:pStyle w:val="Compact"/>
              <w:jc w:val="left"/>
            </w:pPr>
            <w:r>
              <w:t xml:space="preserve">30 Wochen</w:t>
            </w:r>
          </w:p>
        </w:tc>
        <w:tc>
          <w:tcPr/>
          <w:p>
            <w:pPr>
              <w:pStyle w:val="Compact"/>
              <w:jc w:val="left"/>
            </w:pPr>
            <w:r>
              <w:t xml:space="preserve">−1,55 vs. −0,02 (Placebo)</w:t>
            </w:r>
          </w:p>
        </w:tc>
      </w:tr>
      <w:tr>
        <w:tc>
          <w:tcPr/>
          <w:p>
            <w:pPr>
              <w:pStyle w:val="Compact"/>
              <w:jc w:val="left"/>
            </w:pPr>
            <w:r>
              <w:t xml:space="preserve">Semaglutid 2,0 mg</w:t>
            </w:r>
          </w:p>
        </w:tc>
        <w:tc>
          <w:tcPr/>
          <w:p>
            <w:pPr>
              <w:pStyle w:val="Compact"/>
              <w:jc w:val="left"/>
            </w:pPr>
            <w:r>
              <w:t xml:space="preserve">SUSTAIN FORTE (Frías 2021), PMID 34293304</w:t>
            </w:r>
          </w:p>
        </w:tc>
        <w:tc>
          <w:tcPr/>
          <w:p>
            <w:pPr>
              <w:pStyle w:val="Compact"/>
              <w:jc w:val="left"/>
            </w:pPr>
            <w:r>
              <w:t xml:space="preserve">40 Wochen</w:t>
            </w:r>
          </w:p>
        </w:tc>
        <w:tc>
          <w:tcPr/>
          <w:p>
            <w:pPr>
              <w:pStyle w:val="Compact"/>
              <w:jc w:val="left"/>
            </w:pPr>
            <w:r>
              <w:t xml:space="preserve">−2,2 vs. −1,9 (1,0 mg)</w:t>
            </w:r>
          </w:p>
        </w:tc>
      </w:tr>
      <w:tr>
        <w:tc>
          <w:tcPr/>
          <w:p>
            <w:pPr>
              <w:pStyle w:val="Compact"/>
              <w:jc w:val="left"/>
            </w:pPr>
            <w:r>
              <w:t xml:space="preserve">Tirzepatid 5–15 mg</w:t>
            </w:r>
          </w:p>
        </w:tc>
        <w:tc>
          <w:tcPr/>
          <w:p>
            <w:pPr>
              <w:pStyle w:val="Compact"/>
              <w:jc w:val="left"/>
            </w:pPr>
            <w:r>
              <w:t xml:space="preserve">SURPASS-1 (Rosenstock 2021), PMID 34186022</w:t>
            </w:r>
          </w:p>
        </w:tc>
        <w:tc>
          <w:tcPr/>
          <w:p>
            <w:pPr>
              <w:pStyle w:val="Compact"/>
              <w:jc w:val="left"/>
            </w:pPr>
            <w:r>
              <w:t xml:space="preserve">40 Wochen</w:t>
            </w:r>
          </w:p>
        </w:tc>
        <w:tc>
          <w:tcPr/>
          <w:p>
            <w:pPr>
              <w:pStyle w:val="Compact"/>
              <w:jc w:val="left"/>
            </w:pPr>
            <w:r>
              <w:t xml:space="preserve">−1,87 bis −2,07 vs. +0,04 (Placebo)</w:t>
            </w:r>
          </w:p>
        </w:tc>
      </w:tr>
      <w:tr>
        <w:tc>
          <w:tcPr/>
          <w:p>
            <w:pPr>
              <w:pStyle w:val="Compact"/>
              <w:jc w:val="left"/>
            </w:pPr>
            <w:r>
              <w:t xml:space="preserve">Retatrutid</w:t>
            </w:r>
          </w:p>
        </w:tc>
        <w:tc>
          <w:tcPr/>
          <w:p>
            <w:pPr>
              <w:pStyle w:val="Compact"/>
              <w:jc w:val="left"/>
            </w:pPr>
            <w:r>
              <w:t xml:space="preserve">TRANSCEND-T2D-1 (Bajaj 2026), PMID 42250575</w:t>
            </w:r>
          </w:p>
        </w:tc>
        <w:tc>
          <w:tcPr/>
          <w:p>
            <w:pPr>
              <w:pStyle w:val="Compact"/>
              <w:jc w:val="left"/>
            </w:pPr>
            <w:r>
              <w:t xml:space="preserve">40 Wochen</w:t>
            </w:r>
          </w:p>
        </w:tc>
        <w:tc>
          <w:tcPr/>
          <w:p>
            <w:pPr>
              <w:pStyle w:val="Compact"/>
              <w:jc w:val="left"/>
            </w:pPr>
            <w:r>
              <w:t xml:space="preserve">−1,69 bis −1,94 vs. −0,81 (Placebo)</w:t>
            </w:r>
          </w:p>
        </w:tc>
      </w:tr>
      <w:tr>
        <w:tc>
          <w:tcPr/>
          <w:p>
            <w:pPr>
              <w:pStyle w:val="Compact"/>
              <w:jc w:val="left"/>
            </w:pPr>
            <w:r>
              <w:t xml:space="preserve">Mazdutid</w:t>
            </w:r>
          </w:p>
        </w:tc>
        <w:tc>
          <w:tcPr/>
          <w:p>
            <w:pPr>
              <w:pStyle w:val="Compact"/>
              <w:jc w:val="left"/>
            </w:pPr>
            <w:r>
              <w:t xml:space="preserve">DREAMS-1 (Zhu 2026), PMID 41407859</w:t>
            </w:r>
          </w:p>
        </w:tc>
        <w:tc>
          <w:tcPr/>
          <w:p>
            <w:pPr>
              <w:pStyle w:val="Compact"/>
              <w:jc w:val="left"/>
            </w:pPr>
            <w:r>
              <w:t xml:space="preserve">24 Wochen</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Wochen</w:t>
            </w:r>
          </w:p>
        </w:tc>
        <w:tc>
          <w:tcPr/>
          <w:p>
            <w:pPr>
              <w:pStyle w:val="Compact"/>
              <w:jc w:val="left"/>
            </w:pPr>
            <w:r>
              <w:t xml:space="preserve">−1,8 vs. −0,1 (Placebo)</w:t>
            </w:r>
          </w:p>
        </w:tc>
      </w:tr>
      <w:tr>
        <w:tc>
          <w:tcPr/>
          <w:p>
            <w:pPr>
              <w:pStyle w:val="Compact"/>
              <w:jc w:val="left"/>
            </w:pPr>
            <w:r>
              <w:t xml:space="preserve">Maridebart Cafraglutid</w:t>
            </w:r>
          </w:p>
        </w:tc>
        <w:tc>
          <w:tcPr/>
          <w:p>
            <w:pPr>
              <w:pStyle w:val="Compact"/>
              <w:jc w:val="left"/>
            </w:pPr>
            <w:r>
              <w:t xml:space="preserve">Phase 2 (Jastreboff 2025), PMID 40549887</w:t>
            </w:r>
          </w:p>
        </w:tc>
        <w:tc>
          <w:tcPr/>
          <w:p>
            <w:pPr>
              <w:pStyle w:val="Compact"/>
              <w:jc w:val="left"/>
            </w:pPr>
            <w:r>
              <w:t xml:space="preserve">52 Wochen</w:t>
            </w:r>
          </w:p>
        </w:tc>
        <w:tc>
          <w:tcPr/>
          <w:p>
            <w:pPr>
              <w:pStyle w:val="Compact"/>
              <w:jc w:val="left"/>
            </w:pPr>
            <w:r>
              <w:t xml:space="preserve">−1,2 bis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Wochen</w:t>
            </w:r>
          </w:p>
        </w:tc>
        <w:tc>
          <w:tcPr/>
          <w:p>
            <w:pPr>
              <w:pStyle w:val="Compact"/>
              <w:jc w:val="left"/>
            </w:pPr>
            <w:r>
              <w:t xml:space="preserve">−1,24 bis −1,48 vs. −0,41 (Placebo)</w:t>
            </w:r>
          </w:p>
        </w:tc>
      </w:tr>
    </w:tbl>
    <w:p>
      <w:pPr>
        <w:pStyle w:val="BodyText"/>
      </w:pPr>
      <w:r>
        <w:t xml:space="preserve">Die älteren Wirkstoffe Exenatid und Pramlintid senken den HbA1c-Wert um weniger als einen Prozentpunkt, die wöchentlichen GLP-1-Agonisten um etwa 1,5 Punkte, Tirzepatid und die neueren Mehrfach-Agonisten um rund 2 Punkte. Beim Blutzucker sind die Unterschiede zwischen den neueren Wirkstoffen kleiner als beim Gewicht. Besonders deutlich zeigt das REIMAGINE 2: Dort senkte CagriSema den HbA1c-Wert nur um 0,16 Prozentpunkte stärker als Semaglutid 2,4 mg allein (−1,91 vs. −1,75; Buse 2026, PMID 42251859). Der Zusatz von Amylin wirkt also vor allem auf das Gewicht.</w:t>
      </w:r>
    </w:p>
    <w:p>
      <w:pPr>
        <w:pStyle w:val="BodyText"/>
      </w:pPr>
      <w:r>
        <w:t xml:space="preserve">Ein wichtiger Unterschied betrifft die Unterzuckerung. Weil GLP-1 die Insulinausschüttung nur bei erhöhtem Blutzucker verstärkt, sind Unterzuckerungen unter diesen Medikamenten allein selten. Sie werden häufiger, wenn gleichzeitig Insulin oder Sulfonylharnstoffe eingenommen werden. Bei Pramlintid, das nur zusätzlich zu Mahlzeiteninsulin verwendet wird, ist schwere Unterzuckerung das wichtigste Risiko (Edelman 2006, PMID 17003291).</w:t>
      </w:r>
    </w:p>
    <w:bookmarkEnd w:id="951"/>
    <w:bookmarkStart w:id="952" w:name="herz-kreislauf-endpunktstudien"/>
    <w:p>
      <w:pPr>
        <w:pStyle w:val="Heading3"/>
      </w:pPr>
      <w:r>
        <w:t xml:space="preserve">Herz-Kreislauf-Endpunktstudien</w:t>
      </w:r>
    </w:p>
    <w:p>
      <w:pPr>
        <w:pStyle w:val="FirstParagraph"/>
      </w:pPr>
      <w:r>
        <w:t xml:space="preserve">Endpunktstudien messen nicht Laborwerte, sondern Ereignisse, die für Patientinnen und Patienten zählen: Herz-Kreislauf-Tod, Herzinfarkt und Schlaganfall, zusammengefasst als „MACE“ (major adverse cardiovascular events). Das Hazard Ratio (HR) gibt an, wie hoch das Risiko im Vergleich zur Kontrollgruppe war; 0,80 bedeutet ein um 20 % niedrigeres relatives Risiko.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(Wirkstoff)</w:t>
            </w:r>
          </w:p>
        </w:tc>
        <w:tc>
          <w:tcPr/>
          <w:p>
            <w:pPr>
              <w:pStyle w:val="Compact"/>
              <w:jc w:val="left"/>
            </w:pPr>
            <w:r>
              <w:t xml:space="preserve">Teilnehmende</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LEADER (Liraglutid; Marso 2016), PMID 27295427</w:t>
            </w:r>
          </w:p>
        </w:tc>
        <w:tc>
          <w:tcPr/>
          <w:p>
            <w:pPr>
              <w:pStyle w:val="Compact"/>
              <w:jc w:val="left"/>
            </w:pPr>
            <w:r>
              <w:t xml:space="preserve">9.340 mit Typ-2-Diabetes und hohem Risiko</w:t>
            </w:r>
          </w:p>
        </w:tc>
        <w:tc>
          <w:tcPr/>
          <w:p>
            <w:pPr>
              <w:pStyle w:val="Compact"/>
              <w:jc w:val="left"/>
            </w:pPr>
            <w:r>
              <w:t xml:space="preserve">median 3,8 Jahre</w:t>
            </w:r>
          </w:p>
        </w:tc>
        <w:tc>
          <w:tcPr/>
          <w:p>
            <w:pPr>
              <w:pStyle w:val="Compact"/>
              <w:jc w:val="left"/>
            </w:pPr>
            <w:r>
              <w:t xml:space="preserve">13,0 % vs. 14,9 %; HR 0,87</w:t>
            </w:r>
          </w:p>
        </w:tc>
      </w:tr>
      <w:tr>
        <w:tc>
          <w:tcPr/>
          <w:p>
            <w:pPr>
              <w:pStyle w:val="Compact"/>
              <w:jc w:val="left"/>
            </w:pPr>
            <w:r>
              <w:t xml:space="preserve">SUSTAIN 6 (Semaglutid; Marso 2016), PMID 27633186</w:t>
            </w:r>
          </w:p>
        </w:tc>
        <w:tc>
          <w:tcPr/>
          <w:p>
            <w:pPr>
              <w:pStyle w:val="Compact"/>
              <w:jc w:val="left"/>
            </w:pPr>
            <w:r>
              <w:t xml:space="preserve">3.297 mit Typ-2-Diabetes und hohem Risiko</w:t>
            </w:r>
          </w:p>
        </w:tc>
        <w:tc>
          <w:tcPr/>
          <w:p>
            <w:pPr>
              <w:pStyle w:val="Compact"/>
              <w:jc w:val="left"/>
            </w:pPr>
            <w:r>
              <w:t xml:space="preserve">104 Wochen</w:t>
            </w:r>
          </w:p>
        </w:tc>
        <w:tc>
          <w:tcPr/>
          <w:p>
            <w:pPr>
              <w:pStyle w:val="Compact"/>
              <w:jc w:val="left"/>
            </w:pPr>
            <w:r>
              <w:t xml:space="preserve">6,6 % vs. 8,9 %; HR 0,74</w:t>
            </w:r>
          </w:p>
        </w:tc>
      </w:tr>
      <w:tr>
        <w:tc>
          <w:tcPr/>
          <w:p>
            <w:pPr>
              <w:pStyle w:val="Compact"/>
              <w:jc w:val="left"/>
            </w:pPr>
            <w:r>
              <w:t xml:space="preserve">PIONEER 6 (Semaglutid-Tablette; Husain 2019), PMID 31185157</w:t>
            </w:r>
          </w:p>
        </w:tc>
        <w:tc>
          <w:tcPr/>
          <w:p>
            <w:pPr>
              <w:pStyle w:val="Compact"/>
              <w:jc w:val="left"/>
            </w:pPr>
            <w:r>
              <w:t xml:space="preserve">3.183 mit Typ-2-Diabetes und hohem Risiko</w:t>
            </w:r>
          </w:p>
        </w:tc>
        <w:tc>
          <w:tcPr/>
          <w:p>
            <w:pPr>
              <w:pStyle w:val="Compact"/>
              <w:jc w:val="left"/>
            </w:pPr>
            <w:r>
              <w:t xml:space="preserve">median 15,9 Monate</w:t>
            </w:r>
          </w:p>
        </w:tc>
        <w:tc>
          <w:tcPr/>
          <w:p>
            <w:pPr>
              <w:pStyle w:val="Compact"/>
              <w:jc w:val="left"/>
            </w:pPr>
            <w:r>
              <w:t xml:space="preserve">3,8 % vs. 4,8 %; HR 0,79, nur Nicht-Unterlegenheit gezeigt</w:t>
            </w:r>
          </w:p>
        </w:tc>
      </w:tr>
      <w:tr>
        <w:tc>
          <w:tcPr/>
          <w:p>
            <w:pPr>
              <w:pStyle w:val="Compact"/>
              <w:jc w:val="left"/>
            </w:pPr>
            <w:r>
              <w:t xml:space="preserve">SOUL (Semaglutid-Tablette; McGuire 2025), PMID 40162642</w:t>
            </w:r>
          </w:p>
        </w:tc>
        <w:tc>
          <w:tcPr/>
          <w:p>
            <w:pPr>
              <w:pStyle w:val="Compact"/>
              <w:jc w:val="left"/>
            </w:pPr>
            <w:r>
              <w:t xml:space="preserve">9.650 mit Typ-2-Diabetes und Gefäß- oder Nierenerkrankung</w:t>
            </w:r>
          </w:p>
        </w:tc>
        <w:tc>
          <w:tcPr/>
          <w:p>
            <w:pPr>
              <w:pStyle w:val="Compact"/>
              <w:jc w:val="left"/>
            </w:pPr>
            <w:r>
              <w:t xml:space="preserve">median 49,5 Monate</w:t>
            </w:r>
          </w:p>
        </w:tc>
        <w:tc>
          <w:tcPr/>
          <w:p>
            <w:pPr>
              <w:pStyle w:val="Compact"/>
              <w:jc w:val="left"/>
            </w:pPr>
            <w:r>
              <w:t xml:space="preserve">12,0 % vs. 13,8 %; HR 0,86</w:t>
            </w:r>
          </w:p>
        </w:tc>
      </w:tr>
      <w:tr>
        <w:tc>
          <w:tcPr/>
          <w:p>
            <w:pPr>
              <w:pStyle w:val="Compact"/>
              <w:jc w:val="left"/>
            </w:pPr>
            <w:r>
              <w:t xml:space="preserve">SELECT (Semaglutid 2,4 mg; Lincoff 2023), PMID 37952131</w:t>
            </w:r>
          </w:p>
        </w:tc>
        <w:tc>
          <w:tcPr/>
          <w:p>
            <w:pPr>
              <w:pStyle w:val="Compact"/>
              <w:jc w:val="left"/>
            </w:pPr>
            <w:r>
              <w:t xml:space="preserve">17.604 mit Übergewicht und Herz-Kreislauf-Erkrankung, ohne Diabetes</w:t>
            </w:r>
          </w:p>
        </w:tc>
        <w:tc>
          <w:tcPr/>
          <w:p>
            <w:pPr>
              <w:pStyle w:val="Compact"/>
              <w:jc w:val="left"/>
            </w:pPr>
            <w:r>
              <w:t xml:space="preserve">im Mittel 39,8 Monate</w:t>
            </w:r>
          </w:p>
        </w:tc>
        <w:tc>
          <w:tcPr/>
          <w:p>
            <w:pPr>
              <w:pStyle w:val="Compact"/>
              <w:jc w:val="left"/>
            </w:pPr>
            <w:r>
              <w:t xml:space="preserve">6,5 % vs. 8,0 %; HR 0,80</w:t>
            </w:r>
          </w:p>
        </w:tc>
      </w:tr>
      <w:tr>
        <w:tc>
          <w:tcPr/>
          <w:p>
            <w:pPr>
              <w:pStyle w:val="Compact"/>
              <w:jc w:val="left"/>
            </w:pPr>
            <w:r>
              <w:t xml:space="preserve">REWIND (Dulaglutid; Gerstein 2019), PMID 31189511</w:t>
            </w:r>
          </w:p>
        </w:tc>
        <w:tc>
          <w:tcPr/>
          <w:p>
            <w:pPr>
              <w:pStyle w:val="Compact"/>
              <w:jc w:val="left"/>
            </w:pPr>
            <w:r>
              <w:t xml:space="preserve">9.901 mit Typ-2-Diabetes, mit oder ohne Herz-Kreislauf-Vorerkrankung</w:t>
            </w:r>
          </w:p>
        </w:tc>
        <w:tc>
          <w:tcPr/>
          <w:p>
            <w:pPr>
              <w:pStyle w:val="Compact"/>
              <w:jc w:val="left"/>
            </w:pPr>
            <w:r>
              <w:t xml:space="preserve">median 5,4 Jahre</w:t>
            </w:r>
          </w:p>
        </w:tc>
        <w:tc>
          <w:tcPr/>
          <w:p>
            <w:pPr>
              <w:pStyle w:val="Compact"/>
              <w:jc w:val="left"/>
            </w:pPr>
            <w:r>
              <w:t xml:space="preserve">12,0 % vs. 13,4 %; HR 0,88</w:t>
            </w:r>
          </w:p>
        </w:tc>
      </w:tr>
      <w:tr>
        <w:tc>
          <w:tcPr/>
          <w:p>
            <w:pPr>
              <w:pStyle w:val="Compact"/>
              <w:jc w:val="left"/>
            </w:pPr>
            <w:r>
              <w:t xml:space="preserve">EXSCEL (Exenatid wöchentlich; Holman 2017), PMID 28910237</w:t>
            </w:r>
          </w:p>
        </w:tc>
        <w:tc>
          <w:tcPr/>
          <w:p>
            <w:pPr>
              <w:pStyle w:val="Compact"/>
              <w:jc w:val="left"/>
            </w:pPr>
            <w:r>
              <w:t xml:space="preserve">14.752 mit Typ-2-Diabetes</w:t>
            </w:r>
          </w:p>
        </w:tc>
        <w:tc>
          <w:tcPr/>
          <w:p>
            <w:pPr>
              <w:pStyle w:val="Compact"/>
              <w:jc w:val="left"/>
            </w:pPr>
            <w:r>
              <w:t xml:space="preserve">median 3,2 Jahre</w:t>
            </w:r>
          </w:p>
        </w:tc>
        <w:tc>
          <w:tcPr/>
          <w:p>
            <w:pPr>
              <w:pStyle w:val="Compact"/>
              <w:jc w:val="left"/>
            </w:pPr>
            <w:r>
              <w:t xml:space="preserve">11,4 % vs. 12,2 %; HR 0,91, Überlegenheit knapp verfehlt</w:t>
            </w:r>
          </w:p>
        </w:tc>
      </w:tr>
      <w:tr>
        <w:tc>
          <w:tcPr/>
          <w:p>
            <w:pPr>
              <w:pStyle w:val="Compact"/>
              <w:jc w:val="left"/>
            </w:pPr>
            <w:r>
              <w:t xml:space="preserve">SURPASS-CVOT (Tirzepatid gegen Dulaglutid; Nicholls 2025), PMID 41406444</w:t>
            </w:r>
          </w:p>
        </w:tc>
        <w:tc>
          <w:tcPr/>
          <w:p>
            <w:pPr>
              <w:pStyle w:val="Compact"/>
              <w:jc w:val="left"/>
            </w:pPr>
            <w:r>
              <w:t xml:space="preserve">13.165 mit Typ-2-Diabetes und Gefäßerkrankung</w:t>
            </w:r>
          </w:p>
        </w:tc>
        <w:tc>
          <w:tcPr/>
          <w:p>
            <w:pPr>
              <w:pStyle w:val="Compact"/>
              <w:jc w:val="left"/>
            </w:pPr>
            <w:r>
              <w:t xml:space="preserve">mehrere Jahre</w:t>
            </w:r>
          </w:p>
        </w:tc>
        <w:tc>
          <w:tcPr/>
          <w:p>
            <w:pPr>
              <w:pStyle w:val="Compact"/>
              <w:jc w:val="left"/>
            </w:pPr>
            <w:r>
              <w:t xml:space="preserve">12,2 % vs. 13,1 %; HR 0,92, nicht unterlegen</w:t>
            </w:r>
          </w:p>
        </w:tc>
      </w:tr>
      <w:tr>
        <w:tc>
          <w:tcPr/>
          <w:p>
            <w:pPr>
              <w:pStyle w:val="Compact"/>
              <w:jc w:val="left"/>
            </w:pPr>
            <w:r>
              <w:t xml:space="preserve">ACHIEVE-4 (Orforglipron gegen Insulin glargin; Klein 2026), PMID 42815506</w:t>
            </w:r>
          </w:p>
        </w:tc>
        <w:tc>
          <w:tcPr/>
          <w:p>
            <w:pPr>
              <w:pStyle w:val="Compact"/>
              <w:jc w:val="left"/>
            </w:pPr>
            <w:r>
              <w:t xml:space="preserve">2.749 mit Typ-2-Diabetes und hohem Risiko</w:t>
            </w:r>
          </w:p>
        </w:tc>
        <w:tc>
          <w:tcPr/>
          <w:p>
            <w:pPr>
              <w:pStyle w:val="Compact"/>
              <w:jc w:val="left"/>
            </w:pPr>
            <w:r>
              <w:t xml:space="preserve">median 2 Jahre</w:t>
            </w:r>
          </w:p>
        </w:tc>
        <w:tc>
          <w:tcPr/>
          <w:p>
            <w:pPr>
              <w:pStyle w:val="Compact"/>
              <w:jc w:val="left"/>
            </w:pPr>
            <w:r>
              <w:t xml:space="preserve">4,2 % vs. 5,0 % (MACE-4), nicht unterlegen</w:t>
            </w:r>
          </w:p>
        </w:tc>
      </w:tr>
    </w:tbl>
    <w:p>
      <w:pPr>
        <w:pStyle w:val="BodyText"/>
      </w:pPr>
      <w:r>
        <w:t xml:space="preserve">Was diese Tabelle zeigt:</w:t>
      </w:r>
    </w:p>
    <w:p>
      <w:pPr>
        <w:numPr>
          <w:ilvl w:val="0"/>
          <w:numId w:val="1327"/>
        </w:numPr>
        <w:pStyle w:val="Compact"/>
      </w:pPr>
      <w:r>
        <w:rPr>
          <w:bCs/>
          <w:b/>
        </w:rPr>
        <w:t xml:space="preserve">Die Klasse senkt das Risiko.</w:t>
      </w:r>
      <w:r>
        <w:t xml:space="preserve"> </w:t>
      </w:r>
      <w:r>
        <w:t xml:space="preserve">Eine Meta-Analyse von sieben placebokontrollierten Endpunktstudien mit zusammen 56.004 Teilnehmenden fand für GLP-1-Rezeptor-Agonisten bei Typ-2-Diabetes 12 % weniger schwere Herz-Kreislauf-Ereignisse (HR 0,88), 12 % weniger Todesfälle jeder Ursache und 9 % weniger Krankenhausaufnahmen wegen Herzschwäche, ohne bedeutsame Unterschiede zwischen den Untergruppen (Kristensen 2019, PMID 31422062). In diese Meta-Analyse gingen auch zwei Wirkstoffe ein, die in diesem Buch nicht behandelt werden.</w:t>
      </w:r>
    </w:p>
    <w:p>
      <w:pPr>
        <w:numPr>
          <w:ilvl w:val="0"/>
          <w:numId w:val="1327"/>
        </w:numPr>
        <w:pStyle w:val="Compact"/>
      </w:pPr>
      <w:r>
        <w:rPr>
          <w:bCs/>
          <w:b/>
        </w:rPr>
        <w:t xml:space="preserve">Unterschiede zwischen den Wirkstoffen sind unsicher.</w:t>
      </w:r>
      <w:r>
        <w:t xml:space="preserve"> </w:t>
      </w:r>
      <w:r>
        <w:t xml:space="preserve">Exenatid lag in EXSCEL am schwächeren Rand; diskutiert werden das Molekül selbst, die hohe Abbruchrate und das pragmatische Studiendesign. Ein Exenatid-Pumpenimplantat (FREEDOM-CVO) erfüllte nur das Sicherheitskriterium (HR 1,21; Ruff 2022, PMID 34873344).</w:t>
      </w:r>
    </w:p>
    <w:p>
      <w:pPr>
        <w:numPr>
          <w:ilvl w:val="0"/>
          <w:numId w:val="1327"/>
        </w:numPr>
        <w:pStyle w:val="Compact"/>
      </w:pPr>
      <w:r>
        <w:rPr>
          <w:bCs/>
          <w:b/>
        </w:rPr>
        <w:t xml:space="preserve">SELECT ist ein Sonderfall.</w:t>
      </w:r>
      <w:r>
        <w:t xml:space="preserve"> </w:t>
      </w:r>
      <w:r>
        <w:t xml:space="preserve">Es ist in dieser Übersicht die einzige große Endpunktstudie ausschließlich bei Menschen</w:t>
      </w:r>
      <w:r>
        <w:t xml:space="preserve"> </w:t>
      </w:r>
      <w:r>
        <w:rPr>
          <w:iCs/>
          <w:i/>
        </w:rPr>
        <w:t xml:space="preserve">ohne</w:t>
      </w:r>
      <w:r>
        <w:t xml:space="preserve"> </w:t>
      </w:r>
      <w:r>
        <w:t xml:space="preserve">Diabetes. In absoluten Zahlen hatten über gut drei Jahre etwa 1,5 von hundert Behandelten weniger ein schweres Ereignis.</w:t>
      </w:r>
    </w:p>
    <w:p>
      <w:pPr>
        <w:numPr>
          <w:ilvl w:val="0"/>
          <w:numId w:val="1327"/>
        </w:numPr>
        <w:pStyle w:val="Compact"/>
      </w:pPr>
      <w:r>
        <w:rPr>
          <w:bCs/>
          <w:b/>
        </w:rPr>
        <w:t xml:space="preserve">Tirzepatid wurde gegen ein wirksames Medikament geprüft.</w:t>
      </w:r>
      <w:r>
        <w:t xml:space="preserve"> </w:t>
      </w:r>
      <w:r>
        <w:t xml:space="preserve">SURPASS-CVOT verglich Tirzepatid nicht mit Placebo, sondern mit Dulaglutid, das in REWIND selbst das Risiko gesenkt hatte. Tirzepatid war nicht unterlegen, die formale Überlegenheit wurde knapp verfehlt. Wie groß der Nutzen gegenüber keiner Behandlung wäre, lässt sich daraus nur über Modellrechnungen schätzen.</w:t>
      </w:r>
    </w:p>
    <w:p>
      <w:pPr>
        <w:numPr>
          <w:ilvl w:val="0"/>
          <w:numId w:val="1327"/>
        </w:numPr>
        <w:pStyle w:val="Compact"/>
      </w:pPr>
      <w:r>
        <w:rPr>
          <w:bCs/>
          <w:b/>
        </w:rPr>
        <w:t xml:space="preserve">Herzschwäche:</w:t>
      </w:r>
      <w:r>
        <w:t xml:space="preserve"> </w:t>
      </w:r>
      <w:r>
        <w:t xml:space="preserve">Bei Herzinsuffizienz mit erhaltener Pumpfunktion und Adipositas verringerte Tirzepatid in SUMMIT mit 731 Personen den kombinierten Endpunkt aus Herz-Kreislauf-Tod oder Verschlechterung der Herzschwäche (9,9 % vs. 15,3 %; HR 0,62; Packer 2025, PMID 39555826). Der Unterschied beruhte auf weniger Verschlechterungsereignissen; Todesfälle waren selten. In STEP-HFpEF verbesserte Semaglutid Beschwerden und Gehstrecke (Kosiborod 2023, PMID 37622681), war aber nicht auf harte Endpunkte ausgelegt.</w:t>
      </w:r>
    </w:p>
    <w:p>
      <w:pPr>
        <w:pStyle w:val="FirstParagraph"/>
      </w:pPr>
      <w:r>
        <w:rPr>
          <w:bCs/>
          <w:b/>
        </w:rPr>
        <w:t xml:space="preserve">Noch ausstehend (registrierte Studien):</w:t>
      </w:r>
      <w:r>
        <w:t xml:space="preserve"> </w:t>
      </w:r>
      <w:r>
        <w:t xml:space="preserve">Für die neueren Wirkstoffe fehlen Endpunktdaten. Laufende Studien sind SURMOUNT-MMO zu Tirzepatid bei Adipositas ohne Diabetes (NCT05556512), TRIUMPH-Outcomes zu Retatrutid (NCT06383390), REDEFINE 3 zu CagriSema (NCT05669755), eine Studie zu Maridebart Cafraglutid (NCT07037433) und eine zu Orforglipron (NCT07241390). Bis diese Ergebnisse vorliegen, ist offen, ob ein stärkerer Gewichtsverlust auch zu weniger Herzinfarkten und Schlaganfällen führt. Das ist eine plausible Erwartung, aber kein Ergebnis.</w:t>
      </w:r>
    </w:p>
    <w:bookmarkEnd w:id="952"/>
    <w:bookmarkStart w:id="953" w:name="niere-und-leber"/>
    <w:p>
      <w:pPr>
        <w:pStyle w:val="Heading3"/>
      </w:pPr>
      <w:r>
        <w:t xml:space="preserve">Niere und Leber</w:t>
      </w:r>
    </w:p>
    <w:p>
      <w:pPr>
        <w:pStyle w:val="FirstParagraph"/>
      </w:pPr>
      <w:r>
        <w:rPr>
          <w:bCs/>
          <w:b/>
        </w:rPr>
        <w:t xml:space="preserve">Niere:</w:t>
      </w:r>
      <w:r>
        <w:t xml:space="preserve"> </w:t>
      </w:r>
      <w:r>
        <w:t xml:space="preserve">Unter den in diesem Buch besprochenen Studien hat nur FLOW ein Nierenereignis als Hauptendpunkt. Bei 3.533 Menschen mit Typ-2-Diabetes und chronischer Nierenerkrankung verringerte Semaglutid 1,0 mg schwere Nierenereignisse und Tod aus Nieren- oder Herz-Kreislauf-Ursache um 24 % (331 vs. 410 Ereignisse; HR 0,76). Die Studie wurde wegen Wirksamkeit vorzeitig beendet; die Gesamtsterblichkeit war um 20 % niedriger (Perkovic 2024, PMID 38785209). In den älteren Endpunktstudien beruhte der Nierennutzen dagegen vor allem auf weniger Eiweiß im Urin: in LEADER HR 0,78 (Mann 2017, PMID 28854085), in REWIND HR 0,85 (Gerstein 2019, PMID 31189509), über alle sieben Studien HR 0,83 (Kristensen 2019, PMID 31422062). In SOUL unterschieden sich die bestätigenden sekundären Endpunkte, darunter Nierenereignisse, nicht signifikant (McGuire 2025, PMID 40162642). Bei mittel- bis schwergradiger Nierenerkrankung blieb die Nierenfunktion unter Dulaglutid besser erhalten als unter Insulin glargin (AWARD-7, Tuttle 2018, PMID 29910024). Für Tirzepatid und die neueren Wirkstoffe liegen noch keine Studien mit Nierenereignissen als Hauptendpunkt vor.</w:t>
      </w:r>
    </w:p>
    <w:p>
      <w:pPr>
        <w:pStyle w:val="BodyText"/>
      </w:pPr>
      <w:r>
        <w:rPr>
          <w:bCs/>
          <w:b/>
        </w:rPr>
        <w:t xml:space="preserve">Leber:</w:t>
      </w:r>
      <w:r>
        <w:t xml:space="preserve"> </w:t>
      </w:r>
      <w:r>
        <w:t xml:space="preserve">Bei der entzündlichen Fettleber MASH (früher NASH) gibt es Gewebeproben-Studien für drei Wirkstoffe: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Studie</w:t>
            </w:r>
          </w:p>
        </w:tc>
        <w:tc>
          <w:tcPr/>
          <w:p>
            <w:pPr>
              <w:pStyle w:val="Compact"/>
              <w:jc w:val="left"/>
            </w:pPr>
            <w:r>
              <w:t xml:space="preserve">Dauer</w:t>
            </w:r>
          </w:p>
        </w:tc>
        <w:tc>
          <w:tcPr/>
          <w:p>
            <w:pPr>
              <w:pStyle w:val="Compact"/>
              <w:jc w:val="left"/>
            </w:pPr>
            <w:r>
              <w:t xml:space="preserve">Rückbildung der MASH ohne Fibrose-Verschlechterung</w:t>
            </w:r>
          </w:p>
        </w:tc>
      </w:tr>
      <w:tr>
        <w:tc>
          <w:tcPr/>
          <w:p>
            <w:pPr>
              <w:pStyle w:val="Compact"/>
              <w:jc w:val="left"/>
            </w:pPr>
            <w:r>
              <w:t xml:space="preserve">Semaglutid 2,4 mg</w:t>
            </w:r>
          </w:p>
        </w:tc>
        <w:tc>
          <w:tcPr/>
          <w:p>
            <w:pPr>
              <w:pStyle w:val="Compact"/>
              <w:jc w:val="left"/>
            </w:pPr>
            <w:r>
              <w:t xml:space="preserve">ESSENCE, Phase 3 (Sanyal 2025), PMID 40305708</w:t>
            </w:r>
          </w:p>
        </w:tc>
        <w:tc>
          <w:tcPr/>
          <w:p>
            <w:pPr>
              <w:pStyle w:val="Compact"/>
              <w:jc w:val="left"/>
            </w:pPr>
            <w:r>
              <w:t xml:space="preserve">72 Wochen (Zwischenauswertung, 800 Personen)</w:t>
            </w:r>
          </w:p>
        </w:tc>
        <w:tc>
          <w:tcPr/>
          <w:p>
            <w:pPr>
              <w:pStyle w:val="Compact"/>
              <w:jc w:val="left"/>
            </w:pPr>
            <w:r>
              <w:t xml:space="preserve">62,9 % vs. 34,3 %; weniger Fibrose 36,8 % vs. 22,4 %</w:t>
            </w:r>
          </w:p>
        </w:tc>
      </w:tr>
      <w:tr>
        <w:tc>
          <w:tcPr/>
          <w:p>
            <w:pPr>
              <w:pStyle w:val="Compact"/>
              <w:jc w:val="left"/>
            </w:pPr>
            <w:r>
              <w:t xml:space="preserve">Tirzepatid</w:t>
            </w:r>
          </w:p>
        </w:tc>
        <w:tc>
          <w:tcPr/>
          <w:p>
            <w:pPr>
              <w:pStyle w:val="Compact"/>
              <w:jc w:val="left"/>
            </w:pPr>
            <w:r>
              <w:t xml:space="preserve">SYNERGY-NASH, Phase 2 (Loomba 2024), PMID 38856224</w:t>
            </w:r>
          </w:p>
        </w:tc>
        <w:tc>
          <w:tcPr/>
          <w:p>
            <w:pPr>
              <w:pStyle w:val="Compact"/>
              <w:jc w:val="left"/>
            </w:pPr>
            <w:r>
              <w:t xml:space="preserve">52 Wochen, 190 Personen</w:t>
            </w:r>
          </w:p>
        </w:tc>
        <w:tc>
          <w:tcPr/>
          <w:p>
            <w:pPr>
              <w:pStyle w:val="Compact"/>
              <w:jc w:val="left"/>
            </w:pPr>
            <w:r>
              <w:t xml:space="preserve">44–62 % vs. 10 %; weniger Fibrose 51–55 % vs. 30 %</w:t>
            </w:r>
          </w:p>
        </w:tc>
      </w:tr>
      <w:tr>
        <w:tc>
          <w:tcPr/>
          <w:p>
            <w:pPr>
              <w:pStyle w:val="Compact"/>
              <w:jc w:val="left"/>
            </w:pPr>
            <w:r>
              <w:t xml:space="preserve">Survodutid</w:t>
            </w:r>
          </w:p>
        </w:tc>
        <w:tc>
          <w:tcPr/>
          <w:p>
            <w:pPr>
              <w:pStyle w:val="Compact"/>
              <w:jc w:val="left"/>
            </w:pPr>
            <w:r>
              <w:t xml:space="preserve">Phase 2 (Sanyal 2024), PMID 38847460</w:t>
            </w:r>
          </w:p>
        </w:tc>
        <w:tc>
          <w:tcPr/>
          <w:p>
            <w:pPr>
              <w:pStyle w:val="Compact"/>
              <w:jc w:val="left"/>
            </w:pPr>
            <w:r>
              <w:t xml:space="preserve">48 Wochen, 293 Personen</w:t>
            </w:r>
          </w:p>
        </w:tc>
        <w:tc>
          <w:tcPr/>
          <w:p>
            <w:pPr>
              <w:pStyle w:val="Compact"/>
              <w:jc w:val="left"/>
            </w:pPr>
            <w:r>
              <w:t xml:space="preserve">MASH-Besserung 43–62 % vs. 14 %</w:t>
            </w:r>
          </w:p>
        </w:tc>
      </w:tr>
    </w:tbl>
    <w:p>
      <w:pPr>
        <w:pStyle w:val="BodyText"/>
      </w:pPr>
      <w:r>
        <w:t xml:space="preserve">Nur ESSENCE ist eine Phase-3-Studie; ob die Behandlung auch Zirrhose, Leberversagen und Todesfälle verhindert, soll ihr zweiter Teil über 240 Wochen zeigen. Für Survodutid laufen die Phase-3-Studien LIVERAGE (NCT06632444) und LIVERAGE-Cirrhosis (NCT06632457). Die höheren Prozentwerte der Phase-2-Studien sind wegen der kleinen Gruppen und der kürzeren Dauer nicht direkt mit ESSENCE vergleichbar.</w:t>
      </w:r>
    </w:p>
    <w:bookmarkEnd w:id="953"/>
    <w:bookmarkStart w:id="954" w:name="nebenwirkungen-und-abbruchraten"/>
    <w:p>
      <w:pPr>
        <w:pStyle w:val="Heading3"/>
      </w:pPr>
      <w:r>
        <w:t xml:space="preserve">Nebenwirkungen und Abbruchraten</w:t>
      </w:r>
    </w:p>
    <w:p>
      <w:pPr>
        <w:pStyle w:val="FirstParagraph"/>
      </w:pPr>
      <w:r>
        <w:t xml:space="preserve">Das Nebenwirkungsprofil ist in der ganzen Klasse ähnlich: Übelkeit, Durchfall, Erbrechen und Verstopfung, vor allem während der schrittweisen Dosissteigerung, meist leicht bis mittelschwer und vorübergehend. Sie sind der häufigste Grund für Therapieabbrüche. Die Raten hängen stark von Dosis und Tempo der Aufdosierung ab und sind zwischen Studien nur grob vergleichbar.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Studie</w:t>
            </w:r>
          </w:p>
        </w:tc>
        <w:tc>
          <w:tcPr/>
          <w:p>
            <w:pPr>
              <w:pStyle w:val="Compact"/>
              <w:jc w:val="left"/>
            </w:pPr>
            <w:r>
              <w:t xml:space="preserve">Magen-Darm-Beschwerden</w:t>
            </w:r>
          </w:p>
        </w:tc>
        <w:tc>
          <w:tcPr/>
          <w:p>
            <w:pPr>
              <w:pStyle w:val="Compact"/>
              <w:jc w:val="left"/>
            </w:pPr>
            <w:r>
              <w:t xml:space="preserve">Abbruch wegen Nebenwirkungen</w:t>
            </w:r>
          </w:p>
        </w:tc>
      </w:tr>
      <w:tr>
        <w:tc>
          <w:tcPr/>
          <w:p>
            <w:pPr>
              <w:pStyle w:val="Compact"/>
              <w:jc w:val="left"/>
            </w:pPr>
            <w:r>
              <w:t xml:space="preserve">Exenatid zweimal täglich</w:t>
            </w:r>
          </w:p>
        </w:tc>
        <w:tc>
          <w:tcPr/>
          <w:p>
            <w:pPr>
              <w:pStyle w:val="Compact"/>
              <w:jc w:val="left"/>
            </w:pPr>
            <w:r>
              <w:t xml:space="preserve">Heine 2005, PMID 16230722</w:t>
            </w:r>
          </w:p>
        </w:tc>
        <w:tc>
          <w:tcPr/>
          <w:p>
            <w:pPr>
              <w:pStyle w:val="Compact"/>
              <w:jc w:val="left"/>
            </w:pPr>
            <w:r>
              <w:t xml:space="preserve">Übelkeit 57,1 %</w:t>
            </w:r>
          </w:p>
        </w:tc>
        <w:tc>
          <w:tcPr/>
          <w:p>
            <w:pPr>
              <w:pStyle w:val="Compact"/>
              <w:jc w:val="left"/>
            </w:pPr>
            <w:r>
              <w:t xml:space="preserve">keine Angabe im Abstract</w:t>
            </w:r>
          </w:p>
        </w:tc>
      </w:tr>
      <w:tr>
        <w:tc>
          <w:tcPr/>
          <w:p>
            <w:pPr>
              <w:pStyle w:val="Compact"/>
              <w:jc w:val="left"/>
            </w:pPr>
            <w:r>
              <w:t xml:space="preserve">Dulaglutid</w:t>
            </w:r>
          </w:p>
        </w:tc>
        <w:tc>
          <w:tcPr/>
          <w:p>
            <w:pPr>
              <w:pStyle w:val="Compact"/>
              <w:jc w:val="left"/>
            </w:pPr>
            <w:r>
              <w:t xml:space="preserve">REWIND (Gerstein 2019), PMID 31189511</w:t>
            </w:r>
          </w:p>
        </w:tc>
        <w:tc>
          <w:tcPr/>
          <w:p>
            <w:pPr>
              <w:pStyle w:val="Compact"/>
              <w:jc w:val="left"/>
            </w:pPr>
            <w:r>
              <w:t xml:space="preserve">47,4 % vs. 34,1 %</w:t>
            </w:r>
          </w:p>
        </w:tc>
        <w:tc>
          <w:tcPr/>
          <w:p>
            <w:pPr>
              <w:pStyle w:val="Compact"/>
              <w:jc w:val="left"/>
            </w:pPr>
            <w:r>
              <w:t xml:space="preserve">keine Angabe im Abstract</w:t>
            </w:r>
          </w:p>
        </w:tc>
      </w:tr>
      <w:tr>
        <w:tc>
          <w:tcPr/>
          <w:p>
            <w:pPr>
              <w:pStyle w:val="Compact"/>
              <w:jc w:val="left"/>
            </w:pPr>
            <w:r>
              <w:t xml:space="preserve">Semaglutid 2,4 mg</w:t>
            </w:r>
          </w:p>
        </w:tc>
        <w:tc>
          <w:tcPr/>
          <w:p>
            <w:pPr>
              <w:pStyle w:val="Compact"/>
              <w:jc w:val="left"/>
            </w:pPr>
            <w:r>
              <w:t xml:space="preserve">STEP 1 (Wilding 2021), PMID 33567185</w:t>
            </w:r>
          </w:p>
        </w:tc>
        <w:tc>
          <w:tcPr/>
          <w:p>
            <w:pPr>
              <w:pStyle w:val="Compact"/>
              <w:jc w:val="left"/>
            </w:pPr>
            <w:r>
              <w:t xml:space="preserve">am häufigsten Übelkeit und Durchfall</w:t>
            </w:r>
          </w:p>
        </w:tc>
        <w:tc>
          <w:tcPr/>
          <w:p>
            <w:pPr>
              <w:pStyle w:val="Compact"/>
              <w:jc w:val="left"/>
            </w:pPr>
            <w:r>
              <w:t xml:space="preserve">wegen Magen-Darm-Beschwerden 4,5 % vs. 0,8 %</w:t>
            </w:r>
          </w:p>
        </w:tc>
      </w:tr>
      <w:tr>
        <w:tc>
          <w:tcPr/>
          <w:p>
            <w:pPr>
              <w:pStyle w:val="Compact"/>
              <w:jc w:val="left"/>
            </w:pPr>
            <w:r>
              <w:t xml:space="preserve">Semaglutid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 vs. 8,2 % (über gut drei Jahre)</w:t>
            </w:r>
          </w:p>
        </w:tc>
      </w:tr>
      <w:tr>
        <w:tc>
          <w:tcPr/>
          <w:p>
            <w:pPr>
              <w:pStyle w:val="Compact"/>
              <w:jc w:val="left"/>
            </w:pPr>
            <w:r>
              <w:t xml:space="preserve">Tirzepatid</w:t>
            </w:r>
          </w:p>
        </w:tc>
        <w:tc>
          <w:tcPr/>
          <w:p>
            <w:pPr>
              <w:pStyle w:val="Compact"/>
              <w:jc w:val="left"/>
            </w:pPr>
            <w:r>
              <w:t xml:space="preserve">SURMOUNT-1 (Jastreboff 2022), PMID 35658024</w:t>
            </w:r>
          </w:p>
        </w:tc>
        <w:tc>
          <w:tcPr/>
          <w:p>
            <w:pPr>
              <w:pStyle w:val="Compact"/>
              <w:jc w:val="left"/>
            </w:pPr>
            <w:r>
              <w:t xml:space="preserve">am häufigsten, meist in der Aufdosierung</w:t>
            </w:r>
          </w:p>
        </w:tc>
        <w:tc>
          <w:tcPr/>
          <w:p>
            <w:pPr>
              <w:pStyle w:val="Compact"/>
              <w:jc w:val="left"/>
            </w:pPr>
            <w:r>
              <w:t xml:space="preserve">4,3–7,1 % vs. 2,6 %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 vs. 39,9 %</w:t>
            </w:r>
          </w:p>
        </w:tc>
        <w:tc>
          <w:tcPr/>
          <w:p>
            <w:pPr>
              <w:pStyle w:val="Compact"/>
              <w:jc w:val="left"/>
            </w:pPr>
            <w:r>
              <w:t xml:space="preserve">keine Angabe im Abstract</w:t>
            </w:r>
          </w:p>
        </w:tc>
      </w:tr>
      <w:tr>
        <w:tc>
          <w:tcPr/>
          <w:p>
            <w:pPr>
              <w:pStyle w:val="Compact"/>
              <w:jc w:val="left"/>
            </w:pPr>
            <w:r>
              <w:t xml:space="preserve">Retatrutid</w:t>
            </w:r>
          </w:p>
        </w:tc>
        <w:tc>
          <w:tcPr/>
          <w:p>
            <w:pPr>
              <w:pStyle w:val="Compact"/>
              <w:jc w:val="left"/>
            </w:pPr>
            <w:r>
              <w:t xml:space="preserve">TRIUMPH-2 (Bellido 2026), PMID 42810372</w:t>
            </w:r>
          </w:p>
        </w:tc>
        <w:tc>
          <w:tcPr/>
          <w:p>
            <w:pPr>
              <w:pStyle w:val="Compact"/>
              <w:jc w:val="left"/>
            </w:pPr>
            <w:r>
              <w:t xml:space="preserve">Durchfall 27–34 %, Übelkeit 14–28 % (Placebo 13 % bzw. 8 %)</w:t>
            </w:r>
          </w:p>
        </w:tc>
        <w:tc>
          <w:tcPr/>
          <w:p>
            <w:pPr>
              <w:pStyle w:val="Compact"/>
              <w:jc w:val="left"/>
            </w:pPr>
            <w:r>
              <w:t xml:space="preserve">4–12 % vs. 5 % (inkl. Todesfälle)</w:t>
            </w:r>
          </w:p>
        </w:tc>
      </w:tr>
      <w:tr>
        <w:tc>
          <w:tcPr/>
          <w:p>
            <w:pPr>
              <w:pStyle w:val="Compact"/>
              <w:jc w:val="left"/>
            </w:pPr>
            <w:r>
              <w:t xml:space="preserve">Survodutid</w:t>
            </w:r>
          </w:p>
        </w:tc>
        <w:tc>
          <w:tcPr/>
          <w:p>
            <w:pPr>
              <w:pStyle w:val="Compact"/>
              <w:jc w:val="left"/>
            </w:pPr>
            <w:r>
              <w:t xml:space="preserve">SYNCHRONIZE-1 (le Roux 2026), PMID 42253238</w:t>
            </w:r>
          </w:p>
        </w:tc>
        <w:tc>
          <w:tcPr/>
          <w:p>
            <w:pPr>
              <w:pStyle w:val="Compact"/>
              <w:jc w:val="left"/>
            </w:pPr>
            <w:r>
              <w:t xml:space="preserve">80,9 / 89,7 % vs. 47,9 %</w:t>
            </w:r>
          </w:p>
        </w:tc>
        <w:tc>
          <w:tcPr/>
          <w:p>
            <w:pPr>
              <w:pStyle w:val="Compact"/>
              <w:jc w:val="left"/>
            </w:pPr>
            <w:r>
              <w:t xml:space="preserve">keine Angabe im Abstract</w:t>
            </w:r>
          </w:p>
        </w:tc>
      </w:tr>
      <w:tr>
        <w:tc>
          <w:tcPr/>
          <w:p>
            <w:pPr>
              <w:pStyle w:val="Compact"/>
              <w:jc w:val="left"/>
            </w:pPr>
            <w:r>
              <w:t xml:space="preserve">Mazdutid</w:t>
            </w:r>
          </w:p>
        </w:tc>
        <w:tc>
          <w:tcPr/>
          <w:p>
            <w:pPr>
              <w:pStyle w:val="Compact"/>
              <w:jc w:val="left"/>
            </w:pPr>
            <w:r>
              <w:t xml:space="preserve">GLORY-1 (Ji 2025), PMID 40421736</w:t>
            </w:r>
          </w:p>
        </w:tc>
        <w:tc>
          <w:tcPr/>
          <w:p>
            <w:pPr>
              <w:pStyle w:val="Compact"/>
              <w:jc w:val="left"/>
            </w:pPr>
            <w:r>
              <w:t xml:space="preserve">häufigste Nebenwirkung</w:t>
            </w:r>
          </w:p>
        </w:tc>
        <w:tc>
          <w:tcPr/>
          <w:p>
            <w:pPr>
              <w:pStyle w:val="Compact"/>
              <w:jc w:val="left"/>
            </w:pPr>
            <w:r>
              <w:t xml:space="preserve">0,5–1,5 % vs. 1,0 %</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häufigste Nebenwirkung</w:t>
            </w:r>
          </w:p>
        </w:tc>
        <w:tc>
          <w:tcPr/>
          <w:p>
            <w:pPr>
              <w:pStyle w:val="Compact"/>
              <w:jc w:val="left"/>
            </w:pPr>
            <w:r>
              <w:t xml:space="preserve">5,3–10,3 % vs. 2,7 %</w:t>
            </w:r>
          </w:p>
        </w:tc>
      </w:tr>
    </w:tbl>
    <w:p>
      <w:pPr>
        <w:pStyle w:val="BodyText"/>
      </w:pPr>
      <w:r>
        <w:t xml:space="preserve">Einige Beobachtungen:</w:t>
      </w:r>
    </w:p>
    <w:p>
      <w:pPr>
        <w:numPr>
          <w:ilvl w:val="0"/>
          <w:numId w:val="1328"/>
        </w:numPr>
        <w:pStyle w:val="Compact"/>
      </w:pPr>
      <w:r>
        <w:rPr>
          <w:bCs/>
          <w:b/>
        </w:rPr>
        <w:t xml:space="preserve">Wochenpräparate werden meist besser vertragen als ältere Formen.</w:t>
      </w:r>
      <w:r>
        <w:t xml:space="preserve"> </w:t>
      </w:r>
      <w:r>
        <w:t xml:space="preserve">In DURATION-6 hatten 9 % unter wöchentlichem Exenatid Übelkeit, 21 % unter täglichem Liraglutid (Buse 2013, PMID 23141817). In STEP 8 beendeten 27,6 % die Behandlung mit Liraglutid vorzeitig, aus welchem Grund auch immer, gegenüber 13,5 % mit Semaglutid; Magen-Darm-Beschwerden waren in beiden Gruppen ähnlich häufig (82,7 % vs. 84,1 %) (Rubino 2022, PMID 35015037).</w:t>
      </w:r>
    </w:p>
    <w:p>
      <w:pPr>
        <w:numPr>
          <w:ilvl w:val="0"/>
          <w:numId w:val="1328"/>
        </w:numPr>
        <w:pStyle w:val="Compact"/>
      </w:pPr>
      <w:r>
        <w:rPr>
          <w:bCs/>
          <w:b/>
        </w:rPr>
        <w:t xml:space="preserve">Höhere Wirksamkeit geht nicht zwingend mit mehr Beschwerden einher.</w:t>
      </w:r>
      <w:r>
        <w:t xml:space="preserve"> </w:t>
      </w:r>
      <w:r>
        <w:t xml:space="preserve">In SURPASS-2 waren Übelkeit (17–22 % vs. 18 %) und Erbrechen (6–10 % vs. 8 %) unter Tirzepatid und Semaglutid ähnlich häufig; schwere unerwünschte Ereignisse traten unter Tirzepatid bei 5–7 % gegenüber 3 % auf (Frías 2021, PMID 34170647). In REDEFINE 5 hatten 53 % unter CagriSema und 51 % unter Semaglutid Magen-Darm-Beschwerden (Yamauchi 2026, PMID 42009015).</w:t>
      </w:r>
    </w:p>
    <w:p>
      <w:pPr>
        <w:numPr>
          <w:ilvl w:val="0"/>
          <w:numId w:val="1328"/>
        </w:numPr>
        <w:pStyle w:val="Compact"/>
      </w:pPr>
      <w:r>
        <w:rPr>
          <w:bCs/>
          <w:b/>
        </w:rPr>
        <w:t xml:space="preserve">Bei den Mehrfach-Agonisten steigen die Abbrüche in hohen Dosen.</w:t>
      </w:r>
      <w:r>
        <w:t xml:space="preserve"> </w:t>
      </w:r>
      <w:r>
        <w:t xml:space="preserve">Unter Retatrutid traten außerdem Missempfindungen der Haut (Dysästhesie) bei 4–7 % gegenüber 1 % unter Placebo auf – ein für diese Klasse neues Signal. In einer US-amerikanischen Phase-2-Studie mit Mazdutid brachen in der höchsten Dosis 20 % wegen Nebenwirkungen ab (Hsia 2026, PMID 42628555).</w:t>
      </w:r>
    </w:p>
    <w:p>
      <w:pPr>
        <w:numPr>
          <w:ilvl w:val="0"/>
          <w:numId w:val="1328"/>
        </w:numPr>
        <w:pStyle w:val="Compact"/>
      </w:pPr>
      <w:r>
        <w:rPr>
          <w:bCs/>
          <w:b/>
        </w:rPr>
        <w:t xml:space="preserve">Langzeitstudien zeigen höhere Abbruchraten als kurze Studien.</w:t>
      </w:r>
      <w:r>
        <w:t xml:space="preserve"> </w:t>
      </w:r>
      <w:r>
        <w:t xml:space="preserve">Die 16,6 % in SELECT über mehr als drei Jahre sind ein realistischerer Anhaltspunkt für die Dauerbehandlung als die Werte aus 68- oder 72-wöchigen Zulassungsstudien.</w:t>
      </w:r>
    </w:p>
    <w:p>
      <w:pPr>
        <w:pStyle w:val="FirstParagraph"/>
      </w:pPr>
      <w:r>
        <w:rPr>
          <w:bCs/>
          <w:b/>
        </w:rPr>
        <w:t xml:space="preserve">Klassenrisiken, die alle Wirkstoffe betreffen:</w:t>
      </w:r>
    </w:p>
    <w:p>
      <w:pPr>
        <w:numPr>
          <w:ilvl w:val="0"/>
          <w:numId w:val="1329"/>
        </w:numPr>
        <w:pStyle w:val="Compact"/>
      </w:pPr>
      <w:r>
        <w:rPr>
          <w:bCs/>
          <w:b/>
        </w:rPr>
        <w:t xml:space="preserve">Gallenblase:</w:t>
      </w:r>
      <w:r>
        <w:t xml:space="preserve"> </w:t>
      </w:r>
      <w:r>
        <w:t xml:space="preserve">Eine Meta-Analyse von 76 randomisierten Studien mit 103.371 Teilnehmenden fand ein um 37 % erhöhtes Risiko für Gallenblasen- und Gallenwegserkrankungen, in Studien zur Gewichtsabnahme ein mehr als doppelt so hohes (relatives Risiko 2,29; He 2022, PMID 35344001).</w:t>
      </w:r>
    </w:p>
    <w:p>
      <w:pPr>
        <w:numPr>
          <w:ilvl w:val="0"/>
          <w:numId w:val="1329"/>
        </w:numPr>
        <w:pStyle w:val="Compact"/>
      </w:pPr>
      <w:r>
        <w:rPr>
          <w:bCs/>
          <w:b/>
        </w:rPr>
        <w:t xml:space="preserve">Bauchspeicheldrüse:</w:t>
      </w:r>
      <w:r>
        <w:t xml:space="preserve"> </w:t>
      </w:r>
      <w:r>
        <w:t xml:space="preserve">In der Meta-Analyse der Endpunktstudien kein erhöhtes Risiko für Pankreatitis oder Bauchspeicheldrüsenkrebs (Kristensen 2019, PMID 31422062); in Versicherungsdaten ein Signal bei Anwendung zur Gewichtsabnahme (Sodhi 2023, PMID 37796527).</w:t>
      </w:r>
    </w:p>
    <w:p>
      <w:pPr>
        <w:numPr>
          <w:ilvl w:val="0"/>
          <w:numId w:val="1329"/>
        </w:numPr>
        <w:pStyle w:val="Compact"/>
      </w:pPr>
      <w:r>
        <w:rPr>
          <w:bCs/>
          <w:b/>
        </w:rPr>
        <w:t xml:space="preserve">Schilddrüse:</w:t>
      </w:r>
      <w:r>
        <w:t xml:space="preserve"> </w:t>
      </w:r>
      <w:r>
        <w:t xml:space="preserve">C-Zell-Tumoren bei Nagetieren; beim Menschen ein Signal in Meta-Analysen und Beobachtungsstudien (Silverii 2025, PMID 40437949), dessen Bedeutung umstritten ist.</w:t>
      </w:r>
    </w:p>
    <w:p>
      <w:pPr>
        <w:numPr>
          <w:ilvl w:val="0"/>
          <w:numId w:val="1329"/>
        </w:numPr>
        <w:pStyle w:val="Compact"/>
      </w:pPr>
      <w:r>
        <w:rPr>
          <w:bCs/>
          <w:b/>
        </w:rPr>
        <w:t xml:space="preserve">Augen:</w:t>
      </w:r>
      <w:r>
        <w:t xml:space="preserve"> </w:t>
      </w:r>
      <w:r>
        <w:t xml:space="preserve">Verschlechterung einer bestehenden diabetischen Netzhauterkrankung in SUSTAIN 6 (HR 1,76; Marso 2016, PMID 27633186); seltenes Signal für eine Durchblutungsstörung des Sehnervs (NAION) in Beobachtungsstudien (Simonsen 2025, PMID 40098249).</w:t>
      </w:r>
    </w:p>
    <w:p>
      <w:pPr>
        <w:numPr>
          <w:ilvl w:val="0"/>
          <w:numId w:val="1329"/>
        </w:numPr>
        <w:pStyle w:val="Compact"/>
      </w:pPr>
      <w:r>
        <w:rPr>
          <w:bCs/>
          <w:b/>
        </w:rPr>
        <w:t xml:space="preserve">Muskelmasse:</w:t>
      </w:r>
      <w:r>
        <w:t xml:space="preserve"> </w:t>
      </w:r>
      <w:r>
        <w:t xml:space="preserve">Etwa ein Viertel des verlorenen Gewichts ist fettfreie Masse, im gleichen Verhältnis wie bei anderer Gewichtsabnahme (Look 2025, PMID 39996356).</w:t>
      </w:r>
    </w:p>
    <w:bookmarkEnd w:id="954"/>
    <w:bookmarkStart w:id="955" w:name="direktvergleichsstudien"/>
    <w:p>
      <w:pPr>
        <w:pStyle w:val="Heading3"/>
      </w:pPr>
      <w:r>
        <w:t xml:space="preserve">Direktvergleichsstudien</w:t>
      </w:r>
    </w:p>
    <w:p>
      <w:pPr>
        <w:pStyle w:val="FirstParagraph"/>
      </w:pPr>
      <w:r>
        <w:t xml:space="preserve">Die folgende Tabelle enthält randomisierte Studien, in denen zwei Wirkstoffe der Klasse unmittelbar gegeneinander antraten. Nur hier sind Unterschiede zwischen den Wirkstoffen methodisch sauber belegt. Viele dieser Studien waren offen (nicht verblindet) und vom Hersteller des neueren Wirkstoffs finanziert, und nicht immer wurde die höchste zugelassene Dosis des Vergleichspräparats verwendet.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Vergleich</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SURMOUNT-5 (Aronne 2025), PMID 40353578</w:t>
            </w:r>
          </w:p>
        </w:tc>
        <w:tc>
          <w:tcPr/>
          <w:p>
            <w:pPr>
              <w:pStyle w:val="Compact"/>
              <w:jc w:val="left"/>
            </w:pPr>
            <w:r>
              <w:t xml:space="preserve">Tirzepatid vs. Semaglutid 2,4 mg, Adipositas, offen</w:t>
            </w:r>
          </w:p>
        </w:tc>
        <w:tc>
          <w:tcPr/>
          <w:p>
            <w:pPr>
              <w:pStyle w:val="Compact"/>
              <w:jc w:val="left"/>
            </w:pPr>
            <w:r>
              <w:t xml:space="preserve">72 Wochen</w:t>
            </w:r>
          </w:p>
        </w:tc>
        <w:tc>
          <w:tcPr/>
          <w:p>
            <w:pPr>
              <w:pStyle w:val="Compact"/>
              <w:jc w:val="left"/>
            </w:pPr>
            <w:r>
              <w:t xml:space="preserve">Gewicht −20,2 % vs. −13,7 %</w:t>
            </w:r>
          </w:p>
        </w:tc>
      </w:tr>
      <w:tr>
        <w:tc>
          <w:tcPr/>
          <w:p>
            <w:pPr>
              <w:pStyle w:val="Compact"/>
              <w:jc w:val="left"/>
            </w:pPr>
            <w:r>
              <w:t xml:space="preserve">STEP 8 (Rubino 2022), PMID 35015037</w:t>
            </w:r>
          </w:p>
        </w:tc>
        <w:tc>
          <w:tcPr/>
          <w:p>
            <w:pPr>
              <w:pStyle w:val="Compact"/>
              <w:jc w:val="left"/>
            </w:pPr>
            <w:r>
              <w:t xml:space="preserve">Semaglutid 2,4 mg vs. Liraglutid 3,0 mg, Adipositas</w:t>
            </w:r>
          </w:p>
        </w:tc>
        <w:tc>
          <w:tcPr/>
          <w:p>
            <w:pPr>
              <w:pStyle w:val="Compact"/>
              <w:jc w:val="left"/>
            </w:pPr>
            <w:r>
              <w:t xml:space="preserve">68 Wochen</w:t>
            </w:r>
          </w:p>
        </w:tc>
        <w:tc>
          <w:tcPr/>
          <w:p>
            <w:pPr>
              <w:pStyle w:val="Compact"/>
              <w:jc w:val="left"/>
            </w:pPr>
            <w:r>
              <w:t xml:space="preserve">Gewicht −15,8 % vs. −6,4 %</w:t>
            </w:r>
          </w:p>
        </w:tc>
      </w:tr>
      <w:tr>
        <w:tc>
          <w:tcPr/>
          <w:p>
            <w:pPr>
              <w:pStyle w:val="Compact"/>
              <w:jc w:val="left"/>
            </w:pPr>
            <w:r>
              <w:t xml:space="preserve">REDEFINE 5 (Yamauchi 2026), PMID 42009015</w:t>
            </w:r>
          </w:p>
        </w:tc>
        <w:tc>
          <w:tcPr/>
          <w:p>
            <w:pPr>
              <w:pStyle w:val="Compact"/>
              <w:jc w:val="left"/>
            </w:pPr>
            <w:r>
              <w:t xml:space="preserve">CagriSema vs. Semaglutid 2,4 mg, Japan und Taiwan, verblindet</w:t>
            </w:r>
          </w:p>
        </w:tc>
        <w:tc>
          <w:tcPr/>
          <w:p>
            <w:pPr>
              <w:pStyle w:val="Compact"/>
              <w:jc w:val="left"/>
            </w:pPr>
            <w:r>
              <w:t xml:space="preserve">68 Wochen</w:t>
            </w:r>
          </w:p>
        </w:tc>
        <w:tc>
          <w:tcPr/>
          <w:p>
            <w:pPr>
              <w:pStyle w:val="Compact"/>
              <w:jc w:val="left"/>
            </w:pPr>
            <w:r>
              <w:t xml:space="preserve">Gewicht −18,4 % vs. −11,9 %</w:t>
            </w:r>
          </w:p>
        </w:tc>
      </w:tr>
      <w:tr>
        <w:tc>
          <w:tcPr/>
          <w:p>
            <w:pPr>
              <w:pStyle w:val="Compact"/>
              <w:jc w:val="left"/>
            </w:pPr>
            <w:r>
              <w:t xml:space="preserve">SURPASS-2 (Frías 2021), PMID 34170647</w:t>
            </w:r>
          </w:p>
        </w:tc>
        <w:tc>
          <w:tcPr/>
          <w:p>
            <w:pPr>
              <w:pStyle w:val="Compact"/>
              <w:jc w:val="left"/>
            </w:pPr>
            <w:r>
              <w:t xml:space="preserve">Tirzepatid vs. Semaglutid 1 mg, Typ-2-Diabetes, offen</w:t>
            </w:r>
          </w:p>
        </w:tc>
        <w:tc>
          <w:tcPr/>
          <w:p>
            <w:pPr>
              <w:pStyle w:val="Compact"/>
              <w:jc w:val="left"/>
            </w:pPr>
            <w:r>
              <w:t xml:space="preserve">40 Wochen</w:t>
            </w:r>
          </w:p>
        </w:tc>
        <w:tc>
          <w:tcPr/>
          <w:p>
            <w:pPr>
              <w:pStyle w:val="Compact"/>
              <w:jc w:val="left"/>
            </w:pPr>
            <w:r>
              <w:t xml:space="preserve">HbA1c −2,01 bis −2,30 vs. −1,86; Gewicht zusätzlich −1,9 bis −5,5 kg</w:t>
            </w:r>
          </w:p>
        </w:tc>
      </w:tr>
      <w:tr>
        <w:tc>
          <w:tcPr/>
          <w:p>
            <w:pPr>
              <w:pStyle w:val="Compact"/>
              <w:jc w:val="left"/>
            </w:pPr>
            <w:r>
              <w:t xml:space="preserve">REIMAGINE 2 (Buse 2026), PMID 42251859</w:t>
            </w:r>
          </w:p>
        </w:tc>
        <w:tc>
          <w:tcPr/>
          <w:p>
            <w:pPr>
              <w:pStyle w:val="Compact"/>
              <w:jc w:val="left"/>
            </w:pPr>
            <w:r>
              <w:t xml:space="preserve">CagriSema vs. Semaglutid 2,4 mg, Typ-2-Diabetes</w:t>
            </w:r>
          </w:p>
        </w:tc>
        <w:tc>
          <w:tcPr/>
          <w:p>
            <w:pPr>
              <w:pStyle w:val="Compact"/>
              <w:jc w:val="left"/>
            </w:pPr>
            <w:r>
              <w:t xml:space="preserve">68 Wochen</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Semaglutid-Tablette, offen</w:t>
            </w:r>
          </w:p>
        </w:tc>
        <w:tc>
          <w:tcPr/>
          <w:p>
            <w:pPr>
              <w:pStyle w:val="Compact"/>
              <w:jc w:val="left"/>
            </w:pPr>
            <w:r>
              <w:t xml:space="preserve">52 Wochen</w:t>
            </w:r>
          </w:p>
        </w:tc>
        <w:tc>
          <w:tcPr/>
          <w:p>
            <w:pPr>
              <w:pStyle w:val="Compact"/>
              <w:jc w:val="left"/>
            </w:pPr>
            <w:r>
              <w:t xml:space="preserve">HbA1c −1,91 vs. −1,47 (jeweils höhere Dosis)</w:t>
            </w:r>
          </w:p>
        </w:tc>
      </w:tr>
      <w:tr>
        <w:tc>
          <w:tcPr/>
          <w:p>
            <w:pPr>
              <w:pStyle w:val="Compact"/>
              <w:jc w:val="left"/>
            </w:pPr>
            <w:r>
              <w:t xml:space="preserve">SUSTAIN 7 (Pratley 2018), PMID 29397376</w:t>
            </w:r>
          </w:p>
        </w:tc>
        <w:tc>
          <w:tcPr/>
          <w:p>
            <w:pPr>
              <w:pStyle w:val="Compact"/>
              <w:jc w:val="left"/>
            </w:pPr>
            <w:r>
              <w:t xml:space="preserve">Semaglutid vs. Dulaglutid</w:t>
            </w:r>
          </w:p>
        </w:tc>
        <w:tc>
          <w:tcPr/>
          <w:p>
            <w:pPr>
              <w:pStyle w:val="Compact"/>
              <w:jc w:val="left"/>
            </w:pPr>
            <w:r>
              <w:t xml:space="preserve">40 Wochen</w:t>
            </w:r>
          </w:p>
        </w:tc>
        <w:tc>
          <w:tcPr/>
          <w:p>
            <w:pPr>
              <w:pStyle w:val="Compact"/>
              <w:jc w:val="left"/>
            </w:pPr>
            <w:r>
              <w:t xml:space="preserve">HbA1c −1,8 vs. −1,4; Gewicht −6,5 vs. −3,0 kg</w:t>
            </w:r>
          </w:p>
        </w:tc>
      </w:tr>
      <w:tr>
        <w:tc>
          <w:tcPr/>
          <w:p>
            <w:pPr>
              <w:pStyle w:val="Compact"/>
              <w:jc w:val="left"/>
            </w:pPr>
            <w:r>
              <w:t xml:space="preserve">SUSTAIN 10 (Capehorn 2020), PMID 31539622</w:t>
            </w:r>
          </w:p>
        </w:tc>
        <w:tc>
          <w:tcPr/>
          <w:p>
            <w:pPr>
              <w:pStyle w:val="Compact"/>
              <w:jc w:val="left"/>
            </w:pPr>
            <w:r>
              <w:t xml:space="preserve">Semaglutid 1,0 mg vs. Liraglutid 1,2 mg</w:t>
            </w:r>
          </w:p>
        </w:tc>
        <w:tc>
          <w:tcPr/>
          <w:p>
            <w:pPr>
              <w:pStyle w:val="Compact"/>
              <w:jc w:val="left"/>
            </w:pPr>
            <w:r>
              <w:t xml:space="preserve">30 Wochen</w:t>
            </w:r>
          </w:p>
        </w:tc>
        <w:tc>
          <w:tcPr/>
          <w:p>
            <w:pPr>
              <w:pStyle w:val="Compact"/>
              <w:jc w:val="left"/>
            </w:pPr>
            <w:r>
              <w:t xml:space="preserve">HbA1c −1,7 vs. −1,0; Gewicht −5,8 vs. −1,9 kg</w:t>
            </w:r>
          </w:p>
        </w:tc>
      </w:tr>
      <w:tr>
        <w:tc>
          <w:tcPr/>
          <w:p>
            <w:pPr>
              <w:pStyle w:val="Compact"/>
              <w:jc w:val="left"/>
            </w:pPr>
            <w:r>
              <w:t xml:space="preserve">SUSTAIN 3 (Ahmann 2018), PMID 29246950</w:t>
            </w:r>
          </w:p>
        </w:tc>
        <w:tc>
          <w:tcPr/>
          <w:p>
            <w:pPr>
              <w:pStyle w:val="Compact"/>
              <w:jc w:val="left"/>
            </w:pPr>
            <w:r>
              <w:t xml:space="preserve">Semaglutid vs. Exenatid wöchentlich, offen</w:t>
            </w:r>
          </w:p>
        </w:tc>
        <w:tc>
          <w:tcPr/>
          <w:p>
            <w:pPr>
              <w:pStyle w:val="Compact"/>
              <w:jc w:val="left"/>
            </w:pPr>
            <w:r>
              <w:t xml:space="preserve">56 Wochen</w:t>
            </w:r>
          </w:p>
        </w:tc>
        <w:tc>
          <w:tcPr/>
          <w:p>
            <w:pPr>
              <w:pStyle w:val="Compact"/>
              <w:jc w:val="left"/>
            </w:pPr>
            <w:r>
              <w:t xml:space="preserve">HbA1c −1,5 vs. −0,9; Gewicht −5,6 vs. −1,9 kg</w:t>
            </w:r>
          </w:p>
        </w:tc>
      </w:tr>
      <w:tr>
        <w:tc>
          <w:tcPr/>
          <w:p>
            <w:pPr>
              <w:pStyle w:val="Compact"/>
              <w:jc w:val="left"/>
            </w:pPr>
            <w:r>
              <w:t xml:space="preserve">PIONEER 4 (Pratley 2019), PMID 31186120</w:t>
            </w:r>
          </w:p>
        </w:tc>
        <w:tc>
          <w:tcPr/>
          <w:p>
            <w:pPr>
              <w:pStyle w:val="Compact"/>
              <w:jc w:val="left"/>
            </w:pPr>
            <w:r>
              <w:t xml:space="preserve">Semaglutid-Tablette vs. Liraglutid-Spritze</w:t>
            </w:r>
          </w:p>
        </w:tc>
        <w:tc>
          <w:tcPr/>
          <w:p>
            <w:pPr>
              <w:pStyle w:val="Compact"/>
              <w:jc w:val="left"/>
            </w:pPr>
            <w:r>
              <w:t xml:space="preserve">52 Wochen</w:t>
            </w:r>
          </w:p>
        </w:tc>
        <w:tc>
          <w:tcPr/>
          <w:p>
            <w:pPr>
              <w:pStyle w:val="Compact"/>
              <w:jc w:val="left"/>
            </w:pPr>
            <w:r>
              <w:t xml:space="preserve">HbA1c −1,2 vs. −1,1 (nicht unterlegen)</w:t>
            </w:r>
          </w:p>
        </w:tc>
      </w:tr>
      <w:tr>
        <w:tc>
          <w:tcPr/>
          <w:p>
            <w:pPr>
              <w:pStyle w:val="Compact"/>
              <w:jc w:val="left"/>
            </w:pPr>
            <w:r>
              <w:t xml:space="preserve">AWARD-6 (Dungan 2014), PMID 25018121</w:t>
            </w:r>
          </w:p>
        </w:tc>
        <w:tc>
          <w:tcPr/>
          <w:p>
            <w:pPr>
              <w:pStyle w:val="Compact"/>
              <w:jc w:val="left"/>
            </w:pPr>
            <w:r>
              <w:t xml:space="preserve">Dulaglutid vs. Liraglutid 1,8 mg, offen</w:t>
            </w:r>
          </w:p>
        </w:tc>
        <w:tc>
          <w:tcPr/>
          <w:p>
            <w:pPr>
              <w:pStyle w:val="Compact"/>
              <w:jc w:val="left"/>
            </w:pPr>
            <w:r>
              <w:t xml:space="preserve">26 Wochen</w:t>
            </w:r>
          </w:p>
        </w:tc>
        <w:tc>
          <w:tcPr/>
          <w:p>
            <w:pPr>
              <w:pStyle w:val="Compact"/>
              <w:jc w:val="left"/>
            </w:pPr>
            <w:r>
              <w:t xml:space="preserve">HbA1c −1,42 vs. −1,36, gleichwertig</w:t>
            </w:r>
          </w:p>
        </w:tc>
      </w:tr>
      <w:tr>
        <w:tc>
          <w:tcPr/>
          <w:p>
            <w:pPr>
              <w:pStyle w:val="Compact"/>
              <w:jc w:val="left"/>
            </w:pPr>
            <w:r>
              <w:t xml:space="preserve">DURATION-6 (Buse 2013), PMID 23141817</w:t>
            </w:r>
          </w:p>
        </w:tc>
        <w:tc>
          <w:tcPr/>
          <w:p>
            <w:pPr>
              <w:pStyle w:val="Compact"/>
              <w:jc w:val="left"/>
            </w:pPr>
            <w:r>
              <w:t xml:space="preserve">Exenatid wöchentlich vs. Liraglutid, offen</w:t>
            </w:r>
          </w:p>
        </w:tc>
        <w:tc>
          <w:tcPr/>
          <w:p>
            <w:pPr>
              <w:pStyle w:val="Compact"/>
              <w:jc w:val="left"/>
            </w:pPr>
            <w:r>
              <w:t xml:space="preserve">26 Wochen</w:t>
            </w:r>
          </w:p>
        </w:tc>
        <w:tc>
          <w:tcPr/>
          <w:p>
            <w:pPr>
              <w:pStyle w:val="Compact"/>
              <w:jc w:val="left"/>
            </w:pPr>
            <w:r>
              <w:t xml:space="preserve">HbA1c −1,28 vs. −1,48; Nicht-Unterlegenheit verfehlt</w:t>
            </w:r>
          </w:p>
        </w:tc>
      </w:tr>
      <w:tr>
        <w:tc>
          <w:tcPr/>
          <w:p>
            <w:pPr>
              <w:pStyle w:val="Compact"/>
              <w:jc w:val="left"/>
            </w:pPr>
            <w:r>
              <w:t xml:space="preserve">DREAMS-2 (Guo 2026), PMID 41407860</w:t>
            </w:r>
          </w:p>
        </w:tc>
        <w:tc>
          <w:tcPr/>
          <w:p>
            <w:pPr>
              <w:pStyle w:val="Compact"/>
              <w:jc w:val="left"/>
            </w:pPr>
            <w:r>
              <w:t xml:space="preserve">Mazdutid vs. Dulaglutid 1,5 mg, China</w:t>
            </w:r>
          </w:p>
        </w:tc>
        <w:tc>
          <w:tcPr/>
          <w:p>
            <w:pPr>
              <w:pStyle w:val="Compact"/>
              <w:jc w:val="left"/>
            </w:pPr>
            <w:r>
              <w:t xml:space="preserve">28 Wochen</w:t>
            </w:r>
          </w:p>
        </w:tc>
        <w:tc>
          <w:tcPr/>
          <w:p>
            <w:pPr>
              <w:pStyle w:val="Compact"/>
              <w:jc w:val="left"/>
            </w:pPr>
            <w:r>
              <w:t xml:space="preserve">HbA1c zusätzlich −0,24 / −0,30</w:t>
            </w:r>
          </w:p>
        </w:tc>
      </w:tr>
      <w:tr>
        <w:tc>
          <w:tcPr/>
          <w:p>
            <w:pPr>
              <w:pStyle w:val="Compact"/>
              <w:jc w:val="left"/>
            </w:pPr>
            <w:r>
              <w:t xml:space="preserve">SURPASS-CVOT (Nicholls 2025), PMID 41406444</w:t>
            </w:r>
          </w:p>
        </w:tc>
        <w:tc>
          <w:tcPr/>
          <w:p>
            <w:pPr>
              <w:pStyle w:val="Compact"/>
              <w:jc w:val="left"/>
            </w:pPr>
            <w:r>
              <w:t xml:space="preserve">Tirzepatid vs. Dulaglutid, Herz-Kreislauf-Ereignisse</w:t>
            </w:r>
          </w:p>
        </w:tc>
        <w:tc>
          <w:tcPr/>
          <w:p>
            <w:pPr>
              <w:pStyle w:val="Compact"/>
              <w:jc w:val="left"/>
            </w:pPr>
            <w:r>
              <w:t xml:space="preserve">mehrere Jahre</w:t>
            </w:r>
          </w:p>
        </w:tc>
        <w:tc>
          <w:tcPr/>
          <w:p>
            <w:pPr>
              <w:pStyle w:val="Compact"/>
              <w:jc w:val="left"/>
            </w:pPr>
            <w:r>
              <w:t xml:space="preserve">HR 0,92, nicht unterlegen</w:t>
            </w:r>
          </w:p>
        </w:tc>
      </w:tr>
    </w:tbl>
    <w:p>
      <w:pPr>
        <w:pStyle w:val="BodyText"/>
      </w:pPr>
      <w:r>
        <w:rPr>
          <w:bCs/>
          <w:b/>
        </w:rPr>
        <w:t xml:space="preserve">Was die Direktvergleiche zeigen:</w:t>
      </w:r>
    </w:p>
    <w:p>
      <w:pPr>
        <w:numPr>
          <w:ilvl w:val="0"/>
          <w:numId w:val="1330"/>
        </w:numPr>
        <w:pStyle w:val="Compact"/>
      </w:pPr>
      <w:r>
        <w:rPr>
          <w:bCs/>
          <w:b/>
        </w:rPr>
        <w:t xml:space="preserve">Beim Gewicht ist die Rangfolge klar.</w:t>
      </w:r>
      <w:r>
        <w:t xml:space="preserve"> </w:t>
      </w:r>
      <w:r>
        <w:t xml:space="preserve">Semaglutid 2,4 mg übertraf Liraglutid 3,0 mg um 9,4 Prozentpunkte (STEP 8), Tirzepatid übertraf Semaglutid 2,4 mg um 6,5 Prozentpunkte (SURMOUNT-5), CagriSema übertraf Semaglutid 2,4 mg in Ostasien ebenfalls um 6,5 Prozentpunkte (REDEFINE 5). In SURMOUNT-5 erreichten unter Tirzepatid mehr Teilnehmende jede der Schwellen von 10, 15, 20 und 25 %, und der Taillenumfang sank um 18,4 cm gegenüber 13,0 cm.</w:t>
      </w:r>
    </w:p>
    <w:p>
      <w:pPr>
        <w:numPr>
          <w:ilvl w:val="0"/>
          <w:numId w:val="1330"/>
        </w:numPr>
        <w:pStyle w:val="Compact"/>
      </w:pPr>
      <w:r>
        <w:rPr>
          <w:bCs/>
          <w:b/>
        </w:rPr>
        <w:t xml:space="preserve">Beim Blutzucker sind die Abstände kleiner.</w:t>
      </w:r>
      <w:r>
        <w:t xml:space="preserve"> </w:t>
      </w:r>
      <w:r>
        <w:t xml:space="preserve">Zwischen den wöchentlichen GLP-1-Agonisten liegen meist nur Zehntelpunkte; Tirzepatid senkte den HbA1c-Wert in SURPASS-2 um 0,15 bis 0,45 Prozentpunkte stärker als Semaglutid 1 mg.</w:t>
      </w:r>
    </w:p>
    <w:p>
      <w:pPr>
        <w:numPr>
          <w:ilvl w:val="0"/>
          <w:numId w:val="1330"/>
        </w:numPr>
        <w:pStyle w:val="Compact"/>
      </w:pPr>
      <w:r>
        <w:rPr>
          <w:bCs/>
          <w:b/>
        </w:rPr>
        <w:t xml:space="preserve">Bei harten Endpunkten gibt es bisher nur einen Direktvergleich.</w:t>
      </w:r>
      <w:r>
        <w:t xml:space="preserve"> </w:t>
      </w:r>
      <w:r>
        <w:t xml:space="preserve">SURPASS-CVOT zeigte, dass Tirzepatid Dulaglutid nicht unterlegen ist; eine Überlegenheit wurde nicht nachgewiesen.</w:t>
      </w:r>
    </w:p>
    <w:p>
      <w:pPr>
        <w:numPr>
          <w:ilvl w:val="0"/>
          <w:numId w:val="1330"/>
        </w:numPr>
        <w:pStyle w:val="Compact"/>
      </w:pPr>
      <w:r>
        <w:rPr>
          <w:bCs/>
          <w:b/>
        </w:rPr>
        <w:t xml:space="preserve">Die Einschränkungen sind erheblich.</w:t>
      </w:r>
      <w:r>
        <w:t xml:space="preserve"> </w:t>
      </w:r>
      <w:r>
        <w:t xml:space="preserve">SURMOUNT-5 und SURPASS-2 waren offen und vom Hersteller des Tirzepatids finanziert; SURPASS-2 verwendete Semaglutid nur in der Dosis von 1 mg. REDEFINE 5 wurde ausschließlich in Japan und Taiwan durchgeführt. Die Unterschiede in SURMOUNT-5 sind allerdings so groß, dass sie sich kaum allein durch diese Schwächen erklären lassen.</w:t>
      </w:r>
    </w:p>
    <w:p>
      <w:pPr>
        <w:pStyle w:val="FirstParagraph"/>
      </w:pPr>
      <w:r>
        <w:rPr>
          <w:bCs/>
          <w:b/>
        </w:rPr>
        <w:t xml:space="preserve">Noch ausstehend (registrierte Studien):</w:t>
      </w:r>
      <w:r>
        <w:t xml:space="preserve"> </w:t>
      </w:r>
      <w:r>
        <w:t xml:space="preserve">Der direkte Vergleich von Retatrutid mit Tirzepatid bei 800 Erwachsenen mit Adipositas (NCT06662383) soll Ende 2026 abgeschlossen sein. Die Vergleichsstudie von CagriSema gegen Tirzepatid bei Adipositas (REDEFINE 4, NCT06131437) ist laut Register abgeschlossen, eine begutachtete Veröffentlichung lag bei Redaktionsschluss nicht vor. Mazdutid wird in China gegen Semaglutid geprüft (NCT06184568, NCT06884293).</w:t>
      </w:r>
    </w:p>
    <w:bookmarkEnd w:id="955"/>
    <w:bookmarkStart w:id="956" w:name="fazit-58"/>
    <w:p>
      <w:pPr>
        <w:pStyle w:val="Heading3"/>
      </w:pPr>
      <w:r>
        <w:t xml:space="preserve">Fazit</w:t>
      </w:r>
    </w:p>
    <w:p>
      <w:pPr>
        <w:pStyle w:val="FirstParagraph"/>
      </w:pPr>
      <w:r>
        <w:t xml:space="preserve">Die Inkretin-Medikamente bilden eine klare Stufenfolge: Beim Gewichtsverlust reichen die Mittelwerte der Zulassungsstudien von rund 8 % (Liraglutid) über knapp 15 % (Semaglutid 2,4 mg) und rund 20 % (Tirzepatid, CagriSema) bis 25 % (Retatrutid), wobei die Direktvergleiche diese Reihenfolge für die bisher verglichenen Paare bestätigen. Für Herz und Niere ist der Nutzen bisher nur für die älteren GLP-1-Agonisten und Semaglutid in placebokontrollierten Studien belegt; ob die stärkeren Nachfolger hier mehr leisten, ist offen. Die Nebenwirkungen sind in der ganzen Klasse ähnlich und betreffen vor allem den Magen-Darm-Trakt; die Abbruchraten steigen mit Dosis und Behandlungsdauer. Quervergleiche zwischen einzelnen Studien bleiben eine grobe Orientierung – für die Wahl eines Medikaments im Einzelfall sind Fachinformation und ärztliche Beratung maßgeblich.</w:t>
      </w:r>
    </w:p>
    <w:bookmarkEnd w:id="956"/>
    <w:bookmarkEnd w:id="957"/>
    <w:bookmarkStart w:id="973" w:name="versprechen-gegen-beweislage"/>
    <w:p>
      <w:pPr>
        <w:pStyle w:val="Heading2"/>
      </w:pPr>
      <w:r>
        <w:t xml:space="preserve">Versprechen gegen Beweislage</w:t>
      </w:r>
    </w:p>
    <w:p>
      <w:pPr>
        <w:pStyle w:val="FirstParagraph"/>
      </w:pPr>
      <w:r>
        <w:t xml:space="preserve">Wer im Internet nach Peptiden sucht, stößt schnell auf Shops, Videos und Foren, in denen bestimmte Stoffe mit großen Worten beschrieben werden: Sie sollen Sehnen reparieren, das Altern bremsen, Fett schmelzen lassen oder das Gedächtnis schärfen. Dieses Kapitel stellt solchen typischen Werbeversprechen gegenüber, was Studien am Menschen tatsächlich gezeigt haben.</w:t>
      </w:r>
    </w:p>
    <w:p>
      <w:pPr>
        <w:pStyle w:val="BodyText"/>
      </w:pPr>
      <w:r>
        <w:t xml:space="preserve">Ausgewählt wurden die Peptide, die im deutsch- und englischsprachigen Internet im Jahr 2026 am häufigsten beworben werden. Die Versprechen sind allgemein formuliert und fassen wiederkehrende Aussagen zusammen; sie stammen nicht von einem bestimmten Anbieter. Die Spalte „Was die Studien am Menschen zeigen“ beruht auf den Kapiteln in Teil II, in denen die Quellen ausführlich besprochen werden. Tierversuche und Laborergebnisse sind ausdrücklich als solche gekennzeichnet.</w:t>
      </w:r>
    </w:p>
    <w:p>
      <w:pPr>
        <w:pStyle w:val="BodyText"/>
      </w:pPr>
      <w:r>
        <w:t xml:space="preserve">Eine Vorbemerkung: Dass ein Nutzen nicht belegt ist, heißt nicht automatisch, dass ein Stoff unwirksam ist. Es heißt, dass niemand es weiß – auch nicht die Anbieter, die ihn verkaufen. Genauso gilt: Dass keine Nebenwirkungen veröffentlicht sind, heißt bei kaum untersuchten Stoffen nicht, dass sie sicher sind, sondern nur, dass niemand systematisch danach gesucht hat.</w:t>
      </w:r>
    </w:p>
    <w:bookmarkStart w:id="958" w:name="die-populärsten-peptide-im-faktencheck"/>
    <w:p>
      <w:pPr>
        <w:pStyle w:val="Heading3"/>
      </w:pPr>
      <w:r>
        <w:t xml:space="preserve">Die populärsten Peptide im Faktencheck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Typisches Werbeversprechen</w:t>
            </w:r>
          </w:p>
        </w:tc>
        <w:tc>
          <w:tcPr/>
          <w:p>
            <w:pPr>
              <w:pStyle w:val="Compact"/>
              <w:jc w:val="left"/>
            </w:pPr>
            <w:r>
              <w:t xml:space="preserve">Was die Studien am Menschen zeigen</w:t>
            </w:r>
          </w:p>
        </w:tc>
        <w:tc>
          <w:tcPr/>
          <w:p>
            <w:pPr>
              <w:pStyle w:val="Compact"/>
              <w:jc w:val="left"/>
            </w:pPr>
            <w:r>
              <w:t xml:space="preserve">Evidenz</w:t>
            </w:r>
          </w:p>
        </w:tc>
      </w:tr>
      <w:tr>
        <w:tc>
          <w:tcPr/>
          <w:p>
            <w:pPr>
              <w:pStyle w:val="Compact"/>
              <w:jc w:val="left"/>
            </w:pPr>
            <w:r>
              <w:t xml:space="preserve">BPC-157</w:t>
            </w:r>
          </w:p>
        </w:tc>
        <w:tc>
          <w:tcPr/>
          <w:p>
            <w:pPr>
              <w:pStyle w:val="Compact"/>
              <w:jc w:val="left"/>
            </w:pPr>
            <w:r>
              <w:t xml:space="preserve">Beschleunigt die Heilung von Sehnen, Bändern, Muskeln und Darm</w:t>
            </w:r>
          </w:p>
        </w:tc>
        <w:tc>
          <w:tcPr/>
          <w:p>
            <w:pPr>
              <w:pStyle w:val="Compact"/>
              <w:jc w:val="left"/>
            </w:pPr>
            <w:r>
              <w:t xml:space="preserve">Drei unkontrollierte Untersuchungen mit zusammen 30 Personen (Knie, Harnblase, Verträglichkeit); Aussagekraft laut systematischer Übersicht sehr niedrig (Poolton 2026, PMID 42885452). Die vielen positiven Ergebnisse stammen aus Tierversuchen, überwiegend einer einzigen Forschungsgruppe.</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Repariert Gewebe, Sehnen und Muskeln, macht beweglicher</w:t>
            </w:r>
          </w:p>
        </w:tc>
        <w:tc>
          <w:tcPr/>
          <w:p>
            <w:pPr>
              <w:pStyle w:val="Compact"/>
              <w:jc w:val="left"/>
            </w:pPr>
            <w:r>
              <w:t xml:space="preserve">TB-500 wurde nie in einer veröffentlichten Humanstudie geprüft. Das ganze Eiweiß Thymosin Beta-4 verkleinerte nach Herzinfarkt die Infarktgröße insgesamt nicht signifikant (Zhang 2025, PMID 41229390). Graumarkt-Produkte enthielten nicht durchgehend das Angegebene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Steigert das Wachstumshormon für Muskelaufbau, Fettabbau und Schlaf</w:t>
            </w:r>
          </w:p>
        </w:tc>
        <w:tc>
          <w:tcPr/>
          <w:p>
            <w:pPr>
              <w:pStyle w:val="Compact"/>
              <w:jc w:val="left"/>
            </w:pPr>
            <w:r>
              <w:t xml:space="preserve">Bei Gesunden stiegen Wachstumshormon und IGF-1 nach einer Einzelinjektion für ein bis zwei Wochen an (Teichman 2006, PMID 16352683). Ob daraus ein Nutzen folgt, wurde nie untersucht. Für die meist verkaufte Variante ohne „DAC“ gibt es keine Humanstudie.</w:t>
            </w:r>
          </w:p>
        </w:tc>
        <w:tc>
          <w:tcPr/>
          <w:p>
            <w:pPr>
              <w:pStyle w:val="Compact"/>
              <w:jc w:val="left"/>
            </w:pPr>
            <w:r>
              <w:t xml:space="preserve">C</w:t>
            </w:r>
          </w:p>
        </w:tc>
      </w:tr>
      <w:tr>
        <w:tc>
          <w:tcPr/>
          <w:p>
            <w:pPr>
              <w:pStyle w:val="Compact"/>
              <w:jc w:val="left"/>
            </w:pPr>
            <w:r>
              <w:t xml:space="preserve">Ipamorelin</w:t>
            </w:r>
          </w:p>
        </w:tc>
        <w:tc>
          <w:tcPr/>
          <w:p>
            <w:pPr>
              <w:pStyle w:val="Compact"/>
              <w:jc w:val="left"/>
            </w:pPr>
            <w:r>
              <w:t xml:space="preserve">Sanfter Wachstumshormon-Booster ohne Nebenwirkungen</w:t>
            </w:r>
          </w:p>
        </w:tc>
        <w:tc>
          <w:tcPr/>
          <w:p>
            <w:pPr>
              <w:pStyle w:val="Compact"/>
              <w:jc w:val="left"/>
            </w:pPr>
            <w:r>
              <w:t xml:space="preserve">Einzige veröffentlichte Wirksamkeitsstudie: 117 Personen nach Darmoperation, kein signifikanter Nutzen (Beck 2014, PMID 25331030). Zu Muskeln, Fett, Schlaf oder Alterung keine Humanstudie.</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Verlängert die Telomere und dreht die biologische Uhr zurück</w:t>
            </w:r>
          </w:p>
        </w:tc>
        <w:tc>
          <w:tcPr/>
          <w:p>
            <w:pPr>
              <w:pStyle w:val="Compact"/>
              <w:jc w:val="left"/>
            </w:pPr>
            <w:r>
              <w:t xml:space="preserve">Telomerverlängerung nur in Zellkulturen (Khavinson 2003, PMID 12937682). Bei Mäusen keine längere mittlere Lebensdauer (Anisimov 2003, PMID 14501183). Keine ausreichend große randomisierte Studie am Menschen.</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„Sport aus der Spritze“: mehr Ausdauer, weniger Fett, bessere Insulinwirkung</w:t>
            </w:r>
          </w:p>
        </w:tc>
        <w:tc>
          <w:tcPr/>
          <w:p>
            <w:pPr>
              <w:pStyle w:val="Compact"/>
              <w:jc w:val="left"/>
            </w:pPr>
            <w:r>
              <w:t xml:space="preserve">Diese Effekte zeigten sich bei Mäusen (Lee 2015, PMID 25738459). Beim Menschen gibt es nur Messungen der körpereigenen Spiegel, keine veröffentlichte Studie mit Gabe von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Steigert Konzentration, Gedächtnis und Leistungsfähigkeit</w:t>
            </w:r>
          </w:p>
        </w:tc>
        <w:tc>
          <w:tcPr/>
          <w:p>
            <w:pPr>
              <w:pStyle w:val="Compact"/>
              <w:jc w:val="left"/>
            </w:pPr>
            <w:r>
              <w:t xml:space="preserve">Kleine, überwiegend nicht randomisierte russische Studien bei Schlaganfall, etwa eine offene Studie mit 110 Personen (Gusev 2018, PMID 29798983). Für Gesunde keine aussagekräftigen Daten.</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Löst Angst ohne Müdigkeit und Abhängigkeit</w:t>
            </w:r>
          </w:p>
        </w:tc>
        <w:tc>
          <w:tcPr/>
          <w:p>
            <w:pPr>
              <w:pStyle w:val="Compact"/>
              <w:jc w:val="left"/>
            </w:pPr>
            <w:r>
              <w:t xml:space="preserve">Drei kleine russische Studien ohne Placebogruppe, darunter 62 Personen im Vergleich mit einem Benzodiazepin (Zozulia 2008, PMID 18454096). Studien zu Konzentration bei Gesunden gibt es nicht.</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Bräune ohne Sonnenbrand, mehr Lust</w:t>
            </w:r>
          </w:p>
        </w:tc>
        <w:tc>
          <w:tcPr/>
          <w:p>
            <w:pPr>
              <w:pStyle w:val="Compact"/>
              <w:jc w:val="left"/>
            </w:pPr>
            <w:r>
              <w:t xml:space="preserve">Kleine Pilotstudien aus den 1990er-Jahren mit rund zwei Dutzend Personen, häufig Übelkeit (Wessells 2000, PMID 11035391). Fallberichte über neue Muttermale, Melanome und Priapismus. Fläschchen aus Online-Shops enthielten 4,32 bis 8,84 statt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Strafft die Haut, baut Kollagen auf, fördert Haarwuchs</w:t>
            </w:r>
          </w:p>
        </w:tc>
        <w:tc>
          <w:tcPr/>
          <w:p>
            <w:pPr>
              <w:pStyle w:val="Compact"/>
              <w:jc w:val="left"/>
            </w:pPr>
            <w:r>
              <w:t xml:space="preserve">Eine ältere randomisierte Studie an diabetischen Fußgeschwüren mit positivem Ergebnis (Mulder 1994, PMID 17147644). Eine kleine Hautstudie nach Laserbehandlung fand keinen messbaren Unterschied (Miller 2006, PMID 16847171). Zu Injektionen keine Daten.</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Fettverbrennendes Fragment des Wachstumshormons</w:t>
            </w:r>
          </w:p>
        </w:tc>
        <w:tc>
          <w:tcPr/>
          <w:p>
            <w:pPr>
              <w:pStyle w:val="Compact"/>
              <w:jc w:val="left"/>
            </w:pPr>
            <w:r>
              <w:t xml:space="preserve">Bei Mäusen weniger Gewichtszunahme (Heffernan 2001, PMID 11673763). Humanstudien wurden durchgeführt, aber nie in begutachteten Fachzeitschriften veröffentlicht; die Entwicklung wurde eingestellt.</w:t>
            </w:r>
          </w:p>
        </w:tc>
        <w:tc>
          <w:tcPr/>
          <w:p>
            <w:pPr>
              <w:pStyle w:val="Compact"/>
              <w:jc w:val="left"/>
            </w:pPr>
            <w:r>
              <w:t xml:space="preserve">D</w:t>
            </w:r>
          </w:p>
        </w:tc>
      </w:tr>
      <w:tr>
        <w:tc>
          <w:tcPr/>
          <w:p>
            <w:pPr>
              <w:pStyle w:val="Compact"/>
              <w:jc w:val="left"/>
            </w:pPr>
            <w:r>
              <w:t xml:space="preserve">Kollagenpeptide</w:t>
            </w:r>
          </w:p>
        </w:tc>
        <w:tc>
          <w:tcPr/>
          <w:p>
            <w:pPr>
              <w:pStyle w:val="Compact"/>
              <w:jc w:val="left"/>
            </w:pPr>
            <w:r>
              <w:t xml:space="preserve">Straffere Haut, gesunde Gelenke, mehr Muskeln</w:t>
            </w:r>
          </w:p>
        </w:tc>
        <w:tc>
          <w:tcPr/>
          <w:p>
            <w:pPr>
              <w:pStyle w:val="Compact"/>
              <w:jc w:val="left"/>
            </w:pPr>
            <w:r>
              <w:t xml:space="preserve">Arthrose: in 35 randomisierten Studien nur kleine Effekte (PMID 38218227). Haut: ohne Industriefinanzierung kein Effekt (Myung 2025, PMID 40324552). Muskel: Molkenprotein wirkte besser als Kollagen (Oikawa 2020, PMID 31919527).</w:t>
            </w:r>
          </w:p>
        </w:tc>
        <w:tc>
          <w:tcPr/>
          <w:p>
            <w:pPr>
              <w:pStyle w:val="Compact"/>
              <w:jc w:val="left"/>
            </w:pPr>
            <w:r>
              <w:t xml:space="preserve">B</w:t>
            </w:r>
          </w:p>
        </w:tc>
      </w:tr>
      <w:tr>
        <w:tc>
          <w:tcPr/>
          <w:p>
            <w:pPr>
              <w:pStyle w:val="Compact"/>
              <w:jc w:val="left"/>
            </w:pPr>
            <w:r>
              <w:t xml:space="preserve">Glutathion</w:t>
            </w:r>
          </w:p>
        </w:tc>
        <w:tc>
          <w:tcPr/>
          <w:p>
            <w:pPr>
              <w:pStyle w:val="Compact"/>
              <w:jc w:val="left"/>
            </w:pPr>
            <w:r>
              <w:t xml:space="preserve">Entgiftet, hellt die Haut auf, stärkt das Immunsystem</w:t>
            </w:r>
          </w:p>
        </w:tc>
        <w:tc>
          <w:tcPr/>
          <w:p>
            <w:pPr>
              <w:pStyle w:val="Compact"/>
              <w:jc w:val="left"/>
            </w:pPr>
            <w:r>
              <w:t xml:space="preserve">Als Kapsel erhöhte es nach sechs Monaten die Blutspiegel (Richie 2015, PMID 24791752). Als Infusion schützte es 185 Krebspatientinnen und -patienten nicht vor Nervenschäden (Leal 2014, PMID 24619793). Infusionen zur Hautaufhellung: kein belegter Nutzen, laut Übersicht nicht vertretbar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Bildet neue Synapsen, stärker als körpereigene Wachstumsfaktoren</w:t>
            </w:r>
          </w:p>
        </w:tc>
        <w:tc>
          <w:tcPr/>
          <w:p>
            <w:pPr>
              <w:pStyle w:val="Compact"/>
              <w:jc w:val="left"/>
            </w:pPr>
            <w:r>
              <w:t xml:space="preserve">Nie am Menschen untersucht; Effekte nur bei Ratten und Mäusen (PMID 25187433). Der verwandte Wirkstoff Fosgonimeton verfehlte bei 287 Menschen mit Alzheimer alle Haupt- und Nebenziele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Stärkeres, länger wirkendes IGF-1 für Muskelwachstum</w:t>
            </w:r>
          </w:p>
        </w:tc>
        <w:tc>
          <w:tcPr/>
          <w:p>
            <w:pPr>
              <w:pStyle w:val="Compact"/>
              <w:jc w:val="left"/>
            </w:pPr>
            <w:r>
              <w:t xml:space="preserve">Keine einzige Humanstudie. Ein Schwarzmarkt-Fläschchen enthielt eine Laborvariante, die nie für Injektionen gedacht war (PMID 20675162).</w:t>
            </w:r>
          </w:p>
        </w:tc>
        <w:tc>
          <w:tcPr/>
          <w:p>
            <w:pPr>
              <w:pStyle w:val="Compact"/>
              <w:jc w:val="left"/>
            </w:pPr>
            <w:r>
              <w:t xml:space="preserve">D</w:t>
            </w:r>
          </w:p>
        </w:tc>
      </w:tr>
      <w:tr>
        <w:tc>
          <w:tcPr/>
          <w:p>
            <w:pPr>
              <w:pStyle w:val="Compact"/>
              <w:jc w:val="left"/>
            </w:pPr>
            <w:r>
              <w:t xml:space="preserve">Retatrutid vom Graumarkt</w:t>
            </w:r>
          </w:p>
        </w:tc>
        <w:tc>
          <w:tcPr/>
          <w:p>
            <w:pPr>
              <w:pStyle w:val="Compact"/>
              <w:jc w:val="left"/>
            </w:pPr>
            <w:r>
              <w:t xml:space="preserve">Das stärkste Abnehmmittel, schon heute verfügbar</w:t>
            </w:r>
          </w:p>
        </w:tc>
        <w:tc>
          <w:tcPr/>
          <w:p>
            <w:pPr>
              <w:pStyle w:val="Compact"/>
              <w:jc w:val="left"/>
            </w:pPr>
            <w:r>
              <w:t xml:space="preserve">Das Arzneimittel ist gut untersucht: In TRIUMPH-1 −25,0 % Gewicht nach 80 Wochen in der höchsten Dosis (Jastreboff 2026, PMID 42814954). Für Graumarkt-Ware gilt das nicht: nicht zugelassen, Inhalt und Reinheit ungeprüft (Rubin 2026, PMID 42853576).</w:t>
            </w:r>
          </w:p>
        </w:tc>
        <w:tc>
          <w:tcPr/>
          <w:p>
            <w:pPr>
              <w:pStyle w:val="Compact"/>
              <w:jc w:val="left"/>
            </w:pPr>
            <w:r>
              <w:t xml:space="preserve">B (Arzneimittel)</w:t>
            </w:r>
          </w:p>
        </w:tc>
      </w:tr>
    </w:tbl>
    <w:p>
      <w:pPr>
        <w:pStyle w:val="BodyText"/>
      </w:pPr>
      <w:r>
        <w:t xml:space="preserve">Anmerkung zur Tabelle: Die Evidenzstufe bezieht sich auf die beworbene Anwendung bzw. auf den Stoff, wie er verkauft wird. Für TB-500 gilt Stufe D, für das ganze Eiweiß Thymosin Beta-4 Stufe B. Bei Retatrutid bezieht sich Stufe B auf das in Studien geprüfte Arzneimittel; für Graumarkt-Produkte, deren Inhalt niemand kennt, lässt sich keine Evidenzstufe angeben.</w:t>
      </w:r>
    </w:p>
    <w:p>
      <w:pPr>
        <w:pStyle w:val="BodyText"/>
      </w:pPr>
      <w:r>
        <w:t xml:space="preserve">Das Gesamtbild: Von den 16 Stoffen hat keiner die Evidenzstufe A. Fünf haben Stufe D, sind also am Menschen gar nicht untersucht. Bei den Stoffen mit Stufe B – Ipamorelin, Kollagen, Glutathion – haben die besten Studien die Werbeversprechen nicht bestätigt oder nur kleine Effekte gefunden. Die einzige Ausnahme ist Retatrutid, dessen starke Wirkung belegt ist – aber nicht für das Produkt, das auf dem Graumarkt verkauft wird.</w:t>
      </w:r>
    </w:p>
    <w:bookmarkEnd w:id="958"/>
    <w:bookmarkStart w:id="965" w:name="sechs-muster-hinter-den-versprechen"/>
    <w:p>
      <w:pPr>
        <w:pStyle w:val="Heading3"/>
      </w:pPr>
      <w:r>
        <w:t xml:space="preserve">Sechs Muster hinter den Versprechen</w:t>
      </w:r>
    </w:p>
    <w:p>
      <w:pPr>
        <w:pStyle w:val="FirstParagraph"/>
      </w:pPr>
      <w:r>
        <w:t xml:space="preserve">Wer die Tabelle Zeile für Zeile liest, erkennt wiederkehrende Muster. Sie helfen, auch Aussagen zu Peptiden einzuordnen, die in diesem Buch nicht vorkommen.</w:t>
      </w:r>
    </w:p>
    <w:bookmarkStart w:id="959" w:name="vom-tier-auf-den-menschen"/>
    <w:p>
      <w:pPr>
        <w:pStyle w:val="Heading4"/>
      </w:pPr>
      <w:r>
        <w:t xml:space="preserve">1. Vom Tier auf den Menschen</w:t>
      </w:r>
    </w:p>
    <w:p>
      <w:pPr>
        <w:pStyle w:val="FirstParagraph"/>
      </w:pPr>
      <w:r>
        <w:t xml:space="preserve">Fast alle Versprechen zu BPC-157, TB-500, MOTS-c, Dihexa, AOD-9604 und Epitalon stützen sich auf Versuche an Ratten, Mäusen oder Zellkulturen. Solche Studien sind wichtig, um Wirkmechanismen zu verstehen. Ob ein Stoff beim Menschen genauso wirkt, sagen sie nicht voraus: Ein großer Teil der Wirkstoffe, die im Tierversuch erfolgreich sind, scheitert in Studien am Menschen. Ein aktuelles Beispiel aus diesem Buch ist das Gedächtnis-Peptid Dihexa. Bei Ratten förderte es Lernen und Synapsenbildung; der verwandte Wirkstoff Fosgonimeton, der über dasselbe Wachstumsfaktor-System wirken sollte, verfehlte in einer Studie mit 287 Menschen mit Alzheimer alle Haupt- und Nebenziele (Porsteinsson 2025, PMID 41393340).</w:t>
      </w:r>
    </w:p>
    <w:p>
      <w:pPr>
        <w:pStyle w:val="BodyText"/>
      </w:pPr>
      <w:r>
        <w:t xml:space="preserve">Hinzu kommt bei BPC-157 ein zweites Problem: Die positiven Tierstudien stammen überwiegend von einer einzigen Forschungsgruppe und wurden kaum unabhängig wiederholt.</w:t>
      </w:r>
    </w:p>
    <w:bookmarkEnd w:id="959"/>
    <w:bookmarkStart w:id="960" w:name="ein-messwert-ist-noch-kein-nutzen"/>
    <w:p>
      <w:pPr>
        <w:pStyle w:val="Heading4"/>
      </w:pPr>
      <w:r>
        <w:t xml:space="preserve">2. Ein Messwert ist noch kein Nutzen</w:t>
      </w:r>
    </w:p>
    <w:p>
      <w:pPr>
        <w:pStyle w:val="FirstParagraph"/>
      </w:pPr>
      <w:r>
        <w:t xml:space="preserve">CJC-1295 erhöht das Wachstumshormon, Epitalon aktiviert in Zellkulturen die Telomerase, Glutathion-Kapseln erhöhen den Glutathion-Spiegel im Blut. Das sind Ersatzmesswerte („Surrogat-Endpunkte“, siehe Teil I). Ob daraus etwas folgt, das für Menschen zählt – mehr Muskelkraft, längeres Leben, weniger Krankheiten –, ist eine eigene Frage, die eigene Studien braucht. Beim Wachstumshormon zeigt das Beispiel Ibutamoren, wie groß die Lücke sein kann: Bei 65 gesunden älteren Menschen stieg die fettfreie Masse über ein Jahr um 1,1 kg, Kraft und körperliche Funktion verbesserten sich aber nicht (Nass 2008, PMID 18981485).</w:t>
      </w:r>
    </w:p>
    <w:bookmarkEnd w:id="960"/>
    <w:bookmarkStart w:id="961" w:name="verwechslung-von-stoffen"/>
    <w:p>
      <w:pPr>
        <w:pStyle w:val="Heading4"/>
      </w:pPr>
      <w:r>
        <w:t xml:space="preserve">3. Verwechslung von Stoffen</w:t>
      </w:r>
    </w:p>
    <w:p>
      <w:pPr>
        <w:pStyle w:val="FirstParagraph"/>
      </w:pPr>
      <w:r>
        <w:t xml:space="preserve">Mehrere Versprechen beruhen auf Studien mit einem anderen Stoff als dem, der verkauft wird:</w:t>
      </w:r>
    </w:p>
    <w:p>
      <w:pPr>
        <w:numPr>
          <w:ilvl w:val="0"/>
          <w:numId w:val="1331"/>
        </w:numPr>
        <w:pStyle w:val="Compact"/>
      </w:pPr>
      <w:r>
        <w:rPr>
          <w:bCs/>
          <w:b/>
        </w:rPr>
        <w:t xml:space="preserve">TB-500</w:t>
      </w:r>
      <w:r>
        <w:t xml:space="preserve"> </w:t>
      </w:r>
      <w:r>
        <w:t xml:space="preserve">ist ein verändertes Bruchstück. Die Humanstudien betreffen das ganze Eiweiß Thymosin Beta-4 – und auch diese kaum Sehnen, Bänder oder Muskeln.</w:t>
      </w:r>
    </w:p>
    <w:p>
      <w:pPr>
        <w:numPr>
          <w:ilvl w:val="0"/>
          <w:numId w:val="1331"/>
        </w:numPr>
        <w:pStyle w:val="Compact"/>
      </w:pPr>
      <w:r>
        <w:rPr>
          <w:bCs/>
          <w:b/>
        </w:rPr>
        <w:t xml:space="preserve">Epitalon</w:t>
      </w:r>
      <w:r>
        <w:t xml:space="preserve"> </w:t>
      </w:r>
      <w:r>
        <w:t xml:space="preserve">ist ein synthetisches Tetrapeptid. Die oft zitierte Studie zu längerem Leben betraf den Rinder-Extrakt Epithalamin, war nicht randomisiert und wurde nie unabhängig wiederholt.</w:t>
      </w:r>
    </w:p>
    <w:p>
      <w:pPr>
        <w:numPr>
          <w:ilvl w:val="0"/>
          <w:numId w:val="1331"/>
        </w:numPr>
        <w:pStyle w:val="Compact"/>
      </w:pPr>
      <w:r>
        <w:rPr>
          <w:bCs/>
          <w:b/>
        </w:rPr>
        <w:t xml:space="preserve">CJC-1295</w:t>
      </w:r>
      <w:r>
        <w:t xml:space="preserve"> </w:t>
      </w:r>
      <w:r>
        <w:t xml:space="preserve">wird überwiegend ohne die „DAC“-Gruppe verkauft, die in den Humanstudien verwendet wurde.</w:t>
      </w:r>
    </w:p>
    <w:p>
      <w:pPr>
        <w:numPr>
          <w:ilvl w:val="0"/>
          <w:numId w:val="1331"/>
        </w:numPr>
        <w:pStyle w:val="Compact"/>
      </w:pPr>
      <w:r>
        <w:rPr>
          <w:bCs/>
          <w:b/>
        </w:rPr>
        <w:t xml:space="preserve">Retatrutid</w:t>
      </w:r>
      <w:r>
        <w:t xml:space="preserve"> </w:t>
      </w:r>
      <w:r>
        <w:t xml:space="preserve">vom Graumarkt ist nicht das Arzneimittel aus den Studien. Laboranalysen anderer Graumarkt-Peptide zeigen, dass Fläschchen oft weniger, mehr oder anderen Wirkstoff enthalten als angegeben; bei Ipamorelin und CJC-1295 fanden Labore abgewandelte, nicht deklarierte Moleküle (Gajda 2019, PMID 30136411).</w:t>
      </w:r>
    </w:p>
    <w:bookmarkEnd w:id="961"/>
    <w:bookmarkStart w:id="962" w:name="negative-studien-werden-nicht-erwähnt"/>
    <w:p>
      <w:pPr>
        <w:pStyle w:val="Heading4"/>
      </w:pPr>
      <w:r>
        <w:t xml:space="preserve">4. Negative Studien werden nicht erwähnt</w:t>
      </w:r>
    </w:p>
    <w:p>
      <w:pPr>
        <w:pStyle w:val="FirstParagraph"/>
      </w:pPr>
      <w:r>
        <w:t xml:space="preserve">Bei mehreren Peptiden gibt es durchaus randomisierte Studien – nur fanden sie keinen Nutzen. Ipamorelin verkürzte nach Darmoperationen die Zeit bis zur ersten Mahlzeit nicht signifikant (Beck 2014, PMID 25331030). Glutathion-Infusionen schützten nicht vor Nervenschäden durch Chemotherapie (Leal 2014, PMID 24619793). Bei Kollagen verschwand der Hautnutzen, sobald nur unabhängig finanzierte Studien betrachtet wurden (Myung 2025, PMID 40324552). Solche Ergebnisse tauchen in Werbetexten praktisch nie auf. Eine seriöse Darstellung nennt positive</w:t>
      </w:r>
      <w:r>
        <w:t xml:space="preserve"> </w:t>
      </w:r>
      <w:r>
        <w:rPr>
          <w:iCs/>
          <w:i/>
        </w:rPr>
        <w:t xml:space="preserve">und</w:t>
      </w:r>
      <w:r>
        <w:t xml:space="preserve"> </w:t>
      </w:r>
      <w:r>
        <w:t xml:space="preserve">negative Studien.</w:t>
      </w:r>
    </w:p>
    <w:bookmarkEnd w:id="962"/>
    <w:bookmarkStart w:id="963" w:name="kleine-studien-aus-einem-engen-umfeld"/>
    <w:p>
      <w:pPr>
        <w:pStyle w:val="Heading4"/>
      </w:pPr>
      <w:r>
        <w:t xml:space="preserve">5. Kleine Studien aus einem engen Umfeld</w:t>
      </w:r>
    </w:p>
    <w:p>
      <w:pPr>
        <w:pStyle w:val="FirstParagraph"/>
      </w:pPr>
      <w:r>
        <w:t xml:space="preserve">Semax, Selank, Epitalon und Pinealon wurden fast ausschließlich in Russland untersucht, meist von den Entwicklern selbst, in kleinen Gruppen und häufig ohne Placebovergleich. Das macht die Ergebnisse nicht automatisch falsch. Es heißt aber, dass sie nie unter den Bedingungen geprüft wurden, die heute für eine Zulassung verlangt werden: vorab registriert, verblindet, ausreichend groß und von unabhängigen Gruppen bestätigt.</w:t>
      </w:r>
    </w:p>
    <w:bookmarkEnd w:id="963"/>
    <w:bookmarkStart w:id="964" w:name="Xdb413d5c6345207551d61234198aabd4302ea29"/>
    <w:p>
      <w:pPr>
        <w:pStyle w:val="Heading4"/>
      </w:pPr>
      <w:r>
        <w:t xml:space="preserve">6. „Keine Nebenwirkungen“ heißt meist „nicht untersucht“</w:t>
      </w:r>
    </w:p>
    <w:p>
      <w:pPr>
        <w:pStyle w:val="FirstParagraph"/>
      </w:pPr>
      <w:r>
        <w:t xml:space="preserve">Die Aussage, ein Peptid sei „gut verträglich“ oder „ohne Nebenwirkungen“, stützt sich bei BPC-157 auf zusammen 30 Personen. Mit so wenigen Teilnehmenden lassen sich nur häufige, unmittelbar auftretende Probleme erkennen; eine Nebenwirkung, die eine von tausend Personen betrifft, bliebe unsichtbar. Bei Stoffen, die Wachstumssignale verstärken – Wachstumshormon-Freisetzer, IGF-1 LR3, Peptide, die Gefäßneubildung fördern –, gibt es zudem eine theoretische, aber ungeprüfte Sorge um Tumorwachstum. Bei Melanotan II beschreiben Fallberichte neue und veränderte Muttermale und Melanome; ein ursächlicher Zusammenhang ist nicht bewiesen, aber auch nicht ausgeschlossen. Dazu kommen die Risiken der Produkte selbst: In Graumarkt-Fläschchen mit Melanotan II fanden sich weniger Wirkstoff als angegeben und unbekannte Verunreinigungen (Breindahl 2015, PMID 24771717). Mehr dazu in Teil IV.</w:t>
      </w:r>
    </w:p>
    <w:bookmarkEnd w:id="964"/>
    <w:bookmarkEnd w:id="965"/>
    <w:bookmarkStart w:id="971" w:name="X5641ca42aa388a5ad07898da2955515e6b012f7"/>
    <w:p>
      <w:pPr>
        <w:pStyle w:val="Heading3"/>
      </w:pPr>
      <w:r>
        <w:t xml:space="preserve">Woran Sie seriöse von unseriösen Aussagen unterscheiden</w:t>
      </w:r>
    </w:p>
    <w:p>
      <w:pPr>
        <w:pStyle w:val="FirstParagraph"/>
      </w:pPr>
      <w:r>
        <w:t xml:space="preserve">Die folgende Checkliste hilft, Aussagen über Peptide – in Shops, Videos, Foren oder Zeitschriften – einzuordnen. Sie ersetzt keine fachliche Beratung, schärft aber den Blick dafür, wie viel hinter einer Behauptung steckt.</w:t>
      </w:r>
    </w:p>
    <w:bookmarkStart w:id="966" w:name="fragen-zur-quelle"/>
    <w:p>
      <w:pPr>
        <w:pStyle w:val="Heading4"/>
      </w:pPr>
      <w:r>
        <w:t xml:space="preserve">Fragen zur Quelle</w:t>
      </w:r>
    </w:p>
    <w:p>
      <w:pPr>
        <w:numPr>
          <w:ilvl w:val="0"/>
          <w:numId w:val="1332"/>
        </w:numPr>
        <w:pStyle w:val="Compact"/>
      </w:pPr>
      <w:r>
        <w:rPr>
          <w:bCs/>
          <w:b/>
        </w:rPr>
        <w:t xml:space="preserve">Wer spricht?</w:t>
      </w:r>
      <w:r>
        <w:t xml:space="preserve"> </w:t>
      </w:r>
      <w:r>
        <w:t xml:space="preserve">Verkauft die Person oder Seite den Stoff selbst, bietet sie Kurse, Beratungen oder Rabattcodes an? Ein finanzielles Interesse macht eine Aussage nicht falsch, ist aber ein Grund, genauer hinzusehen.</w:t>
      </w:r>
    </w:p>
    <w:p>
      <w:pPr>
        <w:numPr>
          <w:ilvl w:val="0"/>
          <w:numId w:val="1332"/>
        </w:numPr>
        <w:pStyle w:val="Compact"/>
      </w:pPr>
      <w:r>
        <w:rPr>
          <w:bCs/>
          <w:b/>
        </w:rPr>
        <w:t xml:space="preserve">Werden Studien genannt – und lassen sie sich finden?</w:t>
      </w:r>
      <w:r>
        <w:t xml:space="preserve"> </w:t>
      </w:r>
      <w:r>
        <w:t xml:space="preserve">Seriöse Aussagen nennen eine überprüfbare Quelle: eine PMID, einen DOI oder eine Registernummer (NCT). Sie können jede PMID kostenlos bei PubMed eingeben und den Abstract selbst lesen. Formulierungen wie „Studien zeigen“ ohne konkrete Angabe sind ein Warnsignal.</w:t>
      </w:r>
    </w:p>
    <w:p>
      <w:pPr>
        <w:numPr>
          <w:ilvl w:val="0"/>
          <w:numId w:val="1332"/>
        </w:numPr>
        <w:pStyle w:val="Compact"/>
      </w:pPr>
      <w:r>
        <w:rPr>
          <w:bCs/>
          <w:b/>
        </w:rPr>
        <w:t xml:space="preserve">Passt die zitierte Studie zur Aussage?</w:t>
      </w:r>
      <w:r>
        <w:t xml:space="preserve"> </w:t>
      </w:r>
      <w:r>
        <w:t xml:space="preserve">Prüfen Sie, ob die Studie wirklich den verkauften Stoff, die beworbene Anwendung und Menschen untersucht hat – oder ob es um ein verwandtes Molekül, eine andere Erkrankung oder Ratten ging.</w:t>
      </w:r>
    </w:p>
    <w:bookmarkEnd w:id="966"/>
    <w:bookmarkStart w:id="967" w:name="fragen-zur-studie"/>
    <w:p>
      <w:pPr>
        <w:pStyle w:val="Heading4"/>
      </w:pPr>
      <w:r>
        <w:t xml:space="preserve">Fragen zur Studie</w:t>
      </w:r>
    </w:p>
    <w:p>
      <w:pPr>
        <w:numPr>
          <w:ilvl w:val="0"/>
          <w:numId w:val="1333"/>
        </w:numPr>
        <w:pStyle w:val="Compact"/>
      </w:pPr>
      <w:r>
        <w:rPr>
          <w:bCs/>
          <w:b/>
        </w:rPr>
        <w:t xml:space="preserve">Mensch, Tier oder Zellkultur?</w:t>
      </w:r>
      <w:r>
        <w:t xml:space="preserve"> </w:t>
      </w:r>
      <w:r>
        <w:t xml:space="preserve">Steht im Abstract „rats“, „mice“, „in vitro“ oder „cell culture“, ist über die Wirkung beim Menschen nichts gesagt.</w:t>
      </w:r>
    </w:p>
    <w:p>
      <w:pPr>
        <w:numPr>
          <w:ilvl w:val="0"/>
          <w:numId w:val="1333"/>
        </w:numPr>
        <w:pStyle w:val="Compact"/>
      </w:pPr>
      <w:r>
        <w:rPr>
          <w:bCs/>
          <w:b/>
        </w:rPr>
        <w:t xml:space="preserve">Gab es eine Vergleichsgruppe?</w:t>
      </w:r>
      <w:r>
        <w:t xml:space="preserve"> </w:t>
      </w:r>
      <w:r>
        <w:t xml:space="preserve">Ohne Placebo- oder Kontrollgruppe lässt sich nicht unterscheiden, ob eine Besserung vom Stoff, von der Zeit, von anderen Behandlungen oder von der Erwartung kommt. Gerade bei Schmerz, Stimmung oder Schlaf ist der Placeboeffekt groß.</w:t>
      </w:r>
    </w:p>
    <w:p>
      <w:pPr>
        <w:numPr>
          <w:ilvl w:val="0"/>
          <w:numId w:val="1333"/>
        </w:numPr>
        <w:pStyle w:val="Compact"/>
      </w:pPr>
      <w:r>
        <w:rPr>
          <w:bCs/>
          <w:b/>
        </w:rPr>
        <w:t xml:space="preserve">Wie viele Teilnehmende?</w:t>
      </w:r>
      <w:r>
        <w:t xml:space="preserve"> </w:t>
      </w:r>
      <w:r>
        <w:t xml:space="preserve">Studien mit 10 oder 20 Personen können Hinweise geben, aber keinen Nutzen belegen und seltene Nebenwirkungen nicht erkennen.</w:t>
      </w:r>
    </w:p>
    <w:p>
      <w:pPr>
        <w:numPr>
          <w:ilvl w:val="0"/>
          <w:numId w:val="1333"/>
        </w:numPr>
        <w:pStyle w:val="Compact"/>
      </w:pPr>
      <w:r>
        <w:rPr>
          <w:bCs/>
          <w:b/>
        </w:rPr>
        <w:t xml:space="preserve">Was wurde gemessen?</w:t>
      </w:r>
      <w:r>
        <w:t xml:space="preserve"> </w:t>
      </w:r>
      <w:r>
        <w:t xml:space="preserve">Ein Laborwert, der steigt, ist kein spürbarer Nutzen. Fragen Sie: Wurde gemessen, was für Betroffene zählt – Schmerz, Funktion, Krankheitsereignisse, Lebensqualität?</w:t>
      </w:r>
    </w:p>
    <w:p>
      <w:pPr>
        <w:numPr>
          <w:ilvl w:val="0"/>
          <w:numId w:val="1333"/>
        </w:numPr>
        <w:pStyle w:val="Compact"/>
      </w:pPr>
      <w:r>
        <w:rPr>
          <w:bCs/>
          <w:b/>
        </w:rPr>
        <w:t xml:space="preserve">Wurde die Studie vorab registriert?</w:t>
      </w:r>
      <w:r>
        <w:t xml:space="preserve"> </w:t>
      </w:r>
      <w:r>
        <w:t xml:space="preserve">Eine Registrierung bei ClinicalTrials.gov oder im EU-Register vor Studienbeginn verhindert, dass Ziele nachträglich passend gewählt werden.</w:t>
      </w:r>
    </w:p>
    <w:p>
      <w:pPr>
        <w:numPr>
          <w:ilvl w:val="0"/>
          <w:numId w:val="1333"/>
        </w:numPr>
        <w:pStyle w:val="Compact"/>
      </w:pPr>
      <w:r>
        <w:rPr>
          <w:bCs/>
          <w:b/>
        </w:rPr>
        <w:t xml:space="preserve">Wurde das Ergebnis wiederholt?</w:t>
      </w:r>
      <w:r>
        <w:t xml:space="preserve"> </w:t>
      </w:r>
      <w:r>
        <w:t xml:space="preserve">Ein einzelnes positives Ergebnis einer einzigen Forschungsgruppe ist ein Anfang, kein Beweis.</w:t>
      </w:r>
    </w:p>
    <w:bookmarkEnd w:id="967"/>
    <w:bookmarkStart w:id="968" w:name="warnsignale-in-der-sprache"/>
    <w:p>
      <w:pPr>
        <w:pStyle w:val="Heading4"/>
      </w:pPr>
      <w:r>
        <w:t xml:space="preserve">Warnsignale in der Sprache</w:t>
      </w:r>
    </w:p>
    <w:p>
      <w:pPr>
        <w:numPr>
          <w:ilvl w:val="0"/>
          <w:numId w:val="1334"/>
        </w:numPr>
        <w:pStyle w:val="Compact"/>
      </w:pPr>
      <w:r>
        <w:t xml:space="preserve">Versprechen, die sehr viele unterschiedliche Beschwerden zugleich betreffen („für Gelenke, Darm, Haut, Gehirn und Immunsystem“).</w:t>
      </w:r>
    </w:p>
    <w:p>
      <w:pPr>
        <w:numPr>
          <w:ilvl w:val="0"/>
          <w:numId w:val="1334"/>
        </w:numPr>
        <w:pStyle w:val="Compact"/>
      </w:pPr>
      <w:r>
        <w:t xml:space="preserve">Begriffe wie „Wundermittel“, „Geheimtipp“, „was Ärzte Ihnen nicht sagen“ oder „von der Pharmaindustrie unterdrückt“.</w:t>
      </w:r>
    </w:p>
    <w:p>
      <w:pPr>
        <w:numPr>
          <w:ilvl w:val="0"/>
          <w:numId w:val="1334"/>
        </w:numPr>
        <w:pStyle w:val="Compact"/>
      </w:pPr>
      <w:r>
        <w:t xml:space="preserve">Die Behauptung „keine Nebenwirkungen“ bei einem Stoff, der kaum am Menschen untersucht ist.</w:t>
      </w:r>
    </w:p>
    <w:p>
      <w:pPr>
        <w:numPr>
          <w:ilvl w:val="0"/>
          <w:numId w:val="1334"/>
        </w:numPr>
        <w:pStyle w:val="Compact"/>
      </w:pPr>
      <w:r>
        <w:t xml:space="preserve">Erfahrungsberichte und Vorher-nachher-Bilder statt Studiendaten.</w:t>
      </w:r>
    </w:p>
    <w:p>
      <w:pPr>
        <w:numPr>
          <w:ilvl w:val="0"/>
          <w:numId w:val="1334"/>
        </w:numPr>
        <w:pStyle w:val="Compact"/>
      </w:pPr>
      <w:r>
        <w:t xml:space="preserve">Der Hinweis „nur für Forschungszwecke“ oder „nicht zum menschlichen Verzehr“ auf einem Produkt, das gleichzeitig mit Wirkungen am Menschen beworben wird. Dieser Widerspruch zeigt, dass der Anbieter die Arzneimittelregeln umgehen will (siehe Teil I).</w:t>
      </w:r>
    </w:p>
    <w:p>
      <w:pPr>
        <w:numPr>
          <w:ilvl w:val="0"/>
          <w:numId w:val="1334"/>
        </w:numPr>
        <w:pStyle w:val="Compact"/>
      </w:pPr>
      <w:r>
        <w:t xml:space="preserve">Vorschläge zu Dosierungen, Kuren oder Kombinationspaketen mehrerer Peptide für Stoffe ohne Zulassung. Für solche Schemata gibt es keine Studiengrundlage.</w:t>
      </w:r>
    </w:p>
    <w:bookmarkEnd w:id="968"/>
    <w:bookmarkStart w:id="969" w:name="zeichen-für-eine-seriöse-darstellung"/>
    <w:p>
      <w:pPr>
        <w:pStyle w:val="Heading4"/>
      </w:pPr>
      <w:r>
        <w:t xml:space="preserve">Zeichen für eine seriöse Darstellung</w:t>
      </w:r>
    </w:p>
    <w:p>
      <w:pPr>
        <w:numPr>
          <w:ilvl w:val="0"/>
          <w:numId w:val="1335"/>
        </w:numPr>
        <w:pStyle w:val="Compact"/>
      </w:pPr>
      <w:r>
        <w:t xml:space="preserve">Tier- und Laborergebnisse werden ausdrücklich als solche bezeichnet.</w:t>
      </w:r>
    </w:p>
    <w:p>
      <w:pPr>
        <w:numPr>
          <w:ilvl w:val="0"/>
          <w:numId w:val="1335"/>
        </w:numPr>
        <w:pStyle w:val="Compact"/>
      </w:pPr>
      <w:r>
        <w:t xml:space="preserve">Negative und widersprüchliche Studien werden genannt, nicht nur die positiven.</w:t>
      </w:r>
    </w:p>
    <w:p>
      <w:pPr>
        <w:numPr>
          <w:ilvl w:val="0"/>
          <w:numId w:val="1335"/>
        </w:numPr>
        <w:pStyle w:val="Compact"/>
      </w:pPr>
      <w:r>
        <w:t xml:space="preserve">Unsicherheit wird offen benannt („Die Daten reichen nicht aus, um … zu beurteilen“).</w:t>
      </w:r>
    </w:p>
    <w:p>
      <w:pPr>
        <w:numPr>
          <w:ilvl w:val="0"/>
          <w:numId w:val="1335"/>
        </w:numPr>
        <w:pStyle w:val="Compact"/>
      </w:pPr>
      <w:r>
        <w:t xml:space="preserve">Rechtslage und Dopingstatus werden erwähnt.</w:t>
      </w:r>
    </w:p>
    <w:p>
      <w:pPr>
        <w:numPr>
          <w:ilvl w:val="0"/>
          <w:numId w:val="1335"/>
        </w:numPr>
        <w:pStyle w:val="Compact"/>
      </w:pPr>
      <w:r>
        <w:t xml:space="preserve">Es gibt einen klaren Hinweis, dass Arzneimittel in ärztliche Hände gehören und Graumarkt-Produkte nicht geprüft sind.</w:t>
      </w:r>
    </w:p>
    <w:bookmarkEnd w:id="969"/>
    <w:bookmarkStart w:id="970" w:name="drei-fragen-für-den-alltag"/>
    <w:p>
      <w:pPr>
        <w:pStyle w:val="Heading4"/>
      </w:pPr>
      <w:r>
        <w:t xml:space="preserve">Drei Fragen für den Alltag</w:t>
      </w:r>
    </w:p>
    <w:p>
      <w:pPr>
        <w:pStyle w:val="FirstParagraph"/>
      </w:pPr>
      <w:r>
        <w:t xml:space="preserve">Wenn Sie wenig Zeit haben, reichen oft drei Fragen:</w:t>
      </w:r>
    </w:p>
    <w:p>
      <w:pPr>
        <w:numPr>
          <w:ilvl w:val="0"/>
          <w:numId w:val="1336"/>
        </w:numPr>
        <w:pStyle w:val="Compact"/>
      </w:pPr>
      <w:r>
        <w:t xml:space="preserve">Ist der Stoff in der EU oder den USA als Arzneimittel für genau diese Anwendung zugelassen?</w:t>
      </w:r>
    </w:p>
    <w:p>
      <w:pPr>
        <w:numPr>
          <w:ilvl w:val="0"/>
          <w:numId w:val="1336"/>
        </w:numPr>
        <w:pStyle w:val="Compact"/>
      </w:pPr>
      <w:r>
        <w:t xml:space="preserve">Gibt es mindestens eine randomisierte, placebokontrollierte Studie am Menschen, die den behaupteten Nutzen gezeigt hat?</w:t>
      </w:r>
    </w:p>
    <w:p>
      <w:pPr>
        <w:numPr>
          <w:ilvl w:val="0"/>
          <w:numId w:val="1336"/>
        </w:numPr>
        <w:pStyle w:val="Compact"/>
      </w:pPr>
      <w:r>
        <w:t xml:space="preserve">Stammt das Produkt aus der Apotheke – oder aus einer Quelle, deren Inhalt niemand prüft?</w:t>
      </w:r>
    </w:p>
    <w:p>
      <w:pPr>
        <w:pStyle w:val="FirstParagraph"/>
      </w:pPr>
      <w:r>
        <w:t xml:space="preserve">Lautet die Antwort auf alle drei Fragen „nein“, beruht das Versprechen auf Hoffnung, nicht auf Belegen.</w:t>
      </w:r>
    </w:p>
    <w:bookmarkEnd w:id="970"/>
    <w:bookmarkEnd w:id="971"/>
    <w:bookmarkStart w:id="972" w:name="fazit-59"/>
    <w:p>
      <w:pPr>
        <w:pStyle w:val="Heading3"/>
      </w:pPr>
      <w:r>
        <w:t xml:space="preserve">Fazit</w:t>
      </w:r>
    </w:p>
    <w:p>
      <w:pPr>
        <w:pStyle w:val="FirstParagraph"/>
      </w:pPr>
      <w:r>
        <w:t xml:space="preserve">Die im Internet populärsten Peptide sind fast durchweg die am schlechtesten untersuchten. Ihre Versprechen stützen sich überwiegend auf Tierversuche, auf Ersatzmesswerte oder auf Studien mit einem anderen Stoff; wo es randomisierte Studien am Menschen gibt, haben sie den beworbenen Nutzen meist nicht bestätigt. Das bedeutet nicht, dass keiner dieser Stoffe je einen Nutzen haben könnte – aber die Daten reichen bei keinem aus, um ihn zu belegen. Wer eine Aussage über ein Peptid hört, sollte nach der Quelle fragen, die Studie prüfen und den Unterschied zwischen einem geprüften Arzneimittel und einem Fläschchen vom Graumarkt im Blick behalten.</w:t>
      </w:r>
    </w:p>
    <w:bookmarkEnd w:id="972"/>
    <w:bookmarkEnd w:id="973"/>
    <w:bookmarkEnd w:id="974"/>
    <w:bookmarkStart w:id="1026" w:name="teil-iv-risiken"/>
    <w:p>
      <w:pPr>
        <w:pStyle w:val="Heading1"/>
      </w:pPr>
      <w:r>
        <w:t xml:space="preserve">Teil IV – Risiken</w:t>
      </w:r>
    </w:p>
    <w:p>
      <w:pPr>
        <w:pStyle w:val="FirstParagraph"/>
      </w:pPr>
      <w:r>
        <w:t xml:space="preserve">In Teil II steht bei jedem Peptid ein eigener Abschnitt „Risiken und Nebenwirkungen“. Dieser Teil wiederholt diese Abschnitte nicht. Er legt sie nebeneinander und fragt quer durch alle Wirkstoffe: Welche Organe sind betroffen? Welche Warnsignale tauchen bei mehreren Peptiden auf? Wie belastbar ist das, was man weiß? Wer Einzelheiten zu einem bestimmten Stoff sucht, findet bei jedem Punkt einen Verweis auf das passende Kapitel.</w:t>
      </w:r>
    </w:p>
    <w:p>
      <w:pPr>
        <w:pStyle w:val="BodyText"/>
      </w:pPr>
      <w:r>
        <w:t xml:space="preserve">Bevor es losgeht, lohnt sich ein kurzer Blick darauf, wie man Risiken überhaupt einordnet. Drei Unterscheidungen ziehen sich durch alle folgenden Kapitel.</w:t>
      </w:r>
    </w:p>
    <w:p>
      <w:pPr>
        <w:pStyle w:val="BodyText"/>
      </w:pPr>
      <w:r>
        <w:rPr>
          <w:bCs/>
          <w:b/>
        </w:rPr>
        <w:t xml:space="preserve">Belegt, beobachtet oder theoretisch.</w:t>
      </w:r>
      <w:r>
        <w:t xml:space="preserve"> </w:t>
      </w:r>
      <w:r>
        <w:t xml:space="preserve">Ein Risiko ist am besten belegt, wenn es in randomisierten Studien (RCTs) häufiger unter dem Wirkstoff als unter Placebo auftrat. Beobachtungsstudien mit Versicherungs- oder Registerdaten erfassen dagegen sehr viele Menschen und seltene Ereignisse, können aber Ursache und Begleitumstand nicht sicher trennen. Meldedatenbanken für Nebenwirkungen zeigen nur Signale: Was bekannt und viel diskutiert ist, wird häufiger gemeldet. Theoretische Risiken schließlich leiten sich aus dem Wirkmechanismus, aus Tierversuchen oder Zellkulturen ab. Sie sind kein Beweis für einen Schaden – aber bei Stoffen, die nie systematisch am Menschen untersucht wurden, oft die einzige Information, die es gibt.</w:t>
      </w:r>
    </w:p>
    <w:p>
      <w:pPr>
        <w:pStyle w:val="BodyText"/>
      </w:pPr>
      <w:r>
        <w:rPr>
          <w:bCs/>
          <w:b/>
        </w:rPr>
        <w:t xml:space="preserve">Fehlende Daten sind keine Sicherheit.</w:t>
      </w:r>
      <w:r>
        <w:t xml:space="preserve"> </w:t>
      </w:r>
      <w:r>
        <w:t xml:space="preserve">Wenn in drei kleinen Untersuchungen mit zusammen 30 Personen keine behandlungsbedingten Nebenwirkungen auffielen (so bei BPC-157, Poolton 2026, PMID 42885452), heißt das nur, dass keine sehr häufigen, sofort auftretenden Probleme aufgetreten sind. Eine Nebenwirkung, die eine von tausend Personen trifft, kann eine so kleine Studie gar nicht erkennen. Bei vielen Peptiden der Gruppen B, C und D ist das die Ausgangslage.</w:t>
      </w:r>
    </w:p>
    <w:p>
      <w:pPr>
        <w:pStyle w:val="BodyText"/>
      </w:pPr>
      <w:r>
        <w:rPr>
          <w:bCs/>
          <w:b/>
        </w:rPr>
        <w:t xml:space="preserve">Relatives und absolutes Risiko.</w:t>
      </w:r>
      <w:r>
        <w:t xml:space="preserve"> </w:t>
      </w:r>
      <w:r>
        <w:t xml:space="preserve">Schlagzeilen nennen meist relative Zahlen: „dreimal so häufig“. Entscheidend für die eigene Abwägung ist aber, wie viele Menschen tatsächlich betroffen sind. Ein Beispiel aus diesem Teil: In einer dänisch-norwegischen Registerstudie war eine bestimmte Durchblutungsstörung des Sehnervs unter Semaglutid fast dreimal so häufig wie unter einem Vergleichsmedikament (Hazard Ratio 2,81). In absoluten Zahlen bedeutete das rund 1,4 zusätzliche Fälle pro 10.000 Personenjahre (Simonsen 2025, PMID 40098249). Beides ist richtig – und beides gehört zur Information.</w:t>
      </w:r>
    </w:p>
    <w:p>
      <w:pPr>
        <w:pStyle w:val="BodyText"/>
      </w:pPr>
      <w:r>
        <w:t xml:space="preserve">Schließlich zählt das Verhältnis von Nutzen und Risiko. Ein Medikament gegen Typ-2-Diabetes, das in großen Studien Herzinfarkte und Schlaganfälle verringert, darf seltene Nebenwirkungen haben, die bei einem Bräunungsmittel oder einem „Longevity-Peptid“ ohne belegten Nutzen nicht hinnehmbar wären. Wer ein zugelassenes Medikament mit ärztlicher Begleitung und klarer Indikation verwendet, ist in einer völlig anderen Lage als jemand, der ein ungeprüftes Pulver aus dem Internet spritzt. Wie man Studien liest, erklärt Teil I im Kapitel „Studien richtig lesen“.</w:t>
      </w:r>
    </w:p>
    <w:p>
      <w:pPr>
        <w:pStyle w:val="BodyText"/>
      </w:pPr>
      <w:r>
        <w:t xml:space="preserve">Teil IV ist so aufgebaut: Dieses Kapitel ordnet die Nebenwirkungen nach Organsystemen. Danach folgen Kapitel zum Krebsrisiko und zu Wachstumssignalen, zu Immunreaktionen, zu Laboranalysen von Graumarkt-Produkten und zu Wechselwirkungen und besonders gefährdeten Personengruppen.</w:t>
      </w:r>
    </w:p>
    <w:bookmarkStart w:id="985" w:name="nebenwirkungen-nach-organsystemen"/>
    <w:p>
      <w:pPr>
        <w:pStyle w:val="Heading2"/>
      </w:pPr>
      <w:r>
        <w:t xml:space="preserve">Nebenwirkungen nach Organsystemen</w:t>
      </w:r>
    </w:p>
    <w:p>
      <w:pPr>
        <w:pStyle w:val="FirstParagraph"/>
      </w:pPr>
      <w:r>
        <w:t xml:space="preserve">Die folgende Übersicht fasst zusammen, welche Organsysteme bei welchen Peptiden am häufigsten betroffen sind. Die Spalte „Häufigkeit/Belege“ nennt eine typische Größenordnung aus einer der Studien, die in diesem Kapitel oder im angegebenen Peptid-Kapitel besprochen werden. Die Zahlen stammen aus unterschiedlichen Studien und Bevölkerungsgruppen und sind deshalb nur grob vergleichbar.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Organsystem</w:t>
            </w:r>
          </w:p>
        </w:tc>
        <w:tc>
          <w:tcPr/>
          <w:p>
            <w:pPr>
              <w:pStyle w:val="Compact"/>
              <w:jc w:val="left"/>
            </w:pPr>
            <w:r>
              <w:t xml:space="preserve">Betroffene Peptide</w:t>
            </w:r>
          </w:p>
        </w:tc>
        <w:tc>
          <w:tcPr/>
          <w:p>
            <w:pPr>
              <w:pStyle w:val="Compact"/>
              <w:jc w:val="left"/>
            </w:pPr>
            <w:r>
              <w:t xml:space="preserve">Häufigkeit/Belege</w:t>
            </w:r>
          </w:p>
        </w:tc>
        <w:tc>
          <w:tcPr/>
          <w:p>
            <w:pPr>
              <w:pStyle w:val="Compact"/>
              <w:jc w:val="left"/>
            </w:pPr>
            <w:r>
              <w:t xml:space="preserve">Kapitel</w:t>
            </w:r>
          </w:p>
        </w:tc>
      </w:tr>
      <w:tr>
        <w:tc>
          <w:tcPr/>
          <w:p>
            <w:pPr>
              <w:pStyle w:val="Compact"/>
              <w:jc w:val="left"/>
            </w:pPr>
            <w:r>
              <w:t xml:space="preserve">Magen-Darm</w:t>
            </w:r>
          </w:p>
        </w:tc>
        <w:tc>
          <w:tcPr/>
          <w:p>
            <w:pPr>
              <w:pStyle w:val="Compact"/>
              <w:jc w:val="left"/>
            </w:pPr>
            <w:r>
              <w:t xml:space="preserve">alle GLP-1-Medikamente, Pramlintid, Bremelanotid, Setmelanotid</w:t>
            </w:r>
          </w:p>
        </w:tc>
        <w:tc>
          <w:tcPr/>
          <w:p>
            <w:pPr>
              <w:pStyle w:val="Compact"/>
              <w:jc w:val="left"/>
            </w:pPr>
            <w:r>
              <w:t xml:space="preserve">sehr häufig; CagriSema 79,6 % vs. 39,9 % unter Placebo (Garvey 2025, PMID 40544433)</w:t>
            </w:r>
          </w:p>
        </w:tc>
        <w:tc>
          <w:tcPr/>
          <w:p>
            <w:pPr>
              <w:pStyle w:val="Compact"/>
              <w:jc w:val="left"/>
            </w:pPr>
            <w:r>
              <w:t xml:space="preserve">Semaglutid, Survodutid, Cagrilintid</w:t>
            </w:r>
          </w:p>
        </w:tc>
      </w:tr>
      <w:tr>
        <w:tc>
          <w:tcPr/>
          <w:p>
            <w:pPr>
              <w:pStyle w:val="Compact"/>
              <w:jc w:val="left"/>
            </w:pPr>
            <w:r>
              <w:t xml:space="preserve">Gallenblase</w:t>
            </w:r>
          </w:p>
        </w:tc>
        <w:tc>
          <w:tcPr/>
          <w:p>
            <w:pPr>
              <w:pStyle w:val="Compact"/>
              <w:jc w:val="left"/>
            </w:pPr>
            <w:r>
              <w:t xml:space="preserve">GLP-1-Klasse, v. a. bei Gewichtsabnahme</w:t>
            </w:r>
          </w:p>
        </w:tc>
        <w:tc>
          <w:tcPr/>
          <w:p>
            <w:pPr>
              <w:pStyle w:val="Compact"/>
              <w:jc w:val="left"/>
            </w:pPr>
            <w:r>
              <w:t xml:space="preserve">relatives Risiko 1,37 (alle Studien), 2,29 (Abnehmstudien)</w:t>
            </w:r>
          </w:p>
        </w:tc>
        <w:tc>
          <w:tcPr/>
          <w:p>
            <w:pPr>
              <w:pStyle w:val="Compact"/>
              <w:jc w:val="left"/>
            </w:pPr>
            <w:r>
              <w:t xml:space="preserve">Liraglutid, Tirzepatid</w:t>
            </w:r>
          </w:p>
        </w:tc>
      </w:tr>
      <w:tr>
        <w:tc>
          <w:tcPr/>
          <w:p>
            <w:pPr>
              <w:pStyle w:val="Compact"/>
              <w:jc w:val="left"/>
            </w:pPr>
            <w:r>
              <w:t xml:space="preserve">Bauchspeicheldrüse</w:t>
            </w:r>
          </w:p>
        </w:tc>
        <w:tc>
          <w:tcPr/>
          <w:p>
            <w:pPr>
              <w:pStyle w:val="Compact"/>
              <w:jc w:val="left"/>
            </w:pPr>
            <w:r>
              <w:t xml:space="preserve">GLP-1-Klasse</w:t>
            </w:r>
          </w:p>
        </w:tc>
        <w:tc>
          <w:tcPr/>
          <w:p>
            <w:pPr>
              <w:pStyle w:val="Compact"/>
              <w:jc w:val="left"/>
            </w:pPr>
            <w:r>
              <w:t xml:space="preserve">Signal in Meta-Analysen, absolut selten</w:t>
            </w:r>
          </w:p>
        </w:tc>
        <w:tc>
          <w:tcPr/>
          <w:p>
            <w:pPr>
              <w:pStyle w:val="Compact"/>
              <w:jc w:val="left"/>
            </w:pPr>
            <w:r>
              <w:t xml:space="preserve">Exenatid, Semaglutid</w:t>
            </w:r>
          </w:p>
        </w:tc>
      </w:tr>
      <w:tr>
        <w:tc>
          <w:tcPr/>
          <w:p>
            <w:pPr>
              <w:pStyle w:val="Compact"/>
              <w:jc w:val="left"/>
            </w:pPr>
            <w:r>
              <w:t xml:space="preserve">Schilddrüse</w:t>
            </w:r>
          </w:p>
        </w:tc>
        <w:tc>
          <w:tcPr/>
          <w:p>
            <w:pPr>
              <w:pStyle w:val="Compact"/>
              <w:jc w:val="left"/>
            </w:pPr>
            <w:r>
              <w:t xml:space="preserve">GLP-1-Klasse</w:t>
            </w:r>
          </w:p>
        </w:tc>
        <w:tc>
          <w:tcPr/>
          <w:p>
            <w:pPr>
              <w:pStyle w:val="Compact"/>
              <w:jc w:val="left"/>
            </w:pPr>
            <w:r>
              <w:t xml:space="preserve">Tierbefund gesichert, beim Menschen uneinheitlich</w:t>
            </w:r>
          </w:p>
        </w:tc>
        <w:tc>
          <w:tcPr/>
          <w:p>
            <w:pPr>
              <w:pStyle w:val="Compact"/>
              <w:jc w:val="left"/>
            </w:pPr>
            <w:r>
              <w:t xml:space="preserve">Liraglutid, Kapitel Krebsrisiko</w:t>
            </w:r>
          </w:p>
        </w:tc>
      </w:tr>
      <w:tr>
        <w:tc>
          <w:tcPr/>
          <w:p>
            <w:pPr>
              <w:pStyle w:val="Compact"/>
              <w:jc w:val="left"/>
            </w:pPr>
            <w:r>
              <w:t xml:space="preserve">Augen</w:t>
            </w:r>
          </w:p>
        </w:tc>
        <w:tc>
          <w:tcPr/>
          <w:p>
            <w:pPr>
              <w:pStyle w:val="Compact"/>
              <w:jc w:val="left"/>
            </w:pPr>
            <w:r>
              <w:t xml:space="preserve">Semaglutid (NAION, Retinopathie)</w:t>
            </w:r>
          </w:p>
        </w:tc>
        <w:tc>
          <w:tcPr/>
          <w:p>
            <w:pPr>
              <w:pStyle w:val="Compact"/>
              <w:jc w:val="left"/>
            </w:pPr>
            <w:r>
              <w:t xml:space="preserve">sehr selten; rund 1,4 Fälle pro 10.000 Personenjahre zusätzlich</w:t>
            </w:r>
          </w:p>
        </w:tc>
        <w:tc>
          <w:tcPr/>
          <w:p>
            <w:pPr>
              <w:pStyle w:val="Compact"/>
              <w:jc w:val="left"/>
            </w:pPr>
            <w:r>
              <w:t xml:space="preserve">Semaglutid</w:t>
            </w:r>
          </w:p>
        </w:tc>
      </w:tr>
      <w:tr>
        <w:tc>
          <w:tcPr/>
          <w:p>
            <w:pPr>
              <w:pStyle w:val="Compact"/>
              <w:jc w:val="left"/>
            </w:pPr>
            <w:r>
              <w:t xml:space="preserve">Herz-Kreislauf, Wasser</w:t>
            </w:r>
          </w:p>
        </w:tc>
        <w:tc>
          <w:tcPr/>
          <w:p>
            <w:pPr>
              <w:pStyle w:val="Compact"/>
              <w:jc w:val="left"/>
            </w:pPr>
            <w:r>
              <w:t xml:space="preserve">GH-Freisetzer, Ibutamoren, Bremelanotid, Macimorelin, Oxytocin</w:t>
            </w:r>
          </w:p>
        </w:tc>
        <w:tc>
          <w:tcPr/>
          <w:p>
            <w:pPr>
              <w:pStyle w:val="Compact"/>
              <w:jc w:val="left"/>
            </w:pPr>
            <w:r>
              <w:t xml:space="preserve">Herzinsuffizienz-Signal, Blutdruckspitzen, QT-Verlängerung</w:t>
            </w:r>
          </w:p>
        </w:tc>
        <w:tc>
          <w:tcPr/>
          <w:p>
            <w:pPr>
              <w:pStyle w:val="Compact"/>
              <w:jc w:val="left"/>
            </w:pPr>
            <w:r>
              <w:t xml:space="preserve">Ibutamoren, Bremelanotid, Macimorelin</w:t>
            </w:r>
          </w:p>
        </w:tc>
      </w:tr>
      <w:tr>
        <w:tc>
          <w:tcPr/>
          <w:p>
            <w:pPr>
              <w:pStyle w:val="Compact"/>
              <w:jc w:val="left"/>
            </w:pPr>
            <w:r>
              <w:t xml:space="preserve">Psyche</w:t>
            </w:r>
          </w:p>
        </w:tc>
        <w:tc>
          <w:tcPr/>
          <w:p>
            <w:pPr>
              <w:pStyle w:val="Compact"/>
              <w:jc w:val="left"/>
            </w:pPr>
            <w:r>
              <w:t xml:space="preserve">GLP-1-Klasse (geprüft), Setmelanotid, Semax</w:t>
            </w:r>
          </w:p>
        </w:tc>
        <w:tc>
          <w:tcPr/>
          <w:p>
            <w:pPr>
              <w:pStyle w:val="Compact"/>
              <w:jc w:val="left"/>
            </w:pPr>
            <w:r>
              <w:t xml:space="preserve">kein erhöhtes Risiko in 86 RCTs</w:t>
            </w:r>
          </w:p>
        </w:tc>
        <w:tc>
          <w:tcPr/>
          <w:p>
            <w:pPr>
              <w:pStyle w:val="Compact"/>
              <w:jc w:val="left"/>
            </w:pPr>
            <w:r>
              <w:t xml:space="preserve">Semaglutid, Tirzepatid, Setmelanotid</w:t>
            </w:r>
          </w:p>
        </w:tc>
      </w:tr>
      <w:tr>
        <w:tc>
          <w:tcPr/>
          <w:p>
            <w:pPr>
              <w:pStyle w:val="Compact"/>
              <w:jc w:val="left"/>
            </w:pPr>
            <w:r>
              <w:t xml:space="preserve">Haut, Pigment</w:t>
            </w:r>
          </w:p>
        </w:tc>
        <w:tc>
          <w:tcPr/>
          <w:p>
            <w:pPr>
              <w:pStyle w:val="Compact"/>
              <w:jc w:val="left"/>
            </w:pPr>
            <w:r>
              <w:t xml:space="preserve">Melanotan II, Setmelanotid, Afamelanotid, Bremelanotid, LL-37</w:t>
            </w:r>
          </w:p>
        </w:tc>
        <w:tc>
          <w:tcPr/>
          <w:p>
            <w:pPr>
              <w:pStyle w:val="Compact"/>
              <w:jc w:val="left"/>
            </w:pPr>
            <w:r>
              <w:t xml:space="preserve">Pigmentierung bei Setmelanotid 62 %; Melanom-Fallberichte bei Melanotan II</w:t>
            </w:r>
          </w:p>
        </w:tc>
        <w:tc>
          <w:tcPr/>
          <w:p>
            <w:pPr>
              <w:pStyle w:val="Compact"/>
              <w:jc w:val="left"/>
            </w:pPr>
            <w:r>
              <w:t xml:space="preserve">Melanotan II, Setmelanotid</w:t>
            </w:r>
          </w:p>
        </w:tc>
      </w:tr>
      <w:tr>
        <w:tc>
          <w:tcPr/>
          <w:p>
            <w:pPr>
              <w:pStyle w:val="Compact"/>
              <w:jc w:val="left"/>
            </w:pPr>
            <w:r>
              <w:t xml:space="preserve">Hormonsystem</w:t>
            </w:r>
          </w:p>
        </w:tc>
        <w:tc>
          <w:tcPr/>
          <w:p>
            <w:pPr>
              <w:pStyle w:val="Compact"/>
              <w:jc w:val="left"/>
            </w:pPr>
            <w:r>
              <w:t xml:space="preserve">GHRP-2, GHRP-6, Hexarelin, Kisspeptin, Gonadorelin</w:t>
            </w:r>
          </w:p>
        </w:tc>
        <w:tc>
          <w:tcPr/>
          <w:p>
            <w:pPr>
              <w:pStyle w:val="Compact"/>
              <w:jc w:val="left"/>
            </w:pPr>
            <w:r>
              <w:t xml:space="preserve">Cortisol- und Prolaktinanstieg; Unterdrückung der Achse bei Dauergabe</w:t>
            </w:r>
          </w:p>
        </w:tc>
        <w:tc>
          <w:tcPr/>
          <w:p>
            <w:pPr>
              <w:pStyle w:val="Compact"/>
              <w:jc w:val="left"/>
            </w:pPr>
            <w:r>
              <w:t xml:space="preserve">Gruppe C, Kisspeptin</w:t>
            </w:r>
          </w:p>
        </w:tc>
      </w:tr>
      <w:tr>
        <w:tc>
          <w:tcPr/>
          <w:p>
            <w:pPr>
              <w:pStyle w:val="Compact"/>
              <w:jc w:val="left"/>
            </w:pPr>
            <w:r>
              <w:t xml:space="preserve">Blutzucker</w:t>
            </w:r>
          </w:p>
        </w:tc>
        <w:tc>
          <w:tcPr/>
          <w:p>
            <w:pPr>
              <w:pStyle w:val="Compact"/>
              <w:jc w:val="left"/>
            </w:pPr>
            <w:r>
              <w:t xml:space="preserve">Mecasermin, Pramlintid, GLP-1 mit Insulin/Sulfonylharnstoff; GH-Achse</w:t>
            </w:r>
          </w:p>
        </w:tc>
        <w:tc>
          <w:tcPr/>
          <w:p>
            <w:pPr>
              <w:pStyle w:val="Compact"/>
              <w:jc w:val="left"/>
            </w:pPr>
            <w:r>
              <w:t xml:space="preserve">Unterzuckerung bei 49 % unter Mecasermin; höherer Blutzucker unter Ibutamoren</w:t>
            </w:r>
          </w:p>
        </w:tc>
        <w:tc>
          <w:tcPr/>
          <w:p>
            <w:pPr>
              <w:pStyle w:val="Compact"/>
              <w:jc w:val="left"/>
            </w:pPr>
            <w:r>
              <w:t xml:space="preserve">Mecasermin, Pramlintid, Ibutamoren</w:t>
            </w:r>
          </w:p>
        </w:tc>
      </w:tr>
    </w:tbl>
    <w:bookmarkStart w:id="975" w:name="magen-darm-trakt"/>
    <w:p>
      <w:pPr>
        <w:pStyle w:val="Heading3"/>
      </w:pPr>
      <w:r>
        <w:t xml:space="preserve">Magen-Darm-Trakt</w:t>
      </w:r>
    </w:p>
    <w:p>
      <w:pPr>
        <w:pStyle w:val="FirstParagraph"/>
      </w:pPr>
      <w:r>
        <w:t xml:space="preserve">Kein anderes Organsystem ist so häufig betroffen. Übelkeit, Erbrechen, Durchfall und Verstopfung sind die typischen Nebenwirkungen aller Medikamente, die am GLP-1-Rezeptor ansetzen – vom älteren Exenatid über Semaglutid und Tirzepatid bis zu den neuen Mehrfach-Agonisten. Eine Übersichtsarbeit, die 60 Meta-Analysen mit zusammen 1.751 randomisierten Studien zusammenfasste, fand die sichersten Signale genau hier: Übelkeit war unter GLP-1-Rezeptor-Agonisten etwa zweieinhalbmal so wahrscheinlich wie in den Vergleichsgruppen (Odds Ratio 2,47), Erbrechen knapp dreimal (2,78) und Durchfall etwa doppelt so wahrscheinlich (1,94) (Yang 2026, PMID 41915388).</w:t>
      </w:r>
    </w:p>
    <w:p>
      <w:pPr>
        <w:pStyle w:val="BodyText"/>
      </w:pPr>
      <w:r>
        <w:t xml:space="preserve">Wie häufig die Beschwerden sind, hängt stark vom Wirkstoff, von der Dosis und vom Tempo der Dosissteigerung ab. Eine Netzwerk-Meta-Analyse von 39 Studien mit 33.354 Menschen mit Übergewicht ohne Diabetes fand für alle untersuchten Wirkstoffe ein erhöhtes Übelkeitsrisiko, am stärksten für Orforglipron, gefolgt von Exenatid, Tirzepatid, Semaglutid und Liraglutid (Ismaiel 2025, PMID 40804463). Bei den Wirkstoffen mit zusätzlichem Glukagon-Anteil liegen die Raten besonders hoch: In der Fettleberstudie mit Survodutid hatten 66 % Übelkeit gegenüber 23 % unter Placebo (Sanyal 2024, PMID 38847460). Einzelheiten stehen in den Kapiteln Survodutid, Mazdutid und Retatrutid.</w:t>
      </w:r>
    </w:p>
    <w:p>
      <w:pPr>
        <w:pStyle w:val="BodyText"/>
      </w:pPr>
      <w:r>
        <w:t xml:space="preserve">Auch außerhalb der GLP-1-Gruppe ist Übelkeit häufig. Unter Bremelanotid trat sie in den Phase-3-Studien bei 40,0 % gegenüber 1,3 % unter Placebo auf und war der häufigste Abbruchgrund (Clayton 2022, PMID 35147466). Unter Pramlintid berichteten 63 % über Übelkeit, unter Placebo 36 % (Edelman 2006, PMID 17003291). Unter Setmelanotid waren es in einer Meta-Analyse von sieben Studien 36 % (Sridharan 2026, PMID 39924461).</w:t>
      </w:r>
    </w:p>
    <w:p>
      <w:pPr>
        <w:pStyle w:val="BodyText"/>
      </w:pPr>
      <w:r>
        <w:t xml:space="preserve">Wichtiger als die Häufigkeit der Übelkeit ist die Frage nach</w:t>
      </w:r>
      <w:r>
        <w:t xml:space="preserve"> </w:t>
      </w:r>
      <w:r>
        <w:rPr>
          <w:bCs/>
          <w:b/>
        </w:rPr>
        <w:t xml:space="preserve">schweren</w:t>
      </w:r>
      <w:r>
        <w:t xml:space="preserve"> </w:t>
      </w:r>
      <w:r>
        <w:t xml:space="preserve">Magen-Darm-Ereignissen. Eine Auswertung von Versicherungsdaten aus dem Jahr 2023 hatte für GLP-1-Rezeptor-Agonisten zur Gewichtsabnahme ein erhöhtes Risiko für Bauchspeicheldrüsenentzündung, Darmverschluss und Magenlähmung gemeldet (Sodhi 2023, PMID 37796527). Eine Meta-Analyse von 55 placebokontrollierten Studien mit 106.395 Teilnehmenden bestätigte das für die meisten dieser Ereignisse nicht. Erhöht waren Gallensteine (relatives Risiko 1,46; zwei zusätzliche Fälle pro 1.000 Behandelte) und wahrscheinlich die Refluxkrankheit (relatives Risiko 2,19; vier zusätzliche Fälle pro 1.000). Für Darmverschluss, Magenlähmung, Geschwüre oder Blutungen fand sich kein klarer Unterschied (Chiang 2025, PMID 40499738). In einer Kohortenstudie mit Routinedaten unterschieden sich Tirzepatid und Semaglutid bei schweren Magen-Darm-Ereignissen kaum (Crisafulli 2026, PMID 41183330).</w:t>
      </w:r>
    </w:p>
    <w:p>
      <w:pPr>
        <w:pStyle w:val="BodyText"/>
      </w:pPr>
      <w:r>
        <w:t xml:space="preserve">Praktisch bedeutsam ist, dass anhaltendes Erbrechen und Durchfall zu Flüssigkeitsverlust führen können. Die Beschwerden treten in den Studien vor allem in der Phase der Dosissteigerung auf; deshalb sehen die Fachinformationen der zugelassenen Mittel ein schrittweises Vorgehen vor, das ärztlich begleitet werden soll. Mit Graumarkt-Produkten, deren Inhalt nicht bekannt ist, lässt sich ein solches Schema nicht verlässlich einhalten (siehe Kapitel „Graumarkt-Produkte“).</w:t>
      </w:r>
    </w:p>
    <w:bookmarkEnd w:id="975"/>
    <w:bookmarkStart w:id="976" w:name="gallenblase-und-bauchspeicheldrüse"/>
    <w:p>
      <w:pPr>
        <w:pStyle w:val="Heading3"/>
      </w:pPr>
      <w:r>
        <w:t xml:space="preserve">Gallenblase und Bauchspeicheldrüse</w:t>
      </w:r>
    </w:p>
    <w:p>
      <w:pPr>
        <w:pStyle w:val="FirstParagraph"/>
      </w:pPr>
      <w:r>
        <w:t xml:space="preserve">Für die Gallenblase ist das Risiko inzwischen gut belegt. Eine Meta-Analyse von 76 randomisierten Studien mit 103.371 Teilnehmenden fand unter GLP-1-Rezeptor-Agonisten ein um 37 % erhöhtes relatives Risiko für Gallenblasen- und Gallenwegserkrankungen. In Studien zur Gewichtsabnahme war das relative Risiko mit 2,29 deutlich höher als in Diabetesstudien (He 2022, PMID 35344001). Ein Teil des Effekts dürfte auf die rasche Gewichtsabnahme selbst zurückgehen, die bekanntermaßen Gallensteine begünstigt. In STEP TEENS bekamen 5 von 133 Jugendlichen unter Semaglutid Gallensteine, unter Placebo niemand (Weghuber 2022, PMID 36322838).</w:t>
      </w:r>
    </w:p>
    <w:p>
      <w:pPr>
        <w:pStyle w:val="BodyText"/>
      </w:pPr>
      <w:r>
        <w:t xml:space="preserve">Bei der Bauchspeicheldrüse ist die Lage weniger eindeutig. Eine Meta-Analyse von 62 Studien mit 66.232 Teilnehmenden fand insgesamt ein leicht erhöhtes Risiko für eine Bauchspeicheldrüsenentzündung (relatives Risiko 1,44). Wurden die Studien danach getrennt, ob die Teilnehmenden zusätzlich andere Medikamente einnahmen, war der Unterschied in keiner der beiden Gruppen mehr statistisch gesichert (Wen 2025, PMID 40988099). Die absolute Häufigkeit ist gering; in den großen Endpunktstudien trat eine Pankreatitis selten auf. Die Fachinformationen führen sie als seltene Nebenwirkung. Starke, anhaltende Oberbauchschmerzen, oft in den Rücken ausstrahlend, gehören unter diesen Medikamenten immer ärztlich abgeklärt. Zur Frage nach Bauchspeicheldrüsenkrebs siehe das folgende Kapitel.</w:t>
      </w:r>
    </w:p>
    <w:bookmarkEnd w:id="976"/>
    <w:bookmarkStart w:id="977" w:name="schilddrüse"/>
    <w:p>
      <w:pPr>
        <w:pStyle w:val="Heading3"/>
      </w:pPr>
      <w:r>
        <w:t xml:space="preserve">Schilddrüse</w:t>
      </w:r>
    </w:p>
    <w:p>
      <w:pPr>
        <w:pStyle w:val="FirstParagraph"/>
      </w:pPr>
      <w:r>
        <w:t xml:space="preserve">Die Sorge um die Schilddrüse stammt aus Tierversuchen: Bei Ratten und Mäusen führten GLP-1-Rezeptor-Agonisten zu Wucherungen und Tumoren der C-Zellen, die das Hormon Calcitonin bilden. Beim Menschen sind die Daten uneinheitlich. Ein direkter Hinweis auf eine Reizung der C-Zellen wäre ein Anstieg des Calcitonins im Blut. In der Studie LEADER mit 9.340 Teilnehmenden unterschieden sich die Calcitoninwerte nach 36 Monaten zwischen Liraglutid und Placebo nicht, und unter Liraglutid trat kein medulläres Schilddrüsenkarzinom auf (Hegedüs 2018, PMID 29279300). Wie die Krebsfrage insgesamt zu bewerten ist, behandelt das Kapitel „Krebsrisiko und Wachstumssignale“. Unabhängig davon sehen die Fachinformationen eine Gegenanzeige bei medullärem Schilddrüsenkarzinom in der eigenen oder familiären Vorgeschichte und beim MEN-2-Syndrom vor.</w:t>
      </w:r>
    </w:p>
    <w:bookmarkEnd w:id="977"/>
    <w:bookmarkStart w:id="978" w:name="augen-netzhaut-und-sehnerv"/>
    <w:p>
      <w:pPr>
        <w:pStyle w:val="Heading3"/>
      </w:pPr>
      <w:r>
        <w:t xml:space="preserve">Augen: Netzhaut und Sehnerv</w:t>
      </w:r>
    </w:p>
    <w:p>
      <w:pPr>
        <w:pStyle w:val="FirstParagraph"/>
      </w:pPr>
      <w:r>
        <w:t xml:space="preserve">Hier gibt es zwei unterschiedliche Fragen.</w:t>
      </w:r>
    </w:p>
    <w:p>
      <w:pPr>
        <w:pStyle w:val="BodyText"/>
      </w:pPr>
      <w:r>
        <w:rPr>
          <w:bCs/>
          <w:b/>
        </w:rPr>
        <w:t xml:space="preserve">Diabetische Retinopathie.</w:t>
      </w:r>
      <w:r>
        <w:t xml:space="preserve"> </w:t>
      </w:r>
      <w:r>
        <w:t xml:space="preserve">In SUSTAIN 6, einer Herz-Kreislauf-Studie mit 3.297 Menschen mit Typ-2-Diabetes, traten Komplikationen einer diabetischen Netzhauterkrankung unter Semaglutid häufiger auf als unter Placebo (Hazard Ratio 1,76) (Marso 2016, PMID 27633186). Vermutet wird, dass eine sehr rasche Senkung des Blutzuckers eine bereits bestehende Retinopathie vorübergehend verschlechtert – ein Phänomen, das auch von Insulin bekannt ist. Eine Meta-Analyse von 78 Studien mit 73.640 Teilnehmenden fand insgesamt kein erhöhtes Risiko für diabetische Retinopathie (Odds Ratio 1,04) oder Augenerkrankungen allgemein (Natividade 2025, PMID 40810985). Für Menschen mit bekannter Retinopathie bleibt die augenärztliche Begleitung trotzdem sinnvoll.</w:t>
      </w:r>
    </w:p>
    <w:p>
      <w:pPr>
        <w:pStyle w:val="BodyText"/>
      </w:pPr>
      <w:r>
        <w:rPr>
          <w:bCs/>
          <w:b/>
        </w:rPr>
        <w:t xml:space="preserve">NAION.</w:t>
      </w:r>
      <w:r>
        <w:t xml:space="preserve"> </w:t>
      </w:r>
      <w:r>
        <w:t xml:space="preserve">Die nicht-arteriitische anteriore ischämische Optikusneuropathie ist eine Durchblutungsstörung am Sehnervenkopf, die meist schmerzlos zu plötzlichem Sehverlust auf einem Auge führt. Seit einer ersten Studie aus einer neuroophthalmologischen Klinik (Hathaway 2024, PMID 38958939) sind viele weitere Untersuchungen erschienen, mit unterschiedlichen Ergebnissen:</w:t>
      </w:r>
    </w:p>
    <w:p>
      <w:pPr>
        <w:numPr>
          <w:ilvl w:val="0"/>
          <w:numId w:val="1337"/>
        </w:numPr>
        <w:pStyle w:val="Compact"/>
      </w:pPr>
      <w:r>
        <w:t xml:space="preserve">Die dänisch-norwegische Registerstudie fand ein erhöhtes relatives Risiko (Hazard Ratio 2,81), absolut rund 1,4 zusätzliche Fälle pro 10.000 Personenjahre (Simonsen 2025, PMID 40098249).</w:t>
      </w:r>
    </w:p>
    <w:p>
      <w:pPr>
        <w:numPr>
          <w:ilvl w:val="0"/>
          <w:numId w:val="1337"/>
        </w:numPr>
        <w:pStyle w:val="Compact"/>
      </w:pPr>
      <w:r>
        <w:t xml:space="preserve">In einer US-Kohorte mit 159.398 Menschen mit Typ-2-Diabetes erkrankten in zwei Jahren 0,04 % unter Semaglutid oder Tirzepatid und 0,02 % in der Vergleichsgruppe (Hazard Ratio 1,76) (Wang 2025, PMID 40788646).</w:t>
      </w:r>
    </w:p>
    <w:p>
      <w:pPr>
        <w:numPr>
          <w:ilvl w:val="0"/>
          <w:numId w:val="1337"/>
        </w:numPr>
        <w:pStyle w:val="Compact"/>
      </w:pPr>
      <w:r>
        <w:t xml:space="preserve">Eine internationale Datenbankstudie mit fast 300.000 Personen fand keinen gesicherten Zusammenhang (Chou 2025, PMID 39491755).</w:t>
      </w:r>
    </w:p>
    <w:p>
      <w:pPr>
        <w:numPr>
          <w:ilvl w:val="0"/>
          <w:numId w:val="1337"/>
        </w:numPr>
        <w:pStyle w:val="Compact"/>
      </w:pPr>
      <w:r>
        <w:t xml:space="preserve">Eine Meta-Analyse sah das Signal nur in Beobachtungsstudien bei Diabetes, nicht in randomisierten Studien und nicht bei Adipositas (Liu 2026, PMID 41475544).</w:t>
      </w:r>
    </w:p>
    <w:p>
      <w:pPr>
        <w:pStyle w:val="FirstParagraph"/>
      </w:pPr>
      <w:r>
        <w:t xml:space="preserve">Zusammengefasst: Ein kleines erhöhtes Risiko ist möglich, die absolute Häufigkeit sehr gering. Die Europäische Arzneimittel-Agentur hat NAION 2025 als sehr seltene Nebenwirkung von Semaglutid in die Fachinformation aufgenommen (Stand 2026, bitte aktuell prüfen). Plötzlicher Sehverlust ist in jedem Fall ein Notfall. Details im Kapitel Semaglutid.</w:t>
      </w:r>
    </w:p>
    <w:bookmarkEnd w:id="978"/>
    <w:bookmarkStart w:id="979" w:name="herz-kreislauf-und-wassereinlagerung"/>
    <w:p>
      <w:pPr>
        <w:pStyle w:val="Heading3"/>
      </w:pPr>
      <w:r>
        <w:t xml:space="preserve">Herz-Kreislauf und Wassereinlagerung</w:t>
      </w:r>
    </w:p>
    <w:p>
      <w:pPr>
        <w:pStyle w:val="FirstParagraph"/>
      </w:pPr>
      <w:r>
        <w:t xml:space="preserve">Bei den GLP-1-Medikamenten überwiegt nach heutigem Wissen der Nutzen für Herz und Gefäße: In SUSTAIN 6 traten schwere Herz-Kreislauf-Ereignisse unter Semaglutid seltener auf (6,6 % gegenüber 8,9 %) (Marso 2016, PMID 27633186). Ein leichter Anstieg des Ruhepulses ist aber eine Klasseneigenschaft und bei den neuen Mehrfach-Agonisten teils stärker ausgeprägt. Unter Retatrutid trat in TRIUMPH-2 außerdem niedriger Blutdruck bei 1 bis 6 % auf, unter Placebo bei unter 1 % (Bellido 2026, PMID 42810372). Siehe Kapitel Retatrutid und Survodutid.</w:t>
      </w:r>
    </w:p>
    <w:p>
      <w:pPr>
        <w:pStyle w:val="BodyText"/>
      </w:pPr>
      <w:r>
        <w:t xml:space="preserve">Ein ganz anderes Muster zeigt die</w:t>
      </w:r>
      <w:r>
        <w:t xml:space="preserve"> </w:t>
      </w:r>
      <w:r>
        <w:rPr>
          <w:bCs/>
          <w:b/>
        </w:rPr>
        <w:t xml:space="preserve">Wachstumshormon-Achse</w:t>
      </w:r>
      <w:r>
        <w:t xml:space="preserve">. Wachstumshormon hält Wasser im Körper zurück. In einer Übersicht über Studien mit gesunden älteren Menschen traten unter Wachstumshormon häufiger Gewebeschwellungen, Gelenkschmerzen, Karpaltunnelsyndrom und Brustvergrößerung bei Männern auf (Liu 2007, PMID 17227934). Für die Freisetzer, die die körpereigene Ausschüttung anregen, ist ein ähnliches Muster zu erwarten. Am deutlichsten wurde es beim oralen Ibutamoren: Eine Studie bei älteren Menschen nach Hüftbruch wurde wegen eines Signals für Herzschwäche vorzeitig beendet (Adunsky 2011, PMID 21067829). Ein Herz, das bereits geschwächt ist, verkraftet zusätzliche Flüssigkeit schlecht.</w:t>
      </w:r>
    </w:p>
    <w:p>
      <w:pPr>
        <w:pStyle w:val="BodyText"/>
      </w:pPr>
      <w:r>
        <w:t xml:space="preserve">Weitere Einzelbefunde:</w:t>
      </w:r>
    </w:p>
    <w:p>
      <w:pPr>
        <w:numPr>
          <w:ilvl w:val="0"/>
          <w:numId w:val="1338"/>
        </w:numPr>
        <w:pStyle w:val="Compact"/>
      </w:pPr>
      <w:r>
        <w:rPr>
          <w:bCs/>
          <w:b/>
        </w:rPr>
        <w:t xml:space="preserve">Bremelanotid</w:t>
      </w:r>
      <w:r>
        <w:t xml:space="preserve"> </w:t>
      </w:r>
      <w:r>
        <w:t xml:space="preserve">erhöhte den oberen Blutdruckwert nach der Gabe vorübergehend um 2,4 bis 3,2 mmHg; die Spitzen dauerten meist weniger als 15 Minuten, gleichzeitig sank der Puls (White 2017, PMID 27977473).</w:t>
      </w:r>
    </w:p>
    <w:p>
      <w:pPr>
        <w:numPr>
          <w:ilvl w:val="0"/>
          <w:numId w:val="1338"/>
        </w:numPr>
        <w:pStyle w:val="Compact"/>
      </w:pPr>
      <w:r>
        <w:rPr>
          <w:bCs/>
          <w:b/>
        </w:rPr>
        <w:t xml:space="preserve">Macimorelin</w:t>
      </w:r>
      <w:r>
        <w:t xml:space="preserve"> </w:t>
      </w:r>
      <w:r>
        <w:t xml:space="preserve">verlängerte in einer bewusst überhöhten Einzeldosis die QT-Zeit im EKG im Mittel um bis zu 9,61 Millisekunden (Lissy 2021, PMID 32961034) – relevant für Menschen, die andere QT-verlängernde Medikamente einnehmen.</w:t>
      </w:r>
    </w:p>
    <w:p>
      <w:pPr>
        <w:numPr>
          <w:ilvl w:val="0"/>
          <w:numId w:val="1338"/>
        </w:numPr>
        <w:pStyle w:val="Compact"/>
      </w:pPr>
      <w:r>
        <w:rPr>
          <w:bCs/>
          <w:b/>
        </w:rPr>
        <w:t xml:space="preserve">Oxytocin</w:t>
      </w:r>
      <w:r>
        <w:t xml:space="preserve"> </w:t>
      </w:r>
      <w:r>
        <w:t xml:space="preserve">ähnelt chemisch dem Wasserhaushalts-Hormon Vasopressin. Beschrieben ist ein Fall erhöhten Hirndrucks unter Oxytocin-Nasenspray bei gleichzeitig sehr hoher Trinkmenge (Mayer-Hubner 1996, PMID 8596357).</w:t>
      </w:r>
    </w:p>
    <w:p>
      <w:pPr>
        <w:numPr>
          <w:ilvl w:val="0"/>
          <w:numId w:val="1338"/>
        </w:numPr>
        <w:pStyle w:val="Compact"/>
      </w:pPr>
      <w:r>
        <w:rPr>
          <w:bCs/>
          <w:b/>
        </w:rPr>
        <w:t xml:space="preserve">Melanotan II:</w:t>
      </w:r>
      <w:r>
        <w:t xml:space="preserve"> </w:t>
      </w:r>
      <w:r>
        <w:t xml:space="preserve">Fallberichte über Muskelzerfall mit Nierenschädigung (Nelson 2012, PMID 23121206) und einen Niereninfarkt; siehe Kapitel Melanotan II.</w:t>
      </w:r>
    </w:p>
    <w:bookmarkEnd w:id="979"/>
    <w:bookmarkStart w:id="980" w:name="psyche-und-suizidalität"/>
    <w:p>
      <w:pPr>
        <w:pStyle w:val="Heading3"/>
      </w:pPr>
      <w:r>
        <w:t xml:space="preserve">Psyche und Suizidalität</w:t>
      </w:r>
    </w:p>
    <w:p>
      <w:pPr>
        <w:pStyle w:val="FirstParagraph"/>
      </w:pPr>
      <w:r>
        <w:t xml:space="preserve">2023 lösten Einzelmeldungen über Suizidgedanken unter Semaglutid und Liraglutid behördliche Prüfungen in Europa und den USA aus. Die Datenlage ist inzwischen deutlich besser und überwiegend beruhigend. Eine Meta-Analyse von 86 randomisierten Studien mit 133.378 Teilnehmenden fand unter GLP-1-Rezeptor-Agonisten kein erhöhtes Risiko für psychische Erkrankungen insgesamt (relatives Risiko 0,96), für Depression (0,88), Suizid (0,90) oder Angststörungen (0,92) (Han 2026, PMID 41852258). In einer skandinavischen Registerstudie mit 124.517 Personen unter GLP-1-Rezeptor-Agonisten war das Risiko für Suizid gegenüber einem anderen Diabetesmittel nicht erhöht; die Obergrenze des Vertrauensbereichs entsprach höchstens 0,16 zusätzlichen Todesfällen pro 1.000 Personenjahre (Ueda 2024, PMID 39226030). In den SURMOUNT-Studien gaben unter Tirzepatid und Placebo jeweils 0,6 % Suizidgedanken an (Wadden 2026, PMID 41537305). Auch bei Jugendlichen fand eine Meta-Analyse keine Zunahme von Suizidverhalten oder Depression (Silva 2026, PMID 42115753).</w:t>
      </w:r>
    </w:p>
    <w:p>
      <w:pPr>
        <w:pStyle w:val="BodyText"/>
      </w:pPr>
      <w:r>
        <w:t xml:space="preserve">Eine Einschränkung bleibt: Menschen mit schweren psychischen Erkrankungen waren in vielen Studien ausgeschlossen. Für sie und für Menschen mit Essstörungen gelten eigene Überlegungen (siehe Kapitel „Wechselwirkungen und besondere Risikogruppen“).</w:t>
      </w:r>
    </w:p>
    <w:p>
      <w:pPr>
        <w:pStyle w:val="BodyText"/>
      </w:pPr>
      <w:r>
        <w:t xml:space="preserve">Andere Peptide wirken direkter auf das Gehirn. Die Fachinformation von Setmelanotid enthält Hinweise auf Depression und Suizidgedanken (Kapitel Setmelanotid). Für Semax ist bei einzelnen Personen mit vorgeschädigtem Gehirn eine anfallsartige EEG-Veränderung beschrieben (Kapitel Semax). Bei den meisten „Nootropika-Peptiden“ aus Gruppe D gibt es schlicht keine systematischen Daten zu psychischen Nebenwirkungen.</w:t>
      </w:r>
    </w:p>
    <w:bookmarkEnd w:id="980"/>
    <w:bookmarkStart w:id="981" w:name="haut-und-pigment"/>
    <w:p>
      <w:pPr>
        <w:pStyle w:val="Heading3"/>
      </w:pPr>
      <w:r>
        <w:t xml:space="preserve">Haut und Pigment</w:t>
      </w:r>
    </w:p>
    <w:p>
      <w:pPr>
        <w:pStyle w:val="FirstParagraph"/>
      </w:pPr>
      <w:r>
        <w:t xml:space="preserve">Die auffälligsten Hautveränderungen verursachen Peptide, die am</w:t>
      </w:r>
      <w:r>
        <w:t xml:space="preserve"> </w:t>
      </w:r>
      <w:r>
        <w:rPr>
          <w:bCs/>
          <w:b/>
        </w:rPr>
        <w:t xml:space="preserve">Melanocortin-1-Rezeptor</w:t>
      </w:r>
      <w:r>
        <w:t xml:space="preserve"> </w:t>
      </w:r>
      <w:r>
        <w:t xml:space="preserve">der Pigmentzellen wirken. Bei Setmelanotid, das eigentlich am Melanocortin-4-Rezeptor im Gehirn ansetzen soll, wurde die Haut in einer Meta-Analyse bei 62 % der Behandelten dunkler (Sridharan 2026, PMID 39924461). In einer Beobachtung über bis zu 46 Monate dunkelten auch Lippen und Muttermale nach, rote Haare wurden braun; bösartige Hautveränderungen traten nicht auf (Kanti 2021, PMID 34058738). Bremelanotid verursachte bei Gabe an bis zu 16 aufeinanderfolgenden Tagen bei mehr als einem Drittel der Teilnehmenden umschriebene dunkle Flecken (Clayton 2022, PMID 35147466).</w:t>
      </w:r>
    </w:p>
    <w:p>
      <w:pPr>
        <w:pStyle w:val="BodyText"/>
      </w:pPr>
      <w:r>
        <w:t xml:space="preserve">Beim nicht zugelassenen Melanotan II kommen neu auftretende, teils auffällige Muttermale hinzu. Eine Übersicht über alle veröffentlichten Fälle plötzlich auftretender Muttermale mit 179 Betroffenen nannte Melanotan unter den Auslösern; 16 % aller Fälle hatten mindestens ein feingeweblich auffälliges (dysplastisches) Muttermal (Burian 2019, PMID 31119650). Ob daraus ein höheres Melanomrisiko folgt, behandelt das nächste Kapitel.</w:t>
      </w:r>
    </w:p>
    <w:p>
      <w:pPr>
        <w:pStyle w:val="BodyText"/>
      </w:pPr>
      <w:r>
        <w:t xml:space="preserve">Bei den GLP-1-Medikamenten stehen andere Hautbefunde im Vordergrund. Eine systematische Übersicht nennt Reaktionen an der Einstichstelle am häufigsten unter Tirzepatid (2 bis 7 %) und Missempfindungen der Haut (Dysästhesie) vor allem unter Semaglutid: bei Standarddosen bei etwa 5 %, bei den hohen Adipositas-Dosen bei bis zu 20 % (Gupta 2026, PMID 42930571). Unter Retatrutid trat Dysästhesie in TRIUMPH-2 dosisabhängig bei 4 bis 7 % auf, unter Placebo bei 1 % (Bellido 2026, PMID 42810372). Reaktionen an der Einstichstelle und Allergien werden im Kapitel „Immunreaktionen und Antikörper“ zusammengefasst.</w:t>
      </w:r>
    </w:p>
    <w:p>
      <w:pPr>
        <w:pStyle w:val="BodyText"/>
      </w:pPr>
      <w:r>
        <w:t xml:space="preserve">Ein Sonderfall ist LL-37: Nach Injektionen in Hautmetastasen traten bei einer Patientin zahlreiche warzenartige, zunächst für Krebs gehaltene Hautveränderungen auf, die sich nach dem Absetzen zurückbildeten (Dolkar 2018, PMID 29665030). Zu Glutathion-Injektionen zur Hautaufhellung haben Behörden mehrfach gewarnt (Kapitel Glutathion).</w:t>
      </w:r>
    </w:p>
    <w:bookmarkEnd w:id="981"/>
    <w:bookmarkStart w:id="982" w:name="hormonsystem"/>
    <w:p>
      <w:pPr>
        <w:pStyle w:val="Heading3"/>
      </w:pPr>
      <w:r>
        <w:t xml:space="preserve">Hormonsystem</w:t>
      </w:r>
    </w:p>
    <w:p>
      <w:pPr>
        <w:pStyle w:val="FirstParagraph"/>
      </w:pPr>
      <w:r>
        <w:t xml:space="preserve">Viele Peptide sind selbst Hormone oder ahmen Hormone nach. Es überrascht daher nicht, dass sie in Regelkreise eingreifen, die über das eigentliche Ziel hinausgehen.</w:t>
      </w:r>
    </w:p>
    <w:p>
      <w:pPr>
        <w:numPr>
          <w:ilvl w:val="0"/>
          <w:numId w:val="1339"/>
        </w:numPr>
        <w:pStyle w:val="Compact"/>
      </w:pPr>
      <w:r>
        <w:rPr>
          <w:bCs/>
          <w:b/>
        </w:rPr>
        <w:t xml:space="preserve">Stresshormone und Prolaktin:</w:t>
      </w:r>
      <w:r>
        <w:t xml:space="preserve"> </w:t>
      </w:r>
      <w:r>
        <w:t xml:space="preserve">Die Ghrelin-Mimetika GHRP-2, GHRP-6, Hexarelin und Macimorelin setzen neben Wachstumshormon auch ACTH und Cortisol frei, einige zusätzlich Prolaktin. Beim GHRP-2 ist dieser Effekt so verlässlich, dass er als Test für die Nebennierenachse untersucht wurde (Arimura 2016, PMID 27020037). Was eine wiederholte Stimulation über Monate bewirkt, ist nicht untersucht (Kapitel GHRP-2, GHRP-6, Hexarelin).</w:t>
      </w:r>
    </w:p>
    <w:p>
      <w:pPr>
        <w:numPr>
          <w:ilvl w:val="0"/>
          <w:numId w:val="1339"/>
        </w:numPr>
        <w:pStyle w:val="Compact"/>
      </w:pPr>
      <w:r>
        <w:rPr>
          <w:bCs/>
          <w:b/>
        </w:rPr>
        <w:t xml:space="preserve">Unterdrückung statt Anregung:</w:t>
      </w:r>
      <w:r>
        <w:t xml:space="preserve"> </w:t>
      </w:r>
      <w:r>
        <w:t xml:space="preserve">Hormone, die im Körper in Stößen ausgeschüttet werden, wirken bei Dauergabe oft gegenteilig. Beim Kisspeptin-Analogon TAK-448 fiel Testosteron bei gesunden Männern unter einer 14-tägigen Dauerinfusion bis in den Kastrationsbereich (MacLean 2014, PMID 24762108). Dasselbe Prinzip gilt für Gonadorelin, wenn es nicht im richtigen Rhythmus gegeben wird (Kapitel Kisspeptin, Gonadorelin).</w:t>
      </w:r>
    </w:p>
    <w:p>
      <w:pPr>
        <w:numPr>
          <w:ilvl w:val="0"/>
          <w:numId w:val="1339"/>
        </w:numPr>
        <w:pStyle w:val="Compact"/>
      </w:pPr>
      <w:r>
        <w:rPr>
          <w:bCs/>
          <w:b/>
        </w:rPr>
        <w:t xml:space="preserve">Brustvergrößerung bei Männern</w:t>
      </w:r>
      <w:r>
        <w:t xml:space="preserve"> </w:t>
      </w:r>
      <w:r>
        <w:t xml:space="preserve">ist eine bekannte Folge einer erhöhten Wachstumshormon-Wirkung (Liu 2007, PMID 17227934).</w:t>
      </w:r>
    </w:p>
    <w:p>
      <w:pPr>
        <w:numPr>
          <w:ilvl w:val="0"/>
          <w:numId w:val="1339"/>
        </w:numPr>
        <w:pStyle w:val="Compact"/>
      </w:pPr>
      <w:r>
        <w:rPr>
          <w:bCs/>
          <w:b/>
        </w:rPr>
        <w:t xml:space="preserve">Sexualfunktion:</w:t>
      </w:r>
      <w:r>
        <w:t xml:space="preserve"> </w:t>
      </w:r>
      <w:r>
        <w:t xml:space="preserve">Melanocortin-Agonisten können spontane Erektionen auslösen; bei Melanotan II sind Fälle von Priapismus, einer schmerzhaften Dauererektion, beschrieben (Kapitel Melanotan II, Setmelanotid).</w:t>
      </w:r>
    </w:p>
    <w:bookmarkEnd w:id="982"/>
    <w:bookmarkStart w:id="983" w:name="blutzucker"/>
    <w:p>
      <w:pPr>
        <w:pStyle w:val="Heading3"/>
      </w:pPr>
      <w:r>
        <w:t xml:space="preserve">Blutzucker</w:t>
      </w:r>
    </w:p>
    <w:p>
      <w:pPr>
        <w:pStyle w:val="FirstParagraph"/>
      </w:pPr>
      <w:r>
        <w:t xml:space="preserve">Peptide können den Blutzucker in beide Richtungen verschieben – und beide Richtungen sind relevant.</w:t>
      </w:r>
    </w:p>
    <w:p>
      <w:pPr>
        <w:pStyle w:val="BodyText"/>
      </w:pPr>
      <w:r>
        <w:rPr>
          <w:bCs/>
          <w:b/>
        </w:rPr>
        <w:t xml:space="preserve">Unterzuckerung (Hypoglykämie).</w:t>
      </w:r>
      <w:r>
        <w:t xml:space="preserve"> </w:t>
      </w:r>
      <w:r>
        <w:t xml:space="preserve">Das größte Risiko hat Mecasermin, also IGF-1 als Medikament: In einer Langzeitstudie mit 76 Kindern war Unterzuckerung mit 49 % die häufigste Nebenwirkung (Chernausek 2007, PMID 17192294). Für das Laborpräparat IGF-1 LR3 ist ein ähnliches oder stärkeres Risiko biologisch plausibel, aber nie gemessen worden (Kapitel IGF-1 LR3). Pramlintid verstärkt die Wirkung von gleichzeitig gespritztem Insulin; schwere Unterzuckerungen waren in einer Studie häufiger als unter Placebo (0,57 gegenüber 0,30 Ereignisse pro Patientenjahr) (Edelman 2006, PMID 17003291). GLP-1-Medikamente allein senken den Blutzucker kaum bis in den gefährlichen Bereich, weil ihre Wirkung an den Blutzucker gekoppelt ist. In Kombination mit Sulfonylharnstoffen oder Insulin steigt das Risiko aber: Unter Exenatid zusätzlich zu Metformin und einem Sulfonylharnstoff traten leichte bis mittelschwere Unterzuckerungen bei 28 % beziehungsweise 19 % auf, unter Placebo bei 13 % (Kendall 2005, PMID 15855571). Mehr dazu im Kapitel „Wechselwirkungen und besondere Risikogruppen“.</w:t>
      </w:r>
    </w:p>
    <w:p>
      <w:pPr>
        <w:pStyle w:val="BodyText"/>
      </w:pPr>
      <w:r>
        <w:t xml:space="preserve">Eine schwere Unterzuckerung nach einer vermeintlichen „Abnehmspritze“ bei einem Menschen ohne Diabetes ist ein Warnsignal für eine Fälschung mit Insulin. Die Fälle sind in Teil I im Kapitel „Der Graumarkt“ beschrieben.</w:t>
      </w:r>
    </w:p>
    <w:p>
      <w:pPr>
        <w:pStyle w:val="BodyText"/>
      </w:pPr>
      <w:r>
        <w:rPr>
          <w:bCs/>
          <w:b/>
        </w:rPr>
        <w:t xml:space="preserve">Höherer Blutzucker.</w:t>
      </w:r>
      <w:r>
        <w:t xml:space="preserve"> </w:t>
      </w:r>
      <w:r>
        <w:t xml:space="preserve">Wachstumshormon wirkt dem Insulin entgegen. Unter Ibutamoren stieg der Nüchternblutzucker bei gesunden älteren Menschen im Mittel um 0,3 mmol/l, das Körpergewicht um 2,7 kg gegenüber 0,8 kg unter Placebo (Nass 2008, PMID 18981485). In der Übersicht zu Wachstumshormon bei älteren Menschen traten etwas häufiger ein neuer Diabetes und ein gestörter Nüchternzucker auf (Liu 2007, PMID 17227934). Unter Tesamorelin stieg der Nüchternzucker in den ersten Wochen vorübergehend an (Kapitel Tesamorelin). Für Menschen mit Diabetes oder Vorstufen davon ist die Wachstumshormon-Achse deshalb besonders heikel.</w:t>
      </w:r>
    </w:p>
    <w:bookmarkEnd w:id="983"/>
    <w:bookmarkStart w:id="984" w:name="was-sich-aus-dem-vergleich-ergibt"/>
    <w:p>
      <w:pPr>
        <w:pStyle w:val="Heading3"/>
      </w:pPr>
      <w:r>
        <w:t xml:space="preserve">Was sich aus dem Vergleich ergibt</w:t>
      </w:r>
    </w:p>
    <w:p>
      <w:pPr>
        <w:pStyle w:val="FirstParagraph"/>
      </w:pPr>
      <w:r>
        <w:t xml:space="preserve">Über alle Organsysteme hinweg zeigen sich drei Muster.</w:t>
      </w:r>
    </w:p>
    <w:p>
      <w:pPr>
        <w:pStyle w:val="BodyText"/>
      </w:pPr>
      <w:r>
        <w:t xml:space="preserve">Erstens: Die am besten untersuchten Peptide – die zugelassenen GLP-1-Medikamente – haben die am besten bekannten Nebenwirkungen. Das liegt nicht daran, dass sie besonders gefährlich wären, sondern daran, dass Hunderttausende Menschen in Studien und Registern beobachtet wurden. Häufige Beschwerden betreffen den Magen-Darm-Trakt und sind meist vorübergehend; ernstere Risiken wie Gallensteine sind belegt, aber in absoluten Zahlen selten; Signale wie NAION sind sehr selten und werden weiter untersucht.</w:t>
      </w:r>
    </w:p>
    <w:p>
      <w:pPr>
        <w:pStyle w:val="BodyText"/>
      </w:pPr>
      <w:r>
        <w:t xml:space="preserve">Zweitens: Die Peptide der Wachstumshormon-Achse teilen ein gemeinsames Profil aus Wassereinlagerung, höherem Blutzucker und Stresshormon-Anstieg. Für eine Anwendung über Monate oder Jahre bei Gesunden gibt es so gut wie keine Daten.</w:t>
      </w:r>
    </w:p>
    <w:p>
      <w:pPr>
        <w:pStyle w:val="BodyText"/>
      </w:pPr>
      <w:r>
        <w:t xml:space="preserve">Drittens: Für die Mehrzahl der Peptide aus den Gruppen B und D lassen sich Organrisiken gar nicht beschreiben, weil niemand systematisch danach gesucht hat. Dort liegt das größte praktische Risiko nicht im Wirkstoff, sondern im Produkt – mehr dazu im Kapitel „Graumarkt-Produkte“.</w:t>
      </w:r>
    </w:p>
    <w:bookmarkEnd w:id="984"/>
    <w:bookmarkEnd w:id="985"/>
    <w:bookmarkStart w:id="994" w:name="krebsrisiko-und-wachstumssignale"/>
    <w:p>
      <w:pPr>
        <w:pStyle w:val="Heading2"/>
      </w:pPr>
      <w:r>
        <w:t xml:space="preserve">Krebsrisiko und Wachstumssignale</w:t>
      </w:r>
    </w:p>
    <w:p>
      <w:pPr>
        <w:pStyle w:val="FirstParagraph"/>
      </w:pPr>
      <w:r>
        <w:t xml:space="preserve">Viele Peptide werden gerade deshalb beworben, weil sie Wachstum anregen sollen: von Muskeln, Sehnen, Blutgefäßen, Nervenzellen oder Haaren. Wachstum ist aber nicht wählerisch. Die Signalwege, über die Gewebe heilen und sich erneuern, nutzen auch Krebszellen. Deshalb taucht bei fast jedem „Heilungs-“, „Anti-Aging-“ oder Wachstumshormon-Peptid dieselbe Frage auf: Kann es Krebs fördern?</w:t>
      </w:r>
    </w:p>
    <w:p>
      <w:pPr>
        <w:pStyle w:val="BodyText"/>
      </w:pPr>
      <w:r>
        <w:t xml:space="preserve">Dieses Kapitel fasst zusammen, was dazu bekannt ist – getrennt nach den vier Mechanismen, die in Teil II immer wieder vorkommen: die Wachstumshormon-IGF-1-Achse, die Neubildung von Blutgefäßen, die Anregung der Pigmentzellen und die Wirkung der GLP-1-Medikamente auf Schilddrüse und Bauchspeicheldrüse. Am Ende steht ein Überblick über die neuesten großen Auswertungen zu GLP-1-Medikamenten und Krebs.</w:t>
      </w:r>
    </w:p>
    <w:bookmarkStart w:id="986" w:name="wie-man-die-krebsfrage-einordnet"/>
    <w:p>
      <w:pPr>
        <w:pStyle w:val="Heading3"/>
      </w:pPr>
      <w:r>
        <w:t xml:space="preserve">Wie man die Krebsfrage einordnet</w:t>
      </w:r>
    </w:p>
    <w:p>
      <w:pPr>
        <w:pStyle w:val="FirstParagraph"/>
      </w:pPr>
      <w:r>
        <w:t xml:space="preserve">Vier Punkte helfen, die folgenden Daten zu lesen.</w:t>
      </w:r>
    </w:p>
    <w:p>
      <w:pPr>
        <w:pStyle w:val="BodyText"/>
      </w:pPr>
      <w:r>
        <w:rPr>
          <w:bCs/>
          <w:b/>
        </w:rPr>
        <w:t xml:space="preserve">Auslösen oder fördern.</w:t>
      </w:r>
      <w:r>
        <w:t xml:space="preserve"> </w:t>
      </w:r>
      <w:r>
        <w:t xml:space="preserve">Ein Stoff kann Krebs auslösen, indem er das Erbgut schädigt. Häufiger diskutiert wird bei Peptiden eine andere Möglichkeit: Ein Wachstumssignal könnte einen bereits vorhandenen, noch unentdeckten Tumor schneller wachsen lassen – ähnlich wie Dünger eine Pflanze, die schon im Boden steckt. Für diese zweite Möglichkeit reicht es, wenn der Stoff Zellteilung, Zellüberleben oder Gefäßneubildung anregt.</w:t>
      </w:r>
    </w:p>
    <w:p>
      <w:pPr>
        <w:pStyle w:val="BodyText"/>
      </w:pPr>
      <w:r>
        <w:rPr>
          <w:bCs/>
          <w:b/>
        </w:rPr>
        <w:t xml:space="preserve">Zeit.</w:t>
      </w:r>
      <w:r>
        <w:t xml:space="preserve"> </w:t>
      </w:r>
      <w:r>
        <w:t xml:space="preserve">Krebs entwickelt sich über Jahre bis Jahrzehnte. Die meisten Peptid-Studien laufen Wochen bis wenige Jahre. Selbst große Zulassungsstudien können ein langsam entstehendes Risiko kaum erfassen. Dafür braucht es Register und Beobachtungsstudien über lange Zeiträume – die wiederum anfällig für Verzerrungen sind.</w:t>
      </w:r>
    </w:p>
    <w:p>
      <w:pPr>
        <w:pStyle w:val="BodyText"/>
      </w:pPr>
      <w:r>
        <w:rPr>
          <w:bCs/>
          <w:b/>
        </w:rPr>
        <w:t xml:space="preserve">Diagnose-Verzerrung.</w:t>
      </w:r>
      <w:r>
        <w:t xml:space="preserve"> </w:t>
      </w:r>
      <w:r>
        <w:t xml:space="preserve">Wer wegen eines Medikaments häufiger untersucht wird, bei dem werden auch häufiger Tumoren gefunden. Ein Beispiel: Eine Meta-Analyse fand in kürzeren GLP-1-Studien etwas mehr Darmkrebs-Diagnosen und vermutete als Erklärung, dass Magen-Darm-Beschwerden zu mehr Darmspiegelungen führten (Silverii 2025, PMID 40437949).</w:t>
      </w:r>
    </w:p>
    <w:p>
      <w:pPr>
        <w:pStyle w:val="BodyText"/>
      </w:pPr>
      <w:r>
        <w:rPr>
          <w:bCs/>
          <w:b/>
        </w:rPr>
        <w:t xml:space="preserve">Die Gegenrichtung.</w:t>
      </w:r>
      <w:r>
        <w:t xml:space="preserve"> </w:t>
      </w:r>
      <w:r>
        <w:t xml:space="preserve">Übergewicht erhöht das Risiko für mindestens 13 Krebsarten. Ein Medikament, das stark Gewicht reduziert, könnte deshalb das Krebsrisiko insgesamt senken, auch wenn es an einem einzelnen Organ ein kleines Signal gibt. Beides lässt sich nur getrennt betrachten.</w:t>
      </w:r>
    </w:p>
    <w:bookmarkEnd w:id="986"/>
    <w:bookmarkStart w:id="987" w:name="wachstumshormon-und-igf-1"/>
    <w:p>
      <w:pPr>
        <w:pStyle w:val="Heading3"/>
      </w:pPr>
      <w:r>
        <w:t xml:space="preserve">Wachstumshormon und IGF-1</w:t>
      </w:r>
    </w:p>
    <w:p>
      <w:pPr>
        <w:pStyle w:val="FirstParagraph"/>
      </w:pPr>
      <w:r>
        <w:t xml:space="preserve">Wachstumshormon wirkt zu einem großen Teil über IGF-1, den insulinähnlichen Wachstumsfaktor 1. IGF-1 regt Zellen zur Teilung an und schützt sie vor dem programmierten Zelltod. Alle Peptide der Gruppe C – Sermorelin, Tesamorelin, CJC-1295, Ipamorelin, die GHRP-Familie, Mecasermin und IGF-1 LR3 – sowie das zum Vergleich besprochene Ibutamoren erhöhen IGF-1 direkt oder indirekt. Die Belege zur Krebsfrage stammen aus fünf Quellen.</w:t>
      </w:r>
    </w:p>
    <w:p>
      <w:pPr>
        <w:pStyle w:val="BodyText"/>
      </w:pPr>
      <w:r>
        <w:rPr>
          <w:bCs/>
          <w:b/>
        </w:rPr>
        <w:t xml:space="preserve">Natürlich höhere IGF-1-Spiegel.</w:t>
      </w:r>
      <w:r>
        <w:t xml:space="preserve"> </w:t>
      </w:r>
      <w:r>
        <w:t xml:space="preserve">Eine Meta-Analyse von 21 Studien fand bei Menschen mit hohen IGF-1-Werten ein höheres Risiko für Prostatakrebs (Odds Ratio 1,49 beim Vergleich des oberen mit dem unteren Viertel) und für Brustkrebs vor den Wechseljahren (1,65); die Autoren nannten die Zusammenhänge ausdrücklich „mäßig“ (Renehan 2004, PMID 15110491). In der UK Biobank mit 206.263 Frauen stieg das Brustkrebsrisiko pro 5 nmol/l mehr IGF-1 um 11 % (Murphy 2020, PMID 32169310); für Darmkrebs fand dieselbe Gruppe bei fast 400.000 Teilnehmenden einen ähnlichen Zusammenhang (Murphy 2020, PMID 31884074).</w:t>
      </w:r>
    </w:p>
    <w:p>
      <w:pPr>
        <w:pStyle w:val="BodyText"/>
      </w:pPr>
      <w:r>
        <w:rPr>
          <w:bCs/>
          <w:b/>
        </w:rPr>
        <w:t xml:space="preserve">Genetische Analysen.</w:t>
      </w:r>
      <w:r>
        <w:t xml:space="preserve"> </w:t>
      </w:r>
      <w:r>
        <w:t xml:space="preserve">Die sogenannte Mendelsche Randomisierung nutzt Genvarianten, die den IGF-1-Spiegel lebenslang leicht anheben, als natürliches Experiment. Auch hier war ein genetisch höheres IGF-1 mit etwas mehr Brustkrebs verbunden (Odds Ratio 1,05 pro 5 nmol/l) (Murphy 2020, PMID 32169310). Das spricht dafür, dass der Zusammenhang nicht nur auf Begleitumständen beruht.</w:t>
      </w:r>
    </w:p>
    <w:p>
      <w:pPr>
        <w:pStyle w:val="BodyText"/>
      </w:pPr>
      <w:r>
        <w:rPr>
          <w:bCs/>
          <w:b/>
        </w:rPr>
        <w:t xml:space="preserve">Zu viel Wachstumshormon durch Krankheit.</w:t>
      </w:r>
      <w:r>
        <w:t xml:space="preserve"> </w:t>
      </w:r>
      <w:r>
        <w:t xml:space="preserve">Bei Akromegalie, einer Überproduktion von Wachstumshormon durch einen Tumor der Hirnanhangdrüse, ergab eine Meta-Analyse von 23 Studien eine um etwa die Hälfte erhöhte Krebsrate (standardisiertes Verhältnis 1,5), mit besonders hohen Werten für Darm- und Schilddrüsenkrebs. Kleinere und ältere Studien zeigten allerdings höhere Werte als große, was auf Auswahlverzerrungen hindeutet (Dal 2018, PMID 29590449).</w:t>
      </w:r>
    </w:p>
    <w:p>
      <w:pPr>
        <w:pStyle w:val="BodyText"/>
      </w:pPr>
      <w:r>
        <w:rPr>
          <w:bCs/>
          <w:b/>
        </w:rPr>
        <w:t xml:space="preserve">Zu wenig IGF-1 durch Krankheit.</w:t>
      </w:r>
      <w:r>
        <w:t xml:space="preserve"> </w:t>
      </w:r>
      <w:r>
        <w:t xml:space="preserve">Bei Menschen mit Laron-Syndrom, die wegen eines Gendefekts kaum IGF-1 bilden, trat in Ecuador über 22 Jahre Beobachtung nur eine einzige, nicht tödliche Krebserkrankung auf; bei nicht betroffenen Verwandten lag der Anteil bei 17 % (Guevara-Aguirre 2011, PMID 21325617).</w:t>
      </w:r>
    </w:p>
    <w:p>
      <w:pPr>
        <w:pStyle w:val="BodyText"/>
      </w:pPr>
      <w:r>
        <w:rPr>
          <w:bCs/>
          <w:b/>
        </w:rPr>
        <w:t xml:space="preserve">Wachstumshormon als Arzneimittel.</w:t>
      </w:r>
      <w:r>
        <w:t xml:space="preserve"> </w:t>
      </w:r>
      <w:r>
        <w:t xml:space="preserve">Bei 23.984 Kindern, die in acht europäischen Ländern mit Wachstumshormon behandelt wurden, fand sich ohne schwere Vorerkrankung kein klar erhöhtes Krebsrisiko. Auffällig waren einzelne Krebsarten (Knochen, Blase) und ein Anstieg der Krebssterblichkeit mit höherer Tagesdosis bei Kindern, die zuvor schon Krebs gehabt hatten (Swerdlow 2017, PMID 28187225). Bei 8.418 behandelten Erwachsenen mit Hypophysenunterfunktion war das Krebsrisiko nicht erhöht; die Krebsrate lag sogar unter dem Bevölkerungsdurchschnitt (Child 2015, PMID 25810462).</w:t>
      </w:r>
    </w:p>
    <w:p>
      <w:pPr>
        <w:pStyle w:val="BodyText"/>
      </w:pPr>
      <w:r>
        <w:t xml:space="preserve">Was folgt daraus? Wer einen echten Mangel hat und ein fehlendes Hormon ersetzt bekommt, trägt nach heutigem Wissen kein deutlich erhöhtes Krebsrisiko. Wer dagegen einen normalen Spiegel über Jahre anhebt, bewegt sich in den Bereich, in dem die Beobachtungs- und Genstudien ein mäßig höheres Risiko zeigen. Für genau diese Situation – gesunde Erwachsene, die Freisetzer zur Leistungssteigerung oder „Verjüngung“ verwenden – gibt es keine Langzeitstudien. Ibutamoren etwa hob IGF-1 bei gesunden älteren Menschen auf das Niveau junger Erwachsener (Nass 2008, PMID 18981485); ein Krebssignal wurde nicht berichtet, aber dafür war die Studie weder groß noch lang genug.</w:t>
      </w:r>
    </w:p>
    <w:p>
      <w:pPr>
        <w:pStyle w:val="BodyText"/>
      </w:pPr>
      <w:r>
        <w:t xml:space="preserve">Zwei Sonderfälle verdienen Erwähnung. Beim zugelassenen Mecasermin wurden nach der Markteinführung gut- und bösartige Neubildungen bei behandelten Kindern gemeldet; die Fachinformationen enthalten entsprechende Warnhinweise, und bei aktiver Krebserkrankung ist es nicht anzuwenden (Stand 2026, bitte aktuell prüfen; Kapitel Mecasermin). Das Laborpräparat IGF-1 LR3 wurde so verändert, dass es nicht mehr an die Bindungseiweiße im Blut gebunden wird, die IGF-1 normalerweise abpuffern. Es wirkt dadurch stärker und länger am Rezeptor – theoretisch genau die ungünstige Richtung. Am Menschen wurde das nie untersucht (Kapitel IGF-1 LR3).</w:t>
      </w:r>
    </w:p>
    <w:bookmarkEnd w:id="987"/>
    <w:bookmarkStart w:id="988" w:name="X0920160f275edd168100465496ffd094b061592"/>
    <w:p>
      <w:pPr>
        <w:pStyle w:val="Heading3"/>
      </w:pPr>
      <w:r>
        <w:t xml:space="preserve">Gefäßneubildung und andere Wachstumssignale</w:t>
      </w:r>
    </w:p>
    <w:p>
      <w:pPr>
        <w:pStyle w:val="FirstParagraph"/>
      </w:pPr>
      <w:r>
        <w:t xml:space="preserve">Ein Tumor, der größer als wenige Millimeter werden will, braucht eigene Blutgefäße. Diesen Vorgang nennt man Angiogenese. Einige zugelassene Krebsmedikamente wirken gerade dadurch, dass sie den wichtigsten Signalweg der Gefäßneubildung blockieren, das VEGF-System. Umgekehrt stehen Stoffe, die Gefäßneubildung fördern, unter dem Verdacht, Tumoren zu begünstigen.</w:t>
      </w:r>
    </w:p>
    <w:p>
      <w:pPr>
        <w:pStyle w:val="BodyText"/>
      </w:pPr>
      <w:r>
        <w:rPr>
          <w:bCs/>
          <w:b/>
        </w:rPr>
        <w:t xml:space="preserve">BPC-157.</w:t>
      </w:r>
      <w:r>
        <w:t xml:space="preserve"> </w:t>
      </w:r>
      <w:r>
        <w:t xml:space="preserve">In Laborversuchen erhöhte BPC-157 die Gefäßdichte in Hühnerei-Membranen, beschleunigte bei Ratten die Durchblutung eines minderversorgten Beins und steigerte in menschlichen Gefäßzellen die Menge des VEGF-Rezeptors 2 (Hsieh 2017, PMID 27847966). Die Zagreber Arbeitsgruppe, von der die meisten BPC-157-Studien stammen, hält dagegen: BPC-157 steuere die Gefäßbildung, statt sie blind anzukurbeln, und habe in Tier- und Zellversuchen sogar Wirkungen gegen Tumoren gezeigt (Sikiric 2025, PMID 40573323). Langzeitstudien zur Krebsentstehung, wie sie für Arzneimittel vorgeschrieben sind, wurden für BPC-157 nicht veröffentlicht. Die Frage ist offen. Siehe Kapitel BPC-157.</w:t>
      </w:r>
    </w:p>
    <w:p>
      <w:pPr>
        <w:pStyle w:val="BodyText"/>
      </w:pPr>
      <w:r>
        <w:rPr>
          <w:bCs/>
          <w:b/>
        </w:rPr>
        <w:t xml:space="preserve">TB-500 und Thymosin Beta-4.</w:t>
      </w:r>
      <w:r>
        <w:t xml:space="preserve"> </w:t>
      </w:r>
      <w:r>
        <w:t xml:space="preserve">Thymosin Beta-4 fördert Zellwanderung und Gefäßneubildung. In Gewebeproben von 138 Menschen mit Blasenkrebs war eine starke Thymosin-Beta-4-Bildung mit fortgeschrittenem Stadium, Lymphknotenbefall und kürzerem Überleben verbunden (Wang 2016, PMID 27596300). In Kulturen von Brustkrebszellen erhöhte zugesetztes Thymosin Beta-4 die Zellzahl (Larsson 2007, PMID 17495241). Das beweist nicht, dass von außen zugeführtes TB-500 Krebs fördert, ist aber ein Grund zur Vorsicht bei Menschen mit Krebserkrankung oder hohem Krebsrisiko. Siehe Kapitel TB-500.</w:t>
      </w:r>
    </w:p>
    <w:p>
      <w:pPr>
        <w:pStyle w:val="BodyText"/>
      </w:pPr>
      <w:r>
        <w:rPr>
          <w:bCs/>
          <w:b/>
        </w:rPr>
        <w:t xml:space="preserve">Weitere Peptide mit Wachstumssignalen.</w:t>
      </w:r>
      <w:r>
        <w:t xml:space="preserve"> </w:t>
      </w:r>
      <w:r>
        <w:t xml:space="preserve">Bei mehreren Peptiden aus Teil II ergeben sich ähnliche Fragen aus dem Wirkmechanismus oder aus Labordaten: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Mechanismus</w:t>
            </w:r>
          </w:p>
        </w:tc>
        <w:tc>
          <w:tcPr/>
          <w:p>
            <w:pPr>
              <w:pStyle w:val="Compact"/>
              <w:jc w:val="left"/>
            </w:pPr>
            <w:r>
              <w:t xml:space="preserve">Art des Hinweises</w:t>
            </w:r>
          </w:p>
        </w:tc>
        <w:tc>
          <w:tcPr/>
          <w:p>
            <w:pPr>
              <w:pStyle w:val="Compact"/>
              <w:jc w:val="left"/>
            </w:pPr>
            <w:r>
              <w:t xml:space="preserve">Kapitel</w:t>
            </w:r>
          </w:p>
        </w:tc>
      </w:tr>
      <w:tr>
        <w:tc>
          <w:tcPr/>
          <w:p>
            <w:pPr>
              <w:pStyle w:val="Compact"/>
              <w:jc w:val="left"/>
            </w:pPr>
            <w:r>
              <w:t xml:space="preserve">Dihexa</w:t>
            </w:r>
          </w:p>
        </w:tc>
        <w:tc>
          <w:tcPr/>
          <w:p>
            <w:pPr>
              <w:pStyle w:val="Compact"/>
              <w:jc w:val="left"/>
            </w:pPr>
            <w:r>
              <w:t xml:space="preserve">verstärkt das c-Met-Signal, einen bekannten Krebstreiber</w:t>
            </w:r>
          </w:p>
        </w:tc>
        <w:tc>
          <w:tcPr/>
          <w:p>
            <w:pPr>
              <w:pStyle w:val="Compact"/>
              <w:jc w:val="left"/>
            </w:pPr>
            <w:r>
              <w:t xml:space="preserve">nur theoretisch, keine Humandaten</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soll Telomerase aktivieren</w:t>
            </w:r>
          </w:p>
        </w:tc>
        <w:tc>
          <w:tcPr/>
          <w:p>
            <w:pPr>
              <w:pStyle w:val="Compact"/>
              <w:jc w:val="left"/>
            </w:pPr>
            <w:r>
              <w:t xml:space="preserve">Zellkultur: auch Telomere von Brustkrebszellen verlängert</w:t>
            </w:r>
          </w:p>
        </w:tc>
        <w:tc>
          <w:tcPr/>
          <w:p>
            <w:pPr>
              <w:pStyle w:val="Compact"/>
              <w:jc w:val="left"/>
            </w:pPr>
            <w:r>
              <w:t xml:space="preserve">Epitalon</w:t>
            </w:r>
          </w:p>
        </w:tc>
      </w:tr>
      <w:tr>
        <w:tc>
          <w:tcPr/>
          <w:p>
            <w:pPr>
              <w:pStyle w:val="Compact"/>
              <w:jc w:val="left"/>
            </w:pPr>
            <w:r>
              <w:t xml:space="preserve">Humanin</w:t>
            </w:r>
          </w:p>
        </w:tc>
        <w:tc>
          <w:tcPr/>
          <w:p>
            <w:pPr>
              <w:pStyle w:val="Compact"/>
              <w:jc w:val="left"/>
            </w:pPr>
            <w:r>
              <w:t xml:space="preserve">schützt Zellen vor dem Zelltod</w:t>
            </w:r>
          </w:p>
        </w:tc>
        <w:tc>
          <w:tcPr/>
          <w:p>
            <w:pPr>
              <w:pStyle w:val="Compact"/>
              <w:jc w:val="left"/>
            </w:pPr>
            <w:r>
              <w:t xml:space="preserve">Mäuse: schnelleres Tumorwachstum, mehr Metastasen</w:t>
            </w:r>
          </w:p>
        </w:tc>
        <w:tc>
          <w:tcPr/>
          <w:p>
            <w:pPr>
              <w:pStyle w:val="Compact"/>
              <w:jc w:val="left"/>
            </w:pPr>
            <w:r>
              <w:t xml:space="preserve">Humanin</w:t>
            </w:r>
          </w:p>
        </w:tc>
      </w:tr>
      <w:tr>
        <w:tc>
          <w:tcPr/>
          <w:p>
            <w:pPr>
              <w:pStyle w:val="Compact"/>
              <w:jc w:val="left"/>
            </w:pPr>
            <w:r>
              <w:t xml:space="preserve">LL-37</w:t>
            </w:r>
          </w:p>
        </w:tc>
        <w:tc>
          <w:tcPr/>
          <w:p>
            <w:pPr>
              <w:pStyle w:val="Compact"/>
              <w:jc w:val="left"/>
            </w:pPr>
            <w:r>
              <w:t xml:space="preserve">Entzündungs- und Wachstumssignale</w:t>
            </w:r>
          </w:p>
        </w:tc>
        <w:tc>
          <w:tcPr/>
          <w:p>
            <w:pPr>
              <w:pStyle w:val="Compact"/>
              <w:jc w:val="left"/>
            </w:pPr>
            <w:r>
              <w:t xml:space="preserve">Labor: je nach Krebsart fördernd oder hemmend</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Gefäßneubildung im Tierversuch</w:t>
            </w:r>
          </w:p>
        </w:tc>
        <w:tc>
          <w:tcPr/>
          <w:p>
            <w:pPr>
              <w:pStyle w:val="Compact"/>
              <w:jc w:val="left"/>
            </w:pPr>
            <w:r>
              <w:t xml:space="preserve">nur theoretisch</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wirkt am EPO-Rezeptor</w:t>
            </w:r>
          </w:p>
        </w:tc>
        <w:tc>
          <w:tcPr/>
          <w:p>
            <w:pPr>
              <w:pStyle w:val="Compact"/>
              <w:jc w:val="left"/>
            </w:pPr>
            <w:r>
              <w:t xml:space="preserve">theoretisch, analog zu EPO</w:t>
            </w:r>
          </w:p>
        </w:tc>
        <w:tc>
          <w:tcPr/>
          <w:p>
            <w:pPr>
              <w:pStyle w:val="Compact"/>
              <w:jc w:val="left"/>
            </w:pPr>
            <w:r>
              <w:t xml:space="preserve">ARA-290</w:t>
            </w:r>
          </w:p>
        </w:tc>
      </w:tr>
    </w:tbl>
    <w:p>
      <w:pPr>
        <w:pStyle w:val="BodyText"/>
      </w:pPr>
      <w:r>
        <w:t xml:space="preserve">Einige dieser Hinweise sind konkret. Bei Mäusen mit dreifach-negativem Brustkrebs verringerte zugeführtes Humanin den Zelltod im Tumor, schwächte die Chemotherapie ab und beschleunigte Tumorwachstum und Lungenmetastasen (Moreno Ayala 2020, PMID 32444831). Epitalon verlängerte in Zellkulturen die Telomere gesunder Zellen über das Enzym Telomerase, in Brustkrebszellen über einen anderen Weg (Al-Dulaimi 2025, PMID 40908429); in einer Mäusestudie nahm die Zahl spontaner Tumoren dagegen nicht zu (Anisimov 2003, PMID 14501183). Für LL-37 beschreibt eine Übersicht fördernde Wirkungen auf Tumoren von Eierstock, Lunge, Brust, Prostata, Bauchspeicheldrüse und Haut, aber hemmende auf Darm- und Magenkrebs (Chen 2018, PMID 29843147). Für Dihexa ist die Verbindung zum c-Met-System beschrieben (Wright 2015, PMID 25649658); Untersuchungen zur Krebsentstehung gibt es nicht.</w:t>
      </w:r>
    </w:p>
    <w:p>
      <w:pPr>
        <w:pStyle w:val="BodyText"/>
      </w:pPr>
      <w:r>
        <w:t xml:space="preserve">Alle diese Befunde stammen aus Tierversuchen, Zellkulturen oder aus dem Wirkmechanismus. Keiner beweist ein Krebsrisiko beim Menschen. Sie zeigen aber, dass „natürlich“, „körpereigen“ oder „regenerativ“ nicht automatisch „harmlos“ bedeutet – und dass für keinen dieser Stoffe die Langzeitdaten existieren, mit denen sich die Frage beantworten ließe.</w:t>
      </w:r>
    </w:p>
    <w:bookmarkEnd w:id="988"/>
    <w:bookmarkStart w:id="989" w:name="Xb9db96736005e7fe249386efdbf999d5717de14"/>
    <w:p>
      <w:pPr>
        <w:pStyle w:val="Heading3"/>
      </w:pPr>
      <w:r>
        <w:t xml:space="preserve">Pigmentzellen: Melanotan, Setmelanotid und Afamelanotid</w:t>
      </w:r>
    </w:p>
    <w:p>
      <w:pPr>
        <w:pStyle w:val="FirstParagraph"/>
      </w:pPr>
      <w:r>
        <w:t xml:space="preserve">Die Melanocortin-Peptide regen die Pigmentzellen (Melanozyten) der Haut an. Das ist bei Afamelanotid die gewünschte Wirkung, bei Setmelanotid und Bremelanotid eine Nebenwirkung und bei Melanotan II der eigentliche Verkaufsgrund. Da das Melanom aus Pigmentzellen entsteht, liegt die Frage nach Hautkrebs nahe.</w:t>
      </w:r>
    </w:p>
    <w:p>
      <w:pPr>
        <w:pStyle w:val="BodyText"/>
      </w:pPr>
      <w:r>
        <w:t xml:space="preserve">Für das nicht zugelassene</w:t>
      </w:r>
      <w:r>
        <w:t xml:space="preserve"> </w:t>
      </w:r>
      <w:r>
        <w:rPr>
          <w:bCs/>
          <w:b/>
        </w:rPr>
        <w:t xml:space="preserve">Melanotan II</w:t>
      </w:r>
      <w:r>
        <w:t xml:space="preserve"> </w:t>
      </w:r>
      <w:r>
        <w:t xml:space="preserve">gibt es mehrere Fallberichte über Melanome, die während oder kurz nach der Anwendung entdeckt wurden. Eine Übersicht zählte vier Fälle, in denen Melanome aus bestehenden Muttermalen hervorgingen, und betont zugleich, dass ein schlüssiger Beweis für einen Zusammenhang fehlt (Habbema 2017, PMID 28266027). Unter 179 veröffentlichten Fällen plötzlich auftretender Muttermale, von denen ein Teil auf Melanotan zurückgeführt wurde, waren fünf mit einem Melanom verbunden (Burian 2019, PMID 31119650). Die Deutung ist schwierig: Viele Betroffene nutzten gleichzeitig Solarien oder sonnten sich intensiv, was das Melanomrisiko unabhängig erhöht. Und Fallberichte können keine Häufigkeit liefern. Siehe Kapitel Melanotan II.</w:t>
      </w:r>
    </w:p>
    <w:p>
      <w:pPr>
        <w:pStyle w:val="BodyText"/>
      </w:pPr>
      <w:r>
        <w:t xml:space="preserve">Für das zugelassene</w:t>
      </w:r>
      <w:r>
        <w:t xml:space="preserve"> </w:t>
      </w:r>
      <w:r>
        <w:rPr>
          <w:bCs/>
          <w:b/>
        </w:rPr>
        <w:t xml:space="preserve">Afamelanotid</w:t>
      </w:r>
      <w:r>
        <w:t xml:space="preserve"> </w:t>
      </w:r>
      <w:r>
        <w:t xml:space="preserve">liegen systematischere Daten vor. In einer Studie mit 15 Behandelten und 103 Muttermalen zeigten sich unter dem Auflichtmikroskop vorübergehende Veränderungen, die nach einem Jahr zurückgegangen waren; Hinweise auf Bösartigkeit oder neue Muttermale fanden sich nicht (Arisi 2021, PMID 33721252). Unter</w:t>
      </w:r>
      <w:r>
        <w:t xml:space="preserve"> </w:t>
      </w:r>
      <w:r>
        <w:rPr>
          <w:bCs/>
          <w:b/>
        </w:rPr>
        <w:t xml:space="preserve">Setmelanotid</w:t>
      </w:r>
      <w:r>
        <w:t xml:space="preserve"> </w:t>
      </w:r>
      <w:r>
        <w:t xml:space="preserve">traten in einer Beobachtung über bis zu 46 Monate keine bösartigen Hautveränderungen auf (Kanti 2021, PMID 34058738). Diese Daten sind beruhigend, aber klein und kurz im Verhältnis zur Entstehungszeit eines Melanoms. Die Fachinformationen sehen regelmäßige Hautkontrollen vor. Auf Melanotan II lassen sie sich nicht übertragen: andere Substanz, ungeprüfte Produkte, oft kombiniert mit UV-Strahlung.</w:t>
      </w:r>
    </w:p>
    <w:bookmarkEnd w:id="989"/>
    <w:bookmarkStart w:id="990" w:name="glp-1-und-die-schilddrüsen-c-zellen"/>
    <w:p>
      <w:pPr>
        <w:pStyle w:val="Heading3"/>
      </w:pPr>
      <w:r>
        <w:t xml:space="preserve">GLP-1 und die Schilddrüsen-C-Zellen</w:t>
      </w:r>
    </w:p>
    <w:p>
      <w:pPr>
        <w:pStyle w:val="FirstParagraph"/>
      </w:pPr>
      <w:r>
        <w:t xml:space="preserve">Bei Ratten und Mäusen führten GLP-1-Rezeptor-Agonisten in Langzeitversuchen zu Wucherungen und Tumoren der C-Zellen der Schilddrüse. Der Mechanismus ist gut verstanden: Die C-Zellen von Nagetieren tragen den GLP-1-Rezeptor; seine Aktivierung steigert die Ausschüttung von Calcitonin und die Zellteilung. Bei Menschen und Affen ist der Rezeptor auf den C-Zellen deutlich seltener. Affen, die 20 Monate lang Liraglutid in mehr als 60-fach höherer Konzentration als beim Menschen erhielten, entwickelten keine C-Zell-Wucherung (Bjerre Knudsen 2010, PMID 20203154).</w:t>
      </w:r>
    </w:p>
    <w:p>
      <w:pPr>
        <w:pStyle w:val="BodyText"/>
      </w:pPr>
      <w:r>
        <w:t xml:space="preserve">Ganz ausgeschlossen ist eine Wirkung beim Menschen damit nicht. In menschlichem Schilddrüsengewebe fand eine Untersuchung den GLP-1-Rezeptor in allen Proben medullärer Schilddrüsenkarzinome und C-Zell-Wucherungen, in 18 % der papillären Karzinome und in einem Teil der C-Zellen gesunder Schilddrüsen (Gier 2012, PMID 22031513).</w:t>
      </w:r>
    </w:p>
    <w:p>
      <w:pPr>
        <w:pStyle w:val="BodyText"/>
      </w:pPr>
      <w:r>
        <w:t xml:space="preserve">Die Studien am Menschen ergeben kein einheitliches Bild:</w:t>
      </w:r>
    </w:p>
    <w:p>
      <w:pPr>
        <w:numPr>
          <w:ilvl w:val="0"/>
          <w:numId w:val="1340"/>
        </w:numPr>
        <w:pStyle w:val="Compact"/>
      </w:pPr>
      <w:r>
        <w:t xml:space="preserve">In der Studie LEADER stieg Calcitonin unter Liraglutid über bis zu fünf Jahre nicht an, und es traten keine medullären Karzinome auf (Hegedüs 2018, PMID 29279300).</w:t>
      </w:r>
    </w:p>
    <w:p>
      <w:pPr>
        <w:numPr>
          <w:ilvl w:val="0"/>
          <w:numId w:val="1340"/>
        </w:numPr>
        <w:pStyle w:val="Compact"/>
      </w:pPr>
      <w:r>
        <w:t xml:space="preserve">Eine französische Fall-Kontroll-Studie mit 2.562 Fällen fand nach ein bis drei Jahren Behandlung ein erhöhtes Risiko für Schilddrüsenkrebs insgesamt (Hazard Ratio 1,58) und für das medulläre Karzinom (1,78) (Bezin 2023, PMID 36356111).</w:t>
      </w:r>
    </w:p>
    <w:p>
      <w:pPr>
        <w:numPr>
          <w:ilvl w:val="0"/>
          <w:numId w:val="1340"/>
        </w:numPr>
        <w:pStyle w:val="Compact"/>
      </w:pPr>
      <w:r>
        <w:t xml:space="preserve">Eine skandinavische Kohortenstudie mit 145.410 Personen unter GLP-1-Rezeptor-Agonisten fand kein erhöhtes Risiko (Hazard Ratio 0,93; 1,33 gegenüber 1,46 Fällen pro 10.000 Personenjahre). Für das seltene medulläre Karzinom war die Schätzung sehr unsicher (Hazard Ratio 1,19; Vertrauensbereich 0,37 bis 3,86) (Pasternak 2024, PMID 38683947).</w:t>
      </w:r>
    </w:p>
    <w:p>
      <w:pPr>
        <w:numPr>
          <w:ilvl w:val="0"/>
          <w:numId w:val="1340"/>
        </w:numPr>
        <w:pStyle w:val="Compact"/>
      </w:pPr>
      <w:r>
        <w:t xml:space="preserve">Eine Meta-Analyse von 50 randomisierten Studien mit mindestens einem Jahr Dauer zeigte ein Signal für Schilddrüsenkrebs (Odds Ratio 1,55), das in längeren Studien deutlicher war (Silverii 2025, PMID 40437949).</w:t>
      </w:r>
    </w:p>
    <w:p>
      <w:pPr>
        <w:pStyle w:val="FirstParagraph"/>
      </w:pPr>
      <w:r>
        <w:t xml:space="preserve">Wie passt das zusammen? Ein Teil des Signals könnte auf häufigere Untersuchungen zurückgehen: Wer wegen Diabetes oder Adipositas eng betreut wird, bekommt häufiger einen Ultraschall, bei dem kleine, harmlose papilläre Karzinome entdeckt werden. Ein kleines echtes Risiko lässt sich aber nicht ausschließen. Für Menschen mit medullärem Schilddrüsenkarzinom in der eigenen oder familiären Vorgeschichte oder mit MEN-2-Syndrom gilt deshalb weiterhin eine Gegenanzeige (Stand 2026, bitte aktuell prüfen). Siehe Kapitel Liraglutid.</w:t>
      </w:r>
    </w:p>
    <w:bookmarkEnd w:id="990"/>
    <w:bookmarkStart w:id="991" w:name="bauchspeicheldrüse"/>
    <w:p>
      <w:pPr>
        <w:pStyle w:val="Heading3"/>
      </w:pPr>
      <w:r>
        <w:t xml:space="preserve">Bauchspeicheldrüse</w:t>
      </w:r>
    </w:p>
    <w:p>
      <w:pPr>
        <w:pStyle w:val="FirstParagraph"/>
      </w:pPr>
      <w:r>
        <w:t xml:space="preserve">Nach den frühen Meldungen über Bauchspeicheldrüsenentzündungen unter Exenatid und Liraglutid wurde auch ein erhöhtes Risiko für Bauchspeicheldrüsenkrebs befürchtet. Die Daten haben das bisher nicht bestätigt. Eine Meta-Analyse von 62 randomisierten Studien fand kein gesichert erhöhtes Risiko (relatives Risiko 1,30; Vertrauensbereich 0,86 bis 1,97); in einer Untergruppe von Studien mit zusätzlichen Medikamenten war es erhöht, ohne zusätzliche Medikamente nicht (Wen 2025, PMID 40988099). Die Autorinnen und Autoren weisen darauf hin, dass viele Studien ohne einziges Ereignis gar nicht in die Berechnung eingingen. In einer großen US-Kohortenstudie war Bauchspeicheldrüsenkrebs unter GLP-1-Rezeptor-Agonisten sogar seltener als unter Insulin (Hazard Ratio 0,41) (Wang 2024, PMID 38967919) – wobei Insulin oft bei länger bestehendem, schwererem Diabetes eingesetzt wird.</w:t>
      </w:r>
    </w:p>
    <w:p>
      <w:pPr>
        <w:pStyle w:val="BodyText"/>
      </w:pPr>
      <w:r>
        <w:t xml:space="preserve">Für neuroendokrine Tumoren, eine seltene Gruppe von Tumoren, die unter anderem in der Bauchspeicheldrüse entstehen und teils den GLP-1-Rezeptor tragen, kommt eine Übersichtsarbeit zu dem Schluss, dass die vorhandenen Daten keinen allgemeinen Anstieg zeigen, aber wichtige Lücken bestehen, etwa bei erblicher Veranlagung (Rajan 2026, PMID 42541759).</w:t>
      </w:r>
    </w:p>
    <w:bookmarkEnd w:id="991"/>
    <w:bookmarkStart w:id="992" w:name="Xf9ecde3c925a25b6b7c122e1f3205262586ddd6"/>
    <w:p>
      <w:pPr>
        <w:pStyle w:val="Heading3"/>
      </w:pPr>
      <w:r>
        <w:t xml:space="preserve">Was neue Meta-Analysen und große Kohorten zu GLP-1 und Krebs zeigen</w:t>
      </w:r>
    </w:p>
    <w:p>
      <w:pPr>
        <w:pStyle w:val="FirstParagraph"/>
      </w:pPr>
      <w:r>
        <w:t xml:space="preserve">Mit der weiten Verbreitung der GLP-1-Medikamente sind seit 2024 mehrere sehr große Auswertungen erschienen. Sie zeichnen ein überwiegend beruhigendes, in Einzelpunkten aber unklares Bild.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Daten</w:t>
            </w:r>
          </w:p>
        </w:tc>
        <w:tc>
          <w:tcPr/>
          <w:p>
            <w:pPr>
              <w:pStyle w:val="Compact"/>
              <w:jc w:val="left"/>
            </w:pPr>
            <w:r>
              <w:t xml:space="preserve">Ergebnis Krebs insgesamt</w:t>
            </w:r>
          </w:p>
        </w:tc>
        <w:tc>
          <w:tcPr/>
          <w:p>
            <w:pPr>
              <w:pStyle w:val="Compact"/>
              <w:jc w:val="left"/>
            </w:pPr>
            <w:r>
              <w:t xml:space="preserve">Auffälligkeiten</w:t>
            </w:r>
          </w:p>
        </w:tc>
      </w:tr>
      <w:tr>
        <w:tc>
          <w:tcPr/>
          <w:p>
            <w:pPr>
              <w:pStyle w:val="Compact"/>
              <w:jc w:val="left"/>
            </w:pPr>
            <w:r>
              <w:t xml:space="preserve">Silverii 2025, PMID 40437949</w:t>
            </w:r>
          </w:p>
        </w:tc>
        <w:tc>
          <w:tcPr/>
          <w:p>
            <w:pPr>
              <w:pStyle w:val="Compact"/>
              <w:jc w:val="left"/>
            </w:pPr>
            <w:r>
              <w:t xml:space="preserve">50 RCTs, mind. 52 Wochen</w:t>
            </w:r>
          </w:p>
        </w:tc>
        <w:tc>
          <w:tcPr/>
          <w:p>
            <w:pPr>
              <w:pStyle w:val="Compact"/>
              <w:jc w:val="left"/>
            </w:pPr>
            <w:r>
              <w:t xml:space="preserve">kein Unterschied (Odds Ratio 1,05)</w:t>
            </w:r>
          </w:p>
        </w:tc>
        <w:tc>
          <w:tcPr/>
          <w:p>
            <w:pPr>
              <w:pStyle w:val="Compact"/>
              <w:jc w:val="left"/>
            </w:pPr>
            <w:r>
              <w:t xml:space="preserve">Schilddrüse 1,55; Gebärmutter bei Adipositas 0,24</w:t>
            </w:r>
          </w:p>
        </w:tc>
      </w:tr>
      <w:tr>
        <w:tc>
          <w:tcPr/>
          <w:p>
            <w:pPr>
              <w:pStyle w:val="Compact"/>
              <w:jc w:val="left"/>
            </w:pPr>
            <w:r>
              <w:t xml:space="preserve">Wang 2024, PMID 38967919</w:t>
            </w:r>
          </w:p>
        </w:tc>
        <w:tc>
          <w:tcPr/>
          <w:p>
            <w:pPr>
              <w:pStyle w:val="Compact"/>
              <w:jc w:val="left"/>
            </w:pPr>
            <w:r>
              <w:t xml:space="preserve">1.651.452 Menschen mit Typ-2-Diabetes</w:t>
            </w:r>
          </w:p>
        </w:tc>
        <w:tc>
          <w:tcPr/>
          <w:p>
            <w:pPr>
              <w:pStyle w:val="Compact"/>
              <w:jc w:val="left"/>
            </w:pPr>
            <w:r>
              <w:t xml:space="preserve">vs. Insulin weniger bei 10 von 13 Krebsarten</w:t>
            </w:r>
          </w:p>
        </w:tc>
        <w:tc>
          <w:tcPr/>
          <w:p>
            <w:pPr>
              <w:pStyle w:val="Compact"/>
              <w:jc w:val="left"/>
            </w:pPr>
            <w:r>
              <w:t xml:space="preserve">vs. Metformin mehr Nierenkrebs (1,54)</w:t>
            </w:r>
          </w:p>
        </w:tc>
      </w:tr>
      <w:tr>
        <w:tc>
          <w:tcPr/>
          <w:p>
            <w:pPr>
              <w:pStyle w:val="Compact"/>
              <w:jc w:val="left"/>
            </w:pPr>
            <w:r>
              <w:t xml:space="preserve">Dai 2025, PMID 40839273</w:t>
            </w:r>
          </w:p>
        </w:tc>
        <w:tc>
          <w:tcPr/>
          <w:p>
            <w:pPr>
              <w:pStyle w:val="Compact"/>
              <w:jc w:val="left"/>
            </w:pPr>
            <w:r>
              <w:t xml:space="preserve">86.632 Erwachsene mit Adipositas</w:t>
            </w:r>
          </w:p>
        </w:tc>
        <w:tc>
          <w:tcPr/>
          <w:p>
            <w:pPr>
              <w:pStyle w:val="Compact"/>
              <w:jc w:val="left"/>
            </w:pPr>
            <w:r>
              <w:t xml:space="preserve">weniger Krebs (Hazard Ratio 0,83)</w:t>
            </w:r>
          </w:p>
        </w:tc>
        <w:tc>
          <w:tcPr/>
          <w:p>
            <w:pPr>
              <w:pStyle w:val="Compact"/>
              <w:jc w:val="left"/>
            </w:pPr>
            <w:r>
              <w:t xml:space="preserve">Nierenkrebs grenzwertig erhöht (1,38)</w:t>
            </w:r>
          </w:p>
        </w:tc>
      </w:tr>
      <w:tr>
        <w:tc>
          <w:tcPr/>
          <w:p>
            <w:pPr>
              <w:pStyle w:val="Compact"/>
              <w:jc w:val="left"/>
            </w:pPr>
            <w:r>
              <w:t xml:space="preserve">Hsu 2026, PMID 42252247</w:t>
            </w:r>
          </w:p>
        </w:tc>
        <w:tc>
          <w:tcPr/>
          <w:p>
            <w:pPr>
              <w:pStyle w:val="Compact"/>
              <w:jc w:val="left"/>
            </w:pPr>
            <w:r>
              <w:t xml:space="preserve">161.798 Erwachsene mit Adipositas ohne Diabetes</w:t>
            </w:r>
          </w:p>
        </w:tc>
        <w:tc>
          <w:tcPr/>
          <w:p>
            <w:pPr>
              <w:pStyle w:val="Compact"/>
              <w:jc w:val="left"/>
            </w:pPr>
            <w:r>
              <w:t xml:space="preserve">weniger übergewichtsbedingte Krebsarten (0,59)</w:t>
            </w:r>
          </w:p>
        </w:tc>
        <w:tc>
          <w:tcPr/>
          <w:p>
            <w:pPr>
              <w:pStyle w:val="Compact"/>
              <w:jc w:val="left"/>
            </w:pPr>
            <w:r>
              <w:t xml:space="preserve">Nachbeobachtung im Median 2 Jahre</w:t>
            </w:r>
          </w:p>
        </w:tc>
      </w:tr>
    </w:tbl>
    <w:p>
      <w:pPr>
        <w:pStyle w:val="BodyText"/>
      </w:pPr>
      <w:r>
        <w:t xml:space="preserve">Wie sind diese Zahlen zu lesen?</w:t>
      </w:r>
    </w:p>
    <w:p>
      <w:pPr>
        <w:numPr>
          <w:ilvl w:val="0"/>
          <w:numId w:val="1341"/>
        </w:numPr>
        <w:pStyle w:val="Compact"/>
      </w:pPr>
      <w:r>
        <w:rPr>
          <w:bCs/>
          <w:b/>
        </w:rPr>
        <w:t xml:space="preserve">Die randomisierten Studien</w:t>
      </w:r>
      <w:r>
        <w:t xml:space="preserve"> </w:t>
      </w:r>
      <w:r>
        <w:t xml:space="preserve">zeigen insgesamt keinen Einfluss auf das Krebsrisiko. Das ist das verlässlichste Ergebnis, aber die Studien sind für Krebs zu kurz.</w:t>
      </w:r>
    </w:p>
    <w:p>
      <w:pPr>
        <w:numPr>
          <w:ilvl w:val="0"/>
          <w:numId w:val="1341"/>
        </w:numPr>
        <w:pStyle w:val="Compact"/>
      </w:pPr>
      <w:r>
        <w:rPr>
          <w:bCs/>
          <w:b/>
        </w:rPr>
        <w:t xml:space="preserve">Die großen Beobachtungsstudien</w:t>
      </w:r>
      <w:r>
        <w:t xml:space="preserve"> </w:t>
      </w:r>
      <w:r>
        <w:t xml:space="preserve">zeigen eher weniger Krebs unter GLP-1-Medikamenten. Das passt zur Vorstellung, dass Gewichtsabnahme übergewichtsbedingte Krebsarten verringert. Es kann aber auch daran liegen, dass Menschen, die solche Medikamente erhalten, sich in vielem von den Vergleichsgruppen unterscheiden. Eine Nachbeobachtung von zwei Jahren ist für eine Aussage über Krebsvorbeugung sehr kurz.</w:t>
      </w:r>
    </w:p>
    <w:p>
      <w:pPr>
        <w:numPr>
          <w:ilvl w:val="0"/>
          <w:numId w:val="1341"/>
        </w:numPr>
        <w:pStyle w:val="Compact"/>
      </w:pPr>
      <w:r>
        <w:rPr>
          <w:bCs/>
          <w:b/>
        </w:rPr>
        <w:t xml:space="preserve">Nierenkrebs</w:t>
      </w:r>
      <w:r>
        <w:t xml:space="preserve"> </w:t>
      </w:r>
      <w:r>
        <w:t xml:space="preserve">taucht in zwei Kohortenstudien als mögliches Signal auf. Ob das ein echter Effekt ist, muss sich zeigen.</w:t>
      </w:r>
    </w:p>
    <w:p>
      <w:pPr>
        <w:numPr>
          <w:ilvl w:val="0"/>
          <w:numId w:val="1341"/>
        </w:numPr>
        <w:pStyle w:val="Compact"/>
      </w:pPr>
      <w:r>
        <w:rPr>
          <w:bCs/>
          <w:b/>
        </w:rPr>
        <w:t xml:space="preserve">Schilddrüsenkrebs</w:t>
      </w:r>
      <w:r>
        <w:t xml:space="preserve"> </w:t>
      </w:r>
      <w:r>
        <w:t xml:space="preserve">bleibt die offene Frage, wie oben beschrieben.</w:t>
      </w:r>
    </w:p>
    <w:p>
      <w:pPr>
        <w:pStyle w:val="FirstParagraph"/>
      </w:pPr>
      <w:r>
        <w:t xml:space="preserve">Ob GLP-1-Medikamente tatsächlich vor Krebs schützen, lässt sich mit den vorhandenen Daten nicht sagen. Für die Frage, ob sie Krebs verursachen, gilt nach heutigem Wissen: Für die meisten Krebsarten nein, für Schilddrüse und Niere nicht abschließend geklärt. Für die neuen Mehrfach-Agonisten wie Retatrutid, Survodutid oder Mazdutid gibt es noch zu wenige Behandlungsjahre, um eigene Aussagen zu treffen.</w:t>
      </w:r>
    </w:p>
    <w:bookmarkEnd w:id="992"/>
    <w:bookmarkStart w:id="993" w:name="das-wichtigste-in-kürze-5"/>
    <w:p>
      <w:pPr>
        <w:pStyle w:val="Heading3"/>
      </w:pPr>
      <w:r>
        <w:t xml:space="preserve">Das Wichtigste in Kürze</w:t>
      </w:r>
    </w:p>
    <w:p>
      <w:pPr>
        <w:numPr>
          <w:ilvl w:val="0"/>
          <w:numId w:val="1342"/>
        </w:numPr>
        <w:pStyle w:val="Compact"/>
      </w:pPr>
      <w:r>
        <w:t xml:space="preserve">Die beste Datenlage zum Krebsrisiko haben ausgerechnet die Peptide, bei denen die Sorge am wenigsten begründet scheint: die zugelassenen GLP-1-Medikamente. Für die meisten Krebsarten zeigen sie kein erhöhtes Risiko; das Schilddrüsen-Signal ist ungeklärt.</w:t>
      </w:r>
    </w:p>
    <w:p>
      <w:pPr>
        <w:numPr>
          <w:ilvl w:val="0"/>
          <w:numId w:val="1342"/>
        </w:numPr>
        <w:pStyle w:val="Compact"/>
      </w:pPr>
      <w:r>
        <w:t xml:space="preserve">Bei der Wachstumshormon-IGF-1-Achse ist ein mäßiger Zusammenhang zwischen dauerhaft höheren IGF-1-Spiegeln und einigen Krebsarten gut belegt. Für Gesunde, die IGF-1 über Jahre künstlich anheben, fehlen Studien.</w:t>
      </w:r>
    </w:p>
    <w:p>
      <w:pPr>
        <w:numPr>
          <w:ilvl w:val="0"/>
          <w:numId w:val="1342"/>
        </w:numPr>
        <w:pStyle w:val="Compact"/>
      </w:pPr>
      <w:r>
        <w:t xml:space="preserve">Für BPC-157, TB-500, Epitalon, Humanin, Dihexa und ähnliche Stoffe gibt es nur theoretische und tierexperimentelle Hinweise – in beide Richtungen. Langzeitdaten zur Krebsentstehung existieren nicht.</w:t>
      </w:r>
    </w:p>
    <w:p>
      <w:pPr>
        <w:numPr>
          <w:ilvl w:val="0"/>
          <w:numId w:val="1342"/>
        </w:numPr>
        <w:pStyle w:val="Compact"/>
      </w:pPr>
      <w:r>
        <w:t xml:space="preserve">Bei Melanotan II gibt es Melanom-Fallberichte, aber keine Häufigkeitsdaten. Beim zugelassenen Afamelanotid fanden kleine Studien keine bösartigen Veränderungen.</w:t>
      </w:r>
    </w:p>
    <w:p>
      <w:pPr>
        <w:numPr>
          <w:ilvl w:val="0"/>
          <w:numId w:val="1342"/>
        </w:numPr>
        <w:pStyle w:val="Compact"/>
      </w:pPr>
      <w:r>
        <w:t xml:space="preserve">Für Menschen mit aktiver oder früherer Krebserkrankung sind alle wachstumsfördernden Peptide ohne ärztliche Begleitung besonders problematisch.</w:t>
      </w:r>
    </w:p>
    <w:bookmarkEnd w:id="993"/>
    <w:bookmarkEnd w:id="994"/>
    <w:bookmarkStart w:id="1002" w:name="immunreaktionen-und-antikörper"/>
    <w:p>
      <w:pPr>
        <w:pStyle w:val="Heading2"/>
      </w:pPr>
      <w:r>
        <w:t xml:space="preserve">Immunreaktionen und Antikörper</w:t>
      </w:r>
    </w:p>
    <w:p>
      <w:pPr>
        <w:pStyle w:val="FirstParagraph"/>
      </w:pPr>
      <w:r>
        <w:t xml:space="preserve">Das Immunsystem hat die Aufgabe, Fremdes zu erkennen. Peptide stehen dabei an einer Grenze: Viele sind körpereigenen Botenstoffen nachgebaut, aber chemisch verändert, damit sie länger wirken. Andere stammen aus Tieren, aus Bakterien oder aus dem Labor. Hinzu kommt, dass die meisten Peptide unter die Haut gespritzt werden – an eine Stelle, an der besonders viele Abwehrzellen auf Eindringlinge warten.</w:t>
      </w:r>
    </w:p>
    <w:p>
      <w:pPr>
        <w:pStyle w:val="BodyText"/>
      </w:pPr>
      <w:r>
        <w:t xml:space="preserve">Immunreaktionen auf Peptide reichen von harmlosen Rötungen an der Einstichstelle über Antikörper, die man nur im Labor bemerkt, bis zu seltenen lebensbedrohlichen allergischen Reaktionen. Dieses Kapitel ordnet diese Reaktionen, vergleicht die Peptide und zeigt, welche Rolle Verunreinigungen spielen.</w:t>
      </w:r>
    </w:p>
    <w:bookmarkStart w:id="995" w:name="Xce2454e788f08aae2840c5a3c9f04cb5075971d"/>
    <w:p>
      <w:pPr>
        <w:pStyle w:val="Heading3"/>
      </w:pPr>
      <w:r>
        <w:t xml:space="preserve">Warum Peptide eine Immunreaktion auslösen können</w:t>
      </w:r>
    </w:p>
    <w:p>
      <w:pPr>
        <w:pStyle w:val="FirstParagraph"/>
      </w:pPr>
      <w:r>
        <w:t xml:space="preserve">Ob das Immunsystem ein Peptid als fremd einstuft, hängt von mehreren Faktoren ab:</w:t>
      </w:r>
    </w:p>
    <w:p>
      <w:pPr>
        <w:numPr>
          <w:ilvl w:val="0"/>
          <w:numId w:val="1343"/>
        </w:numPr>
        <w:pStyle w:val="Compact"/>
      </w:pPr>
      <w:r>
        <w:rPr>
          <w:bCs/>
          <w:b/>
        </w:rPr>
        <w:t xml:space="preserve">Herkunft und Ähnlichkeit zum Körpereigenen.</w:t>
      </w:r>
      <w:r>
        <w:t xml:space="preserve"> </w:t>
      </w:r>
      <w:r>
        <w:t xml:space="preserve">Exenatid wurde aus einem Peptid im Speichel einer Echse entwickelt und unterscheidet sich deutlich vom menschlichen GLP-1. Liraglutid und Semaglutid sind dem menschlichen Hormon dagegen weitgehend nachgebaut.</w:t>
      </w:r>
    </w:p>
    <w:p>
      <w:pPr>
        <w:numPr>
          <w:ilvl w:val="0"/>
          <w:numId w:val="1343"/>
        </w:numPr>
        <w:pStyle w:val="Compact"/>
      </w:pPr>
      <w:r>
        <w:rPr>
          <w:bCs/>
          <w:b/>
        </w:rPr>
        <w:t xml:space="preserve">Größe und Veränderungen.</w:t>
      </w:r>
      <w:r>
        <w:t xml:space="preserve"> </w:t>
      </w:r>
      <w:r>
        <w:t xml:space="preserve">Längere Moleküle, angehängte Fettsäuren, Verbindungsstücke oder Antikörper-Bestandteile (wie bei Maridebart Cafraglutid) bieten mehr Angriffsfläche.</w:t>
      </w:r>
    </w:p>
    <w:p>
      <w:pPr>
        <w:numPr>
          <w:ilvl w:val="0"/>
          <w:numId w:val="1343"/>
        </w:numPr>
        <w:pStyle w:val="Compact"/>
      </w:pPr>
      <w:r>
        <w:rPr>
          <w:bCs/>
          <w:b/>
        </w:rPr>
        <w:t xml:space="preserve">Verklumpung.</w:t>
      </w:r>
      <w:r>
        <w:t xml:space="preserve"> </w:t>
      </w:r>
      <w:r>
        <w:t xml:space="preserve">Peptide können zu größeren Aggregaten zusammenlagern, die das Immunsystem leichter erkennt.</w:t>
      </w:r>
    </w:p>
    <w:p>
      <w:pPr>
        <w:numPr>
          <w:ilvl w:val="0"/>
          <w:numId w:val="1343"/>
        </w:numPr>
        <w:pStyle w:val="Compact"/>
      </w:pPr>
      <w:r>
        <w:rPr>
          <w:bCs/>
          <w:b/>
        </w:rPr>
        <w:t xml:space="preserve">Verunreinigungen.</w:t>
      </w:r>
      <w:r>
        <w:t xml:space="preserve"> </w:t>
      </w:r>
      <w:r>
        <w:t xml:space="preserve">Schon kleine Mengen fehlerhaft hergestellter Peptidbruchstücke oder bakterieller Bestandteile können eine Abwehrreaktion anstoßen (mehr dazu unten).</w:t>
      </w:r>
    </w:p>
    <w:p>
      <w:pPr>
        <w:numPr>
          <w:ilvl w:val="0"/>
          <w:numId w:val="1343"/>
        </w:numPr>
        <w:pStyle w:val="Compact"/>
      </w:pPr>
      <w:r>
        <w:rPr>
          <w:bCs/>
          <w:b/>
        </w:rPr>
        <w:t xml:space="preserve">Häufigkeit und Dauer der Anwendung.</w:t>
      </w:r>
      <w:r>
        <w:t xml:space="preserve"> </w:t>
      </w:r>
      <w:r>
        <w:t xml:space="preserve">Wer ein Peptid über Monate wiederholt spritzt, gibt dem Immunsystem viele Gelegenheiten, darauf zu reagieren.</w:t>
      </w:r>
    </w:p>
    <w:p>
      <w:pPr>
        <w:pStyle w:val="FirstParagraph"/>
      </w:pPr>
      <w:r>
        <w:t xml:space="preserve">Für die Bewertung von Antikörpern gegen Arzneimittel – Fachleute sprechen von Anti-Drug-Antikörpern (ADA) – hat sich eine einheitliche Sprache etabliert (Shankar 2014, PMID 24764037). Wichtig sind vier Fragen: Wie viele Behandelte bilden Antikörper? Wie hoch ist die Menge (der Titer)? Hemmen die Antikörper die Wirkung (neutralisierende Antikörper)? Und reagieren sie auch mit dem körpereigenen Hormon (Kreuzreaktivität)? Der letzte Punkt wäre der bedenklichste: Antikörper, die nicht nur das Medikament, sondern auch das eigene Hormon blockieren, könnten eine dauerhafte Störung hinterlassen.</w:t>
      </w:r>
    </w:p>
    <w:bookmarkEnd w:id="995"/>
    <w:bookmarkStart w:id="996" w:name="Xf1af5bcdd891ab691c718ba4dee9cc5d41a1f39"/>
    <w:p>
      <w:pPr>
        <w:pStyle w:val="Heading3"/>
      </w:pPr>
      <w:r>
        <w:t xml:space="preserve">Anti-Drug-Antikörper: was die Studien zeigen</w:t>
      </w:r>
    </w:p>
    <w:p>
      <w:pPr>
        <w:pStyle w:val="FirstParagraph"/>
      </w:pPr>
      <w:r>
        <w:t xml:space="preserve">Für die zugelassenen GLP-1-Medikamente liegen systematische Untersuchungen vor. Sie zeigen, wie unterschiedlich häufig Antikörper entstehen – und dass eine hohe Häufigkeit nicht automatisch ein klinisches Problem bedeutet.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Wirkstoff</w:t>
            </w:r>
          </w:p>
        </w:tc>
        <w:tc>
          <w:tcPr/>
          <w:p>
            <w:pPr>
              <w:pStyle w:val="Compact"/>
              <w:jc w:val="left"/>
            </w:pPr>
            <w:r>
              <w:t xml:space="preserve">Antikörper bei</w:t>
            </w:r>
          </w:p>
        </w:tc>
        <w:tc>
          <w:tcPr/>
          <w:p>
            <w:pPr>
              <w:pStyle w:val="Compact"/>
              <w:jc w:val="left"/>
            </w:pPr>
            <w:r>
              <w:t xml:space="preserve">Folgen</w:t>
            </w:r>
          </w:p>
        </w:tc>
        <w:tc>
          <w:tcPr/>
          <w:p>
            <w:pPr>
              <w:pStyle w:val="Compact"/>
              <w:jc w:val="left"/>
            </w:pPr>
            <w:r>
              <w:t xml:space="preserve">Quelle</w:t>
            </w:r>
          </w:p>
        </w:tc>
      </w:tr>
      <w:tr>
        <w:tc>
          <w:tcPr/>
          <w:p>
            <w:pPr>
              <w:pStyle w:val="Compact"/>
              <w:jc w:val="left"/>
            </w:pPr>
            <w:r>
              <w:t xml:space="preserve">Exenatid</w:t>
            </w:r>
          </w:p>
        </w:tc>
        <w:tc>
          <w:tcPr/>
          <w:p>
            <w:pPr>
              <w:pStyle w:val="Compact"/>
              <w:jc w:val="left"/>
            </w:pPr>
            <w:r>
              <w:t xml:space="preserve">61 % nach 26 Wochen (LEAD-6)</w:t>
            </w:r>
          </w:p>
        </w:tc>
        <w:tc>
          <w:tcPr/>
          <w:p>
            <w:pPr>
              <w:pStyle w:val="Compact"/>
              <w:jc w:val="left"/>
            </w:pPr>
            <w:r>
              <w:t xml:space="preserve">hohe Titer: geringere HbA1c-Senkung</w:t>
            </w:r>
          </w:p>
        </w:tc>
        <w:tc>
          <w:tcPr/>
          <w:p>
            <w:pPr>
              <w:pStyle w:val="Compact"/>
              <w:jc w:val="left"/>
            </w:pPr>
            <w:r>
              <w:t xml:space="preserve">Buse 2011, PMID 21450987</w:t>
            </w:r>
          </w:p>
        </w:tc>
      </w:tr>
      <w:tr>
        <w:tc>
          <w:tcPr/>
          <w:p>
            <w:pPr>
              <w:pStyle w:val="Compact"/>
              <w:jc w:val="left"/>
            </w:pPr>
            <w:r>
              <w:t xml:space="preserve">Liraglutid</w:t>
            </w:r>
          </w:p>
        </w:tc>
        <w:tc>
          <w:tcPr/>
          <w:p>
            <w:pPr>
              <w:pStyle w:val="Compact"/>
              <w:jc w:val="left"/>
            </w:pPr>
            <w:r>
              <w:t xml:space="preserve">8,3 bis 8,7 %, niedrige Titer</w:t>
            </w:r>
          </w:p>
        </w:tc>
        <w:tc>
          <w:tcPr/>
          <w:p>
            <w:pPr>
              <w:pStyle w:val="Compact"/>
              <w:jc w:val="left"/>
            </w:pPr>
            <w:r>
              <w:t xml:space="preserve">keine Wirkungsabschwächung</w:t>
            </w:r>
          </w:p>
        </w:tc>
        <w:tc>
          <w:tcPr/>
          <w:p>
            <w:pPr>
              <w:pStyle w:val="Compact"/>
              <w:jc w:val="left"/>
            </w:pPr>
            <w:r>
              <w:t xml:space="preserve">Buse 2011, PMID 21450987</w:t>
            </w:r>
          </w:p>
        </w:tc>
      </w:tr>
      <w:tr>
        <w:tc>
          <w:tcPr/>
          <w:p>
            <w:pPr>
              <w:pStyle w:val="Compact"/>
              <w:jc w:val="left"/>
            </w:pPr>
            <w:r>
              <w:t xml:space="preserve">Dulaglutid</w:t>
            </w:r>
          </w:p>
        </w:tc>
        <w:tc>
          <w:tcPr/>
          <w:p>
            <w:pPr>
              <w:pStyle w:val="Compact"/>
              <w:jc w:val="left"/>
            </w:pPr>
            <w:r>
              <w:t xml:space="preserve">1,6 %, neutralisierend 0,9 %</w:t>
            </w:r>
          </w:p>
        </w:tc>
        <w:tc>
          <w:tcPr/>
          <w:p>
            <w:pPr>
              <w:pStyle w:val="Compact"/>
              <w:jc w:val="left"/>
            </w:pPr>
            <w:r>
              <w:t xml:space="preserve">keine Überempfindlichkeit bei Antikörper-Positiven</w:t>
            </w:r>
          </w:p>
        </w:tc>
        <w:tc>
          <w:tcPr/>
          <w:p>
            <w:pPr>
              <w:pStyle w:val="Compact"/>
              <w:jc w:val="left"/>
            </w:pPr>
            <w:r>
              <w:t xml:space="preserve">Milicevic 2016, PMID 26847401</w:t>
            </w:r>
          </w:p>
        </w:tc>
      </w:tr>
      <w:tr>
        <w:tc>
          <w:tcPr/>
          <w:p>
            <w:pPr>
              <w:pStyle w:val="Compact"/>
              <w:jc w:val="left"/>
            </w:pPr>
            <w:r>
              <w:t xml:space="preserve">Tirzepatid</w:t>
            </w:r>
          </w:p>
        </w:tc>
        <w:tc>
          <w:tcPr/>
          <w:p>
            <w:pPr>
              <w:pStyle w:val="Compact"/>
              <w:jc w:val="left"/>
            </w:pPr>
            <w:r>
              <w:t xml:space="preserve">51,1 %, neutralisierend etwa 2 %</w:t>
            </w:r>
          </w:p>
        </w:tc>
        <w:tc>
          <w:tcPr/>
          <w:p>
            <w:pPr>
              <w:pStyle w:val="Compact"/>
              <w:jc w:val="left"/>
            </w:pPr>
            <w:r>
              <w:t xml:space="preserve">keine Wirkungsabschwächung; mehr Haut- und Allergiereaktionen</w:t>
            </w:r>
          </w:p>
        </w:tc>
        <w:tc>
          <w:tcPr/>
          <w:p>
            <w:pPr>
              <w:pStyle w:val="Compact"/>
              <w:jc w:val="left"/>
            </w:pPr>
            <w:r>
              <w:t xml:space="preserve">Mullins 2024, PMID 37700637</w:t>
            </w:r>
          </w:p>
        </w:tc>
      </w:tr>
      <w:tr>
        <w:tc>
          <w:tcPr/>
          <w:p>
            <w:pPr>
              <w:pStyle w:val="Compact"/>
              <w:jc w:val="left"/>
            </w:pPr>
            <w:r>
              <w:t xml:space="preserve">Sermorelin</w:t>
            </w:r>
          </w:p>
        </w:tc>
        <w:tc>
          <w:tcPr/>
          <w:p>
            <w:pPr>
              <w:pStyle w:val="Compact"/>
              <w:jc w:val="left"/>
            </w:pPr>
            <w:r>
              <w:t xml:space="preserve">14 von 18 Kindern</w:t>
            </w:r>
          </w:p>
        </w:tc>
        <w:tc>
          <w:tcPr/>
          <w:p>
            <w:pPr>
              <w:pStyle w:val="Compact"/>
              <w:jc w:val="left"/>
            </w:pPr>
            <w:r>
              <w:t xml:space="preserve">keine erkennbaren Folgen</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keine in 12 Wochen</w:t>
            </w:r>
          </w:p>
        </w:tc>
        <w:tc>
          <w:tcPr/>
          <w:p>
            <w:pPr>
              <w:pStyle w:val="Compact"/>
              <w:jc w:val="left"/>
            </w:pPr>
            <w:r>
              <w:t xml:space="preserve">–</w:t>
            </w:r>
          </w:p>
        </w:tc>
        <w:tc>
          <w:tcPr/>
          <w:p>
            <w:pPr>
              <w:pStyle w:val="Compact"/>
              <w:jc w:val="left"/>
            </w:pPr>
            <w:r>
              <w:t xml:space="preserve">Lois 2020, PMID 32674280</w:t>
            </w:r>
          </w:p>
        </w:tc>
      </w:tr>
    </w:tbl>
    <w:p>
      <w:pPr>
        <w:pStyle w:val="BodyText"/>
      </w:pPr>
      <w:r>
        <w:rPr>
          <w:bCs/>
          <w:b/>
        </w:rPr>
        <w:t xml:space="preserve">Exenatid</w:t>
      </w:r>
      <w:r>
        <w:t xml:space="preserve"> </w:t>
      </w:r>
      <w:r>
        <w:t xml:space="preserve">ist das Paradebeispiel für ein Peptid, das wegen seiner nicht menschlichen Herkunft häufig Antikörper hervorruft. In der Studie LEAD-6 hatten nach 26 Wochen 113 von 185 Behandelten Antikörper gegen Exenatid; hohe Antikörperspiegel gingen mit einer signifikant geringeren Senkung des Langzeitblutzuckers einher. Nach dem Wechsel auf Liraglutid behinderten diese Antikörper die weitere Wirkung nicht (Buse 2011, PMID 21450987).</w:t>
      </w:r>
    </w:p>
    <w:p>
      <w:pPr>
        <w:pStyle w:val="BodyText"/>
      </w:pPr>
      <w:r>
        <w:rPr>
          <w:bCs/>
          <w:b/>
        </w:rPr>
        <w:t xml:space="preserve">Tirzepatid</w:t>
      </w:r>
      <w:r>
        <w:t xml:space="preserve"> </w:t>
      </w:r>
      <w:r>
        <w:t xml:space="preserve">zeigt, dass auch ein dem Menschen nachgebautes Peptid häufig erkannt werden kann. In sieben Phase-3-Studien mit 5.025 auswertbaren Teilnehmenden bildeten 51,1 % während der Behandlung Antikörper. Neutralisierende Antikörper gegen die Wirkung am GIP- beziehungsweise GLP-1-Rezeptor fanden sich bei 1,9 % und 2,1 %, solche, die auch die körpereigenen Hormone neutralisierten, bei weniger als 1 %. Auf Blutspiegel und Wirkung hatte das keinen Einfluss. Allerdings erlebten Antikörper-positive Teilnehmende häufiger Überempfindlichkeitsreaktionen und Reaktionen an der Einstichstelle, meist leicht bis mittelschwer (Mullins 2024, PMID 37700637).</w:t>
      </w:r>
    </w:p>
    <w:p>
      <w:pPr>
        <w:pStyle w:val="BodyText"/>
      </w:pPr>
      <w:r>
        <w:t xml:space="preserve">Für die neueren Wirkstoffe – Retatrutid, Survodutid, Mazdutid, Cagrilintid, Amycretin und das antikörperbasierte Maridebart Cafraglutid – sind vergleichbare zusammenfassende Auswertungen noch nicht veröffentlicht. Bei Maridebart Cafraglutid ist das besonders relevant, weil Antikörper-Medikamente eine eigene Immunogenität haben können (Kapitel Maridebart Cafraglutid).</w:t>
      </w:r>
    </w:p>
    <w:p>
      <w:pPr>
        <w:pStyle w:val="BodyText"/>
      </w:pPr>
      <w:r>
        <w:t xml:space="preserve">Für die meisten Graumarkt-Peptide gibt es überhaupt keine Antikörperdaten. Das gilt für BPC-157, TB-500, CJC-1295, Ipamorelin, MOTS-c, Humanin, Epitalon und viele weitere. In den Kapiteln zu MOTS-c, Humanin und FOXO4-DRI ist darauf hingewiesen, dass Antikörper bei wiederholter Injektion denkbar, aber nie untersucht sind. Wer solche Stoffe über Monate spritzt, kann also nicht wissen, ob sein Körper Antikörper bildet und was diese bewirken.</w:t>
      </w:r>
    </w:p>
    <w:bookmarkEnd w:id="996"/>
    <w:bookmarkStart w:id="997" w:name="reaktionen-an-der-einstichstelle"/>
    <w:p>
      <w:pPr>
        <w:pStyle w:val="Heading3"/>
      </w:pPr>
      <w:r>
        <w:t xml:space="preserve">Reaktionen an der Einstichstelle</w:t>
      </w:r>
    </w:p>
    <w:p>
      <w:pPr>
        <w:pStyle w:val="FirstParagraph"/>
      </w:pPr>
      <w:r>
        <w:t xml:space="preserve">Rötung, Juckreiz, Schwellung, kleine Blutergüsse oder tastbare Knötchen an der Einstichstelle sind die häufigsten Immun- und Gewebereaktionen auf gespritzte Peptide. Eine Meta-Analyse von 14 randomisierten Studien mit 4.861 Teilnehmenden fand unter GLP-1-Rezeptor-Agonisten ein etwa dreieinhalbfach erhöhtes Risiko für solche Reaktionen gegenüber den Vergleichsgruppen (relatives Risiko 3,55). In der US-Meldedatenbank fielen besonders Exenatid und Dulaglutid mit Blutungen an der Einstichstelle auf (Taj 2026, PMID 41395692).</w:t>
      </w:r>
    </w:p>
    <w:p>
      <w:pPr>
        <w:pStyle w:val="BodyText"/>
      </w:pPr>
      <w:r>
        <w:t xml:space="preserve">Die Häufigkeit unterscheidet sich zwischen den Peptiden erheblich: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w:t>
            </w:r>
          </w:p>
        </w:tc>
        <w:tc>
          <w:tcPr/>
          <w:p>
            <w:pPr>
              <w:pStyle w:val="Compact"/>
              <w:jc w:val="left"/>
            </w:pPr>
            <w:r>
              <w:t xml:space="preserve">Reaktionen an der Einstichstelle</w:t>
            </w:r>
          </w:p>
        </w:tc>
        <w:tc>
          <w:tcPr/>
          <w:p>
            <w:pPr>
              <w:pStyle w:val="Compact"/>
              <w:jc w:val="left"/>
            </w:pPr>
            <w:r>
              <w:t xml:space="preserve">Quelle</w:t>
            </w:r>
          </w:p>
        </w:tc>
      </w:tr>
      <w:tr>
        <w:tc>
          <w:tcPr/>
          <w:p>
            <w:pPr>
              <w:pStyle w:val="Compact"/>
              <w:jc w:val="left"/>
            </w:pPr>
            <w:r>
              <w:t xml:space="preserve">Setmelanotid</w:t>
            </w:r>
          </w:p>
        </w:tc>
        <w:tc>
          <w:tcPr/>
          <w:p>
            <w:pPr>
              <w:pStyle w:val="Compact"/>
              <w:jc w:val="left"/>
            </w:pPr>
            <w:r>
              <w:t xml:space="preserve">96 % (Meta-Analyse, 7 Studien)</w:t>
            </w:r>
          </w:p>
        </w:tc>
        <w:tc>
          <w:tcPr/>
          <w:p>
            <w:pPr>
              <w:pStyle w:val="Compact"/>
              <w:jc w:val="left"/>
            </w:pPr>
            <w:r>
              <w:t xml:space="preserve">Sridharan 2026, PMID 39924461</w:t>
            </w:r>
          </w:p>
        </w:tc>
      </w:tr>
      <w:tr>
        <w:tc>
          <w:tcPr/>
          <w:p>
            <w:pPr>
              <w:pStyle w:val="Compact"/>
              <w:jc w:val="left"/>
            </w:pPr>
            <w:r>
              <w:t xml:space="preserve">Elamipretid (SS-31)</w:t>
            </w:r>
          </w:p>
        </w:tc>
        <w:tc>
          <w:tcPr/>
          <w:p>
            <w:pPr>
              <w:pStyle w:val="Compact"/>
              <w:jc w:val="left"/>
            </w:pPr>
            <w:r>
              <w:t xml:space="preserve">80 %, meist leicht</w:t>
            </w:r>
          </w:p>
        </w:tc>
        <w:tc>
          <w:tcPr/>
          <w:p>
            <w:pPr>
              <w:pStyle w:val="Compact"/>
              <w:jc w:val="left"/>
            </w:pPr>
            <w:r>
              <w:t xml:space="preserve">Karaa 2020, PMID 32096613</w:t>
            </w:r>
          </w:p>
        </w:tc>
      </w:tr>
      <w:tr>
        <w:tc>
          <w:tcPr/>
          <w:p>
            <w:pPr>
              <w:pStyle w:val="Compact"/>
              <w:jc w:val="left"/>
            </w:pPr>
            <w:r>
              <w:t xml:space="preserve">Mecasermin</w:t>
            </w:r>
          </w:p>
        </w:tc>
        <w:tc>
          <w:tcPr/>
          <w:p>
            <w:pPr>
              <w:pStyle w:val="Compact"/>
              <w:jc w:val="left"/>
            </w:pPr>
            <w:r>
              <w:t xml:space="preserve">Fettgewebsveränderungen bei 32 %</w:t>
            </w:r>
          </w:p>
        </w:tc>
        <w:tc>
          <w:tcPr/>
          <w:p>
            <w:pPr>
              <w:pStyle w:val="Compact"/>
              <w:jc w:val="left"/>
            </w:pPr>
            <w:r>
              <w:t xml:space="preserve">Chernausek 2007, PMID 17192294</w:t>
            </w:r>
          </w:p>
        </w:tc>
      </w:tr>
      <w:tr>
        <w:tc>
          <w:tcPr/>
          <w:p>
            <w:pPr>
              <w:pStyle w:val="Compact"/>
              <w:jc w:val="left"/>
            </w:pPr>
            <w:r>
              <w:t xml:space="preserve">Tirzepatid</w:t>
            </w:r>
          </w:p>
        </w:tc>
        <w:tc>
          <w:tcPr/>
          <w:p>
            <w:pPr>
              <w:pStyle w:val="Compact"/>
              <w:jc w:val="left"/>
            </w:pPr>
            <w:r>
              <w:t xml:space="preserve">2 bis 7 %</w:t>
            </w:r>
          </w:p>
        </w:tc>
        <w:tc>
          <w:tcPr/>
          <w:p>
            <w:pPr>
              <w:pStyle w:val="Compact"/>
              <w:jc w:val="left"/>
            </w:pPr>
            <w:r>
              <w:t xml:space="preserve">Gupta 2026, PMID 42930571</w:t>
            </w:r>
          </w:p>
        </w:tc>
      </w:tr>
      <w:tr>
        <w:tc>
          <w:tcPr/>
          <w:p>
            <w:pPr>
              <w:pStyle w:val="Compact"/>
              <w:jc w:val="left"/>
            </w:pPr>
            <w:r>
              <w:t xml:space="preserve">Bremelanotid</w:t>
            </w:r>
          </w:p>
        </w:tc>
        <w:tc>
          <w:tcPr/>
          <w:p>
            <w:pPr>
              <w:pStyle w:val="Compact"/>
              <w:jc w:val="left"/>
            </w:pPr>
            <w:r>
              <w:t xml:space="preserve">5,4 % vs. 0,5 % unter Placebo</w:t>
            </w:r>
          </w:p>
        </w:tc>
        <w:tc>
          <w:tcPr/>
          <w:p>
            <w:pPr>
              <w:pStyle w:val="Compact"/>
              <w:jc w:val="left"/>
            </w:pPr>
            <w:r>
              <w:t xml:space="preserve">Clayton 2022, PMID 35147466</w:t>
            </w:r>
          </w:p>
        </w:tc>
      </w:tr>
    </w:tbl>
    <w:p>
      <w:pPr>
        <w:pStyle w:val="BodyText"/>
      </w:pPr>
      <w:r>
        <w:t xml:space="preserve">Bei der Wochenform von Exenatid bilden sich häufig kleine Knötchen, weil die Mikrokügelchen, die den Wirkstoff langsam freisetzen, unter der Haut abgebaut werden. In der Fünf-Jahres-Auswertung von DURATION-1 wurden solche Reaktionen mit der Zeit seltener (Wysham 2015, PMID 25744115). Beim Mecasermin handelte es sich um eine Verdickung des Fettgewebes an der Einstichstelle (Lipohypertrophie).</w:t>
      </w:r>
    </w:p>
    <w:p>
      <w:pPr>
        <w:pStyle w:val="BodyText"/>
      </w:pPr>
      <w:r>
        <w:t xml:space="preserve">Wichtig ist die Abgrenzung zur</w:t>
      </w:r>
      <w:r>
        <w:t xml:space="preserve"> </w:t>
      </w:r>
      <w:r>
        <w:rPr>
          <w:bCs/>
          <w:b/>
        </w:rPr>
        <w:t xml:space="preserve">Infektion</w:t>
      </w:r>
      <w:r>
        <w:t xml:space="preserve">. Eine Rötung, die über Tage zunimmt, warm wird, schmerzt, eitert oder mit Fieber einhergeht, ist keine harmlose Reaktion. Nach Argireline-Injektionen in Stirn und Schläfen entwickelte eine 45-jährige Frau Knoten und Abszesse; ursächlich war das schwer behandelbare Bakterium</w:t>
      </w:r>
      <w:r>
        <w:t xml:space="preserve"> </w:t>
      </w:r>
      <w:r>
        <w:rPr>
          <w:iCs/>
          <w:i/>
        </w:rPr>
        <w:t xml:space="preserve">Mycobacterium abscessus</w:t>
      </w:r>
      <w:r>
        <w:t xml:space="preserve">, die Behandlung dauerte fünf Monate (Chen 2021, PMID 33748252). Solche Infektionen gehen meist nicht vom Peptid aus, sondern von unsterilen Produkten oder Verfahren – mehr dazu im Kapitel „Graumarkt-Produkte“.</w:t>
      </w:r>
    </w:p>
    <w:bookmarkEnd w:id="997"/>
    <w:bookmarkStart w:id="998" w:name="allergische-reaktionen-und-anaphylaxie"/>
    <w:p>
      <w:pPr>
        <w:pStyle w:val="Heading3"/>
      </w:pPr>
      <w:r>
        <w:t xml:space="preserve">Allergische Reaktionen und Anaphylaxie</w:t>
      </w:r>
    </w:p>
    <w:p>
      <w:pPr>
        <w:pStyle w:val="FirstParagraph"/>
      </w:pPr>
      <w:r>
        <w:t xml:space="preserve">Eine Anaphylaxie ist eine schwere, den ganzen Körper betreffende allergische Reaktion mit Hautausschlag, Schwellungen, Atemnot und Kreislaufversagen. Sie ist bei Peptid-Medikamenten selten, kommt aber vor.</w:t>
      </w:r>
    </w:p>
    <w:p>
      <w:pPr>
        <w:pStyle w:val="BodyText"/>
      </w:pPr>
      <w:r>
        <w:t xml:space="preserve">Für die GLP-1-Medikamente gibt es dazu große Datenbankstudien. In drei US-Versicherungsdatenbanken mit 696.089 Neuanwenderinnen und Neuanwendern lag die Häufigkeit einer Anaphylaxie je nach Wirkstoff bei 3,6 (Semaglutid) bis 6,0 (Exenatid) Fällen pro 10.000 Personenjahre; die Autorinnen und Autoren bewerten Anaphylaxie unter GLP-1-Medikamenten als selten (Anthony 2024, PMID 38363873). Eine Studie aus Großbritannien und den USA verglich GLP-1-Rezeptor-Agonisten mit zwei anderen Gruppen von Diabetesmitteln. Gegenüber DPP-4-Hemmern war das Risiko nicht gesichert erhöht (Hazard Ratio 1,15), gegenüber SGLT2-Hemmern um 38 % (40,7 gegenüber 29,4 Fällen pro 100.000 Personenjahre) (Pradhan 2022, PMID 35136902). Das ist ein relativer Anstieg bei einer absolut sehr seltenen Reaktion.</w:t>
      </w:r>
    </w:p>
    <w:p>
      <w:pPr>
        <w:pStyle w:val="BodyText"/>
      </w:pPr>
      <w:r>
        <w:t xml:space="preserve">Einzelfälle zeigen, wie solche Reaktionen aussehen können:</w:t>
      </w:r>
    </w:p>
    <w:p>
      <w:pPr>
        <w:numPr>
          <w:ilvl w:val="0"/>
          <w:numId w:val="1344"/>
        </w:numPr>
        <w:pStyle w:val="Compact"/>
      </w:pPr>
      <w:r>
        <w:t xml:space="preserve">Fallberichte beschreiben Anaphylaxie unter der Wochenform von Exenatid (Ornelas 2018, PMID 30350785) und eine allergische Reaktion auf Exenatid und Lixisenatid, aber nicht auf Liraglutid (Shamriz 2019, PMID 31296642) – ein Hinweis, dass die von Echsen abgeleiteten Wirkstoffe anders erkannt werden als die menschenähnlichen.</w:t>
      </w:r>
    </w:p>
    <w:p>
      <w:pPr>
        <w:numPr>
          <w:ilvl w:val="0"/>
          <w:numId w:val="1344"/>
        </w:numPr>
        <w:pStyle w:val="Compact"/>
      </w:pPr>
      <w:r>
        <w:t xml:space="preserve">Unter Tirzepatid ist eine zweiphasige Anaphylaxie beschrieben, bei der die Beschwerden nach anfänglicher Besserung erneut auftraten (He 2023, PMID 38186543).</w:t>
      </w:r>
    </w:p>
    <w:p>
      <w:pPr>
        <w:numPr>
          <w:ilvl w:val="0"/>
          <w:numId w:val="1344"/>
        </w:numPr>
        <w:pStyle w:val="Compact"/>
      </w:pPr>
      <w:r>
        <w:t xml:space="preserve">Eine 50-jährige Frau entwickelte vier Stunden nach ihrer ersten Spritze mit Semaglutid aus einer US-Rezepturapotheke eine massive Schwellung von Lippen, Zunge und Rachen und musste vier Tage beatmet werden. Erst danach stellte sich heraus, dass sie versehentlich die zehnfache Menge gespritzt hatte (Kraft 2026, PMID 42194666).</w:t>
      </w:r>
    </w:p>
    <w:p>
      <w:pPr>
        <w:numPr>
          <w:ilvl w:val="0"/>
          <w:numId w:val="1344"/>
        </w:numPr>
        <w:pStyle w:val="Compact"/>
      </w:pPr>
      <w:r>
        <w:t xml:space="preserve">Nach einer Cerebrolysin-Infusion entwickelte ein 85-jähriger Mann eine lebensbedrohliche Anaphylaxie, die im Labor bestätigt wurde (Trimmel 2024, PMID 39055722). Cerebrolysin ist ein Gemisch aus Peptiden aus Schweinehirn; tierische Extrakte wie dieses oder Thymalin bringen grundsätzlich mehr fremde Eiweiße mit (Kapitel Cerebrolysin, Thymalin).</w:t>
      </w:r>
    </w:p>
    <w:p>
      <w:pPr>
        <w:pStyle w:val="FirstParagraph"/>
      </w:pPr>
      <w:r>
        <w:t xml:space="preserve">Auch bei Kosmetik-Peptiden sind Allergien möglich, wenn auch selten. In einer kleinen Studie mit einer Creme, die unter anderem Palmitoyl-Pentapeptid-4 enthielt, trat ein Verdacht auf eine allergische Reaktion auf; welcher Bestandteil verantwortlich war, blieb offen (Röper 2004, PMID 15127162).</w:t>
      </w:r>
    </w:p>
    <w:p>
      <w:pPr>
        <w:pStyle w:val="BodyText"/>
      </w:pPr>
      <w:r>
        <w:t xml:space="preserve">Für Graumarkt-Peptide gibt es keine Häufigkeitsdaten. Das Risiko einer schweren allergischen Reaktion besteht dort aber in besonderem Maß, weil die Anwendung meist ohne ärztliche Aufsicht stattfindet und im Ernstfall niemand mit Notfallmedikamenten bereitsteht. Atemnot, Schwellungen im Gesicht oder Rachen und Kreislaufbeschwerden nach einer Spritze sind immer ein Notfall.</w:t>
      </w:r>
    </w:p>
    <w:bookmarkEnd w:id="998"/>
    <w:bookmarkStart w:id="999" w:name="entzündliche-und-autoimmune-reaktionen"/>
    <w:p>
      <w:pPr>
        <w:pStyle w:val="Heading3"/>
      </w:pPr>
      <w:r>
        <w:t xml:space="preserve">Entzündliche und autoimmune Reaktionen</w:t>
      </w:r>
    </w:p>
    <w:p>
      <w:pPr>
        <w:pStyle w:val="FirstParagraph"/>
      </w:pPr>
      <w:r>
        <w:t xml:space="preserve">Einige Peptide sind selbst Teil des Immunsystems. Das macht sie interessant, aber auch riskant.</w:t>
      </w:r>
    </w:p>
    <w:p>
      <w:pPr>
        <w:pStyle w:val="BodyText"/>
      </w:pPr>
      <w:r>
        <w:rPr>
          <w:bCs/>
          <w:b/>
        </w:rPr>
        <w:t xml:space="preserve">LL-37</w:t>
      </w:r>
      <w:r>
        <w:t xml:space="preserve"> </w:t>
      </w:r>
      <w:r>
        <w:t xml:space="preserve">ist ein körpereigenes Abwehrpeptid. Bei Schuppenflechte (Psoriasis) spielt es eine Schlüsselrolle: Es verbindet sich mit körpereigener Erbsubstanz und macht sie für bestimmte Immunzellen sichtbar, die daraufhin Entzündungsbotenstoffe ausschütten (Lande 2007, PMID 17873860). Bei zwei Dritteln der Menschen mit mittelschwerer bis schwerer Psoriasis fanden sich T-Zellen, die gezielt LL-37 erkennen – es wirkt dort also wie ein Autoantigen (Lande 2014, PMID 25470744). Nach Injektionen von LL-37 in Hautmetastasen traten bei einer Patientin entzündliche, warzenartige Hautveränderungen auf (Dolkar 2018, PMID 29665030). Für Menschen mit Psoriasis, Rosazea oder anderen Autoimmunerkrankungen ist das ein ernst zu nehmender Hinweis (Kapitel LL-37).</w:t>
      </w:r>
    </w:p>
    <w:p>
      <w:pPr>
        <w:pStyle w:val="BodyText"/>
      </w:pPr>
      <w:r>
        <w:rPr>
          <w:bCs/>
          <w:b/>
        </w:rPr>
        <w:t xml:space="preserve">Immunstimulierende Peptide</w:t>
      </w:r>
      <w:r>
        <w:t xml:space="preserve"> </w:t>
      </w:r>
      <w:r>
        <w:t xml:space="preserve">wie Thymosin Alpha-1 und Thymalin sollen die Abwehr anregen. Ob das bei Autoimmunerkrankungen oder nach Organtransplantationen schadet, ist nicht untersucht (Kapitel Thymosin Alpha-1, Thymalin).</w:t>
      </w:r>
    </w:p>
    <w:p>
      <w:pPr>
        <w:pStyle w:val="BodyText"/>
      </w:pPr>
      <w:r>
        <w:t xml:space="preserve">Bei den GLP-1-Medikamenten beschreibt eine systematische Übersicht neben den häufigen leichten Hautreaktionen seltene, aber potenziell schwere immunvermittelte Erkrankungen, darunter Angioödeme, blasenbildende Autoimmunerkrankungen, Arzneimittelausschläge und Gefäßentzündungen (Gupta 2026, PMID 42930571). Wie häufig sie sind, lässt sich aus Fallberichten nicht ablesen.</w:t>
      </w:r>
    </w:p>
    <w:bookmarkEnd w:id="999"/>
    <w:bookmarkStart w:id="1000" w:name="verunreinigungen-als-auslöser"/>
    <w:p>
      <w:pPr>
        <w:pStyle w:val="Heading3"/>
      </w:pPr>
      <w:r>
        <w:t xml:space="preserve">Verunreinigungen als Auslöser</w:t>
      </w:r>
    </w:p>
    <w:p>
      <w:pPr>
        <w:pStyle w:val="FirstParagraph"/>
      </w:pPr>
      <w:r>
        <w:t xml:space="preserve">Ein Teil der Immunreaktionen geht nicht auf das Peptid selbst zurück, sondern auf das, was bei seiner Herstellung zusätzlich in das Fläschchen gelangt.</w:t>
      </w:r>
    </w:p>
    <w:p>
      <w:pPr>
        <w:pStyle w:val="BodyText"/>
      </w:pPr>
      <w:r>
        <w:rPr>
          <w:bCs/>
          <w:b/>
        </w:rPr>
        <w:t xml:space="preserve">Fehlerhafte Peptide.</w:t>
      </w:r>
      <w:r>
        <w:t xml:space="preserve"> </w:t>
      </w:r>
      <w:r>
        <w:t xml:space="preserve">Bei der chemischen Synthese entstehen Moleküle, bei denen ein Baustein fehlt, doppelt vorkommt oder chemisch verändert ist. Solche Verunreinigungen können neue Strukturen enthalten, die T-Zellen des Immunsystems erkennen. Deshalb verlangt die US-Arzneimittelbehörde bei Nachahmerprodukten synthetischer Peptide Angaben zu jeder neuen Verunreinigung im Vergleich zum Originalpräparat (De Groot 2023, PMID 37467878). Wie eine solche Prüfung aussieht, zeigt eine Untersuchung an Nachahmerprodukten des Osteoporose-Peptids Teriparatid, bei der Verunreinigungen mit Computerverfahren, Bindungstests und Versuchen mit menschlichen Immunzellen bewertet wurden (Mattei 2025, PMID 41445733).</w:t>
      </w:r>
    </w:p>
    <w:p>
      <w:pPr>
        <w:pStyle w:val="BodyText"/>
      </w:pPr>
      <w:r>
        <w:rPr>
          <w:bCs/>
          <w:b/>
        </w:rPr>
        <w:t xml:space="preserve">GLP-1-Nachahmerprodukte.</w:t>
      </w:r>
      <w:r>
        <w:t xml:space="preserve"> </w:t>
      </w:r>
      <w:r>
        <w:t xml:space="preserve">Eine herstellernahe Analyse von 16 injizierbaren und 8 oralen Semaglutid-Nachahmerprodukten fand neue Verunreinigungen, darunter größere Eiweißmoleküle, und mit Computerverfahren vorhergesagte neue Erkennungsstellen für das Immunsystem; bei Liraglutid-Nachahmern zeigte sich eine stärkere Neigung zur Verklumpung (Hach 2024, PMID 39379664). Ob diese Unterschiede bei Menschen tatsächlich mehr Antikörper hervorrufen, wurde nicht gemessen. Dass ein sorgfältig hergestelltes, synthetisches Nachahmerprodukt nicht automatisch problematischer ist, zeigt eine andere Untersuchung: Ein synthetisches Liraglutid-Generikum regte menschliche Immunzellen im Labor nicht stärker an als das gentechnisch hergestellte Original (Tang 2025, PMID 40398094). Entscheidend ist also nicht die Herstellungsart, sondern die Qualitätskontrolle.</w:t>
      </w:r>
    </w:p>
    <w:p>
      <w:pPr>
        <w:pStyle w:val="BodyText"/>
      </w:pPr>
      <w:r>
        <w:rPr>
          <w:bCs/>
          <w:b/>
        </w:rPr>
        <w:t xml:space="preserve">Endotoxine und Keime.</w:t>
      </w:r>
      <w:r>
        <w:t xml:space="preserve"> </w:t>
      </w:r>
      <w:r>
        <w:t xml:space="preserve">Endotoxine, Zellwandbestandteile von Bakterien, aktivieren das angeborene Immunsystem direkt und können Fieber, Schüttelfrost und Kreislaufreaktionen auslösen. Bei Testkäufen von Semaglutid aus illegalen Online-Apotheken waren sie in allen Proben nachweisbar (Ashraf 2024, PMID 39509151; Einzelheiten in Teil I). Ein belgisches Kontrolllabor wies in zwei illegalen Peptidpräparaten zur Injektion das Bakterium</w:t>
      </w:r>
      <w:r>
        <w:t xml:space="preserve"> </w:t>
      </w:r>
      <w:r>
        <w:rPr>
          <w:iCs/>
          <w:i/>
        </w:rPr>
        <w:t xml:space="preserve">Bacillus cereus</w:t>
      </w:r>
      <w:r>
        <w:t xml:space="preserve"> </w:t>
      </w:r>
      <w:r>
        <w:t xml:space="preserve">nach, das rote Blutkörperchen zerstören kann (Janvier 2018, PMID 28941153).</w:t>
      </w:r>
    </w:p>
    <w:p>
      <w:pPr>
        <w:pStyle w:val="BodyText"/>
      </w:pPr>
      <w:r>
        <w:t xml:space="preserve">Für den Graumarkt bedeutet das: Selbst wenn ein Peptid an sich wenig immunogen ist, kann das Produkt es sein. Und weil für Graumarkt-Ware weder Verunreinigungsprofile noch Endotoxin-Grenzwerte geprüft werden, lässt sich eine Reaktion im Nachhinein kaum einem Bestandteil zuordnen.</w:t>
      </w:r>
    </w:p>
    <w:bookmarkEnd w:id="1000"/>
    <w:bookmarkStart w:id="1001" w:name="was-das-praktisch-bedeutet"/>
    <w:p>
      <w:pPr>
        <w:pStyle w:val="Heading3"/>
      </w:pPr>
      <w:r>
        <w:t xml:space="preserve">Was das praktisch bedeutet</w:t>
      </w:r>
    </w:p>
    <w:p>
      <w:pPr>
        <w:numPr>
          <w:ilvl w:val="0"/>
          <w:numId w:val="1345"/>
        </w:numPr>
        <w:pStyle w:val="Compact"/>
      </w:pPr>
      <w:r>
        <w:t xml:space="preserve">Antikörper gegen Peptid-Medikamente sind häufig, aber meist folgenlos. Bei Exenatid können hohe Titer die Wirkung abschwächen; bei Tirzepatid gehen sie mit etwas mehr Haut- und Überempfindlichkeitsreaktionen einher.</w:t>
      </w:r>
    </w:p>
    <w:p>
      <w:pPr>
        <w:numPr>
          <w:ilvl w:val="0"/>
          <w:numId w:val="1345"/>
        </w:numPr>
        <w:pStyle w:val="Compact"/>
      </w:pPr>
      <w:r>
        <w:t xml:space="preserve">Reaktionen an der Einstichstelle sind die häufigste Immunreaktion, bei manchen Peptiden fast die Regel. Zunehmende Rötung, Wärme, Eiter oder Fieber deuten dagegen auf eine Infektion.</w:t>
      </w:r>
    </w:p>
    <w:p>
      <w:pPr>
        <w:numPr>
          <w:ilvl w:val="0"/>
          <w:numId w:val="1345"/>
        </w:numPr>
        <w:pStyle w:val="Compact"/>
      </w:pPr>
      <w:r>
        <w:t xml:space="preserve">Anaphylaxie ist unter zugelassenen GLP-1-Medikamenten sehr selten – in der Größenordnung weniger Fälle pro 10.000 Behandlungsjahre. Fallberichte gibt es auch zu Tirzepatid, Cerebrolysin und zu einer versehentlichen Überdosierung.</w:t>
      </w:r>
    </w:p>
    <w:p>
      <w:pPr>
        <w:numPr>
          <w:ilvl w:val="0"/>
          <w:numId w:val="1345"/>
        </w:numPr>
        <w:pStyle w:val="Compact"/>
      </w:pPr>
      <w:r>
        <w:t xml:space="preserve">Für die meisten Graumarkt-Peptide fehlen Daten zu Antikörpern und Allergien vollständig. Verunreinigungen und Endotoxine sind dort ein zusätzliches, unkalkulierbares Risiko.</w:t>
      </w:r>
    </w:p>
    <w:p>
      <w:pPr>
        <w:numPr>
          <w:ilvl w:val="0"/>
          <w:numId w:val="1345"/>
        </w:numPr>
        <w:pStyle w:val="Compact"/>
      </w:pPr>
      <w:r>
        <w:t xml:space="preserve">Wer bereits auf ein Peptid allergisch reagiert hat, sollte das bei jeder ärztlichen Behandlung angeben. Ob verwandte Wirkstoffe vertragen werden, lässt sich nur ärztlich klären.</w:t>
      </w:r>
    </w:p>
    <w:bookmarkEnd w:id="1001"/>
    <w:bookmarkEnd w:id="1002"/>
    <w:bookmarkStart w:id="1014" w:name="X5a934dedb6f836a4204c14b911a0758d63e8ddc"/>
    <w:p>
      <w:pPr>
        <w:pStyle w:val="Heading2"/>
      </w:pPr>
      <w:r>
        <w:t xml:space="preserve">Graumarkt-Produkte: was Laboranalysen zeigen</w:t>
      </w:r>
    </w:p>
    <w:p>
      <w:pPr>
        <w:pStyle w:val="FirstParagraph"/>
      </w:pPr>
      <w:r>
        <w:t xml:space="preserve">Teil I hat im Kapitel „Der Graumarkt“ beschrieben, was „Research Peptides“ sind, und einzelne aufsehenerregende Funde vorgestellt: Semaglutid-Pulver mit einer Reinheit von 7,7 bis 14,4 %, Melanotan-Fläschchen mit weniger als der Hälfte der angegebenen Menge, gefälschtes Ozempic mit Insulin. Dieses Kapitel geht einen Schritt weiter. Es fragt, wer solche Produkte überhaupt analysiert, welche Fehlerarten sich über viele Untersuchungen hinweg wiederholen, was diese Analysen nicht zeigen können – und was die Daten von Giftinformationszentren über die Folgen von Fehldosierungen bei GLP-1-Medikamenten verraten.</w:t>
      </w:r>
    </w:p>
    <w:bookmarkStart w:id="1003" w:name="wer-graumarkt-produkte-analysiert"/>
    <w:p>
      <w:pPr>
        <w:pStyle w:val="Heading3"/>
      </w:pPr>
      <w:r>
        <w:t xml:space="preserve">Wer Graumarkt-Produkte analysiert</w:t>
      </w:r>
    </w:p>
    <w:p>
      <w:pPr>
        <w:pStyle w:val="FirstParagraph"/>
      </w:pPr>
      <w:r>
        <w:t xml:space="preserve">Die meisten Daten stammen aus drei Quellen.</w:t>
      </w:r>
    </w:p>
    <w:p>
      <w:pPr>
        <w:pStyle w:val="BodyText"/>
      </w:pPr>
      <w:r>
        <w:rPr>
          <w:bCs/>
          <w:b/>
        </w:rPr>
        <w:t xml:space="preserve">Amtliche Arzneimittel-Kontrolllabore.</w:t>
      </w:r>
      <w:r>
        <w:t xml:space="preserve"> </w:t>
      </w:r>
      <w:r>
        <w:t xml:space="preserve">In Europa arbeiten sie in einem Netzwerk zusammen, das vom Europäischen Direktorat für die Qualität von Arzneimitteln koordiniert wird. Sie untersuchen Proben, die Zoll, Polizei oder Gesundheitsbehörden sicherstellen. Ein belgisches Labor entwickelte zum Beispiel ein Suchverfahren, mit dem sich 25 verschiedene Peptide in unbekannten Injektionspräparaten in einem Durchgang erkennen lassen – darunter auch solche, die noch gar nicht beschlagnahmt, aber in Internetforen bereits diskutiert worden waren (Vanhee 2015, PMID 26003685).</w:t>
      </w:r>
    </w:p>
    <w:p>
      <w:pPr>
        <w:pStyle w:val="BodyText"/>
      </w:pPr>
      <w:r>
        <w:rPr>
          <w:bCs/>
          <w:b/>
        </w:rPr>
        <w:t xml:space="preserve">Anti-Doping- und Forensik-Labore.</w:t>
      </w:r>
      <w:r>
        <w:t xml:space="preserve"> </w:t>
      </w:r>
      <w:r>
        <w:t xml:space="preserve">Sie analysieren beschlagnahmte Ware aus dem Sportumfeld, um ihre Nachweisverfahren aktuell zu halten. Die Kölner, norwegischen und dänischen Befunde aus Teil I stammen aus dieser Quelle.</w:t>
      </w:r>
    </w:p>
    <w:p>
      <w:pPr>
        <w:pStyle w:val="BodyText"/>
      </w:pPr>
      <w:r>
        <w:rPr>
          <w:bCs/>
          <w:b/>
        </w:rPr>
        <w:t xml:space="preserve">Testkäufe durch Forschungsgruppen.</w:t>
      </w:r>
      <w:r>
        <w:t xml:space="preserve"> </w:t>
      </w:r>
      <w:r>
        <w:t xml:space="preserve">Sie kaufen gezielt Produkte von Online-Anbietern und prüfen, was ankommt. Diese Untersuchungen sind seltener, kommen aber der Situation von Käuferinnen und Käufern am nächsten.</w:t>
      </w:r>
    </w:p>
    <w:p>
      <w:pPr>
        <w:pStyle w:val="BodyText"/>
      </w:pPr>
      <w:r>
        <w:t xml:space="preserve">Eingesetzt werden Verfahren, die unterschiedliche Fragen beantworten: Massenspektrometrie zeigt,</w:t>
      </w:r>
      <w:r>
        <w:t xml:space="preserve"> </w:t>
      </w:r>
      <w:r>
        <w:rPr>
          <w:iCs/>
          <w:i/>
        </w:rPr>
        <w:t xml:space="preserve">welcher</w:t>
      </w:r>
      <w:r>
        <w:t xml:space="preserve"> </w:t>
      </w:r>
      <w:r>
        <w:t xml:space="preserve">Stoff vorliegt; Flüssigchromatographie misst</w:t>
      </w:r>
      <w:r>
        <w:t xml:space="preserve"> </w:t>
      </w:r>
      <w:r>
        <w:rPr>
          <w:iCs/>
          <w:i/>
        </w:rPr>
        <w:t xml:space="preserve">wie viel</w:t>
      </w:r>
      <w:r>
        <w:t xml:space="preserve"> </w:t>
      </w:r>
      <w:r>
        <w:t xml:space="preserve">und</w:t>
      </w:r>
      <w:r>
        <w:t xml:space="preserve"> </w:t>
      </w:r>
      <w:r>
        <w:rPr>
          <w:iCs/>
          <w:i/>
        </w:rPr>
        <w:t xml:space="preserve">wie rein</w:t>
      </w:r>
      <w:r>
        <w:t xml:space="preserve">; spezielle Verfahren erfassen Metalle, Lösungsmittelreste, Bakterien oder Endotoxine. Kein Labor prüft routinemäßig alles. Wenn ein Bericht nur die Identität bestimmt, sagt er nichts über Keime aus, und umgekehrt.</w:t>
      </w:r>
    </w:p>
    <w:bookmarkEnd w:id="1003"/>
    <w:bookmarkStart w:id="1008" w:name="vier-fehlerarten-die-immer-wiederkehren"/>
    <w:p>
      <w:pPr>
        <w:pStyle w:val="Heading3"/>
      </w:pPr>
      <w:r>
        <w:t xml:space="preserve">Vier Fehlerarten, die immer wiederkehren</w:t>
      </w:r>
    </w:p>
    <w:p>
      <w:pPr>
        <w:pStyle w:val="FirstParagraph"/>
      </w:pPr>
      <w:r>
        <w:t xml:space="preserve">Über die einzelnen Analysen hinweg lassen sich die Befunde in vier Gruppen ordnen.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Fehlerart</w:t>
            </w:r>
          </w:p>
        </w:tc>
        <w:tc>
          <w:tcPr/>
          <w:p>
            <w:pPr>
              <w:pStyle w:val="Compact"/>
              <w:jc w:val="left"/>
            </w:pPr>
            <w:r>
              <w:t xml:space="preserve">Beispiele aus Analysen</w:t>
            </w:r>
          </w:p>
        </w:tc>
        <w:tc>
          <w:tcPr/>
          <w:p>
            <w:pPr>
              <w:pStyle w:val="Compact"/>
              <w:jc w:val="left"/>
            </w:pPr>
            <w:r>
              <w:t xml:space="preserve">Quelle</w:t>
            </w:r>
          </w:p>
        </w:tc>
      </w:tr>
      <w:tr>
        <w:tc>
          <w:tcPr/>
          <w:p>
            <w:pPr>
              <w:pStyle w:val="Compact"/>
              <w:jc w:val="left"/>
            </w:pPr>
            <w:r>
              <w:t xml:space="preserve">Falscher oder kein Wirkstoff</w:t>
            </w:r>
          </w:p>
        </w:tc>
        <w:tc>
          <w:tcPr/>
          <w:p>
            <w:pPr>
              <w:pStyle w:val="Compact"/>
              <w:jc w:val="left"/>
            </w:pPr>
            <w:r>
              <w:t xml:space="preserve">9 von 36 beschlagnahmten Proben ohne Peptid oder Eiweiß</w:t>
            </w:r>
          </w:p>
        </w:tc>
        <w:tc>
          <w:tcPr/>
          <w:p>
            <w:pPr>
              <w:pStyle w:val="Compact"/>
              <w:jc w:val="left"/>
            </w:pPr>
            <w:r>
              <w:t xml:space="preserve">Høj 2021, PMID 33686802</w:t>
            </w:r>
          </w:p>
        </w:tc>
      </w:tr>
      <w:tr>
        <w:tc>
          <w:tcPr/>
          <w:p>
            <w:pPr>
              <w:pStyle w:val="Compact"/>
              <w:jc w:val="left"/>
            </w:pPr>
            <w:r>
              <w:t xml:space="preserve">Falsche Menge</w:t>
            </w:r>
          </w:p>
        </w:tc>
        <w:tc>
          <w:tcPr/>
          <w:p>
            <w:pPr>
              <w:pStyle w:val="Compact"/>
              <w:jc w:val="left"/>
            </w:pPr>
            <w:r>
              <w:t xml:space="preserve">nur 41 % von 44 Internetprodukten mit korrekter Wirkstoffmenge</w:t>
            </w:r>
          </w:p>
        </w:tc>
        <w:tc>
          <w:tcPr/>
          <w:p>
            <w:pPr>
              <w:pStyle w:val="Compact"/>
              <w:jc w:val="left"/>
            </w:pPr>
            <w:r>
              <w:t xml:space="preserve">Van Wagoner 2017, PMID 29183075</w:t>
            </w:r>
          </w:p>
        </w:tc>
      </w:tr>
      <w:tr>
        <w:tc>
          <w:tcPr/>
          <w:p>
            <w:pPr>
              <w:pStyle w:val="Compact"/>
              <w:jc w:val="left"/>
            </w:pPr>
            <w:r>
              <w:t xml:space="preserve">Geringe Reinheit, Abbauprodukte</w:t>
            </w:r>
          </w:p>
        </w:tc>
        <w:tc>
          <w:tcPr/>
          <w:p>
            <w:pPr>
              <w:pStyle w:val="Compact"/>
              <w:jc w:val="left"/>
            </w:pPr>
            <w:r>
              <w:t xml:space="preserve">Reinheit 5 bis 75 % bei bestimmten Peptiden</w:t>
            </w:r>
          </w:p>
        </w:tc>
        <w:tc>
          <w:tcPr/>
          <w:p>
            <w:pPr>
              <w:pStyle w:val="Compact"/>
              <w:jc w:val="left"/>
            </w:pPr>
            <w:r>
              <w:t xml:space="preserve">Janvier 2018, PMID 30029448</w:t>
            </w:r>
          </w:p>
        </w:tc>
      </w:tr>
      <w:tr>
        <w:tc>
          <w:tcPr/>
          <w:p>
            <w:pPr>
              <w:pStyle w:val="Compact"/>
              <w:jc w:val="left"/>
            </w:pPr>
            <w:r>
              <w:t xml:space="preserve">Gefährliche Begleitstoffe</w:t>
            </w:r>
          </w:p>
        </w:tc>
        <w:tc>
          <w:tcPr/>
          <w:p>
            <w:pPr>
              <w:pStyle w:val="Compact"/>
              <w:jc w:val="left"/>
            </w:pPr>
            <w:r>
              <w:t xml:space="preserve">Arsen und Blei, teils bis zum Zehnfachen des Grenzwerts</w:t>
            </w:r>
          </w:p>
        </w:tc>
        <w:tc>
          <w:tcPr/>
          <w:p>
            <w:pPr>
              <w:pStyle w:val="Compact"/>
              <w:jc w:val="left"/>
            </w:pPr>
            <w:r>
              <w:t xml:space="preserve">Janvier 2018, PMID 30029448</w:t>
            </w:r>
          </w:p>
        </w:tc>
      </w:tr>
    </w:tbl>
    <w:bookmarkStart w:id="1004" w:name="falscher-oder-gar-kein-wirkstoff"/>
    <w:p>
      <w:pPr>
        <w:pStyle w:val="Heading4"/>
      </w:pPr>
      <w:r>
        <w:t xml:space="preserve">Falscher oder gar kein Wirkstoff</w:t>
      </w:r>
    </w:p>
    <w:p>
      <w:pPr>
        <w:pStyle w:val="FirstParagraph"/>
      </w:pPr>
      <w:r>
        <w:t xml:space="preserve">Ein dänisches Forensik-Labor erhielt im Jahr 2019 36 beschlagnahmte Proben, in denen Peptide oder Eiweiße vermutet wurden. 15 enthielten ein verbotenes Dopingmittel, 12 einen Stoff, der nicht auf der dänischen Dopingliste stand, und 9 enthielten überhaupt kein Peptid oder Eiweiß (Høj 2021, PMID 33686802). Bei einer europaweiten Zollaktion meldeten die Labore unter den beschlagnahmten Injektionspräparaten Wachstumshormon, Sermorelin, Melanotan II und Präparate ganz ohne Wirkstoff; die Sendungen waren im Durchschnitt zu groß für den Eigenbedarf und vermutlich teilweise zum Weiterverkauf bestimmt (Venhuis 2016, PMID 26456392). In einem belgischen Fall enthielt ein Präparat, das als IGF-1 vermutet wurde, stattdessen einen anderen Wachstumsfaktor, den epidermalen Wachstumsfaktor EGF (Vanhee 2017, PMID 27390261).</w:t>
      </w:r>
    </w:p>
    <w:p>
      <w:pPr>
        <w:pStyle w:val="BodyText"/>
      </w:pPr>
      <w:r>
        <w:t xml:space="preserve">Ein Pferdedoping-Labor analysierte im Internet angebotene Produkte mit den Bezeichnungen „TB500“, „TB1000“ und „SGF1000“. Der Inhalt der TB-Produkte entsprach nicht durchgehend den früheren Beschreibungen. „SGF1000“ bestand überwiegend aus Bindegewebs- und Bluteiweißen von Schafen; die angeblich wachstumsfördernden Bestandteile waren extrem verdünnt (Delcourt 2023, PMID 36482504).</w:t>
      </w:r>
    </w:p>
    <w:p>
      <w:pPr>
        <w:pStyle w:val="BodyText"/>
      </w:pPr>
      <w:r>
        <w:t xml:space="preserve">Wie häufig Etikett und Inhalt auseinanderfallen, zeigt eine US-Untersuchung, die zwar keine Peptide, sondern sogenannte SARMs betraf, aber denselben Vertriebsweg nutzt: Von 44 Internetprodukten enthielten nur 52 % überhaupt einen Wirkstoff aus der beworbenen Stoffgruppe. 39 % enthielten andere nicht zugelassene Stoffe, darunter den Wachstumshormon-Freisetzer Ibutamoren, 9 % gar keinen Wirkstoff, und 25 % nicht deklarierte Substanzen (Van Wagoner 2017, PMID 29183075).</w:t>
      </w:r>
    </w:p>
    <w:bookmarkEnd w:id="1004"/>
    <w:bookmarkStart w:id="1005" w:name="falsche-menge"/>
    <w:p>
      <w:pPr>
        <w:pStyle w:val="Heading4"/>
      </w:pPr>
      <w:r>
        <w:t xml:space="preserve">Falsche Menge</w:t>
      </w:r>
    </w:p>
    <w:p>
      <w:pPr>
        <w:pStyle w:val="FirstParagraph"/>
      </w:pPr>
      <w:r>
        <w:t xml:space="preserve">Selbst wenn der richtige Stoff im Fläschchen ist, stimmt die Menge oft nicht. In der genannten US-Analyse entsprach die gemessene Wirkstoffmenge nur bei 18 von 44 Produkten (41 %) der Angabe auf dem Etikett (Van Wagoner 2017, PMID 29183075). Ein französisches Toxikologie-Labor untersuchte 75 auf dem Schwarzmarkt beschlagnahmte Arzneimittel aus dem Bodybuilding-Umfeld: 33 % waren minderwertig, also falsch dosiert, 32 % gefälscht, das heißt mit anderem Inhalt als angegeben, und nur 19 % entsprachen vollständig dem Original (Fabresse 2021, PMID 33838562). Eine fünfjährige europäische Marktüberwachung mit 324 Proben aus 13 Ländern kam nach den begrenzten Mengenangaben zu dem Schluss, dass die meisten Proben wirksame Mengen enthielten und manche sogar überdosiert waren (Barrios 2025, PMID 40551438).</w:t>
      </w:r>
    </w:p>
    <w:p>
      <w:pPr>
        <w:pStyle w:val="BodyText"/>
      </w:pPr>
      <w:r>
        <w:t xml:space="preserve">Beides ist gefährlich: Zu wenig Wirkstoff verleitet dazu, „nachzudosieren“; zu viel führt direkt zu stärkeren Nebenwirkungen. Bei GLP-1-Medikamenten, deren Verträglichkeit stark vom langsamen Steigern abhängt, ist eine unbekannte Menge besonders problematisch.</w:t>
      </w:r>
    </w:p>
    <w:bookmarkEnd w:id="1005"/>
    <w:bookmarkStart w:id="1006" w:name="Xab880abfb0b9b9a144a6073a7f8683c9e1be5eb"/>
    <w:p>
      <w:pPr>
        <w:pStyle w:val="Heading4"/>
      </w:pPr>
      <w:r>
        <w:t xml:space="preserve">Geringe Reinheit, Abbauprodukte und Designer-Varianten</w:t>
      </w:r>
    </w:p>
    <w:p>
      <w:pPr>
        <w:pStyle w:val="FirstParagraph"/>
      </w:pPr>
      <w:r>
        <w:t xml:space="preserve">Die umfassendste systematische Untersuchung stammt aus Belgien. Das Kontrolllabor kaufte die zehn am häufigsten gefälschten Peptid-Arzneimittel des belgischen Markts bei drei mutmaßlich illegalen Internetapotheken und prüfte sie auf Wirkstoff, Peptid-Verunreinigungen, kleine organische Fremdstoffe, Metalle und Lösungsmittelreste. Die Menge pro Fläschchen schwankte stark, und bei Peptiden mit der Aminosäure Cystein lag die Reinheit zwischen 5 und 75 % (Janvier 2018, PMID 30029448).</w:t>
      </w:r>
    </w:p>
    <w:p>
      <w:pPr>
        <w:pStyle w:val="BodyText"/>
      </w:pPr>
      <w:r>
        <w:t xml:space="preserve">Andere Labore fanden in Schwarzmarkt-Produkten von IGF-1-Abwandlungen zahlreiche oxidierte, also chemisch veränderte, Peptidformen (Mongongu 2021, PMID 33587816) und in einer beschlagnahmten Melanotan-II-Probe eine Reinheit von 30 % (Deville 2024, PMID 39302005). Ein dänisches Zolllabor identifizierte Abwandlungen von GHRP-2, GHRP-6, Ipamorelin und einem GHRH-Fragment, denen jeweils eine zusätzliche Aminosäure Glycin vorangestellt war (Gajda 2019, PMID 30136411). Solche „Designer-Varianten“ sollen vermutlich Dopingtests umgehen. Ihre Wirkung und Sicherheit am Menschen sind völlig unbekannt.</w:t>
      </w:r>
    </w:p>
    <w:bookmarkEnd w:id="1006"/>
    <w:bookmarkStart w:id="1007" w:name="gefährliche-begleitstoffe"/>
    <w:p>
      <w:pPr>
        <w:pStyle w:val="Heading4"/>
      </w:pPr>
      <w:r>
        <w:t xml:space="preserve">Gefährliche Begleitstoffe</w:t>
      </w:r>
    </w:p>
    <w:p>
      <w:pPr>
        <w:pStyle w:val="FirstParagraph"/>
      </w:pPr>
      <w:r>
        <w:t xml:space="preserve">In der belgischen Untersuchung fanden sich die giftigen Elemente Arsen und Blei. Eine Probe war mit Blei verunreinigt, mehrere enthielten Arsen in Konzentrationen bis zum Zehnfachen des internationalen Grenzwerts für Injektionsarzneimittel. Die genauere Analyse zeigte, dass das Arsen vollständig in der giftigeren anorganischen Form vorlag. Die Autorinnen und Autoren weisen darauf hin, dass Arsen krebserregend ist und Blei sich im Körper anreichert – bei wiederholter Anwendung über Monate ein zusätzliches, schleichendes Risiko (Janvier 2018, PMID 30029448).</w:t>
      </w:r>
    </w:p>
    <w:p>
      <w:pPr>
        <w:pStyle w:val="BodyText"/>
      </w:pPr>
      <w:r>
        <w:t xml:space="preserve">Dazu kommen Keime und Bakterienbestandteile. Dasselbe Labor wies in zwei illegalen Peptidpräparaten zur Injektion das Bakterium</w:t>
      </w:r>
      <w:r>
        <w:t xml:space="preserve"> </w:t>
      </w:r>
      <w:r>
        <w:rPr>
          <w:iCs/>
          <w:i/>
        </w:rPr>
        <w:t xml:space="preserve">Bacillus cereus</w:t>
      </w:r>
      <w:r>
        <w:t xml:space="preserve"> </w:t>
      </w:r>
      <w:r>
        <w:t xml:space="preserve">nach (Janvier 2018, PMID 28941153). Bei den Semaglutid-Testkäufen aus Teil I waren in allen Proben Endotoxine nachweisbar (Ashraf 2024, PMID 39509151). Warum das für das Immunsystem relevant ist, beschreibt das Kapitel „Immunreaktionen und Antikörper“.</w:t>
      </w:r>
    </w:p>
    <w:bookmarkEnd w:id="1007"/>
    <w:bookmarkEnd w:id="1008"/>
    <w:bookmarkStart w:id="1009" w:name="immer-neue-stoffe"/>
    <w:p>
      <w:pPr>
        <w:pStyle w:val="Heading3"/>
      </w:pPr>
      <w:r>
        <w:t xml:space="preserve">Immer neue Stoffe</w:t>
      </w:r>
    </w:p>
    <w:p>
      <w:pPr>
        <w:pStyle w:val="FirstParagraph"/>
      </w:pPr>
      <w:r>
        <w:t xml:space="preserve">Der Graumarkt reagiert schnell auf Trends. Eine europäische Marktüberwachung mit 1.104 gemeldeten Fällen aus 16 Ländern zwischen 2017 und 2019 fand, dass 11 % der Proben biologische Moleküle, vor allem „Research Peptides“, enthielten; das war die zweithäufigste Kategorie überhaupt (Deconinck 2021, PMID 33453144). Belgische Labore identifizierten in beschlagnahmten Präparaten das „Anti-Aging-Peptid“ Epitalon (Vanhee 2015, PMID 25535022) sowie die Nootropika-Peptide Selank und Semax; das Labor entwickelte daraufhin ein eigenes Nachweisverfahren für zehn solcher im Internet angebotenen Peptide (Vanhee 2020, PMID 31667971). Inzwischen werden auch Wirkstoffe angeboten, die sich noch in klinischen Studien befinden, etwa Retatrutid und Amycretin (Kapitel Retatrutid, Amycretin).</w:t>
      </w:r>
    </w:p>
    <w:p>
      <w:pPr>
        <w:pStyle w:val="BodyText"/>
      </w:pPr>
      <w:r>
        <w:t xml:space="preserve">Für die Kontrolllabore bedeutet das einen Wettlauf: Ein Stoff, für den es noch keine Referenzsubstanz gibt, kann nicht sicher identifiziert werden. Für Käuferinnen und Käufer bedeutet es, dass bei den neuesten Produkten am wenigsten über Inhalt und Qualität bekannt ist.</w:t>
      </w:r>
    </w:p>
    <w:p>
      <w:pPr>
        <w:pStyle w:val="BodyText"/>
      </w:pPr>
      <w:r>
        <w:t xml:space="preserve">Zunehmend tauchen Graumarkt-Produkte auch in Formen auf, die harmloser wirken als eine Spritze. Eine US-Untersuchung fand 24 als Nahrungsergänzung verkaufte Pflaster und ein Gel, die als „natürliches GLP-1“ beworben wurden. Keines legte ein Analysezertifikat vor, viele warben irreführend; nach US-Recht ist der Verkauf solcher Pflaster als Nahrungsergänzung unzulässig (White 2026, PMID 41480958). In der europäischen Marktüberwachung waren 24 % der Muskelaufbau-Präparate als Nahrungsergänzungsmittel aufgemacht – wer sie kauft, weiß oft nicht, dass er ein nicht zugelassenes Arzneimittel einnimmt (Barrios 2025, PMID 40551438).</w:t>
      </w:r>
    </w:p>
    <w:bookmarkEnd w:id="1009"/>
    <w:bookmarkStart w:id="1010" w:name="was-die-analysen-nicht-zeigen"/>
    <w:p>
      <w:pPr>
        <w:pStyle w:val="Heading3"/>
      </w:pPr>
      <w:r>
        <w:t xml:space="preserve">Was die Analysen nicht zeigen</w:t>
      </w:r>
    </w:p>
    <w:p>
      <w:pPr>
        <w:pStyle w:val="FirstParagraph"/>
      </w:pPr>
      <w:r>
        <w:t xml:space="preserve">So eindeutig die Befunde sind, sie haben Grenzen.</w:t>
      </w:r>
    </w:p>
    <w:p>
      <w:pPr>
        <w:numPr>
          <w:ilvl w:val="0"/>
          <w:numId w:val="1346"/>
        </w:numPr>
        <w:pStyle w:val="Compact"/>
      </w:pPr>
      <w:r>
        <w:rPr>
          <w:bCs/>
          <w:b/>
        </w:rPr>
        <w:t xml:space="preserve">Keine repräsentative Stichprobe.</w:t>
      </w:r>
      <w:r>
        <w:t xml:space="preserve"> </w:t>
      </w:r>
      <w:r>
        <w:t xml:space="preserve">Beschlagnahmte Ware ist eine Auswahl dessen, was dem Zoll auffällt. Testkäufe umfassen meist nur wenige Anbieter. Wie groß der Anteil fehlerhafter Produkte am gesamten Markt ist, lässt sich daraus nicht berechnen.</w:t>
      </w:r>
    </w:p>
    <w:p>
      <w:pPr>
        <w:numPr>
          <w:ilvl w:val="0"/>
          <w:numId w:val="1346"/>
        </w:numPr>
        <w:pStyle w:val="Compact"/>
      </w:pPr>
      <w:r>
        <w:rPr>
          <w:bCs/>
          <w:b/>
        </w:rPr>
        <w:t xml:space="preserve">Momentaufnahmen.</w:t>
      </w:r>
      <w:r>
        <w:t xml:space="preserve"> </w:t>
      </w:r>
      <w:r>
        <w:t xml:space="preserve">Ein Anbieter, dessen Ware heute korrekt ist, kann morgen eine andere Charge liefern. Gute Ergebnisse einer Analyse gelten nicht für das nächste Fläschchen.</w:t>
      </w:r>
    </w:p>
    <w:p>
      <w:pPr>
        <w:numPr>
          <w:ilvl w:val="0"/>
          <w:numId w:val="1346"/>
        </w:numPr>
        <w:pStyle w:val="Compact"/>
      </w:pPr>
      <w:r>
        <w:rPr>
          <w:bCs/>
          <w:b/>
        </w:rPr>
        <w:t xml:space="preserve">Nicht alles wird geprüft.</w:t>
      </w:r>
      <w:r>
        <w:t xml:space="preserve"> </w:t>
      </w:r>
      <w:r>
        <w:t xml:space="preserve">Viele Berichte bestimmen nur die Identität des Wirkstoffs. Ob ein Produkt mit „richtigem“ Inhalt steril und endotoxinfrei war, bleibt dann offen.</w:t>
      </w:r>
    </w:p>
    <w:p>
      <w:pPr>
        <w:numPr>
          <w:ilvl w:val="0"/>
          <w:numId w:val="1346"/>
        </w:numPr>
        <w:pStyle w:val="Compact"/>
      </w:pPr>
      <w:r>
        <w:rPr>
          <w:bCs/>
          <w:b/>
        </w:rPr>
        <w:t xml:space="preserve">Keine Aussage über Wirkung und Sicherheit.</w:t>
      </w:r>
      <w:r>
        <w:t xml:space="preserve"> </w:t>
      </w:r>
      <w:r>
        <w:t xml:space="preserve">Auch ein reines Produkt ist nur so sicher wie der Wirkstoff selbst. Für die meisten Graumarkt-Peptide fehlen dazu Humanstudien (siehe Teil II).</w:t>
      </w:r>
    </w:p>
    <w:bookmarkEnd w:id="1010"/>
    <w:bookmarkStart w:id="1011" w:name="X2ca2e016e6c66662c308006e5251ce7a8fc7a4b"/>
    <w:p>
      <w:pPr>
        <w:pStyle w:val="Heading3"/>
      </w:pPr>
      <w:r>
        <w:t xml:space="preserve">GLP-1-Medikamente: was Giftinformationszentren berichten</w:t>
      </w:r>
    </w:p>
    <w:p>
      <w:pPr>
        <w:pStyle w:val="FirstParagraph"/>
      </w:pPr>
      <w:r>
        <w:t xml:space="preserve">Für die GLP-1-Medikamente gibt es eine zusätzliche Datenquelle, die zeigt, was bei der Anwendung tatsächlich schiefgeht: Anrufe bei Giftinformationszentren. In den USA werden sie in einer nationalen Datenbank gesammelt. Diese Daten unterscheiden nicht immer zwischen Original, Rezepturarzneimittel und Graumarkt-Ware, zeigen aber die Größenordnung der Probleme.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Zeitraum und Umfang</w:t>
            </w:r>
          </w:p>
        </w:tc>
        <w:tc>
          <w:tcPr/>
          <w:p>
            <w:pPr>
              <w:pStyle w:val="Compact"/>
              <w:jc w:val="left"/>
            </w:pPr>
            <w:r>
              <w:t xml:space="preserve">Wichtigste Befunde</w:t>
            </w:r>
          </w:p>
        </w:tc>
      </w:tr>
      <w:tr>
        <w:tc>
          <w:tcPr/>
          <w:p>
            <w:pPr>
              <w:pStyle w:val="Compact"/>
              <w:jc w:val="left"/>
            </w:pPr>
            <w:r>
              <w:t xml:space="preserve">Gaw 2024, PMID 38421490</w:t>
            </w:r>
          </w:p>
        </w:tc>
        <w:tc>
          <w:tcPr/>
          <w:p>
            <w:pPr>
              <w:pStyle w:val="Compact"/>
              <w:jc w:val="left"/>
            </w:pPr>
            <w:r>
              <w:t xml:space="preserve">USA, 2017–2022, 5.713 Fälle</w:t>
            </w:r>
          </w:p>
        </w:tc>
        <w:tc>
          <w:tcPr/>
          <w:p>
            <w:pPr>
              <w:pStyle w:val="Compact"/>
              <w:jc w:val="left"/>
            </w:pPr>
            <w:r>
              <w:t xml:space="preserve">79,9 % Anwendungsfehler; 6,2 % schwere Verläufe, ein Todesfall</w:t>
            </w:r>
          </w:p>
        </w:tc>
      </w:tr>
      <w:tr>
        <w:tc>
          <w:tcPr/>
          <w:p>
            <w:pPr>
              <w:pStyle w:val="Compact"/>
              <w:jc w:val="left"/>
            </w:pPr>
            <w:r>
              <w:t xml:space="preserve">Miller 2026, PMID 41634285</w:t>
            </w:r>
          </w:p>
        </w:tc>
        <w:tc>
          <w:tcPr/>
          <w:p>
            <w:pPr>
              <w:pStyle w:val="Compact"/>
              <w:jc w:val="left"/>
            </w:pPr>
            <w:r>
              <w:t xml:space="preserve">USA, 2012–2023, 10.033 Fälle</w:t>
            </w:r>
          </w:p>
        </w:tc>
        <w:tc>
          <w:tcPr/>
          <w:p>
            <w:pPr>
              <w:pStyle w:val="Compact"/>
              <w:jc w:val="left"/>
            </w:pPr>
            <w:r>
              <w:t xml:space="preserve">nach Adipositas-Zulassung mehr Fälle, Anteil mit Arzt- oder Klinikkontakt von 23,0 auf 33,5 %</w:t>
            </w:r>
          </w:p>
        </w:tc>
      </w:tr>
      <w:tr>
        <w:tc>
          <w:tcPr/>
          <w:p>
            <w:pPr>
              <w:pStyle w:val="Compact"/>
              <w:jc w:val="left"/>
            </w:pPr>
            <w:r>
              <w:t xml:space="preserve">Senthilkumar 2026, PMID 41784916</w:t>
            </w:r>
          </w:p>
        </w:tc>
        <w:tc>
          <w:tcPr/>
          <w:p>
            <w:pPr>
              <w:pStyle w:val="Compact"/>
              <w:jc w:val="left"/>
            </w:pPr>
            <w:r>
              <w:t xml:space="preserve">USA, 2017–2024, 13.924 Fälle</w:t>
            </w:r>
          </w:p>
        </w:tc>
        <w:tc>
          <w:tcPr/>
          <w:p>
            <w:pPr>
              <w:pStyle w:val="Compact"/>
              <w:jc w:val="left"/>
            </w:pPr>
            <w:r>
              <w:t xml:space="preserve">91,7 % ohne oder mit leichten Folgen; 42 schwere Verläufe, zwei Todesfälle</w:t>
            </w:r>
          </w:p>
        </w:tc>
      </w:tr>
      <w:tr>
        <w:tc>
          <w:tcPr/>
          <w:p>
            <w:pPr>
              <w:pStyle w:val="Compact"/>
              <w:jc w:val="left"/>
            </w:pPr>
            <w:r>
              <w:t xml:space="preserve">Ho 2025, PMID 40371098</w:t>
            </w:r>
          </w:p>
        </w:tc>
        <w:tc>
          <w:tcPr/>
          <w:p>
            <w:pPr>
              <w:pStyle w:val="Compact"/>
              <w:jc w:val="left"/>
            </w:pPr>
            <w:r>
              <w:t xml:space="preserve">Kalifornien, 2017–2023, 1.047 Fälle</w:t>
            </w:r>
          </w:p>
        </w:tc>
        <w:tc>
          <w:tcPr/>
          <w:p>
            <w:pPr>
              <w:pStyle w:val="Compact"/>
              <w:jc w:val="left"/>
            </w:pPr>
            <w:r>
              <w:t xml:space="preserve">21,0 % in der Notaufnahme, 4,4 % stationär; Unterzuckerung bei 3,8 %</w:t>
            </w:r>
          </w:p>
        </w:tc>
      </w:tr>
    </w:tbl>
    <w:p>
      <w:pPr>
        <w:pStyle w:val="BodyText"/>
      </w:pPr>
      <w:r>
        <w:t xml:space="preserve">Mehrere Muster fallen auf:</w:t>
      </w:r>
    </w:p>
    <w:p>
      <w:pPr>
        <w:pStyle w:val="BodyText"/>
      </w:pPr>
      <w:r>
        <w:rPr>
          <w:bCs/>
          <w:b/>
        </w:rPr>
        <w:t xml:space="preserve">Die Zahl der Fälle stieg mit der Verbreitung stark an.</w:t>
      </w:r>
      <w:r>
        <w:t xml:space="preserve"> </w:t>
      </w:r>
      <w:r>
        <w:t xml:space="preserve">Von 2021 auf 2022 nahm die Rate der gemeldeten Fälle pro Million Einwohner um 80,9 % zu (Gaw 2024, PMID 38421490). Zwischen 2017 und 2024 stieg sie insgesamt um 1.830,8 % (Senthilkumar 2026, PMID 41784916).</w:t>
      </w:r>
    </w:p>
    <w:p>
      <w:pPr>
        <w:pStyle w:val="BodyText"/>
      </w:pPr>
      <w:r>
        <w:rPr>
          <w:bCs/>
          <w:b/>
        </w:rPr>
        <w:t xml:space="preserve">Die meisten Fälle sind Anwendungsfehler.</w:t>
      </w:r>
      <w:r>
        <w:t xml:space="preserve"> </w:t>
      </w:r>
      <w:r>
        <w:t xml:space="preserve">In allen Auswertungen dominierten unbeabsichtigte Fehler bei der Anwendung, also etwa eine doppelte oder falsch abgemessene Dosis (Gaw 2024, PMID 38421490; Ho 2025, PMID 40371098). In einer Auswertung eines einzelnen Zentrums gingen 21 % der Fälle auf Fehler bei der ersten Benutzung des Fertigpens zurück (Marshall 2024, PMID 38861153). Fehler passieren also auch mit zugelassenen Produkten. In der kalifornischen Auswertung betrafen 36 Fälle Rezepturarzneimittel; bei ihnen waren in 91,7 % Fehler beim Abmessen oder Spritzen die Ursache (Ho 2025, PMID 40371098). Das passt zu den Fallberichten über Verwechslungen von Millilitern, „Einheiten“ und Milligramm bei Fläschchen, die in Teil I beschrieben sind.</w:t>
      </w:r>
    </w:p>
    <w:p>
      <w:pPr>
        <w:pStyle w:val="BodyText"/>
      </w:pPr>
      <w:r>
        <w:rPr>
          <w:bCs/>
          <w:b/>
        </w:rPr>
        <w:t xml:space="preserve">Die Folgen sind meist leicht, aber nicht immer.</w:t>
      </w:r>
      <w:r>
        <w:t xml:space="preserve"> </w:t>
      </w:r>
      <w:r>
        <w:t xml:space="preserve">Übelkeit und Erbrechen stehen im Vordergrund. Eine nennenswerte Minderheit braucht aber ärztliche Behandlung, und es gab Todesfälle (Gaw 2024, PMID 38421490; Senthilkumar 2026, PMID 41784916). Unterzuckerungen traten in 3,4 % (Muschler 2025, PMID 39803696) bis 3,8 % (Ho 2025, PMID 40371098) der Fälle auf; in einer weiteren Auswertung kam sie selten, aber auch nach alleiniger Anwendung eines GLP-1-Medikaments vor (Marshall 2024, PMID 38861153). Wie schwer eine Überdosis verlaufen kann, zeigt der im Kapitel „Immunreaktionen“ beschriebene Fall einer Frau, die nach einer versehentlich zehnfachen Dosis aus einer Rezepturapotheke mit einer massiven Schwellung im Rachen beatmet werden musste und zusätzlich eine Unterzuckerung entwickelte (Kraft 2026, PMID 42194666).</w:t>
      </w:r>
    </w:p>
    <w:p>
      <w:pPr>
        <w:pStyle w:val="BodyText"/>
      </w:pPr>
      <w:r>
        <w:rPr>
          <w:bCs/>
          <w:b/>
        </w:rPr>
        <w:t xml:space="preserve">Jugendliche sind eine eigene Risikogruppe.</w:t>
      </w:r>
      <w:r>
        <w:t xml:space="preserve"> </w:t>
      </w:r>
      <w:r>
        <w:t xml:space="preserve">Bei Kindern und Jugendlichen zwischen 6 und 17 Jahren stieg die Rate der Fälle zwischen 2017 und 2024 am stärksten. Sie wurden häufiger stationär aufgenommen als Erwachsene (relatives Risiko 2,66), und ihre Fälle gingen deutlich häufiger auf absichtlichen Fehlgebrauch zurück (relatives Risiko 8,12) (Senthilkumar 2026, PMID 41784916). Mehr dazu im folgenden Kapitel.</w:t>
      </w:r>
    </w:p>
    <w:bookmarkEnd w:id="1011"/>
    <w:bookmarkStart w:id="1012" w:name="was-sich-daraus-ergibt"/>
    <w:p>
      <w:pPr>
        <w:pStyle w:val="Heading3"/>
      </w:pPr>
      <w:r>
        <w:t xml:space="preserve">Was sich daraus ergibt</w:t>
      </w:r>
    </w:p>
    <w:p>
      <w:pPr>
        <w:pStyle w:val="FirstParagraph"/>
      </w:pPr>
      <w:r>
        <w:t xml:space="preserve">Die Laboranalysen und die Daten aus Giftinformationszentren beschreiben zwei Seiten desselben Problems. Die Analysen zeigen, dass Graumarkt-Produkte in jeder denkbaren Hinsicht vom Etikett abweichen können: im Stoff, in der Menge, in der Reinheit und in giftigen Begleitstoffen. Die Giftnotruf-Daten zeigen, dass schon bei geprüften Produkten Fehler beim Abmessen häufig sind – und dass Fläschchen, die erst aufgelöst und umgerechnet werden müssen, besonders fehleranfällig sind.</w:t>
      </w:r>
    </w:p>
    <w:p>
      <w:pPr>
        <w:pStyle w:val="BodyText"/>
      </w:pPr>
      <w:r>
        <w:t xml:space="preserve">Kombiniert man beides, ergibt sich ein Risiko, das mit keiner Studie zu einem Wirkstoff beschrieben werden kann: Wer ein Graumarkt-Peptid spritzt, kennt weder den Inhalt noch die Menge, und jede Abweichung wird durch mögliche eigene Rechenfehler noch verstärkt. Die Sicherheitsdaten aus den Zulassungsstudien, die in Teil II beschrieben sind, gelten für diese Produkte nicht.</w:t>
      </w:r>
    </w:p>
    <w:bookmarkEnd w:id="1012"/>
    <w:bookmarkStart w:id="1013" w:name="das-wichtigste-in-kürze-6"/>
    <w:p>
      <w:pPr>
        <w:pStyle w:val="Heading3"/>
      </w:pPr>
      <w:r>
        <w:t xml:space="preserve">Das Wichtigste in Kürze</w:t>
      </w:r>
    </w:p>
    <w:p>
      <w:pPr>
        <w:numPr>
          <w:ilvl w:val="0"/>
          <w:numId w:val="1347"/>
        </w:numPr>
        <w:pStyle w:val="Compact"/>
      </w:pPr>
      <w:r>
        <w:t xml:space="preserve">Amtliche, forensische und Anti-Doping-Labore finden in Graumarkt-Peptiden regelmäßig falsche Wirkstoffe, falsche Mengen, geringe Reinheit und Designer-Varianten.</w:t>
      </w:r>
    </w:p>
    <w:p>
      <w:pPr>
        <w:numPr>
          <w:ilvl w:val="0"/>
          <w:numId w:val="1347"/>
        </w:numPr>
        <w:pStyle w:val="Compact"/>
      </w:pPr>
      <w:r>
        <w:t xml:space="preserve">Eine systematische belgische Analyse fand zusätzlich Arsen und Blei, teils bis zum Zehnfachen des Grenzwerts für Injektionen, sowie Bakterien in Injektionspräparaten.</w:t>
      </w:r>
    </w:p>
    <w:p>
      <w:pPr>
        <w:numPr>
          <w:ilvl w:val="0"/>
          <w:numId w:val="1347"/>
        </w:numPr>
        <w:pStyle w:val="Compact"/>
      </w:pPr>
      <w:r>
        <w:t xml:space="preserve">Neue „Research Peptides“ tauchen schneller auf, als Kontrolllabore Nachweisverfahren entwickeln können.</w:t>
      </w:r>
    </w:p>
    <w:p>
      <w:pPr>
        <w:numPr>
          <w:ilvl w:val="0"/>
          <w:numId w:val="1347"/>
        </w:numPr>
        <w:pStyle w:val="Compact"/>
      </w:pPr>
      <w:r>
        <w:t xml:space="preserve">Analysen sind Momentaufnahmen; ein gutes Ergebnis gilt nicht für die nächste Charge.</w:t>
      </w:r>
    </w:p>
    <w:p>
      <w:pPr>
        <w:numPr>
          <w:ilvl w:val="0"/>
          <w:numId w:val="1347"/>
        </w:numPr>
        <w:pStyle w:val="Compact"/>
      </w:pPr>
      <w:r>
        <w:t xml:space="preserve">In den USA ist die Zahl der Anrufe bei Giftnotrufen wegen GLP-1-Medikamenten stark gestiegen. Die meisten Fälle sind Anwendungsfehler mit leichten Folgen, eine Minderheit verläuft schwer. Bei Rezepturpräparaten gingen fast alle Fälle auf Fehler beim Abmessen zurück.</w:t>
      </w:r>
    </w:p>
    <w:bookmarkEnd w:id="1013"/>
    <w:bookmarkEnd w:id="1014"/>
    <w:bookmarkStart w:id="1025" w:name="X120f3b07731f9ae26d70d101d9285ebbbf20add"/>
    <w:p>
      <w:pPr>
        <w:pStyle w:val="Heading2"/>
      </w:pPr>
      <w:r>
        <w:t xml:space="preserve">Wechselwirkungen und besondere Risikogruppen</w:t>
      </w:r>
    </w:p>
    <w:p>
      <w:pPr>
        <w:pStyle w:val="FirstParagraph"/>
      </w:pPr>
      <w:r>
        <w:t xml:space="preserve">Die Studien, auf denen die Zulassung eines Medikaments beruht, schließen bestimmte Menschen fast immer aus: Schwangere, Kinder, sehr alte oder mehrfach erkrankte Menschen, Menschen mit Essstörungen oder schweren psychischen Erkrankungen. Was für die Studienteilnehmenden gilt, lässt sich auf diese Gruppen deshalb nur eingeschränkt übertragen. Dazu kommen Wechselwirkungen mit anderen Medikamenten und Situationen wie eine Narkose, in denen eine sonst harmlose Wirkung plötzlich gefährlich werden kann.</w:t>
      </w:r>
    </w:p>
    <w:p>
      <w:pPr>
        <w:pStyle w:val="BodyText"/>
      </w:pPr>
      <w:r>
        <w:t xml:space="preserve">Dieses Kapitel bündelt diese Fragen. Es ersetzt keine ärztliche Beratung und keine Fachinformation. Bei zugelassenen Arzneimitteln regelt die Fachinformation Gegenanzeigen und Wechselwirkungen verbindlich; bei nicht zugelassenen Peptiden gibt es zu diesen Gruppen in aller Regel gar keine Daten.</w:t>
      </w:r>
    </w:p>
    <w:bookmarkStart w:id="1015" w:name="schwangerschaft-und-stillzeit"/>
    <w:p>
      <w:pPr>
        <w:pStyle w:val="Heading3"/>
      </w:pPr>
      <w:r>
        <w:t xml:space="preserve">Schwangerschaft und Stillzeit</w:t>
      </w:r>
    </w:p>
    <w:p>
      <w:pPr>
        <w:pStyle w:val="FirstParagraph"/>
      </w:pPr>
      <w:r>
        <w:t xml:space="preserve">Für fast alle Peptide in diesem Buch gilt: In der Schwangerschaft sind sie nicht untersucht oder nicht angezeigt. Die Fachinformationen der GLP-1-Medikamente sehen vor, sie in der Schwangerschaft nicht anzuwenden und vor einer geplanten Schwangerschaft rechtzeitig abzusetzen (Kapitel Semaglutid, Tirzepatid). Bei Maridebart Cafraglutid ist das besonders bedeutsam, weil seine Wirkung in einer frühen Studie bis zu 150 Tage nach der letzten Dosis anhielt (Kapitel Maridebart Cafraglutid).</w:t>
      </w:r>
    </w:p>
    <w:p>
      <w:pPr>
        <w:pStyle w:val="BodyText"/>
      </w:pPr>
      <w:r>
        <w:t xml:space="preserve">Weil GLP-1-Medikamente bei vielen Frauen im gebärfähigen Alter eingesetzt werden und eine Gewichtsabnahme die Fruchtbarkeit verbessern kann, kommt es trotzdem zu ungeplanten Schwangerschaften unter Behandlung. Für diese Situation gibt es inzwischen Daten, die überwiegend beruhigend sind:</w:t>
      </w:r>
    </w:p>
    <w:p>
      <w:pPr>
        <w:numPr>
          <w:ilvl w:val="0"/>
          <w:numId w:val="1348"/>
        </w:numPr>
        <w:pStyle w:val="Compact"/>
      </w:pPr>
      <w:r>
        <w:t xml:space="preserve">In einer großen Studie aus vier nordischen Ländern, den USA und Israel lag die Rate schwerer Fehlbildungen bei Kindern von Frauen mit Typ-2-Diabetes, die um die Empfängnis herum GLP-1-Rezeptor-Agonisten erhalten hatten, nicht höher als unter Insulin (bereinigtes relatives Risiko 0,95) (Cesta 2024, PMID 38079178).</w:t>
      </w:r>
    </w:p>
    <w:p>
      <w:pPr>
        <w:numPr>
          <w:ilvl w:val="0"/>
          <w:numId w:val="1348"/>
        </w:numPr>
        <w:pStyle w:val="Compact"/>
      </w:pPr>
      <w:r>
        <w:t xml:space="preserve">Eine Auswertung von sechs europäischen Beratungsstellen für Arzneimittel in der Schwangerschaft fand bei 168 Schwangerschaften mit GLP-1-Kontakt im ersten Drittel schwere Fehlbildungen bei 2,6 %, in den Vergleichsgruppen bei 2,3 % und 3,9 % (Dao 2024, PMID 38663923).</w:t>
      </w:r>
    </w:p>
    <w:p>
      <w:pPr>
        <w:numPr>
          <w:ilvl w:val="0"/>
          <w:numId w:val="1348"/>
        </w:numPr>
        <w:pStyle w:val="Compact"/>
      </w:pPr>
      <w:r>
        <w:t xml:space="preserve">Eine US-Studie mit 3.572 Schwangerschaften verglich Frauen, die das Medikament ins erste Schwangerschaftsdrittel hinein weiter bezogen, mit Frauen, die es absetzten. Ein klar erhöhtes Risiko für Fehl- oder Totgeburt, Wachstumsstörungen oder Fehlbildungen fand sich nicht; die Schätzungen für Fehlbildungen waren aber so ungenau, dass auch ein bedeutsamer Unterschied nicht ausgeschlossen werden kann (Brown 2026, PMID 42258827).</w:t>
      </w:r>
    </w:p>
    <w:p>
      <w:pPr>
        <w:numPr>
          <w:ilvl w:val="0"/>
          <w:numId w:val="1348"/>
        </w:numPr>
        <w:pStyle w:val="Compact"/>
      </w:pPr>
      <w:r>
        <w:t xml:space="preserve">Eine Meta-Analyse von sieben Kohortenstudien mit über 40.000 exponierten Schwangerschaften fand keinen statistisch gesicherten Anstieg schwerer Fehlbildungen; ein Signal für Fehlbildungen der Harnwege beruhte nur auf unbereinigten Daten. Die Gewissheit der Evidenz bewerten die Autorinnen und Autoren als gering (Uysal 2026, PMID 42420519).</w:t>
      </w:r>
    </w:p>
    <w:p>
      <w:pPr>
        <w:pStyle w:val="FirstParagraph"/>
      </w:pPr>
      <w:r>
        <w:t xml:space="preserve">Diese Daten helfen bei der Einschätzung einer</w:t>
      </w:r>
      <w:r>
        <w:t xml:space="preserve"> </w:t>
      </w:r>
      <w:r>
        <w:rPr>
          <w:iCs/>
          <w:i/>
        </w:rPr>
        <w:t xml:space="preserve">versehentlichen</w:t>
      </w:r>
      <w:r>
        <w:t xml:space="preserve"> </w:t>
      </w:r>
      <w:r>
        <w:t xml:space="preserve">Exposition. Sie sind kein Beleg dafür, dass eine geplante Anwendung in der Schwangerschaft sicher wäre. Für die Stillzeit sind die Daten noch dünner; zum Übergang von Bremelanotid in die Muttermilch wurde eine kleine Studie mit zehn Frauen abgeschlossen (NCT06867835).</w:t>
      </w:r>
    </w:p>
    <w:p>
      <w:pPr>
        <w:pStyle w:val="BodyText"/>
      </w:pPr>
      <w:r>
        <w:t xml:space="preserve">Einige Peptide sind in der Schwangerschaft aus ihrem Wirkprinzip heraus gefährlich. Oxytocin löst Wehen aus; eine Anwendung als Nasenspray außerhalb ärztlicher Kontrolle ist in der Schwangerschaft riskant (Kapitel Oxytocin). Für Graumarkt-Peptide wie BPC-157, TB-500, Epitalon oder die Wachstumshormon-Freisetzer gibt es keinerlei Daten zu Schwangerschaft und Stillzeit.</w:t>
      </w:r>
    </w:p>
    <w:bookmarkEnd w:id="1015"/>
    <w:bookmarkStart w:id="1016" w:name="orale-verhütung-und-magenentleerung"/>
    <w:p>
      <w:pPr>
        <w:pStyle w:val="Heading3"/>
      </w:pPr>
      <w:r>
        <w:t xml:space="preserve">Orale Verhütung und Magenentleerung</w:t>
      </w:r>
    </w:p>
    <w:p>
      <w:pPr>
        <w:pStyle w:val="FirstParagraph"/>
      </w:pPr>
      <w:r>
        <w:t xml:space="preserve">GLP-1-Medikamente, Amylin-Analoga wie Pramlintid und auch Bremelanotid verlangsamen die Entleerung des Magens. Dadurch können Tabletten, die gleichzeitig eingenommen werden, später oder in anderer Menge ins Blut gelangen. Das betrifft vor allem Medikamente, bei denen es auf einen raschen Wirkeintritt oder auf einen gleichmäßigen Blutspiegel ankommt.</w:t>
      </w:r>
    </w:p>
    <w:p>
      <w:pPr>
        <w:pStyle w:val="BodyText"/>
      </w:pPr>
      <w:r>
        <w:t xml:space="preserve">Besonders genau untersucht ist die Pille zur Empfängnisverhütung. Für Semaglutid fand eine Studie mit 43 Frauen keine verminderte Aufnahme der beiden Hormone einer gängigen Kombinationspille; der Spiegel des Gestagens lag unter Semaglutid sogar um 20 % höher (Kapitza 2015, PMID 25475122). Bei Tirzepatid ist das anders: Eine Übersicht über sechs Studien fand nur bei Tirzepatid eine signifikante Verringerung der aufgenommenen Hormonmenge, bei den übrigen GLP-1-Rezeptor-Agonisten nicht. Als Erklärung nennen die Autorinnen und Autoren die stärkere Verzögerung der Magenentleerung nach der ersten Dosis und nach Dosissteigerungen (Skelley 2024, PMID 37940101). Die Fachinformation von Tirzepatid enthält deshalb einen eigenen Hinweis zur Verhütung mit Tabletten; die Einzelheiten stehen dort und sollten mit der Ärztin oder dem Arzt besprochen werden.</w:t>
      </w:r>
    </w:p>
    <w:p>
      <w:pPr>
        <w:pStyle w:val="BodyText"/>
      </w:pPr>
      <w:r>
        <w:t xml:space="preserve">Unabhängig vom Wirkstoff gilt: Starkes Erbrechen oder Durchfall – bei GLP-1-Medikamenten häufig – können die Aufnahme jeder Tablette beeinträchtigen, auch die der Pille.</w:t>
      </w:r>
    </w:p>
    <w:p>
      <w:pPr>
        <w:pStyle w:val="BodyText"/>
      </w:pPr>
      <w:r>
        <w:t xml:space="preserve">Weitere bekannte Wechselwirkungen im 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w:t>
            </w:r>
          </w:p>
        </w:tc>
        <w:tc>
          <w:tcPr/>
          <w:p>
            <w:pPr>
              <w:pStyle w:val="Compact"/>
              <w:jc w:val="left"/>
            </w:pPr>
            <w:r>
              <w:t xml:space="preserve">Wechselwirkung</w:t>
            </w:r>
          </w:p>
        </w:tc>
        <w:tc>
          <w:tcPr/>
          <w:p>
            <w:pPr>
              <w:pStyle w:val="Compact"/>
              <w:jc w:val="left"/>
            </w:pPr>
            <w:r>
              <w:t xml:space="preserve">Bedeutung</w:t>
            </w:r>
          </w:p>
        </w:tc>
        <w:tc>
          <w:tcPr/>
          <w:p>
            <w:pPr>
              <w:pStyle w:val="Compact"/>
              <w:jc w:val="left"/>
            </w:pPr>
            <w:r>
              <w:t xml:space="preserve">Kapitel</w:t>
            </w:r>
          </w:p>
        </w:tc>
      </w:tr>
      <w:tr>
        <w:tc>
          <w:tcPr/>
          <w:p>
            <w:pPr>
              <w:pStyle w:val="Compact"/>
              <w:jc w:val="left"/>
            </w:pPr>
            <w:r>
              <w:t xml:space="preserve">GLP-1-Medikamente, Pramlintid</w:t>
            </w:r>
          </w:p>
        </w:tc>
        <w:tc>
          <w:tcPr/>
          <w:p>
            <w:pPr>
              <w:pStyle w:val="Compact"/>
              <w:jc w:val="left"/>
            </w:pPr>
            <w:r>
              <w:t xml:space="preserve">verzögerte Aufnahme von Tabletten</w:t>
            </w:r>
          </w:p>
        </w:tc>
        <w:tc>
          <w:tcPr/>
          <w:p>
            <w:pPr>
              <w:pStyle w:val="Compact"/>
              <w:jc w:val="left"/>
            </w:pPr>
            <w:r>
              <w:t xml:space="preserve">bei Medikamenten mit engem Wirkbereich beachten</w:t>
            </w:r>
          </w:p>
        </w:tc>
        <w:tc>
          <w:tcPr/>
          <w:p>
            <w:pPr>
              <w:pStyle w:val="Compact"/>
              <w:jc w:val="left"/>
            </w:pPr>
            <w:r>
              <w:t xml:space="preserve">Semaglutid, Pramlintid</w:t>
            </w:r>
          </w:p>
        </w:tc>
      </w:tr>
      <w:tr>
        <w:tc>
          <w:tcPr/>
          <w:p>
            <w:pPr>
              <w:pStyle w:val="Compact"/>
              <w:jc w:val="left"/>
            </w:pPr>
            <w:r>
              <w:t xml:space="preserve">Tirzepatid</w:t>
            </w:r>
          </w:p>
        </w:tc>
        <w:tc>
          <w:tcPr/>
          <w:p>
            <w:pPr>
              <w:pStyle w:val="Compact"/>
              <w:jc w:val="left"/>
            </w:pPr>
            <w:r>
              <w:t xml:space="preserve">weniger Hormon aus der Pille</w:t>
            </w:r>
          </w:p>
        </w:tc>
        <w:tc>
          <w:tcPr/>
          <w:p>
            <w:pPr>
              <w:pStyle w:val="Compact"/>
              <w:jc w:val="left"/>
            </w:pPr>
            <w:r>
              <w:t xml:space="preserve">Hinweis in der Fachinformation</w:t>
            </w:r>
          </w:p>
        </w:tc>
        <w:tc>
          <w:tcPr/>
          <w:p>
            <w:pPr>
              <w:pStyle w:val="Compact"/>
              <w:jc w:val="left"/>
            </w:pPr>
            <w:r>
              <w:t xml:space="preserve">Tirzepatid</w:t>
            </w:r>
          </w:p>
        </w:tc>
      </w:tr>
      <w:tr>
        <w:tc>
          <w:tcPr/>
          <w:p>
            <w:pPr>
              <w:pStyle w:val="Compact"/>
              <w:jc w:val="left"/>
            </w:pPr>
            <w:r>
              <w:t xml:space="preserve">Bremelanotid</w:t>
            </w:r>
          </w:p>
        </w:tc>
        <w:tc>
          <w:tcPr/>
          <w:p>
            <w:pPr>
              <w:pStyle w:val="Compact"/>
              <w:jc w:val="left"/>
            </w:pPr>
            <w:r>
              <w:t xml:space="preserve">niedrigere Spiegel von Indometacin und Naltrexon</w:t>
            </w:r>
          </w:p>
        </w:tc>
        <w:tc>
          <w:tcPr/>
          <w:p>
            <w:pPr>
              <w:pStyle w:val="Compact"/>
              <w:jc w:val="left"/>
            </w:pPr>
            <w:r>
              <w:t xml:space="preserve">Wirkung dieser Mittel kann nachlassen</w:t>
            </w:r>
          </w:p>
        </w:tc>
        <w:tc>
          <w:tcPr/>
          <w:p>
            <w:pPr>
              <w:pStyle w:val="Compact"/>
              <w:jc w:val="left"/>
            </w:pPr>
            <w:r>
              <w:t xml:space="preserve">Bremelanotid</w:t>
            </w:r>
          </w:p>
        </w:tc>
      </w:tr>
      <w:tr>
        <w:tc>
          <w:tcPr/>
          <w:p>
            <w:pPr>
              <w:pStyle w:val="Compact"/>
              <w:jc w:val="left"/>
            </w:pPr>
            <w:r>
              <w:t xml:space="preserve">Macimorelin</w:t>
            </w:r>
          </w:p>
        </w:tc>
        <w:tc>
          <w:tcPr/>
          <w:p>
            <w:pPr>
              <w:pStyle w:val="Compact"/>
              <w:jc w:val="left"/>
            </w:pPr>
            <w:r>
              <w:t xml:space="preserve">verlängert die QT-Zeit</w:t>
            </w:r>
          </w:p>
        </w:tc>
        <w:tc>
          <w:tcPr/>
          <w:p>
            <w:pPr>
              <w:pStyle w:val="Compact"/>
              <w:jc w:val="left"/>
            </w:pPr>
            <w:r>
              <w:t xml:space="preserve">Vorsicht mit anderen QT-verlängernden Mitteln</w:t>
            </w:r>
          </w:p>
        </w:tc>
        <w:tc>
          <w:tcPr/>
          <w:p>
            <w:pPr>
              <w:pStyle w:val="Compact"/>
              <w:jc w:val="left"/>
            </w:pPr>
            <w:r>
              <w:t xml:space="preserve">Macimorelin</w:t>
            </w:r>
          </w:p>
        </w:tc>
      </w:tr>
      <w:tr>
        <w:tc>
          <w:tcPr/>
          <w:p>
            <w:pPr>
              <w:pStyle w:val="Compact"/>
              <w:jc w:val="left"/>
            </w:pPr>
            <w:r>
              <w:t xml:space="preserve">Orforglipron</w:t>
            </w:r>
          </w:p>
        </w:tc>
        <w:tc>
          <w:tcPr/>
          <w:p>
            <w:pPr>
              <w:pStyle w:val="Compact"/>
              <w:jc w:val="left"/>
            </w:pPr>
            <w:r>
              <w:t xml:space="preserve">Abbau über Leberenzyme</w:t>
            </w:r>
          </w:p>
        </w:tc>
        <w:tc>
          <w:tcPr/>
          <w:p>
            <w:pPr>
              <w:pStyle w:val="Compact"/>
              <w:jc w:val="left"/>
            </w:pPr>
            <w:r>
              <w:t xml:space="preserve">Wechselwirkungen mit anderen Medikamenten möglich</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Beruhigungs- und Schlafmittel, Alkohol</w:t>
            </w:r>
          </w:p>
        </w:tc>
        <w:tc>
          <w:tcPr/>
          <w:p>
            <w:pPr>
              <w:pStyle w:val="Compact"/>
              <w:jc w:val="left"/>
            </w:pPr>
            <w:r>
              <w:t xml:space="preserve">nicht untersucht</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Blutgerinnung (nur Tierdaten)</w:t>
            </w:r>
          </w:p>
        </w:tc>
        <w:tc>
          <w:tcPr/>
          <w:p>
            <w:pPr>
              <w:pStyle w:val="Compact"/>
              <w:jc w:val="left"/>
            </w:pPr>
            <w:r>
              <w:t xml:space="preserve">bei Gerinnungshemmern unbekannt</w:t>
            </w:r>
          </w:p>
        </w:tc>
        <w:tc>
          <w:tcPr/>
          <w:p>
            <w:pPr>
              <w:pStyle w:val="Compact"/>
              <w:jc w:val="left"/>
            </w:pPr>
            <w:r>
              <w:t xml:space="preserve">BPC-157</w:t>
            </w:r>
          </w:p>
        </w:tc>
      </w:tr>
    </w:tbl>
    <w:p>
      <w:pPr>
        <w:pStyle w:val="BodyText"/>
      </w:pPr>
      <w:r>
        <w:t xml:space="preserve">Die Wechselwirkung von Bremelanotid mit Indometacin und Naltrexon ist in den Zulassungsdaten beschrieben (Clayton 2022, PMID 35147466). Die QT-Verlängerung durch Macimorelin wurde in einer gründlichen EKG-Studie gemessen (Lissy 2021, PMID 32961034).</w:t>
      </w:r>
    </w:p>
    <w:bookmarkEnd w:id="1016"/>
    <w:bookmarkStart w:id="1017" w:name="narkose-magenspiegelung-und-aspiration"/>
    <w:p>
      <w:pPr>
        <w:pStyle w:val="Heading3"/>
      </w:pPr>
      <w:r>
        <w:t xml:space="preserve">Narkose, Magenspiegelung und Aspiration</w:t>
      </w:r>
    </w:p>
    <w:p>
      <w:pPr>
        <w:pStyle w:val="FirstParagraph"/>
      </w:pPr>
      <w:r>
        <w:t xml:space="preserve">Vor einer Narkose soll der Magen leer sein. Der Grund: Wenn Mageninhalt während der Narkose in die Atemwege gelangt (Aspiration), kann eine schwere Lungenentzündung folgen. Da GLP-1-Medikamente die Magenentleerung verlangsamen, kann der Magen trotz vorschriftsmäßiger Nüchternzeit noch Speisereste enthalten.</w:t>
      </w:r>
    </w:p>
    <w:p>
      <w:pPr>
        <w:pStyle w:val="BodyText"/>
      </w:pPr>
      <w:r>
        <w:t xml:space="preserve">Die Studien dazu zeichnen ein zweigeteiltes Bild:</w:t>
      </w:r>
    </w:p>
    <w:p>
      <w:pPr>
        <w:numPr>
          <w:ilvl w:val="0"/>
          <w:numId w:val="1349"/>
        </w:numPr>
        <w:pStyle w:val="Compact"/>
      </w:pPr>
      <w:r>
        <w:rPr>
          <w:bCs/>
          <w:b/>
        </w:rPr>
        <w:t xml:space="preserve">Mehr Restinhalt im Magen ist gut belegt.</w:t>
      </w:r>
      <w:r>
        <w:t xml:space="preserve"> </w:t>
      </w:r>
      <w:r>
        <w:t xml:space="preserve">Eine Meta-Analyse von 23 Beobachtungsstudien mit 262.018 Menschen, die eine Magenspiegelung erhielten, fand unter GLP-1-Rezeptor-Agonisten ein etwa viereinhalbfach erhöhtes Risiko für Speisereste im Magen (Odds Ratio 4,54) und ebenso häufiger vorzeitig abgebrochene Untersuchungen. Eine Aspirationspneumonie trat nicht häufiger auf (Odds Ratio 0,96) (Baig 2025, PMID 39694296).</w:t>
      </w:r>
    </w:p>
    <w:p>
      <w:pPr>
        <w:numPr>
          <w:ilvl w:val="0"/>
          <w:numId w:val="1349"/>
        </w:numPr>
        <w:pStyle w:val="Compact"/>
      </w:pPr>
      <w:r>
        <w:t xml:space="preserve">In einer Studie mit Magen-Ultraschall vor geplanten Operationen hatten 49 % der Menschen unter Semaglutid einen „vollen Magen“, aber nur 18 % der vergleichbaren Kontrollpersonen; feste Speisereste fanden sich bei 42 % gegenüber 7 %. Das galt auch, obwohl eine Dosis vor der Operation ausgelassen worden war (Vlaeminck 2026, PMID 41631344).</w:t>
      </w:r>
    </w:p>
    <w:p>
      <w:pPr>
        <w:numPr>
          <w:ilvl w:val="0"/>
          <w:numId w:val="1349"/>
        </w:numPr>
        <w:pStyle w:val="Compact"/>
      </w:pPr>
      <w:r>
        <w:rPr>
          <w:bCs/>
          <w:b/>
        </w:rPr>
        <w:t xml:space="preserve">Tatsächliche Aspirationen sind selten.</w:t>
      </w:r>
      <w:r>
        <w:t xml:space="preserve"> </w:t>
      </w:r>
      <w:r>
        <w:t xml:space="preserve">In einer großen US-Datenbankstudie mit 296.389 Paaren von Menschen mit Typ-2-Diabetes traten Atemwegskomplikationen nach Operationen unter GLP-1-Rezeptor-Agonisten sogar seltener auf (0,09 % gegenüber 0,34 %), Aspirationen bei 0,01 % gegenüber 0,03 %. Die Autorinnen und Autoren betonen, dass unklar ist, ob in diesen Fällen bereits Vorsichtsmaßnahmen getroffen wurden (Wu 2026, PMID 40940281).</w:t>
      </w:r>
    </w:p>
    <w:p>
      <w:pPr>
        <w:pStyle w:val="FirstParagraph"/>
      </w:pPr>
      <w:r>
        <w:t xml:space="preserve">Möglicherweise sind die Aspirationsraten deshalb niedrig, weil Narkoseteams das Risiko kennen und ihr Vorgehen anpassen. Ob ein Pausieren des Medikaments vor einer Magenspiegelung das Problem verringert, soll eine große Studie in China klären (NCT07276763). Für Behandelte heißt das vor allem: Vor jeder Operation, Narkose oder Magenspiegelung angeben, dass man ein GLP-1-Medikament verwendet – auch wenn es aus einer Rezepturapotheke oder dem Graumarkt stammt. Wie mit dem Medikament vor dem Eingriff umzugehen ist, entscheidet das Behandlungsteam nach den jeweils geltenden Empfehlungen. Wer ein Graumarkt-Produkt nicht als Medikament betrachtet und es deshalb nicht erwähnt, nimmt dem Narkoseteam diese Möglichkeit.</w:t>
      </w:r>
    </w:p>
    <w:bookmarkEnd w:id="1017"/>
    <w:bookmarkStart w:id="1018" w:name="X61e694573f8f9e629b0ab36fba03367923b74fe"/>
    <w:p>
      <w:pPr>
        <w:pStyle w:val="Heading3"/>
      </w:pPr>
      <w:r>
        <w:t xml:space="preserve">Kombination mit Diabetesmitteln und Unterzuckerung</w:t>
      </w:r>
    </w:p>
    <w:p>
      <w:pPr>
        <w:pStyle w:val="FirstParagraph"/>
      </w:pPr>
      <w:r>
        <w:t xml:space="preserve">Wie im Kapitel „Nebenwirkungen nach Organsystemen“ beschrieben, verursachen GLP-1-Medikamente allein kaum gefährliche Unterzuckerungen. Das ändert sich in Kombination mit Insulin oder Sulfonylharnstoffen, die den Blutzucker unabhängig vom aktuellen Wert senken. In einer Studie mit Exenatid zusätzlich zu Metformin und einem Sulfonylharnstoff traten leichte bis mittelschwere Unterzuckerungen bei bis zu 28 % auf, unter Placebo bei 13 %; bei niedrig dosiertem Sulfonylharnstoff waren sie seltener (Kendall 2005, PMID 15855571). Bei Pramlintid, das zusammen mit Insulin eingesetzt wird, war schwere Unterzuckerung das wichtigste Risiko (Edelman 2006, PMID 17003291). Deshalb sehen die Fachinformationen vor, die Dosis der anderen Diabetesmittel zu Beginn zu überprüfen; die Umsetzung gehört in ärztliche Hände.</w:t>
      </w:r>
    </w:p>
    <w:p>
      <w:pPr>
        <w:pStyle w:val="BodyText"/>
      </w:pPr>
      <w:r>
        <w:t xml:space="preserve">Für mehrere nicht zugelassene Peptide ist eine zusätzliche Blutzuckersenkung theoretisch denkbar, etwa für MOTS-c oder IGF-1 LR3 (Kapitel MOTS-c, IGF-1 LR3). Untersucht ist das nicht. Umgekehrt können die Peptide der Wachstumshormon-Achse den Blutzucker erhöhen und eine bestehende Diabetesbehandlung aus dem Gleichgewicht bringen (Kapitel Ibutamoren, Tesamorelin).</w:t>
      </w:r>
    </w:p>
    <w:bookmarkEnd w:id="1018"/>
    <w:bookmarkStart w:id="1019" w:name="kinder-und-jugendliche-3"/>
    <w:p>
      <w:pPr>
        <w:pStyle w:val="Heading3"/>
      </w:pPr>
      <w:r>
        <w:t xml:space="preserve">Kinder und Jugendliche</w:t>
      </w:r>
    </w:p>
    <w:p>
      <w:pPr>
        <w:pStyle w:val="FirstParagraph"/>
      </w:pPr>
      <w:r>
        <w:t xml:space="preserve">Semaglutid und Liraglutid sind in der EU und den USA auch für Jugendliche ab zwölf Jahren mit Adipositas zugelassen (Stand 2026, bitte aktuell prüfen). Die Zulassungsstudien zeigen ein ähnliches Nebenwirkungsprofil wie bei Erwachsenen: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w:t>
            </w:r>
          </w:p>
        </w:tc>
        <w:tc>
          <w:tcPr/>
          <w:p>
            <w:pPr>
              <w:pStyle w:val="Compact"/>
              <w:jc w:val="left"/>
            </w:pPr>
            <w:r>
              <w:t xml:space="preserve">Magen-Darm-Beschwerden</w:t>
            </w:r>
          </w:p>
        </w:tc>
        <w:tc>
          <w:tcPr/>
          <w:p>
            <w:pPr>
              <w:pStyle w:val="Compact"/>
              <w:jc w:val="left"/>
            </w:pPr>
            <w:r>
              <w:t xml:space="preserve">Weitere Befunde</w:t>
            </w:r>
          </w:p>
        </w:tc>
      </w:tr>
      <w:tr>
        <w:tc>
          <w:tcPr/>
          <w:p>
            <w:pPr>
              <w:pStyle w:val="Compact"/>
              <w:jc w:val="left"/>
            </w:pPr>
            <w:r>
              <w:t xml:space="preserve">STEP TEENS (Weghuber 2022), PMID 36322838</w:t>
            </w:r>
          </w:p>
        </w:tc>
        <w:tc>
          <w:tcPr/>
          <w:p>
            <w:pPr>
              <w:pStyle w:val="Compact"/>
              <w:jc w:val="left"/>
            </w:pPr>
            <w:r>
              <w:t xml:space="preserve">201 Jugendliche, Semaglutid, 68 Wochen</w:t>
            </w:r>
          </w:p>
        </w:tc>
        <w:tc>
          <w:tcPr/>
          <w:p>
            <w:pPr>
              <w:pStyle w:val="Compact"/>
              <w:jc w:val="left"/>
            </w:pPr>
            <w:r>
              <w:t xml:space="preserve">62 % vs. 42 %</w:t>
            </w:r>
          </w:p>
        </w:tc>
        <w:tc>
          <w:tcPr/>
          <w:p>
            <w:pPr>
              <w:pStyle w:val="Compact"/>
              <w:jc w:val="left"/>
            </w:pPr>
            <w:r>
              <w:t xml:space="preserve">Gallensteine bei 4 %; schwere Ereignisse 11 % vs. 9 %</w:t>
            </w:r>
          </w:p>
        </w:tc>
      </w:tr>
      <w:tr>
        <w:tc>
          <w:tcPr/>
          <w:p>
            <w:pPr>
              <w:pStyle w:val="Compact"/>
              <w:jc w:val="left"/>
            </w:pPr>
            <w:r>
              <w:t xml:space="preserve">SCALE Teens (Kelly 2020), PMID 32233338</w:t>
            </w:r>
          </w:p>
        </w:tc>
        <w:tc>
          <w:tcPr/>
          <w:p>
            <w:pPr>
              <w:pStyle w:val="Compact"/>
              <w:jc w:val="left"/>
            </w:pPr>
            <w:r>
              <w:t xml:space="preserve">251 Jugendliche, Liraglutid, 56 Wochen</w:t>
            </w:r>
          </w:p>
        </w:tc>
        <w:tc>
          <w:tcPr/>
          <w:p>
            <w:pPr>
              <w:pStyle w:val="Compact"/>
              <w:jc w:val="left"/>
            </w:pPr>
            <w:r>
              <w:t xml:space="preserve">64,8 % vs. 36,5 %</w:t>
            </w:r>
          </w:p>
        </w:tc>
        <w:tc>
          <w:tcPr/>
          <w:p>
            <w:pPr>
              <w:pStyle w:val="Compact"/>
              <w:jc w:val="left"/>
            </w:pPr>
            <w:r>
              <w:t xml:space="preserve">Abbruch wegen Nebenwirkungen 10,4 % vs. 0 %</w:t>
            </w:r>
          </w:p>
        </w:tc>
      </w:tr>
    </w:tbl>
    <w:p>
      <w:pPr>
        <w:pStyle w:val="BodyText"/>
      </w:pPr>
      <w:r>
        <w:t xml:space="preserve">In der Liraglutid-Studie stieg der BMI nach dem Absetzen wieder stärker an als unter Placebo, und es kam zu einem Suizid in der Liraglutid-Gruppe, den die Prüfärzte als wahrscheinlich nicht behandlungsbedingt einstuften (Kelly 2020, PMID 32233338). Eine Meta-Analyse von neun randomisierten und zwei Beobachtungsstudien mit Jugendlichen fand insgesamt keine Zunahme von Suizidverhalten oder Depression (Silva 2026, PMID 42115753).</w:t>
      </w:r>
    </w:p>
    <w:p>
      <w:pPr>
        <w:pStyle w:val="BodyText"/>
      </w:pPr>
      <w:r>
        <w:t xml:space="preserve">Ein anderes Bild ergeben die Daten der US-Giftinformationszentren. Bei Kindern und Jugendlichen zwischen 6 und 17 Jahren stiegen die gemeldeten Fälle mit GLP-1-Medikamenten zwischen 2017 und 2024 am stärksten. Sie wurden häufiger stationär aufgenommen als Erwachsene (relatives Risiko 2,66), erbrachen häufiger, und ihre Fälle gingen etwa achtmal so häufig auf absichtlichen Fehlgebrauch zurück (Senthilkumar 2026, PMID 41784916). Das spricht dafür, dass Jugendliche diese Medikamente teils außerhalb einer ärztlichen Behandlung verwenden.</w:t>
      </w:r>
    </w:p>
    <w:p>
      <w:pPr>
        <w:pStyle w:val="BodyText"/>
      </w:pPr>
      <w:r>
        <w:t xml:space="preserve">Bei den Peptiden aus dem Fitness- und Bodybuilding-Umfeld ist unklar, wie verbreitet sie bei Jugendlichen sind. Eine Übersicht weist auf Werbung in sozialen Medien und Hinweise auf eine wachsende Nutzung auch durch jüngere Freizeitsportler hin, betont aber, dass Studien zur Häufigkeit fehlen (Coutinho 2026, PMID 41880199). Für Jugendliche, deren Wachstum und Hormonsystem noch nicht abgeschlossen sind, ist der Eingriff in die Wachstumshormon- oder Sexualhormon-Achse mit nicht zugelassenen Stoffen besonders riskant. Die zugelassenen Peptide für Kinder – etwa Mecasermin bei schwerem IGF-1-Mangel – werden ausschließlich unter fachärztlicher Kontrolle eingesetzt (Kapitel Mecasermin).</w:t>
      </w:r>
    </w:p>
    <w:bookmarkEnd w:id="1019"/>
    <w:bookmarkStart w:id="1020" w:name="ältere-menschen"/>
    <w:p>
      <w:pPr>
        <w:pStyle w:val="Heading3"/>
      </w:pPr>
      <w:r>
        <w:t xml:space="preserve">Ältere Menschen</w:t>
      </w:r>
    </w:p>
    <w:p>
      <w:pPr>
        <w:pStyle w:val="FirstParagraph"/>
      </w:pPr>
      <w:r>
        <w:t xml:space="preserve">Mit dem Alter steigt das Risiko, dass Nebenwirkungen schwerer verlaufen. Für ältere Menschen sind bei Peptiden vor allem vier Punkte wichtig:</w:t>
      </w:r>
    </w:p>
    <w:p>
      <w:pPr>
        <w:numPr>
          <w:ilvl w:val="0"/>
          <w:numId w:val="1350"/>
        </w:numPr>
        <w:pStyle w:val="Compact"/>
      </w:pPr>
      <w:r>
        <w:rPr>
          <w:bCs/>
          <w:b/>
        </w:rPr>
        <w:t xml:space="preserve">Flüssigkeitsverlust.</w:t>
      </w:r>
      <w:r>
        <w:t xml:space="preserve"> </w:t>
      </w:r>
      <w:r>
        <w:t xml:space="preserve">Erbrechen und Durchfall unter GLP-1-Medikamenten können bei älteren Menschen schneller zu Austrocknung und Nierenproblemen führen.</w:t>
      </w:r>
    </w:p>
    <w:p>
      <w:pPr>
        <w:numPr>
          <w:ilvl w:val="0"/>
          <w:numId w:val="1350"/>
        </w:numPr>
        <w:pStyle w:val="Compact"/>
      </w:pPr>
      <w:r>
        <w:rPr>
          <w:bCs/>
          <w:b/>
        </w:rPr>
        <w:t xml:space="preserve">Muskelmasse.</w:t>
      </w:r>
      <w:r>
        <w:t xml:space="preserve"> </w:t>
      </w:r>
      <w:r>
        <w:t xml:space="preserve">Wer ohnehin wenig Muskeln hat, verträgt deren weiteren Verlust schlecht (siehe den folgenden Abschnitt).</w:t>
      </w:r>
    </w:p>
    <w:p>
      <w:pPr>
        <w:numPr>
          <w:ilvl w:val="0"/>
          <w:numId w:val="1350"/>
        </w:numPr>
        <w:pStyle w:val="Compact"/>
      </w:pPr>
      <w:r>
        <w:rPr>
          <w:bCs/>
          <w:b/>
        </w:rPr>
        <w:t xml:space="preserve">Wassereinlagerung und Herz.</w:t>
      </w:r>
      <w:r>
        <w:t xml:space="preserve"> </w:t>
      </w:r>
      <w:r>
        <w:t xml:space="preserve">Wachstumshormon führte bei gesunden älteren Menschen häufiger zu Gewebeschwellungen, Gelenkschmerzen und Karpaltunnelsyndrom (Liu 2007, PMID 17227934). Eine Studie mit Ibutamoren bei älteren Menschen nach Hüftbruch wurde wegen eines Signals für Herzschwäche abgebrochen (Adunsky 2011, PMID 21067829). Gerade die Peptide, die als „Anti-Aging“-Mittel beworben werden, sind für ältere Herzen also eher belastend.</w:t>
      </w:r>
    </w:p>
    <w:p>
      <w:pPr>
        <w:numPr>
          <w:ilvl w:val="0"/>
          <w:numId w:val="1350"/>
        </w:numPr>
        <w:pStyle w:val="Compact"/>
      </w:pPr>
      <w:r>
        <w:rPr>
          <w:bCs/>
          <w:b/>
        </w:rPr>
        <w:t xml:space="preserve">Mehrere Medikamente.</w:t>
      </w:r>
      <w:r>
        <w:t xml:space="preserve"> </w:t>
      </w:r>
      <w:r>
        <w:t xml:space="preserve">Ältere Menschen nehmen häufig viele Medikamente gleichzeitig ein. Die verzögerte Magenentleerung kann deren Aufnahme verändern, und Kombinationen mit blutzuckersenkenden Mitteln erhöhen das Risiko für Unterzuckerung und Stürze.</w:t>
      </w:r>
    </w:p>
    <w:bookmarkEnd w:id="1020"/>
    <w:bookmarkStart w:id="1021" w:name="X69f3f6286930a6210de5a88ac13d34d472b3ec4"/>
    <w:p>
      <w:pPr>
        <w:pStyle w:val="Heading3"/>
      </w:pPr>
      <w:r>
        <w:t xml:space="preserve">Muskelverlust bei starker Gewichtsabnahme</w:t>
      </w:r>
    </w:p>
    <w:p>
      <w:pPr>
        <w:pStyle w:val="FirstParagraph"/>
      </w:pPr>
      <w:r>
        <w:t xml:space="preserve">Bei jeder Gewichtsabnahme geht neben Fett auch fettfreie Masse verloren, zu der Muskeln, Organe und Wasser zählen. Bei den stark wirksamen GLP-1-Medikamenten ist die Frage, ob dieser Anteil ungewöhnlich hoch ist und ob er schadet.</w:t>
      </w:r>
    </w:p>
    <w:p>
      <w:pPr>
        <w:numPr>
          <w:ilvl w:val="0"/>
          <w:numId w:val="1351"/>
        </w:numPr>
        <w:pStyle w:val="Compact"/>
      </w:pPr>
      <w:r>
        <w:t xml:space="preserve">In einer Teilstudie von SURMOUNT-1 mit 160 Teilnehmenden bestand das abgenommene Gewicht unter Tirzepatid zu etwa 75 % aus Fett und zu 25 % aus fettfreier Masse – im selben Verhältnis wie unter Placebo, nur bei deutlich größerer Gesamtabnahme. Diese Anteile blieben in den meisten Untergruppen, auch nach Alter getrennt, ähnlich (Look 2025, PMID 39996356).</w:t>
      </w:r>
    </w:p>
    <w:p>
      <w:pPr>
        <w:numPr>
          <w:ilvl w:val="0"/>
          <w:numId w:val="1351"/>
        </w:numPr>
        <w:pStyle w:val="Compact"/>
      </w:pPr>
      <w:r>
        <w:t xml:space="preserve">Eine Netzwerk-Meta-Analyse von 22 Studien fand ebenfalls, dass rund 25 % der Gewichtsabnahme auf fettfreie Masse entfielen. Semaglutid und Tirzepatid führten zum stärksten Gewichtsverlust, gehörten aber auch zu den Wirkstoffen, unter denen am meisten fettfreie Masse verloren ging (Karakasis 2025, PMID 39719170).</w:t>
      </w:r>
    </w:p>
    <w:p>
      <w:pPr>
        <w:numPr>
          <w:ilvl w:val="0"/>
          <w:numId w:val="1351"/>
        </w:numPr>
        <w:pStyle w:val="Compact"/>
      </w:pPr>
      <w:r>
        <w:t xml:space="preserve">Eine systematische Übersicht über 35 Studien kam auf einen etwas höheren Anteil: Im Median entfielen 28,3 % der Gewichtsabnahme auf muskelbezogene Messgrößen, und in 65 % der Studien lag der Anteil über einem Richtwert von etwa 25 %. Keine einzige Studie hatte die körperliche Leistungsfähigkeit objektiv gemessen (Batsis 2026, PMID 41996180).</w:t>
      </w:r>
    </w:p>
    <w:p>
      <w:pPr>
        <w:numPr>
          <w:ilvl w:val="0"/>
          <w:numId w:val="1351"/>
        </w:numPr>
        <w:pStyle w:val="Compact"/>
      </w:pPr>
      <w:r>
        <w:t xml:space="preserve">Eine weitere Meta-Analyse betont die andere Seite: Weil Fett stärker abnimmt als Muskeln, stieg der</w:t>
      </w:r>
      <w:r>
        <w:t xml:space="preserve"> </w:t>
      </w:r>
      <w:r>
        <w:rPr>
          <w:iCs/>
          <w:i/>
        </w:rPr>
        <w:t xml:space="preserve">Anteil</w:t>
      </w:r>
      <w:r>
        <w:t xml:space="preserve"> </w:t>
      </w:r>
      <w:r>
        <w:t xml:space="preserve">der fettfreien Masse am Körpergewicht um 1,81 Prozentpunkte. Die Autorinnen und Autoren empfehlen, die Behandlung mit Ernährungs- und Bewegungsprogrammen zu begleiten (Laverde 2026, PMID 42321502).</w:t>
      </w:r>
    </w:p>
    <w:p>
      <w:pPr>
        <w:pStyle w:val="FirstParagraph"/>
      </w:pPr>
      <w:r>
        <w:t xml:space="preserve">Zusammengefasst: Der Muskelverlust unter GLP-1-Medikamenten scheint im Verhältnis zur Gesamtabnahme nicht wesentlich größer zu sein als bei anderen Formen der Gewichtsreduktion – in absoluten Kilogramm ist er wegen der großen Abnahme aber erheblich. Ob das Folgen für Kraft, Stürze oder Selbstständigkeit hat, ist nicht untersucht. Für ältere Menschen, Menschen mit wenig Muskelmasse und Menschen mit Gebrechlichkeit ist das eine offene Frage. Ob Cagrilintid-Kombinationen den Muskelverlust beeinflussen, wird derzeit untersucht (Kapitel Cagrilintid).</w:t>
      </w:r>
    </w:p>
    <w:bookmarkEnd w:id="1021"/>
    <w:bookmarkStart w:id="1022" w:name="essstörungen"/>
    <w:p>
      <w:pPr>
        <w:pStyle w:val="Heading3"/>
      </w:pPr>
      <w:r>
        <w:t xml:space="preserve">Essstörungen</w:t>
      </w:r>
    </w:p>
    <w:p>
      <w:pPr>
        <w:pStyle w:val="FirstParagraph"/>
      </w:pPr>
      <w:r>
        <w:t xml:space="preserve">GLP-1-Medikamente dämpfen Appetit und Hungergefühl. Für Menschen mit Magersucht (Anorexia nervosa) oder Bulimie kann gerade diese Wirkung gefährlich sein: Sie kann restriktives Essverhalten verstärken und eine Erkrankung verschlimmern. Ein Fallbericht beschreibt den Missbrauch von Semaglutid bei einer atypischen Anorexie (Guerdjikova 2024, PMID 38329147), und eine US-Querschnittsstudie untersuchte, wie verbreitet Gebrauch und Missbrauch von GLP-1-Medikamenten unter Menschen mit Essstörungen sind (Peiper 2026, PMID 42340738).</w:t>
      </w:r>
    </w:p>
    <w:p>
      <w:pPr>
        <w:pStyle w:val="BodyText"/>
      </w:pPr>
      <w:r>
        <w:t xml:space="preserve">Ein Gremium aus 45 Fachleuten und Betroffenen hat 2026 im Konsensverfahren Empfehlungen erarbeitet. Danach sollte vor Beginn einer GLP-1-Behandlung mit einem kurzen, geprüften Fragebogen nach aktuellen und früheren Essstörungen gefragt werden, Symptome sollten im Verlauf beobachtet werden, und bei aktiver Anorexie, atypischer Anorexie oder Bulimie mit starkem Einschränken des Essens sollten diese Medikamente in der Regel nicht eingesetzt werden. Auch bei früheren Essstörungen sei Vorsicht geboten (Keshen 2026, PMID 42742590).</w:t>
      </w:r>
    </w:p>
    <w:p>
      <w:pPr>
        <w:pStyle w:val="BodyText"/>
      </w:pPr>
      <w:r>
        <w:t xml:space="preserve">Für die Binge-Eating-Störung, bei der Essanfälle ohne Gegenmaßnahmen auftreten, gibt es dagegen erste Hinweise, dass GLP-1-Medikamente Essanfälle verringern könnten (Keshen 2026, PMID 42742590). Das zeigt, wie wichtig eine genaue Diagnose ist. Über den Graumarkt und über Online-Anbieter mit wenig ärztlicher Begleitung entfällt genau dieses Nachfragen.</w:t>
      </w:r>
    </w:p>
    <w:bookmarkEnd w:id="1022"/>
    <w:bookmarkStart w:id="1023" w:name="leistungssport-und-dopingkontrollen"/>
    <w:p>
      <w:pPr>
        <w:pStyle w:val="Heading3"/>
      </w:pPr>
      <w:r>
        <w:t xml:space="preserve">Leistungssport und Dopingkontrollen</w:t>
      </w:r>
    </w:p>
    <w:p>
      <w:pPr>
        <w:pStyle w:val="FirstParagraph"/>
      </w:pPr>
      <w:r>
        <w:t xml:space="preserve">Für Sportlerinnen und Sportler, die Dopingkontrollen unterliegen, ist die Lage bei Peptiden besonders heikel. Nach der Verbotsliste der Welt-Anti-Doping-Agentur (WADA) gilt grob (Stand 2026, bitte aktuell prüfen):</w:t>
      </w:r>
    </w:p>
    <w:p>
      <w:pPr>
        <w:numPr>
          <w:ilvl w:val="0"/>
          <w:numId w:val="1352"/>
        </w:numPr>
        <w:pStyle w:val="Compact"/>
      </w:pPr>
      <w:r>
        <w:rPr>
          <w:bCs/>
          <w:b/>
        </w:rPr>
        <w:t xml:space="preserve">Verboten (S2, Peptidhormone und Wachstumsfaktoren):</w:t>
      </w:r>
      <w:r>
        <w:t xml:space="preserve"> </w:t>
      </w:r>
      <w:r>
        <w:t xml:space="preserve">alle Wachstumshormon-Freisetzer und IGF-1-Abwandlungen, Thymosin Beta-4 und TB-500, ARA-290, bei Männern Gonadorelin und LH-Freisetzer wie Kisspeptin.</w:t>
      </w:r>
    </w:p>
    <w:p>
      <w:pPr>
        <w:numPr>
          <w:ilvl w:val="0"/>
          <w:numId w:val="1352"/>
        </w:numPr>
        <w:pStyle w:val="Compact"/>
      </w:pPr>
      <w:r>
        <w:rPr>
          <w:bCs/>
          <w:b/>
        </w:rPr>
        <w:t xml:space="preserve">Verboten (S0, nicht zugelassene Substanzen):</w:t>
      </w:r>
      <w:r>
        <w:t xml:space="preserve"> </w:t>
      </w:r>
      <w:r>
        <w:t xml:space="preserve">Stoffe ohne Zulassung als Humanarzneimittel, etwa BPC-157, Melanotan II und die noch in Studien befindlichen GLP-1-Mehrfach-Agonisten wie Retatrutid.</w:t>
      </w:r>
    </w:p>
    <w:p>
      <w:pPr>
        <w:numPr>
          <w:ilvl w:val="0"/>
          <w:numId w:val="1352"/>
        </w:numPr>
        <w:pStyle w:val="Compact"/>
      </w:pPr>
      <w:r>
        <w:rPr>
          <w:bCs/>
          <w:b/>
        </w:rPr>
        <w:t xml:space="preserve">Verboten (S4):</w:t>
      </w:r>
      <w:r>
        <w:t xml:space="preserve"> </w:t>
      </w:r>
      <w:r>
        <w:t xml:space="preserve">MOTS-c als Aktivator des Enzyms AMPK.</w:t>
      </w:r>
    </w:p>
    <w:p>
      <w:pPr>
        <w:numPr>
          <w:ilvl w:val="0"/>
          <w:numId w:val="1352"/>
        </w:numPr>
        <w:pStyle w:val="Compact"/>
      </w:pPr>
      <w:r>
        <w:rPr>
          <w:bCs/>
          <w:b/>
        </w:rPr>
        <w:t xml:space="preserve">Nicht verboten:</w:t>
      </w:r>
      <w:r>
        <w:t xml:space="preserve"> </w:t>
      </w:r>
      <w:r>
        <w:t xml:space="preserve">die zugelassenen GLP-1-Medikamente. Semaglutid und Tirzepatid wurden aber in das Überwachungsprogramm der WADA aufgenommen, um einen möglichen Missbrauch zu erfassen; Labore haben bereits Nachweisverfahren für Blut und getrocknete Blutstropfen entwickelt (Borschel 2026, PMID 42874322).</w:t>
      </w:r>
    </w:p>
    <w:p>
      <w:pPr>
        <w:pStyle w:val="FirstParagraph"/>
      </w:pPr>
      <w:r>
        <w:t xml:space="preserve">Die Einzelheiten stehen in den jeweiligen Kapiteln. Drei Punkte sind über alle Peptide hinweg wichtig.</w:t>
      </w:r>
    </w:p>
    <w:p>
      <w:pPr>
        <w:pStyle w:val="BodyText"/>
      </w:pPr>
      <w:r>
        <w:rPr>
          <w:bCs/>
          <w:b/>
        </w:rPr>
        <w:t xml:space="preserve">Verunreinigte Produkte.</w:t>
      </w:r>
      <w:r>
        <w:t xml:space="preserve"> </w:t>
      </w:r>
      <w:r>
        <w:t xml:space="preserve">Ein Sportler ist für jede verbotene Substanz in seinem Körper verantwortlich – auch wenn sie aus einem falsch deklarierten Produkt stammt. Die Laboranalysen im Kapitel „Graumarkt-Produkte“ zeigen, dass Graumarkt-Ware häufig andere oder zusätzliche Stoffe enthält und dass verbotene Wirkstoffe auch in Produkten auftauchen, die als Nahrungsergänzungsmittel aufgemacht sind (Barrios 2025, PMID 40551438).</w:t>
      </w:r>
    </w:p>
    <w:p>
      <w:pPr>
        <w:pStyle w:val="BodyText"/>
      </w:pPr>
      <w:r>
        <w:rPr>
          <w:bCs/>
          <w:b/>
        </w:rPr>
        <w:t xml:space="preserve">Designer-Varianten.</w:t>
      </w:r>
      <w:r>
        <w:t xml:space="preserve"> </w:t>
      </w:r>
      <w:r>
        <w:t xml:space="preserve">Abgewandelte Peptide wie Gly-GHRP-2 oder Gly-Ipamorelin sollen vermutlich Tests umgehen (Gajda 2019, PMID 30136411). Ihre Wirkung und Sicherheit sind völlig unbekannt. Die Erfahrung zeigt, dass Anti-Doping-Labore ihre Verfahren nachziehen; Proben werden zudem langfristig gelagert und können später erneut untersucht werden.</w:t>
      </w:r>
    </w:p>
    <w:p>
      <w:pPr>
        <w:pStyle w:val="BodyText"/>
      </w:pPr>
      <w:r>
        <w:rPr>
          <w:bCs/>
          <w:b/>
        </w:rPr>
        <w:t xml:space="preserve">Fraglicher Nutzen.</w:t>
      </w:r>
      <w:r>
        <w:t xml:space="preserve"> </w:t>
      </w:r>
      <w:r>
        <w:t xml:space="preserve">Eine Übersicht über Inkretin-Medikamente im Sport kommt zu dem Schluss, dass klinische Studien keine einheitliche Verbesserung der körperlichen Leistung beim Menschen zeigen und dass 20 bis 30 % des Gewichtsverlusts auf fettfreie Masse entfallen (La Vignera 2026, PMID 42511463). Für die regenerativen Peptide und die Wachstumshormon-Freisetzer kommt eine sportmedizinische Übersicht zu dem Ergebnis, dass sie experimentell bleiben, mit unsicherem Sicherheitsprofil, fraglicher Produktqualität und weitreichenden Dopingverboten (Villegas Meza 2026, PMID 42160466).</w:t>
      </w:r>
    </w:p>
    <w:bookmarkEnd w:id="1023"/>
    <w:bookmarkStart w:id="1024" w:name="das-wichtigste-in-kürze-7"/>
    <w:p>
      <w:pPr>
        <w:pStyle w:val="Heading3"/>
      </w:pPr>
      <w:r>
        <w:t xml:space="preserve">Das Wichtigste in Kürze</w:t>
      </w:r>
    </w:p>
    <w:p>
      <w:pPr>
        <w:numPr>
          <w:ilvl w:val="0"/>
          <w:numId w:val="1353"/>
        </w:numPr>
        <w:pStyle w:val="Compact"/>
      </w:pPr>
      <w:r>
        <w:t xml:space="preserve">In der Schwangerschaft sind fast alle Peptide nicht untersucht oder nicht angezeigt. Für eine versehentliche Exposition mit GLP-1-Medikamenten sind die Daten überwiegend beruhigend, aber unsicher.</w:t>
      </w:r>
    </w:p>
    <w:p>
      <w:pPr>
        <w:numPr>
          <w:ilvl w:val="0"/>
          <w:numId w:val="1353"/>
        </w:numPr>
        <w:pStyle w:val="Compact"/>
      </w:pPr>
      <w:r>
        <w:t xml:space="preserve">Tirzepatid kann die Aufnahme der Pille verringern; bei Semaglutid fand sich das nicht. Erbrechen und Durchfall beeinträchtigen jede Tabletteneinnahme.</w:t>
      </w:r>
    </w:p>
    <w:p>
      <w:pPr>
        <w:numPr>
          <w:ilvl w:val="0"/>
          <w:numId w:val="1353"/>
        </w:numPr>
        <w:pStyle w:val="Compact"/>
      </w:pPr>
      <w:r>
        <w:t xml:space="preserve">Unter GLP-1-Medikamenten bleibt der Magen häufiger gefüllt. Vor Narkosen und Magenspiegelungen muss das Behandlungsteam davon wissen.</w:t>
      </w:r>
    </w:p>
    <w:p>
      <w:pPr>
        <w:numPr>
          <w:ilvl w:val="0"/>
          <w:numId w:val="1353"/>
        </w:numPr>
        <w:pStyle w:val="Compact"/>
      </w:pPr>
      <w:r>
        <w:t xml:space="preserve">In Kombination mit Insulin oder Sulfonylharnstoffen steigt das Unterzuckerungsrisiko.</w:t>
      </w:r>
    </w:p>
    <w:p>
      <w:pPr>
        <w:numPr>
          <w:ilvl w:val="0"/>
          <w:numId w:val="1353"/>
        </w:numPr>
        <w:pStyle w:val="Compact"/>
      </w:pPr>
      <w:r>
        <w:t xml:space="preserve">Jugendliche fallen in Giftnotruf-Daten durch absichtlichen Fehlgebrauch auf; bei Essstörungen sollten GLP-1-Medikamente in der Regel nicht eingesetzt werden.</w:t>
      </w:r>
    </w:p>
    <w:p>
      <w:pPr>
        <w:numPr>
          <w:ilvl w:val="0"/>
          <w:numId w:val="1353"/>
        </w:numPr>
        <w:pStyle w:val="Compact"/>
      </w:pPr>
      <w:r>
        <w:t xml:space="preserve">Rund ein Viertel der Gewichtsabnahme unter GLP-1-Medikamenten entfällt auf fettfreie Masse; ob das funktionelle Folgen hat, ist offen.</w:t>
      </w:r>
    </w:p>
    <w:p>
      <w:pPr>
        <w:numPr>
          <w:ilvl w:val="0"/>
          <w:numId w:val="1353"/>
        </w:numPr>
        <w:pStyle w:val="Compact"/>
      </w:pPr>
      <w:r>
        <w:t xml:space="preserve">Für Sportlerinnen und Sportler sind die meisten Peptide verboten, und Graumarkt-Produkte bergen zusätzlich das Risiko nicht deklarierter Dopingmittel.</w:t>
      </w:r>
    </w:p>
    <w:bookmarkEnd w:id="1024"/>
    <w:bookmarkEnd w:id="1025"/>
    <w:bookmarkEnd w:id="1026"/>
    <w:bookmarkStart w:id="1079" w:name="teil-v-zukunft"/>
    <w:p>
      <w:pPr>
        <w:pStyle w:val="Heading1"/>
      </w:pPr>
      <w:r>
        <w:t xml:space="preserve">Teil V – Zukunft</w:t>
      </w:r>
    </w:p>
    <w:p>
      <w:pPr>
        <w:pStyle w:val="FirstParagraph"/>
      </w:pPr>
      <w:r>
        <w:t xml:space="preserve">Die vorangegangenen Teile haben beschrieben, was über Peptide heute bekannt ist. Dieser letzte Teil blickt nach vorn: Welche Wirkstoffe stecken in den großen Studien, die in den nächsten Jahren enden? Werden Spritzen durch Tabletten abgelöst? Was bedeuten auslaufende Patente für Preise und Versorgung? Und welche Entwicklungen sind bis 2035 zu erwarten?</w:t>
      </w:r>
    </w:p>
    <w:p>
      <w:pPr>
        <w:pStyle w:val="BodyText"/>
      </w:pPr>
      <w:r>
        <w:t xml:space="preserve">Zukunftsaussagen sind in diesem Buch streng getrennt.</w:t>
      </w:r>
      <w:r>
        <w:t xml:space="preserve"> </w:t>
      </w:r>
      <w:r>
        <w:rPr>
          <w:bCs/>
          <w:b/>
        </w:rPr>
        <w:t xml:space="preserve">Gesichert</w:t>
      </w:r>
      <w:r>
        <w:t xml:space="preserve"> </w:t>
      </w:r>
      <w:r>
        <w:t xml:space="preserve">ist, was in einem Studienregister eingetragen, in einer begutachteten Studie veröffentlicht oder von Behörden beschlossen ist. Auch das ist nur eine Momentaufnahme: Studien werden verlängert, verkleinert oder abgebrochen, geplante Enddaten verschieben sich oft um Jahre. Alles andere ist</w:t>
      </w:r>
      <w:r>
        <w:t xml:space="preserve"> </w:t>
      </w:r>
      <w:r>
        <w:rPr>
          <w:bCs/>
          <w:b/>
        </w:rPr>
        <w:t xml:space="preserve">Einschätzung des Autors</w:t>
      </w:r>
      <w:r>
        <w:t xml:space="preserve"> </w:t>
      </w:r>
      <w:r>
        <w:t xml:space="preserve">und wird ausdrücklich so bezeichnet. Die Recherche gibt den Stand von Oktober 2026 wieder.</w:t>
      </w:r>
    </w:p>
    <w:bookmarkStart w:id="1038" w:name="die-pipeline-was-in-phase-2-und-3-ist"/>
    <w:p>
      <w:pPr>
        <w:pStyle w:val="Heading2"/>
      </w:pPr>
      <w:r>
        <w:t xml:space="preserve">Die Pipeline: was in Phase 2 und 3 ist</w:t>
      </w:r>
    </w:p>
    <w:p>
      <w:pPr>
        <w:pStyle w:val="FirstParagraph"/>
      </w:pPr>
      <w:r>
        <w:t xml:space="preserve">Als „Pipeline“ bezeichnet die Pharmaindustrie die Gesamtheit der Wirkstoffe, die sich in Entwicklung befinden. Die Stufen sind in Teil I erklärt: In</w:t>
      </w:r>
      <w:r>
        <w:t xml:space="preserve"> </w:t>
      </w:r>
      <w:r>
        <w:rPr>
          <w:bCs/>
          <w:b/>
        </w:rPr>
        <w:t xml:space="preserve">Phase 1</w:t>
      </w:r>
      <w:r>
        <w:t xml:space="preserve"> </w:t>
      </w:r>
      <w:r>
        <w:t xml:space="preserve">wird ein Wirkstoff meist an wenigen Gesunden auf Verträglichkeit geprüft, in</w:t>
      </w:r>
      <w:r>
        <w:t xml:space="preserve"> </w:t>
      </w:r>
      <w:r>
        <w:rPr>
          <w:bCs/>
          <w:b/>
        </w:rPr>
        <w:t xml:space="preserve">Phase 2</w:t>
      </w:r>
      <w:r>
        <w:t xml:space="preserve"> </w:t>
      </w:r>
      <w:r>
        <w:t xml:space="preserve">an einigen Hundert Erkrankten auf Wirksamkeit und passende Dosis, in</w:t>
      </w:r>
      <w:r>
        <w:t xml:space="preserve"> </w:t>
      </w:r>
      <w:r>
        <w:rPr>
          <w:bCs/>
          <w:b/>
        </w:rPr>
        <w:t xml:space="preserve">Phase 3</w:t>
      </w:r>
      <w:r>
        <w:t xml:space="preserve"> </w:t>
      </w:r>
      <w:r>
        <w:t xml:space="preserve">an Tausenden für die Zulassung.</w:t>
      </w:r>
      <w:r>
        <w:t xml:space="preserve"> </w:t>
      </w:r>
      <w:r>
        <w:rPr>
          <w:bCs/>
          <w:b/>
        </w:rPr>
        <w:t xml:space="preserve">Phase 4</w:t>
      </w:r>
      <w:r>
        <w:t xml:space="preserve"> </w:t>
      </w:r>
      <w:r>
        <w:t xml:space="preserve">bezeichnet Studien mit bereits zugelassenen Medikamenten. Wer wissen will, was in den nächsten fünf Jahren auf den Markt kommen könnte, muss vor allem auf Phase 3 schauen.</w:t>
      </w:r>
    </w:p>
    <w:bookmarkStart w:id="1027" w:name="wie-die-auswertung-gemacht-wurde"/>
    <w:p>
      <w:pPr>
        <w:pStyle w:val="Heading3"/>
      </w:pPr>
      <w:r>
        <w:t xml:space="preserve">Wie die Auswertung gemacht wurde</w:t>
      </w:r>
    </w:p>
    <w:p>
      <w:pPr>
        <w:pStyle w:val="FirstParagraph"/>
      </w:pPr>
      <w:r>
        <w:t xml:space="preserve">Grundlage sind die Registerlisten von ClinicalTrials.gov, die für die 58 Wirkstoffe dieses Buches im Oktober 2026 abgefragt wurden (siehe Methodik im Anhang). Ein kleines Auswertungsprogramm hat daraus alle Einträge herausgefiltert, die</w:t>
      </w:r>
    </w:p>
    <w:p>
      <w:pPr>
        <w:numPr>
          <w:ilvl w:val="0"/>
          <w:numId w:val="1354"/>
        </w:numPr>
        <w:pStyle w:val="Compact"/>
      </w:pPr>
      <w:r>
        <w:t xml:space="preserve">eine</w:t>
      </w:r>
      <w:r>
        <w:t xml:space="preserve"> </w:t>
      </w:r>
      <w:r>
        <w:rPr>
          <w:bCs/>
          <w:b/>
        </w:rPr>
        <w:t xml:space="preserve">interventionelle</w:t>
      </w:r>
      <w:r>
        <w:t xml:space="preserve"> </w:t>
      </w:r>
      <w:r>
        <w:t xml:space="preserve">Studie beschreiben, also eine Studie, in der ein Wirkstoff gezielt gegeben wird (keine reine Beobachtung), und</w:t>
      </w:r>
    </w:p>
    <w:p>
      <w:pPr>
        <w:numPr>
          <w:ilvl w:val="0"/>
          <w:numId w:val="1354"/>
        </w:numPr>
        <w:pStyle w:val="Compact"/>
      </w:pPr>
      <w:r>
        <w:t xml:space="preserve">als</w:t>
      </w:r>
      <w:r>
        <w:t xml:space="preserve"> </w:t>
      </w:r>
      <w:r>
        <w:rPr>
          <w:bCs/>
          <w:b/>
        </w:rPr>
        <w:t xml:space="preserve">laufend</w:t>
      </w:r>
      <w:r>
        <w:t xml:space="preserve"> </w:t>
      </w:r>
      <w:r>
        <w:t xml:space="preserve">gekennzeichnet sind: rekrutierend, aktiv ohne weitere Rekrutierung, noch nicht rekrutierend oder Teilnahme nur auf Einladung.</w:t>
      </w:r>
    </w:p>
    <w:p>
      <w:pPr>
        <w:pStyle w:val="FirstParagraph"/>
      </w:pPr>
      <w:r>
        <w:t xml:space="preserve">Studien, die unter mehreren Wirkstoffen auftauchen – etwa ein Vergleich von Retatrutid mit Tirzepatid –, wurden nur einmal gezählt.</w:t>
      </w:r>
    </w:p>
    <w:p>
      <w:pPr>
        <w:pStyle w:val="BodyText"/>
      </w:pPr>
      <w:r>
        <w:rPr>
          <w:bCs/>
          <w:b/>
        </w:rPr>
        <w:t xml:space="preserve">Was ausgeschlossen wurde – und warum:</w:t>
      </w:r>
    </w:p>
    <w:p>
      <w:pPr>
        <w:numPr>
          <w:ilvl w:val="0"/>
          <w:numId w:val="1355"/>
        </w:numPr>
        <w:pStyle w:val="Compact"/>
      </w:pPr>
      <w:r>
        <w:rPr>
          <w:bCs/>
          <w:b/>
        </w:rPr>
        <w:t xml:space="preserve">Acht Einträge des Sponsors „Hudson Biotech“</w:t>
      </w:r>
      <w:r>
        <w:t xml:space="preserve"> </w:t>
      </w:r>
      <w:r>
        <w:t xml:space="preserve">(je einer zu BPC-157, GHK-Cu, Melanotan II, MOTS-c, Retatrutid, TB-500, Tesamorelin und Tirzepatid). Ein Eintrag dieses Sponsors bezeichnet sich in seiner eigenen Beschreibung als fiktives Beispiel (siehe Kapitel BPC-157 und TB-500). Keiner dieser Einträge wird in diesem Buch als echte Studie gewertet.</w:t>
      </w:r>
    </w:p>
    <w:p>
      <w:pPr>
        <w:numPr>
          <w:ilvl w:val="0"/>
          <w:numId w:val="1355"/>
        </w:numPr>
        <w:pStyle w:val="Compact"/>
      </w:pPr>
      <w:r>
        <w:rPr>
          <w:bCs/>
          <w:b/>
        </w:rPr>
        <w:t xml:space="preserve">Alle 1.000 Treffer zum Suchbegriff „Gonadorelin“.</w:t>
      </w:r>
      <w:r>
        <w:t xml:space="preserve"> </w:t>
      </w:r>
      <w:r>
        <w:t xml:space="preserve">Sie betreffen ganz überwiegend synthetische Abwandlungen des Hormons GnRH (etwa Leuprorelin oder Triptorelin) in der Behandlung von Prostata- und Brustkrebs oder in der Kinderwunschmedizin – also andere Arzneimittel. Die wenigen Einträge zu natürlichem GnRH sind im Kapitel Gonadorelin besprochen; keiner davon ist eine laufende Phase-3-Studie.</w:t>
      </w:r>
    </w:p>
    <w:p>
      <w:pPr>
        <w:pStyle w:val="FirstParagraph"/>
      </w:pPr>
      <w:r>
        <w:rPr>
          <w:bCs/>
          <w:b/>
        </w:rPr>
        <w:t xml:space="preserve">Was nicht ausgeschlossen, aber geprüft wurde:</w:t>
      </w:r>
      <w:r>
        <w:t xml:space="preserve"> </w:t>
      </w:r>
      <w:r>
        <w:t xml:space="preserve">Bei Glutathion, Kollagen und Carnosin sind die Suchbegriffe so allgemein, dass viele Treffer den Stoff nur als Bestandteil einer Mischung, als Vergleich oder als Messgröße nennen. So erscheint unter Glutathion eine große Dengue-Studie, weil darin N-Acetylcystein – eine Vorstufe von Glutathion – geprüft wird (NCT07543458). Unter Larazotid tauchen zwei Studien zu einem ganz anderen Wirkstoff gegen die Fabry-Krankheit auf (NCT04020055, NCT06904261). Diese Treffer sind in den Gesamtzahlen enthalten, in der Bewertung aber nicht als Peptid-Studien gezählt.</w:t>
      </w:r>
    </w:p>
    <w:p>
      <w:pPr>
        <w:pStyle w:val="BodyText"/>
      </w:pPr>
      <w:r>
        <w:rPr>
          <w:bCs/>
          <w:b/>
        </w:rPr>
        <w:t xml:space="preserve">Zwei Grenzen der Auswertung:</w:t>
      </w:r>
      <w:r>
        <w:t xml:space="preserve"> </w:t>
      </w:r>
      <w:r>
        <w:t xml:space="preserve">Erstens melden nicht alle Sponsoren den Abschluss ihrer Studie zeitnah; einige Einträge mit Enddatum 2025 stehen noch als „laufend“ im Register. Zweitens erfasst die Abfrage nur die 58 Wirkstoffe dieses Buches. Neue Moleküle ohne eigenes Kapitel erscheinen nur dann, wenn sie gegen einen dieser Wirkstoffe antreten. Deshalb wurde für die neuen Wirkprinzipien weiter unten gezielt nachgesucht.</w:t>
      </w:r>
    </w:p>
    <w:bookmarkEnd w:id="1027"/>
    <w:bookmarkStart w:id="1028" w:name="das-ergebnis-in-zahlen"/>
    <w:p>
      <w:pPr>
        <w:pStyle w:val="Heading3"/>
      </w:pPr>
      <w:r>
        <w:t xml:space="preserve">Das Ergebnis in Zahlen</w:t>
      </w:r>
    </w:p>
    <w:p>
      <w:pPr>
        <w:pStyle w:val="FirstParagraph"/>
      </w:pPr>
      <w:r>
        <w:t xml:space="preserve">Nach den Ausschlüssen blieben 730 laufende interventionelle Studien. Davon betreffen 568 – gut drei Viertel – Wirkstoffe der Gruppe A (Stoffwechsel und Gewicht).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laufende Studien insgesamt</w:t>
            </w:r>
          </w:p>
        </w:tc>
        <w:tc>
          <w:tcPr/>
          <w:p>
            <w:pPr>
              <w:pStyle w:val="Compact"/>
              <w:jc w:val="left"/>
            </w:pPr>
            <w:r>
              <w:t xml:space="preserve">davon Gruppe A</w:t>
            </w:r>
          </w:p>
        </w:tc>
      </w:tr>
      <w:tr>
        <w:tc>
          <w:tcPr/>
          <w:p>
            <w:pPr>
              <w:pStyle w:val="Compact"/>
              <w:jc w:val="left"/>
            </w:pPr>
            <w:r>
              <w:t xml:space="preserve">Phase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Phase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Phase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Phase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Phase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Phase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ohne Phasenangabe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Summe</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Von den 157 laufenden Phase-3-Studien rekrutierten 68 noch, 54 waren aktiv ohne weitere Aufnahme, und 35 hatten noch nicht begonnen. Zählt man die kombinierten Phase-2/3-Studien hinzu, gibt es 176 späte Studien; 157 davon (142 in Phase 3, 15 in Phase 2/3) – fast neun von zehn – gehören zur Gruppe A.</w:t>
      </w:r>
    </w:p>
    <w:p>
      <w:pPr>
        <w:pStyle w:val="BodyText"/>
      </w:pPr>
      <w:r>
        <w:t xml:space="preserve">In der Gruppe A wird ungefähr jede dritte dieser späten Studien von Universitäten und Kliniken getragen, die übrigen von Unternehmen. Die geplanten Enddaten verteilen sich so: 21 Studien sollen 2026 enden, 49 im Jahr 2027, 41 im Jahr 2028 und 44 zwischen 2029 und 2033. Die eigentliche Welle neuer Ergebnisse steht also 2027 und 2028 bevor.</w:t>
      </w:r>
    </w:p>
    <w:p>
      <w:pPr>
        <w:pStyle w:val="BodyText"/>
      </w:pPr>
      <w:r>
        <w:rPr>
          <w:bCs/>
          <w:b/>
        </w:rPr>
        <w:t xml:space="preserve">Die Gruppen B bis F</w:t>
      </w:r>
      <w:r>
        <w:t xml:space="preserve"> </w:t>
      </w:r>
      <w:r>
        <w:t xml:space="preserve">sehen völlig anders aus. Nach Durchsicht der Einträge bleiben nur fünf laufende Phase-3-Studien, in denen ein Wirkstoff dieses Buches tatsächlich der Prüfstoff ist: Thymosin Alpha-1 nach Darmkrebsoperation (NCT05086614), Thymosin-Beta-4-Augentropfen bei neurotropher Keratopathie (NCT05555589), Elamipretid bei trockener Makuladegeneration (NCT06373731), Afamelanotid bei Vitiligo (NCT06109649) und Ibutamoren, das kein Peptid ist, bei Kindern mit Wachstumshormonmangel (NCT06948214). Dazu kommen einige kombinierte Phase-2/3-Studien, etwa zu Oxytocin-Nasenspray bei chronischen Schmerzen (NCT04903002) und zu Thymosin Alpha-1 bei wiederholtem Einnistungsversagen nach künstlicher Befruchtung (NCT07675980). Für die im Internet populärsten „Forschungspeptide“ – BPC-157, CJC-1295, Ipamorelin, Epitalon, Semax, Selank – läuft keine einzige Phase-3-Studie.</w:t>
      </w:r>
    </w:p>
    <w:bookmarkEnd w:id="1028"/>
    <w:bookmarkStart w:id="1029" w:name="X4f039dd40106d5f82d2949f8236be77f84ad24d"/>
    <w:p>
      <w:pPr>
        <w:pStyle w:val="Heading3"/>
      </w:pPr>
      <w:r>
        <w:t xml:space="preserve">Die wichtigsten laufenden Phase-3-Studien</w:t>
      </w:r>
    </w:p>
    <w:p>
      <w:pPr>
        <w:pStyle w:val="FirstParagraph"/>
      </w:pPr>
      <w:r>
        <w:t xml:space="preserve">Die folgenden Tabellen zeigen eine Auswahl nach Größe und Bedeutung. „Erwartetes Ende“ ist das im Register angegebene Studienende (Stand Oktober 2026); der Hauptendpunkt wird oft einige Monate früher ausgewertet, Veröffentlichungen folgen meist ein halbes bis ein Jahr später.</w:t>
      </w:r>
    </w:p>
    <w:p>
      <w:pPr>
        <w:pStyle w:val="BodyText"/>
      </w:pPr>
      <w:r>
        <w:rPr>
          <w:bCs/>
          <w:b/>
        </w:rPr>
        <w:t xml:space="preserve">Stoffwechsel und Gewicht (Gruppe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 NCT</w:t>
            </w:r>
          </w:p>
        </w:tc>
        <w:tc>
          <w:tcPr/>
          <w:p>
            <w:pPr>
              <w:pStyle w:val="Compact"/>
              <w:jc w:val="left"/>
            </w:pPr>
            <w:r>
              <w:t xml:space="preserve">Wirkstoff</w:t>
            </w:r>
          </w:p>
        </w:tc>
        <w:tc>
          <w:tcPr/>
          <w:p>
            <w:pPr>
              <w:pStyle w:val="Compact"/>
              <w:jc w:val="left"/>
            </w:pPr>
            <w:r>
              <w:t xml:space="preserve">Fragestellung</w:t>
            </w:r>
          </w:p>
        </w:tc>
        <w:tc>
          <w:tcPr/>
          <w:p>
            <w:pPr>
              <w:pStyle w:val="Compact"/>
              <w:jc w:val="left"/>
            </w:pPr>
            <w:r>
              <w:t xml:space="preserve">Erwartetes Ende</w:t>
            </w:r>
          </w:p>
        </w:tc>
      </w:tr>
      <w:tr>
        <w:tc>
          <w:tcPr/>
          <w:p>
            <w:pPr>
              <w:pStyle w:val="Compact"/>
              <w:jc w:val="left"/>
            </w:pPr>
            <w:r>
              <w:t xml:space="preserve">TRIUMPH-5, NCT06662383</w:t>
            </w:r>
          </w:p>
        </w:tc>
        <w:tc>
          <w:tcPr/>
          <w:p>
            <w:pPr>
              <w:pStyle w:val="Compact"/>
              <w:jc w:val="left"/>
            </w:pPr>
            <w:r>
              <w:t xml:space="preserve">Retatrutid vs. Tirzepatid</w:t>
            </w:r>
          </w:p>
        </w:tc>
        <w:tc>
          <w:tcPr/>
          <w:p>
            <w:pPr>
              <w:pStyle w:val="Compact"/>
              <w:jc w:val="left"/>
            </w:pPr>
            <w:r>
              <w:t xml:space="preserve">Gewichtsverlust, 800 Erwachsene</w:t>
            </w:r>
          </w:p>
        </w:tc>
        <w:tc>
          <w:tcPr/>
          <w:p>
            <w:pPr>
              <w:pStyle w:val="Compact"/>
              <w:jc w:val="left"/>
            </w:pPr>
            <w:r>
              <w:t xml:space="preserve">Dezember 2026</w:t>
            </w:r>
          </w:p>
        </w:tc>
      </w:tr>
      <w:tr>
        <w:tc>
          <w:tcPr/>
          <w:p>
            <w:pPr>
              <w:pStyle w:val="Compact"/>
              <w:jc w:val="left"/>
            </w:pPr>
            <w:r>
              <w:t xml:space="preserve">MARITIME-1, NCT06858839</w:t>
            </w:r>
          </w:p>
        </w:tc>
        <w:tc>
          <w:tcPr/>
          <w:p>
            <w:pPr>
              <w:pStyle w:val="Compact"/>
              <w:jc w:val="left"/>
            </w:pPr>
            <w:r>
              <w:t xml:space="preserve">Maridebart Cafraglutid</w:t>
            </w:r>
          </w:p>
        </w:tc>
        <w:tc>
          <w:tcPr/>
          <w:p>
            <w:pPr>
              <w:pStyle w:val="Compact"/>
              <w:jc w:val="left"/>
            </w:pPr>
            <w:r>
              <w:t xml:space="preserve">Gewichtsverlust ohne Diabetes, 3.853 Teilnehmende</w:t>
            </w:r>
          </w:p>
        </w:tc>
        <w:tc>
          <w:tcPr/>
          <w:p>
            <w:pPr>
              <w:pStyle w:val="Compact"/>
              <w:jc w:val="left"/>
            </w:pPr>
            <w:r>
              <w:t xml:space="preserve">April 2027</w:t>
            </w:r>
          </w:p>
        </w:tc>
      </w:tr>
      <w:tr>
        <w:tc>
          <w:tcPr/>
          <w:p>
            <w:pPr>
              <w:pStyle w:val="Compact"/>
              <w:jc w:val="left"/>
            </w:pPr>
            <w:r>
              <w:t xml:space="preserve">SURMOUNT-MMO, NCT05556512</w:t>
            </w:r>
          </w:p>
        </w:tc>
        <w:tc>
          <w:tcPr/>
          <w:p>
            <w:pPr>
              <w:pStyle w:val="Compact"/>
              <w:jc w:val="left"/>
            </w:pPr>
            <w:r>
              <w:t xml:space="preserve">Tirzepatid</w:t>
            </w:r>
          </w:p>
        </w:tc>
        <w:tc>
          <w:tcPr/>
          <w:p>
            <w:pPr>
              <w:pStyle w:val="Compact"/>
              <w:jc w:val="left"/>
            </w:pPr>
            <w:r>
              <w:t xml:space="preserve">Herz-Kreislauf-Ereignisse und Tod, 15.374 Teilnehmende</w:t>
            </w:r>
          </w:p>
        </w:tc>
        <w:tc>
          <w:tcPr/>
          <w:p>
            <w:pPr>
              <w:pStyle w:val="Compact"/>
              <w:jc w:val="left"/>
            </w:pPr>
            <w:r>
              <w:t xml:space="preserve">Oktober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Herz-Kreislauf-Ereignisse, 7.101 Teilnehmende</w:t>
            </w:r>
          </w:p>
        </w:tc>
        <w:tc>
          <w:tcPr/>
          <w:p>
            <w:pPr>
              <w:pStyle w:val="Compact"/>
              <w:jc w:val="left"/>
            </w:pPr>
            <w:r>
              <w:t xml:space="preserve">Oktober 2027</w:t>
            </w:r>
          </w:p>
        </w:tc>
      </w:tr>
      <w:tr>
        <w:tc>
          <w:tcPr/>
          <w:p>
            <w:pPr>
              <w:pStyle w:val="Compact"/>
              <w:jc w:val="left"/>
            </w:pPr>
            <w:r>
              <w:t xml:space="preserve">NCT07564414</w:t>
            </w:r>
          </w:p>
        </w:tc>
        <w:tc>
          <w:tcPr/>
          <w:p>
            <w:pPr>
              <w:pStyle w:val="Compact"/>
              <w:jc w:val="left"/>
            </w:pPr>
            <w:r>
              <w:t xml:space="preserve">CagriSema (höhere Dosen) vs. Semaglutid</w:t>
            </w:r>
          </w:p>
        </w:tc>
        <w:tc>
          <w:tcPr/>
          <w:p>
            <w:pPr>
              <w:pStyle w:val="Compact"/>
              <w:jc w:val="left"/>
            </w:pPr>
            <w:r>
              <w:t xml:space="preserve">Gewichtsverlust, 2.500 Teilnehmende</w:t>
            </w:r>
          </w:p>
        </w:tc>
        <w:tc>
          <w:tcPr/>
          <w:p>
            <w:pPr>
              <w:pStyle w:val="Compact"/>
              <w:jc w:val="left"/>
            </w:pPr>
            <w:r>
              <w:t xml:space="preserve">April 2028</w:t>
            </w:r>
          </w:p>
        </w:tc>
      </w:tr>
      <w:tr>
        <w:tc>
          <w:tcPr/>
          <w:p>
            <w:pPr>
              <w:pStyle w:val="Compact"/>
              <w:jc w:val="left"/>
            </w:pPr>
            <w:r>
              <w:t xml:space="preserve">TRIUMPH-6, NCT06859268</w:t>
            </w:r>
          </w:p>
        </w:tc>
        <w:tc>
          <w:tcPr/>
          <w:p>
            <w:pPr>
              <w:pStyle w:val="Compact"/>
              <w:jc w:val="left"/>
            </w:pPr>
            <w:r>
              <w:t xml:space="preserve">Retatrutid</w:t>
            </w:r>
          </w:p>
        </w:tc>
        <w:tc>
          <w:tcPr/>
          <w:p>
            <w:pPr>
              <w:pStyle w:val="Compact"/>
              <w:jc w:val="left"/>
            </w:pPr>
            <w:r>
              <w:t xml:space="preserve">Gewichtserhalt nach Abnahme, 643 Teilnehmende</w:t>
            </w:r>
          </w:p>
        </w:tc>
        <w:tc>
          <w:tcPr/>
          <w:p>
            <w:pPr>
              <w:pStyle w:val="Compact"/>
              <w:jc w:val="left"/>
            </w:pPr>
            <w:r>
              <w:t xml:space="preserve">April 2028</w:t>
            </w:r>
          </w:p>
        </w:tc>
      </w:tr>
      <w:tr>
        <w:tc>
          <w:tcPr/>
          <w:p>
            <w:pPr>
              <w:pStyle w:val="Compact"/>
              <w:jc w:val="left"/>
            </w:pPr>
            <w:r>
              <w:t xml:space="preserve">TRIUMPH-Outcomes, NCT06383390</w:t>
            </w:r>
          </w:p>
        </w:tc>
        <w:tc>
          <w:tcPr/>
          <w:p>
            <w:pPr>
              <w:pStyle w:val="Compact"/>
              <w:jc w:val="left"/>
            </w:pPr>
            <w:r>
              <w:t xml:space="preserve">Retatrutid</w:t>
            </w:r>
          </w:p>
        </w:tc>
        <w:tc>
          <w:tcPr/>
          <w:p>
            <w:pPr>
              <w:pStyle w:val="Compact"/>
              <w:jc w:val="left"/>
            </w:pPr>
            <w:r>
              <w:t xml:space="preserve">Herz- und Nierenereignisse, 10.000 Teilnehmende</w:t>
            </w:r>
          </w:p>
        </w:tc>
        <w:tc>
          <w:tcPr/>
          <w:p>
            <w:pPr>
              <w:pStyle w:val="Compact"/>
              <w:jc w:val="left"/>
            </w:pPr>
            <w:r>
              <w:t xml:space="preserve">Februar 2029</w:t>
            </w:r>
          </w:p>
        </w:tc>
      </w:tr>
      <w:tr>
        <w:tc>
          <w:tcPr/>
          <w:p>
            <w:pPr>
              <w:pStyle w:val="Compact"/>
              <w:jc w:val="left"/>
            </w:pPr>
            <w:r>
              <w:t xml:space="preserve">ESSENCE, NCT04822181</w:t>
            </w:r>
          </w:p>
        </w:tc>
        <w:tc>
          <w:tcPr/>
          <w:p>
            <w:pPr>
              <w:pStyle w:val="Compact"/>
              <w:jc w:val="left"/>
            </w:pPr>
            <w:r>
              <w:t xml:space="preserve">Semaglutid</w:t>
            </w:r>
          </w:p>
        </w:tc>
        <w:tc>
          <w:tcPr/>
          <w:p>
            <w:pPr>
              <w:pStyle w:val="Compact"/>
              <w:jc w:val="left"/>
            </w:pPr>
            <w:r>
              <w:t xml:space="preserve">Fettleber (MASH), 1.205 Teilnehmende</w:t>
            </w:r>
          </w:p>
        </w:tc>
        <w:tc>
          <w:tcPr/>
          <w:p>
            <w:pPr>
              <w:pStyle w:val="Compact"/>
              <w:jc w:val="left"/>
            </w:pPr>
            <w:r>
              <w:t xml:space="preserve">April 2029</w:t>
            </w:r>
          </w:p>
        </w:tc>
      </w:tr>
      <w:tr>
        <w:tc>
          <w:tcPr/>
          <w:p>
            <w:pPr>
              <w:pStyle w:val="Compact"/>
              <w:jc w:val="left"/>
            </w:pPr>
            <w:r>
              <w:t xml:space="preserve">LIVERAGE-Cirrhosis, NCT06632457</w:t>
            </w:r>
          </w:p>
        </w:tc>
        <w:tc>
          <w:tcPr/>
          <w:p>
            <w:pPr>
              <w:pStyle w:val="Compact"/>
              <w:jc w:val="left"/>
            </w:pPr>
            <w:r>
              <w:t xml:space="preserve">Survodutid</w:t>
            </w:r>
          </w:p>
        </w:tc>
        <w:tc>
          <w:tcPr/>
          <w:p>
            <w:pPr>
              <w:pStyle w:val="Compact"/>
              <w:jc w:val="left"/>
            </w:pPr>
            <w:r>
              <w:t xml:space="preserve">Leberkomplikationen bei Zirrhose, 1.590 Teilnehmende</w:t>
            </w:r>
          </w:p>
        </w:tc>
        <w:tc>
          <w:tcPr/>
          <w:p>
            <w:pPr>
              <w:pStyle w:val="Compact"/>
              <w:jc w:val="left"/>
            </w:pPr>
            <w:r>
              <w:t xml:space="preserve">Juni 2029</w:t>
            </w:r>
          </w:p>
        </w:tc>
      </w:tr>
      <w:tr>
        <w:tc>
          <w:tcPr/>
          <w:p>
            <w:pPr>
              <w:pStyle w:val="Compact"/>
              <w:jc w:val="left"/>
            </w:pPr>
            <w:r>
              <w:t xml:space="preserve">AMAZE 1, NCT07339423</w:t>
            </w:r>
          </w:p>
        </w:tc>
        <w:tc>
          <w:tcPr/>
          <w:p>
            <w:pPr>
              <w:pStyle w:val="Compact"/>
              <w:jc w:val="left"/>
            </w:pPr>
            <w:r>
              <w:t xml:space="preserve">Amycretin (Zenagamtid)</w:t>
            </w:r>
          </w:p>
        </w:tc>
        <w:tc>
          <w:tcPr/>
          <w:p>
            <w:pPr>
              <w:pStyle w:val="Compact"/>
              <w:jc w:val="left"/>
            </w:pPr>
            <w:r>
              <w:t xml:space="preserve">Gewichtsverlust, 1.150 Teilnehmende</w:t>
            </w:r>
          </w:p>
        </w:tc>
        <w:tc>
          <w:tcPr/>
          <w:p>
            <w:pPr>
              <w:pStyle w:val="Compact"/>
              <w:jc w:val="left"/>
            </w:pPr>
            <w:r>
              <w:t xml:space="preserve">August 2029</w:t>
            </w:r>
          </w:p>
        </w:tc>
      </w:tr>
      <w:tr>
        <w:tc>
          <w:tcPr/>
          <w:p>
            <w:pPr>
              <w:pStyle w:val="Compact"/>
              <w:jc w:val="left"/>
            </w:pPr>
            <w:r>
              <w:t xml:space="preserve">MARITIME-CV, NCT07037433</w:t>
            </w:r>
          </w:p>
        </w:tc>
        <w:tc>
          <w:tcPr/>
          <w:p>
            <w:pPr>
              <w:pStyle w:val="Compact"/>
              <w:jc w:val="left"/>
            </w:pPr>
            <w:r>
              <w:t xml:space="preserve">Maridebart Cafraglutid</w:t>
            </w:r>
          </w:p>
        </w:tc>
        <w:tc>
          <w:tcPr/>
          <w:p>
            <w:pPr>
              <w:pStyle w:val="Compact"/>
              <w:jc w:val="left"/>
            </w:pPr>
            <w:r>
              <w:t xml:space="preserve">Herz-Kreislauf-Ereignisse, 12.800 Teilnehmende</w:t>
            </w:r>
          </w:p>
        </w:tc>
        <w:tc>
          <w:tcPr/>
          <w:p>
            <w:pPr>
              <w:pStyle w:val="Compact"/>
              <w:jc w:val="left"/>
            </w:pPr>
            <w:r>
              <w:t xml:space="preserve">September 2030</w:t>
            </w:r>
          </w:p>
        </w:tc>
      </w:tr>
      <w:tr>
        <w:tc>
          <w:tcPr/>
          <w:p>
            <w:pPr>
              <w:pStyle w:val="Compact"/>
              <w:jc w:val="left"/>
            </w:pPr>
            <w:r>
              <w:t xml:space="preserve">MARITIME-HF, NCT07037459</w:t>
            </w:r>
          </w:p>
        </w:tc>
        <w:tc>
          <w:tcPr/>
          <w:p>
            <w:pPr>
              <w:pStyle w:val="Compact"/>
              <w:jc w:val="left"/>
            </w:pPr>
            <w:r>
              <w:t xml:space="preserve">Maridebart Cafraglutid</w:t>
            </w:r>
          </w:p>
        </w:tc>
        <w:tc>
          <w:tcPr/>
          <w:p>
            <w:pPr>
              <w:pStyle w:val="Compact"/>
              <w:jc w:val="left"/>
            </w:pPr>
            <w:r>
              <w:t xml:space="preserve">Herzschwäche mit Adipositas, 5.056 Teilnehmende</w:t>
            </w:r>
          </w:p>
        </w:tc>
        <w:tc>
          <w:tcPr/>
          <w:p>
            <w:pPr>
              <w:pStyle w:val="Compact"/>
              <w:jc w:val="left"/>
            </w:pPr>
            <w:r>
              <w:t xml:space="preserve">September 2030</w:t>
            </w:r>
          </w:p>
        </w:tc>
      </w:tr>
      <w:tr>
        <w:tc>
          <w:tcPr/>
          <w:p>
            <w:pPr>
              <w:pStyle w:val="Compact"/>
              <w:jc w:val="left"/>
            </w:pPr>
            <w:r>
              <w:t xml:space="preserve">AMBIENCE, NCT07861100</w:t>
            </w:r>
          </w:p>
        </w:tc>
        <w:tc>
          <w:tcPr/>
          <w:p>
            <w:pPr>
              <w:pStyle w:val="Compact"/>
              <w:jc w:val="left"/>
            </w:pPr>
            <w:r>
              <w:t xml:space="preserve">Amycretin (Zenagamtid)</w:t>
            </w:r>
          </w:p>
        </w:tc>
        <w:tc>
          <w:tcPr/>
          <w:p>
            <w:pPr>
              <w:pStyle w:val="Compact"/>
              <w:jc w:val="left"/>
            </w:pPr>
            <w:r>
              <w:t xml:space="preserve">Herz-Kreislauf-Ereignisse, 8.500 geplant</w:t>
            </w:r>
          </w:p>
        </w:tc>
        <w:tc>
          <w:tcPr/>
          <w:p>
            <w:pPr>
              <w:pStyle w:val="Compact"/>
              <w:jc w:val="left"/>
            </w:pPr>
            <w:r>
              <w:t xml:space="preserve">September 2030</w:t>
            </w:r>
          </w:p>
        </w:tc>
      </w:tr>
      <w:tr>
        <w:tc>
          <w:tcPr/>
          <w:p>
            <w:pPr>
              <w:pStyle w:val="Compact"/>
              <w:jc w:val="left"/>
            </w:pPr>
            <w:r>
              <w:t xml:space="preserve">ATTAIN-Outcomes, NCT07241390</w:t>
            </w:r>
          </w:p>
        </w:tc>
        <w:tc>
          <w:tcPr/>
          <w:p>
            <w:pPr>
              <w:pStyle w:val="Compact"/>
              <w:jc w:val="left"/>
            </w:pPr>
            <w:r>
              <w:t xml:space="preserve">Orforglipron (kein Peptid)</w:t>
            </w:r>
          </w:p>
        </w:tc>
        <w:tc>
          <w:tcPr/>
          <w:p>
            <w:pPr>
              <w:pStyle w:val="Compact"/>
              <w:jc w:val="left"/>
            </w:pPr>
            <w:r>
              <w:t xml:space="preserve">Herz-Kreislauf-Ereignisse, 7.140 Teilnehmende</w:t>
            </w:r>
          </w:p>
        </w:tc>
        <w:tc>
          <w:tcPr/>
          <w:p>
            <w:pPr>
              <w:pStyle w:val="Compact"/>
              <w:jc w:val="left"/>
            </w:pPr>
            <w:r>
              <w:t xml:space="preserve">August 2031</w:t>
            </w:r>
          </w:p>
        </w:tc>
      </w:tr>
      <w:tr>
        <w:tc>
          <w:tcPr/>
          <w:p>
            <w:pPr>
              <w:pStyle w:val="Compact"/>
              <w:jc w:val="left"/>
            </w:pPr>
            <w:r>
              <w:t xml:space="preserve">LIVERAGE, NCT06632444</w:t>
            </w:r>
          </w:p>
        </w:tc>
        <w:tc>
          <w:tcPr/>
          <w:p>
            <w:pPr>
              <w:pStyle w:val="Compact"/>
              <w:jc w:val="left"/>
            </w:pPr>
            <w:r>
              <w:t xml:space="preserve">Survodutid</w:t>
            </w:r>
          </w:p>
        </w:tc>
        <w:tc>
          <w:tcPr/>
          <w:p>
            <w:pPr>
              <w:pStyle w:val="Compact"/>
              <w:jc w:val="left"/>
            </w:pPr>
            <w:r>
              <w:t xml:space="preserve">MASH mit Fibrose, 1.800 Teilnehmende</w:t>
            </w:r>
          </w:p>
        </w:tc>
        <w:tc>
          <w:tcPr/>
          <w:p>
            <w:pPr>
              <w:pStyle w:val="Compact"/>
              <w:jc w:val="left"/>
            </w:pPr>
            <w:r>
              <w:t xml:space="preserve">Dezember 2031</w:t>
            </w:r>
          </w:p>
        </w:tc>
      </w:tr>
      <w:tr>
        <w:tc>
          <w:tcPr/>
          <w:p>
            <w:pPr>
              <w:pStyle w:val="Compact"/>
              <w:jc w:val="left"/>
            </w:pPr>
            <w:r>
              <w:t xml:space="preserve">SYNERGY-Outcomes, NCT07165028</w:t>
            </w:r>
          </w:p>
        </w:tc>
        <w:tc>
          <w:tcPr/>
          <w:p>
            <w:pPr>
              <w:pStyle w:val="Compact"/>
              <w:jc w:val="left"/>
            </w:pPr>
            <w:r>
              <w:t xml:space="preserve">Tirzepatid und Retatrutid</w:t>
            </w:r>
          </w:p>
        </w:tc>
        <w:tc>
          <w:tcPr/>
          <w:p>
            <w:pPr>
              <w:pStyle w:val="Compact"/>
              <w:jc w:val="left"/>
            </w:pPr>
            <w:r>
              <w:t xml:space="preserve">schwere Leberereignisse, 4.500 Teilnehmende</w:t>
            </w:r>
          </w:p>
        </w:tc>
        <w:tc>
          <w:tcPr/>
          <w:p>
            <w:pPr>
              <w:pStyle w:val="Compact"/>
              <w:jc w:val="left"/>
            </w:pPr>
            <w:r>
              <w:t xml:space="preserve">August 2032</w:t>
            </w:r>
          </w:p>
        </w:tc>
      </w:tr>
    </w:tbl>
    <w:p>
      <w:pPr>
        <w:pStyle w:val="BodyText"/>
      </w:pPr>
      <w:r>
        <w:rPr>
          <w:bCs/>
          <w:b/>
        </w:rPr>
        <w:t xml:space="preserve">Andere Gruppen: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 NCT</w:t>
            </w:r>
          </w:p>
        </w:tc>
        <w:tc>
          <w:tcPr/>
          <w:p>
            <w:pPr>
              <w:pStyle w:val="Compact"/>
              <w:jc w:val="left"/>
            </w:pPr>
            <w:r>
              <w:t xml:space="preserve">Wirkstoff</w:t>
            </w:r>
          </w:p>
        </w:tc>
        <w:tc>
          <w:tcPr/>
          <w:p>
            <w:pPr>
              <w:pStyle w:val="Compact"/>
              <w:jc w:val="left"/>
            </w:pPr>
            <w:r>
              <w:t xml:space="preserve">Fragestellung</w:t>
            </w:r>
          </w:p>
        </w:tc>
        <w:tc>
          <w:tcPr/>
          <w:p>
            <w:pPr>
              <w:pStyle w:val="Compact"/>
              <w:jc w:val="left"/>
            </w:pPr>
            <w:r>
              <w:t xml:space="preserve">Erwartetes Ende</w:t>
            </w:r>
          </w:p>
        </w:tc>
      </w:tr>
      <w:tr>
        <w:tc>
          <w:tcPr/>
          <w:p>
            <w:pPr>
              <w:pStyle w:val="Compact"/>
              <w:jc w:val="left"/>
            </w:pPr>
            <w:r>
              <w:t xml:space="preserve">SEER-2, NCT05555589</w:t>
            </w:r>
          </w:p>
        </w:tc>
        <w:tc>
          <w:tcPr/>
          <w:p>
            <w:pPr>
              <w:pStyle w:val="Compact"/>
              <w:jc w:val="left"/>
            </w:pPr>
            <w:r>
              <w:t xml:space="preserve">Thymosin Beta-4 (Augentropfen)</w:t>
            </w:r>
          </w:p>
        </w:tc>
        <w:tc>
          <w:tcPr/>
          <w:p>
            <w:pPr>
              <w:pStyle w:val="Compact"/>
              <w:jc w:val="left"/>
            </w:pPr>
            <w:r>
              <w:t xml:space="preserve">Heilung der Hornhaut, 70 Teilnehmende</w:t>
            </w:r>
          </w:p>
        </w:tc>
        <w:tc>
          <w:tcPr/>
          <w:p>
            <w:pPr>
              <w:pStyle w:val="Compact"/>
              <w:jc w:val="left"/>
            </w:pPr>
            <w:r>
              <w:t xml:space="preserve">Mai 2026 (Ergebnis ausstehend)</w:t>
            </w:r>
          </w:p>
        </w:tc>
      </w:tr>
      <w:tr>
        <w:tc>
          <w:tcPr/>
          <w:p>
            <w:pPr>
              <w:pStyle w:val="Compact"/>
              <w:jc w:val="left"/>
            </w:pPr>
            <w:r>
              <w:t xml:space="preserve">NCT06109649</w:t>
            </w:r>
          </w:p>
        </w:tc>
        <w:tc>
          <w:tcPr/>
          <w:p>
            <w:pPr>
              <w:pStyle w:val="Compact"/>
              <w:jc w:val="left"/>
            </w:pPr>
            <w:r>
              <w:t xml:space="preserve">Afamelanotid</w:t>
            </w:r>
          </w:p>
        </w:tc>
        <w:tc>
          <w:tcPr/>
          <w:p>
            <w:pPr>
              <w:pStyle w:val="Compact"/>
              <w:jc w:val="left"/>
            </w:pPr>
            <w:r>
              <w:t xml:space="preserve">Vitiligo mit Lichttherapie, 200 Teilnehmende</w:t>
            </w:r>
          </w:p>
        </w:tc>
        <w:tc>
          <w:tcPr/>
          <w:p>
            <w:pPr>
              <w:pStyle w:val="Compact"/>
              <w:jc w:val="left"/>
            </w:pPr>
            <w:r>
              <w:t xml:space="preserve">Juni 2026 (Ergebnis ausstehend)</w:t>
            </w:r>
          </w:p>
        </w:tc>
      </w:tr>
      <w:tr>
        <w:tc>
          <w:tcPr/>
          <w:p>
            <w:pPr>
              <w:pStyle w:val="Compact"/>
              <w:jc w:val="left"/>
            </w:pPr>
            <w:r>
              <w:t xml:space="preserve">NCT05086614</w:t>
            </w:r>
          </w:p>
        </w:tc>
        <w:tc>
          <w:tcPr/>
          <w:p>
            <w:pPr>
              <w:pStyle w:val="Compact"/>
              <w:jc w:val="left"/>
            </w:pPr>
            <w:r>
              <w:t xml:space="preserve">Thymosin Alpha-1</w:t>
            </w:r>
          </w:p>
        </w:tc>
        <w:tc>
          <w:tcPr/>
          <w:p>
            <w:pPr>
              <w:pStyle w:val="Compact"/>
              <w:jc w:val="left"/>
            </w:pPr>
            <w:r>
              <w:t xml:space="preserve">krankheitsfreies Überleben nach Darmkrebs, 2.500 Teilnehmende</w:t>
            </w:r>
          </w:p>
        </w:tc>
        <w:tc>
          <w:tcPr/>
          <w:p>
            <w:pPr>
              <w:pStyle w:val="Compact"/>
              <w:jc w:val="left"/>
            </w:pPr>
            <w:r>
              <w:t xml:space="preserve">März 2027</w:t>
            </w:r>
          </w:p>
        </w:tc>
      </w:tr>
      <w:tr>
        <w:tc>
          <w:tcPr/>
          <w:p>
            <w:pPr>
              <w:pStyle w:val="Compact"/>
              <w:jc w:val="left"/>
            </w:pPr>
            <w:r>
              <w:t xml:space="preserve">ReNEW, NCT06373731</w:t>
            </w:r>
          </w:p>
        </w:tc>
        <w:tc>
          <w:tcPr/>
          <w:p>
            <w:pPr>
              <w:pStyle w:val="Compact"/>
              <w:jc w:val="left"/>
            </w:pPr>
            <w:r>
              <w:t xml:space="preserve">Elamipretid (SS-31)</w:t>
            </w:r>
          </w:p>
        </w:tc>
        <w:tc>
          <w:tcPr/>
          <w:p>
            <w:pPr>
              <w:pStyle w:val="Compact"/>
              <w:jc w:val="left"/>
            </w:pPr>
            <w:r>
              <w:t xml:space="preserve">trockene Makuladegeneration, 313 Teilnehmende</w:t>
            </w:r>
          </w:p>
        </w:tc>
        <w:tc>
          <w:tcPr/>
          <w:p>
            <w:pPr>
              <w:pStyle w:val="Compact"/>
              <w:jc w:val="left"/>
            </w:pPr>
            <w:r>
              <w:t xml:space="preserve">September 2027</w:t>
            </w:r>
          </w:p>
        </w:tc>
      </w:tr>
      <w:tr>
        <w:tc>
          <w:tcPr/>
          <w:p>
            <w:pPr>
              <w:pStyle w:val="Compact"/>
              <w:jc w:val="left"/>
            </w:pPr>
            <w:r>
              <w:t xml:space="preserve">NCT06948214</w:t>
            </w:r>
          </w:p>
        </w:tc>
        <w:tc>
          <w:tcPr/>
          <w:p>
            <w:pPr>
              <w:pStyle w:val="Compact"/>
              <w:jc w:val="left"/>
            </w:pPr>
            <w:r>
              <w:t xml:space="preserve">Ibutamoren (LUM-201, kein Peptid)</w:t>
            </w:r>
          </w:p>
        </w:tc>
        <w:tc>
          <w:tcPr/>
          <w:p>
            <w:pPr>
              <w:pStyle w:val="Compact"/>
              <w:jc w:val="left"/>
            </w:pPr>
            <w:r>
              <w:t xml:space="preserve">Wachstum bei Kindern mit Hormonmangel, 150 Teilnehmende</w:t>
            </w:r>
          </w:p>
        </w:tc>
        <w:tc>
          <w:tcPr/>
          <w:p>
            <w:pPr>
              <w:pStyle w:val="Compact"/>
              <w:jc w:val="left"/>
            </w:pPr>
            <w:r>
              <w:t xml:space="preserve">Januar 2028</w:t>
            </w:r>
          </w:p>
        </w:tc>
      </w:tr>
    </w:tbl>
    <w:p>
      <w:pPr>
        <w:pStyle w:val="BodyText"/>
      </w:pPr>
      <w:r>
        <w:t xml:space="preserve">Einzelheiten zu jeder Studie stehen im Abschnitt „Laufende Studien und Ausblick“ des jeweiligen Kapitels.</w:t>
      </w:r>
    </w:p>
    <w:bookmarkEnd w:id="1029"/>
    <w:bookmarkStart w:id="1030" w:name="X064868db1e20e177713d1840b8178cd9be924de"/>
    <w:p>
      <w:pPr>
        <w:pStyle w:val="Heading3"/>
      </w:pPr>
      <w:r>
        <w:t xml:space="preserve">Was das Register über die Richtung verrät</w:t>
      </w:r>
    </w:p>
    <w:p>
      <w:pPr>
        <w:pStyle w:val="FirstParagraph"/>
      </w:pPr>
      <w:r>
        <w:rPr>
          <w:bCs/>
          <w:b/>
        </w:rPr>
        <w:t xml:space="preserve">Von der Waage zu harten Endpunkten.</w:t>
      </w:r>
      <w:r>
        <w:t xml:space="preserve"> </w:t>
      </w:r>
      <w:r>
        <w:t xml:space="preserve">Die erste Generation der Abnehmstudien maß vor allem Kilogramm. Die großen Studien der nächsten Jahre fragen, ob Herzinfarkte, Schlaganfälle, Herzschwäche, Nierenversagen oder Leberzirrhose seltener werden. Alle sechs laufenden Phase-3-Studien der Gruppe A mit jeweils mehr als 5.000 Teilnehmenden sind solche Endpunktstudien. Für Krankenkassen, die über die Erstattung entscheiden, sind diese Ergebnisse wichtiger als jeder Rekord beim Gewichtsverlust.</w:t>
      </w:r>
    </w:p>
    <w:p>
      <w:pPr>
        <w:pStyle w:val="BodyText"/>
      </w:pPr>
      <w:r>
        <w:rPr>
          <w:bCs/>
          <w:b/>
        </w:rPr>
        <w:t xml:space="preserve">Direkte Vergleiche.</w:t>
      </w:r>
      <w:r>
        <w:t xml:space="preserve"> </w:t>
      </w:r>
      <w:r>
        <w:t xml:space="preserve">Neue Wirkstoffe müssen sich zunehmend gegen die etablierten messen lassen, nicht nur gegen Placebo: Retatrutid gegen Tirzepatid (NCT06662383), Zenagamtid gegen Semaglutid (AMAZE 7, NCT07668414), Maridebart Cafraglutid gegen Semaglutid bei Typ-2-Diabetes (MARITIME-T2D-3, NCT07866066). Auch neue Anbieter treten direkt an: Roche prüft den GLP-1/GIP-Doppelagonisten Enicepatide gegen Tirzepatid (NCT07889648), das Unternehmen Kailera den Wirkstoff Ribupatide gegen Semaglutid (KaiNETIC-3, NCT07284979), AstraZeneca den täglich einzunehmenden Wirkstoff Elecoglipron gegen die Semaglutid-Tablette (Eluminate-2, NCT07662213).</w:t>
      </w:r>
    </w:p>
    <w:p>
      <w:pPr>
        <w:pStyle w:val="BodyText"/>
      </w:pPr>
      <w:r>
        <w:rPr>
          <w:bCs/>
          <w:b/>
        </w:rPr>
        <w:t xml:space="preserve">Gewicht halten statt nur verlieren.</w:t>
      </w:r>
      <w:r>
        <w:t xml:space="preserve"> </w:t>
      </w:r>
      <w:r>
        <w:t xml:space="preserve">Mehrere Studien prüfen ausdrücklich die Zeit nach der Abnahme: Retatrutid zum Gewichtserhalt (TRIUMPH-6, NCT06859268), eine CagriSema-Langzeitstudie über zwei Jahre plus Verlängerung (NCT06780449), der Umstieg von anderen GLP-1-Medikamenten auf das monatlich gegebene Maridebart Cafraglutid (NCT07575399) oder auf Berobenatide, einen monatlich zu spritzenden Prüfwirkstoff von Pfizer (NCT07845500). Hintergrund sind Studien wie SURMOUNT-4: Wer Tirzepatid nach 36 Wochen absetzte, nahm im folgenden Jahr im Mittel wieder 14,0 % zu, während das Gewicht unter fortgesetzter Behandlung um weitere 5,5 % sank (Aronne 2024, PMID 38078870).</w:t>
      </w:r>
    </w:p>
    <w:p>
      <w:pPr>
        <w:pStyle w:val="BodyText"/>
      </w:pPr>
      <w:r>
        <w:rPr>
          <w:bCs/>
          <w:b/>
        </w:rPr>
        <w:t xml:space="preserve">Neue Länder, neue Moleküle.</w:t>
      </w:r>
      <w:r>
        <w:t xml:space="preserve"> </w:t>
      </w:r>
      <w:r>
        <w:t xml:space="preserve">Ein großer Teil der neuen Phase-3-Studien stammt von chinesischen Unternehmen, die eigene GLP-1-basierte Wirkstoffe gegen Semaglutid oder Dulaglutid prüfen – etwa das alle zwei Wochen gespritzte Bofanglutide (BALANCE-OBS, NCT07622810) oder das Exendin-4-Fusionsprotein JY09 (NCT06257966). Der Markt wird also breiter, nicht nur stärker.</w:t>
      </w:r>
    </w:p>
    <w:p>
      <w:pPr>
        <w:pStyle w:val="BodyText"/>
      </w:pPr>
      <w:r>
        <w:rPr>
          <w:bCs/>
          <w:b/>
        </w:rPr>
        <w:t xml:space="preserve">Kinder und Jugendliche.</w:t>
      </w:r>
      <w:r>
        <w:t xml:space="preserve"> </w:t>
      </w:r>
      <w:r>
        <w:t xml:space="preserve">Für fast alle großen Wirkstoffe laufen Studien bei Jugendlichen, teils auch bei Kindern, etwa für Tirzepatid (NCT06439277, NCT07817875), Orforglipron (NCT06672939) und CagriSema (NCT07253285, geplantes Ende 2033).</w:t>
      </w:r>
    </w:p>
    <w:p>
      <w:pPr>
        <w:pStyle w:val="BodyText"/>
      </w:pPr>
      <w:r>
        <w:rPr>
          <w:bCs/>
          <w:b/>
        </w:rPr>
        <w:t xml:space="preserve">Und außerhalb des Stoffwechsels?</w:t>
      </w:r>
      <w:r>
        <w:t xml:space="preserve"> </w:t>
      </w:r>
      <w:r>
        <w:t xml:space="preserve">Hier ist die Pipeline dünn. Wo ein Peptid nicht patentierbar ist, schon als Nahrungsergänzung verkauft wird oder nur im Graumarkt existiert, finanziert kaum jemand teure Zulassungsstudien. Das erklärt, warum ausgerechnet die im Internet meistdiskutierten Peptide in den Registern praktisch fehlen.</w:t>
      </w:r>
    </w:p>
    <w:bookmarkEnd w:id="1030"/>
    <w:bookmarkStart w:id="1036" w:name="neue-wirkprinzipien"/>
    <w:p>
      <w:pPr>
        <w:pStyle w:val="Heading3"/>
      </w:pPr>
      <w:r>
        <w:t xml:space="preserve">Neue Wirkprinzipien</w:t>
      </w:r>
    </w:p>
    <w:bookmarkStart w:id="1031" w:name="dreifach-agonisten"/>
    <w:p>
      <w:pPr>
        <w:pStyle w:val="Heading4"/>
      </w:pPr>
      <w:r>
        <w:t xml:space="preserve">Dreifach-Agonisten</w:t>
      </w:r>
    </w:p>
    <w:p>
      <w:pPr>
        <w:pStyle w:val="FirstParagraph"/>
      </w:pPr>
      <w:r>
        <w:t xml:space="preserve">Retatrutid aktiviert drei Rezeptoren zugleich: GLP-1, GIP und Glukagon. Der Glukagon-Anteil soll den Energieverbrauch und den Fettabbau in der Leber steigern. In der Phase-2-Studie mit 338 Erwachsenen sank das Gewicht nach 48 Wochen in der höchsten untersuchten Dosis um 24,2 %, unter Placebo um 2,1 % (Jastreboff 2023, PMID 37366315). Die erste Phase-3-Studie TRIUMPH-1 mit 2.339 Erwachsenen bestätigte das: Nach 80 Wochen betrug der Gewichtsverlust je nach Dosis 17,6 bis 25,0 %, unter Placebo 3,9 %. Bei Teilnehmenden mit Kniearthrose verringerten sich die Schmerzen, bei Schlafapnoe die Zahl der Atemaussetzer (Jastreboff 2026, PMID 42814954). Ob dieser zusätzliche Gewichtsverlust auch zu weniger Herz- und Nierenereignissen führt, soll TRIUMPH-Outcomes bis 2029 zeigen (NCT06383390). Einzelheiten und Nebenwirkungen beschreibt das Kapitel Retatrutid.</w:t>
      </w:r>
    </w:p>
    <w:bookmarkEnd w:id="1031"/>
    <w:bookmarkStart w:id="1032" w:name="amylin-der-vierte-hormonweg"/>
    <w:p>
      <w:pPr>
        <w:pStyle w:val="Heading4"/>
      </w:pPr>
      <w:r>
        <w:t xml:space="preserve">Amylin: der vierte Hormonweg</w:t>
      </w:r>
    </w:p>
    <w:p>
      <w:pPr>
        <w:pStyle w:val="FirstParagraph"/>
      </w:pPr>
      <w:r>
        <w:t xml:space="preserve">Amylin wird zusammen mit Insulin ausgeschüttet und wirkt im Hirnstamm sättigend. Drei Entwicklungslinien sind zu unterscheiden:</w:t>
      </w:r>
    </w:p>
    <w:p>
      <w:pPr>
        <w:numPr>
          <w:ilvl w:val="0"/>
          <w:numId w:val="1356"/>
        </w:numPr>
        <w:pStyle w:val="Compact"/>
      </w:pPr>
      <w:r>
        <w:rPr>
          <w:bCs/>
          <w:b/>
        </w:rPr>
        <w:t xml:space="preserve">Kombination in einer Spritze:</w:t>
      </w:r>
      <w:r>
        <w:t xml:space="preserve"> </w:t>
      </w:r>
      <w:r>
        <w:t xml:space="preserve">CagriSema verbindet das Amylin-Analogon Cagrilintid mit Semaglutid. In REDEFINE 1 mit 3.417 Erwachsenen sank das Gewicht nach 68 Wochen um 20,4 %, unter Placebo um 3,0 %; Magen-Darm-Beschwerden traten bei 79,6 % gegenüber 39,9 % auf (Garvey 2025, PMID 40544433).</w:t>
      </w:r>
    </w:p>
    <w:p>
      <w:pPr>
        <w:numPr>
          <w:ilvl w:val="0"/>
          <w:numId w:val="1356"/>
        </w:numPr>
        <w:pStyle w:val="Compact"/>
      </w:pPr>
      <w:r>
        <w:rPr>
          <w:bCs/>
          <w:b/>
        </w:rPr>
        <w:t xml:space="preserve">Ein Molekül für zwei Rezeptoren:</w:t>
      </w:r>
      <w:r>
        <w:t xml:space="preserve"> </w:t>
      </w:r>
      <w:r>
        <w:t xml:space="preserve">Amycretin, seit 2026 Zenagamtid, aktiviert GLP-1- und Amylin-Rezeptoren gleichzeitig. In einer kleinen Phase-1b/2a-Studie mit 125 Teilnehmenden sank das Gewicht in der höchsten Dosisstufe nach 36 Wochen um 24,3 % (Dahl 2025, PMID 40550231). Das Phase-3-Programm AMAZE läuft seit 2026.</w:t>
      </w:r>
    </w:p>
    <w:p>
      <w:pPr>
        <w:numPr>
          <w:ilvl w:val="0"/>
          <w:numId w:val="1356"/>
        </w:numPr>
        <w:pStyle w:val="Compact"/>
      </w:pPr>
      <w:r>
        <w:rPr>
          <w:bCs/>
          <w:b/>
        </w:rPr>
        <w:t xml:space="preserve">Amylin allein:</w:t>
      </w:r>
      <w:r>
        <w:t xml:space="preserve"> </w:t>
      </w:r>
      <w:r>
        <w:t xml:space="preserve">Hier ist die Hoffnung eine bessere Verträglichkeit. Eloralintide, ein selektiver Amylin-Rezeptor-Agonist von Lilly, führte in einer Phase-2-Studie mit 263 Erwachsenen nach 48 Wochen zu 9 bis 20 % Gewichtsverlust gegenüber 0,4 % unter Placebo; Übelkeit und Müdigkeit waren je nach Dosis deutlich häufiger als unter Placebo (Billings 2025, PMID 41207310). Petrelintide von Zealand Pharma senkte das Gewicht in der Phase-2-Studie ZUPREME 1 mit 493 Teilnehmenden nach 28 Wochen um 7,9 bis 9,8 % (Placebo 1,7 %). Übelkeit trat bei 20 % gegenüber 6 % auf, Erbrechen aber nicht häufiger als unter Placebo (Garvey 2026, PMID 42810355).</w:t>
      </w:r>
    </w:p>
    <w:p>
      <w:pPr>
        <w:pStyle w:val="FirstParagraph"/>
      </w:pPr>
      <w:r>
        <w:t xml:space="preserve">Beide reinen Amylin-Wirkstoffe sind inzwischen in Phase 3: Eloralintide in ENLIGHTEN-1 mit 1.980 geplanten Teilnehmenden (NCT07321886, Ende Juli 2030), Petrelintide in ZUPREME-3 mit 3.900 geplanten Teilnehmenden unter der Leitung von Roche (NCT07843498, Ende März 2029). Lilly prüft außerdem eine Kombination aus Eloralintide und Tirzepatid (AMPLIFY-1, NCT07881432, 2.115 geplante Teilnehmende).</w:t>
      </w:r>
    </w:p>
    <w:bookmarkEnd w:id="1032"/>
    <w:bookmarkStart w:id="1033" w:name="antikörper-peptid-konjugate"/>
    <w:p>
      <w:pPr>
        <w:pStyle w:val="Heading4"/>
      </w:pPr>
      <w:r>
        <w:t xml:space="preserve">Antikörper-Peptid-Konjugate</w:t>
      </w:r>
    </w:p>
    <w:p>
      <w:pPr>
        <w:pStyle w:val="FirstParagraph"/>
      </w:pPr>
      <w:r>
        <w:t xml:space="preserve">Peptide werden im Körper schnell abgebaut und über die Nieren ausgeschieden. Eine Lösung ist, sie an einen Antikörper zu koppeln, der wochenlang im Blut bleibt. Eine Übersichtsarbeit beschreibt solche Antikörper-Peptid-Konjugate als eigene, neue Wirkstoffklasse: Anders als bei Fusionsproteinen wird das Peptid chemisch hergestellt und erst danach an den Antikörper gebunden, sodass es auch ungewöhnliche Bausteine enthalten kann (Yie 2026, PMID 42592044).</w:t>
      </w:r>
    </w:p>
    <w:p>
      <w:pPr>
        <w:pStyle w:val="BodyText"/>
      </w:pPr>
      <w:r>
        <w:t xml:space="preserve">Das bekannteste Beispiel ist Maridebart Cafraglutid (MariTide). Es verbindet einen Antikörper, der den GIP-Rezeptor blockiert, mit GLP-1-artigen Peptiden, die den GLP-1-Rezeptor aktivieren. In der Phase-2-Studie mit 592 Teilnehmenden wurde es alle vier oder acht Wochen gespritzt. Nach 52 Wochen betrug der Gewichtsverlust ohne Diabetes 12,3 bis 16,2 % (Placebo 2,5 %), mit Typ-2-Diabetes 8,4 bis 12,3 % (Placebo 1,7 %). Magen-Darm-Beschwerden waren häufig, aber seltener, wenn die Dosis langsam gesteigert wurde (Jastreboff 2025, PMID 40549887). Das Konzept heißt: weniger Spritzen statt maximaler Wirkung.</w:t>
      </w:r>
    </w:p>
    <w:bookmarkEnd w:id="1033"/>
    <w:bookmarkStart w:id="1034" w:name="muskeln-schonen-beim-abnehmen"/>
    <w:p>
      <w:pPr>
        <w:pStyle w:val="Heading4"/>
      </w:pPr>
      <w:r>
        <w:t xml:space="preserve">Muskeln schonen beim Abnehmen</w:t>
      </w:r>
    </w:p>
    <w:p>
      <w:pPr>
        <w:pStyle w:val="FirstParagraph"/>
      </w:pPr>
      <w:r>
        <w:t xml:space="preserve">Bei jeder starken Gewichtsabnahme geht auch Muskel- und Knochenmasse verloren. Ein Ansatz ist der Antikörper</w:t>
      </w:r>
      <w:r>
        <w:t xml:space="preserve"> </w:t>
      </w:r>
      <w:r>
        <w:rPr>
          <w:bCs/>
          <w:b/>
        </w:rPr>
        <w:t xml:space="preserve">Bimagrumab</w:t>
      </w:r>
      <w:r>
        <w:t xml:space="preserve">, der Aktivin-Typ-II-Rezeptoren blockiert – Schalter, die das Muskelwachstum bremsen. Bimagrumab ist kein Peptid, wird aber gezielt mit Peptid-Medikamenten kombiniert.</w:t>
      </w:r>
    </w:p>
    <w:p>
      <w:pPr>
        <w:numPr>
          <w:ilvl w:val="0"/>
          <w:numId w:val="1357"/>
        </w:numPr>
        <w:pStyle w:val="Compact"/>
      </w:pPr>
      <w:r>
        <w:t xml:space="preserve">In einer Phase-2-Studie mit 75 Erwachsenen mit Typ-2-Diabetes und Übergewicht sank unter Bimagrumab allein nach 48 Wochen die Fettmasse um 20,5 %, während die fettfreie Masse um 3,6 % zunahm (Placebo −0,5 % und −0,8 %) (Heymsfield 2021, PMID 33439265).</w:t>
      </w:r>
    </w:p>
    <w:p>
      <w:pPr>
        <w:numPr>
          <w:ilvl w:val="0"/>
          <w:numId w:val="1357"/>
        </w:numPr>
        <w:pStyle w:val="Compact"/>
      </w:pPr>
      <w:r>
        <w:t xml:space="preserve">In einer Phase-2-Studie mit 507 Erwachsenen mit Adipositas betrug der Gewichtsverlust nach 48 Wochen unter Bimagrumab allein 9,3 kg, unter Semaglutid allein 14,2 kg und unter der Kombination 17,8 kg (Placebo 3,3 kg). Häufige Nebenwirkungen von Bimagrumab waren Muskelkrämpfe, Durchfall und Akne (Heymsfield 2026, PMID 41772149).</w:t>
      </w:r>
    </w:p>
    <w:p>
      <w:pPr>
        <w:pStyle w:val="FirstParagraph"/>
      </w:pPr>
      <w:r>
        <w:t xml:space="preserve">Lilly prüft Bimagrumab nun mit Tirzepatid (NCT06643728, 252 Teilnehmende, Ende Januar 2027). Eine kleinere Studie am Massachusetts General Hospital untersucht dieselbe Kombination mit Blick auf Körperzusammensetzung und Knochen (NCT05933499). Ob mehr Muskelmasse im Scan auch mehr Kraft, weniger Stürze oder weniger Knochenbrüche bedeutet, ist bisher nicht belegt. Phase-3-Studien sind im Register nicht verzeichnet.</w:t>
      </w:r>
    </w:p>
    <w:bookmarkEnd w:id="1034"/>
    <w:bookmarkStart w:id="1035" w:name="tabletten"/>
    <w:p>
      <w:pPr>
        <w:pStyle w:val="Heading4"/>
      </w:pPr>
      <w:r>
        <w:t xml:space="preserve">Tabletten</w:t>
      </w:r>
    </w:p>
    <w:p>
      <w:pPr>
        <w:pStyle w:val="FirstParagraph"/>
      </w:pPr>
      <w:r>
        <w:t xml:space="preserve">Der vielleicht folgenreichste Wandel betrifft nicht den Rezeptor, sondern den Weg in den Körper: Tabletten mit Peptiden und kleine Moleküle, die wie Peptide wirken. Diesem Thema ist das nächste Kapitel gewidmet.</w:t>
      </w:r>
    </w:p>
    <w:bookmarkEnd w:id="1035"/>
    <w:bookmarkEnd w:id="1036"/>
    <w:bookmarkStart w:id="1037" w:name="das-wichtigste-in-kürze-8"/>
    <w:p>
      <w:pPr>
        <w:pStyle w:val="Heading3"/>
      </w:pPr>
      <w:r>
        <w:t xml:space="preserve">Das Wichtigste in Kürze</w:t>
      </w:r>
    </w:p>
    <w:p>
      <w:pPr>
        <w:numPr>
          <w:ilvl w:val="0"/>
          <w:numId w:val="1358"/>
        </w:numPr>
        <w:pStyle w:val="Compact"/>
      </w:pPr>
      <w:r>
        <w:t xml:space="preserve">Nach Ausschluss fiktiver und fachfremder Einträge laufen 730 interventionelle Studien zu den Wirkstoffen dieses Buches, darunter 157 in Phase 3.</w:t>
      </w:r>
    </w:p>
    <w:p>
      <w:pPr>
        <w:numPr>
          <w:ilvl w:val="0"/>
          <w:numId w:val="1358"/>
        </w:numPr>
        <w:pStyle w:val="Compact"/>
      </w:pPr>
      <w:r>
        <w:t xml:space="preserve">Fast neun von zehn späten Studien betreffen Stoffwechsel und Gewicht. Für die populären Graumarkt-Peptide läuft keine einzige Phase-3-Studie.</w:t>
      </w:r>
    </w:p>
    <w:p>
      <w:pPr>
        <w:numPr>
          <w:ilvl w:val="0"/>
          <w:numId w:val="1358"/>
        </w:numPr>
        <w:pStyle w:val="Compact"/>
      </w:pPr>
      <w:r>
        <w:t xml:space="preserve">Die großen Herz-Kreislauf-, Nieren- und Leberstudien enden zwischen 2027 und 2032. Erst sie werden zeigen, ob die neuen Wirkstoffe mehr leisten als Gewicht zu senken.</w:t>
      </w:r>
    </w:p>
    <w:p>
      <w:pPr>
        <w:numPr>
          <w:ilvl w:val="0"/>
          <w:numId w:val="1358"/>
        </w:numPr>
        <w:pStyle w:val="Compact"/>
      </w:pPr>
      <w:r>
        <w:t xml:space="preserve">Neue Wirkprinzipien – Dreifach-Agonisten, Amylin, Antikörper-Peptid-Konjugate, Muskelschutz – sind in Phase-2-Studien belegt, die meisten befinden sich in Phase 3. Eine Zulassung ist für keinen dieser neuen Wirkstoffe gesichert.</w:t>
      </w:r>
    </w:p>
    <w:bookmarkEnd w:id="1037"/>
    <w:bookmarkEnd w:id="1038"/>
    <w:bookmarkStart w:id="1052" w:name="tabletten-statt-spritzen"/>
    <w:p>
      <w:pPr>
        <w:pStyle w:val="Heading2"/>
      </w:pPr>
      <w:r>
        <w:t xml:space="preserve">Tabletten statt Spritzen</w:t>
      </w:r>
    </w:p>
    <w:p>
      <w:pPr>
        <w:pStyle w:val="FirstParagraph"/>
      </w:pPr>
      <w:r>
        <w:t xml:space="preserve">Fast alle Peptid-Medikamente dieses Buches werden gespritzt. Das hat einen einfachen Grund: Der Magen-Darm-Trakt ist darauf ausgelegt, Eiweiße und Peptide in ihre Bausteine zu zerlegen. Was als Nahrung sinnvoll ist, macht ein Peptid als Arzneimittel unbrauchbar, bevor es das Blut erreicht. Teil I hat diese Hindernisse ausführlich beschrieben (Kapitel „Wie Peptide in den Körper kommen“).</w:t>
      </w:r>
    </w:p>
    <w:p>
      <w:pPr>
        <w:pStyle w:val="BodyText"/>
      </w:pPr>
      <w:r>
        <w:t xml:space="preserve">Dass trotzdem intensiv an Tabletten geforscht wird, hat mehrere Gründe. Viele Menschen spritzen sich ungern etwas. Spritzen müssen meist gekühlt werden, Pens sind aufwendig herzustellen. Und weil Medikamente gegen Adipositas nach heutigem Wissen dauerhaft genommen werden müssen, um zu wirken, zählt jede Erleichterung für die Langzeitbehandlung. Eine Übersichtsarbeit beschreibt, dass in klinischen Studien schon orale Formen von Insulin, Calcitonin, Parathormon und Vasopressin erprobt wurden und erst Semaglutid den Durchbruch für einen breit eingesetzten Wirkstoff brachte (Drucker 2020, PMID 31848464).</w:t>
      </w:r>
    </w:p>
    <w:p>
      <w:pPr>
        <w:pStyle w:val="BodyText"/>
      </w:pPr>
      <w:r>
        <w:t xml:space="preserve">Heute gibt es zwei grundsätzlich verschiedene Wege zur Tablette: Man schützt ein</w:t>
      </w:r>
      <w:r>
        <w:t xml:space="preserve"> </w:t>
      </w:r>
      <w:r>
        <w:rPr>
          <w:bCs/>
          <w:b/>
        </w:rPr>
        <w:t xml:space="preserve">Peptid</w:t>
      </w:r>
      <w:r>
        <w:t xml:space="preserve"> </w:t>
      </w:r>
      <w:r>
        <w:t xml:space="preserve">so, dass zumindest ein kleiner Teil aufgenommen wird – oder man ersetzt das Peptid durch ein</w:t>
      </w:r>
      <w:r>
        <w:t xml:space="preserve"> </w:t>
      </w:r>
      <w:r>
        <w:rPr>
          <w:bCs/>
          <w:b/>
        </w:rPr>
        <w:t xml:space="preserve">kleines Molekül</w:t>
      </w:r>
      <w:r>
        <w:t xml:space="preserve">, das wie ein gewöhnliches Medikament aus dem Darm ins Blut gelangt und trotzdem am selben Rezeptor wirkt.</w:t>
      </w:r>
    </w:p>
    <w:bookmarkStart w:id="1044" w:name="weg-1-peptid-plus-absorptionsverstärker"/>
    <w:p>
      <w:pPr>
        <w:pStyle w:val="Heading3"/>
      </w:pPr>
      <w:r>
        <w:t xml:space="preserve">Weg 1: Peptid plus Absorptionsverstärker</w:t>
      </w:r>
    </w:p>
    <w:bookmarkStart w:id="1039" w:name="das-prinzip"/>
    <w:p>
      <w:pPr>
        <w:pStyle w:val="Heading4"/>
      </w:pPr>
      <w:r>
        <w:t xml:space="preserve">Das Prinzip</w:t>
      </w:r>
    </w:p>
    <w:p>
      <w:pPr>
        <w:pStyle w:val="FirstParagraph"/>
      </w:pPr>
      <w:r>
        <w:t xml:space="preserve">Ein</w:t>
      </w:r>
      <w:r>
        <w:t xml:space="preserve"> </w:t>
      </w:r>
      <w:r>
        <w:rPr>
          <w:bCs/>
          <w:b/>
        </w:rPr>
        <w:t xml:space="preserve">Absorptionsverstärker</w:t>
      </w:r>
      <w:r>
        <w:t xml:space="preserve"> </w:t>
      </w:r>
      <w:r>
        <w:t xml:space="preserve">(Fachbegriff: Permeationsverstärker) ist ein Hilfsstoff, der die Schleimhaut kurzzeitig durchlässiger macht oder das Peptid vor dem Abbau schützt. Bei der Semaglutid-Tablette ist das der Hilfsstoff</w:t>
      </w:r>
      <w:r>
        <w:t xml:space="preserve"> </w:t>
      </w:r>
      <w:r>
        <w:rPr>
          <w:bCs/>
          <w:b/>
        </w:rPr>
        <w:t xml:space="preserve">SNAC</w:t>
      </w:r>
      <w:r>
        <w:t xml:space="preserve">. Er hebt in der unmittelbaren Umgebung der Tablette den pH-Wert an, dämpft die Aktivierung des Verdauungsenzyms Pepsin und sorgt dafür, dass Semaglutid als Einzelmolekül vorliegt, das leichter aufgenommen wird. Trotzdem gelangen nach einer Übersichtsarbeit nur etwa 0,4 bis 1 % des Wirkstoffs ins Blut – und das nur nüchtern und mit wenig Wasser. Nach einer Mahlzeit ist praktisch kein Semaglutid im Blut nachweisbar (Vahora 2026, PMID 42687069). Daraus ergeben sich die strengen Einnahmeregeln, die in der Fachinformation stehen.</w:t>
      </w:r>
    </w:p>
    <w:bookmarkEnd w:id="1039"/>
    <w:bookmarkStart w:id="1040" w:name="die-semaglutid-tablette-bei-adipositas"/>
    <w:p>
      <w:pPr>
        <w:pStyle w:val="Heading4"/>
      </w:pPr>
      <w:r>
        <w:t xml:space="preserve">Die Semaglutid-Tablette bei Adipositas</w:t>
      </w:r>
    </w:p>
    <w:p>
      <w:pPr>
        <w:pStyle w:val="FirstParagraph"/>
      </w:pPr>
      <w:r>
        <w:t xml:space="preserve">Für Typ-2-Diabetes ist die Semaglutid-Tablette (Rybelsus) in der EU seit 2020 zugelassen. Für Adipositas wurden höhere Dosen geprüft: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Teilnehmende und Design</w:t>
            </w:r>
          </w:p>
        </w:tc>
        <w:tc>
          <w:tcPr/>
          <w:p>
            <w:pPr>
              <w:pStyle w:val="Compact"/>
              <w:jc w:val="left"/>
            </w:pPr>
            <w:r>
              <w:t xml:space="preserve">Dauer</w:t>
            </w:r>
          </w:p>
        </w:tc>
        <w:tc>
          <w:tcPr/>
          <w:p>
            <w:pPr>
              <w:pStyle w:val="Compact"/>
              <w:jc w:val="left"/>
            </w:pPr>
            <w:r>
              <w:t xml:space="preserve">Ergebnis</w:t>
            </w:r>
          </w:p>
        </w:tc>
      </w:tr>
      <w:tr>
        <w:tc>
          <w:tcPr/>
          <w:p>
            <w:pPr>
              <w:pStyle w:val="Compact"/>
              <w:jc w:val="left"/>
            </w:pPr>
            <w:r>
              <w:t xml:space="preserve">OASIS 1 (Knop 2023), PMID 37385278</w:t>
            </w:r>
          </w:p>
        </w:tc>
        <w:tc>
          <w:tcPr/>
          <w:p>
            <w:pPr>
              <w:pStyle w:val="Compact"/>
              <w:jc w:val="left"/>
            </w:pPr>
            <w:r>
              <w:t xml:space="preserve">667 Erwachsene ohne Diabetes, Tablette gegen Placebo</w:t>
            </w:r>
          </w:p>
        </w:tc>
        <w:tc>
          <w:tcPr/>
          <w:p>
            <w:pPr>
              <w:pStyle w:val="Compact"/>
              <w:jc w:val="left"/>
            </w:pPr>
            <w:r>
              <w:t xml:space="preserve">68 Wochen</w:t>
            </w:r>
          </w:p>
        </w:tc>
        <w:tc>
          <w:tcPr/>
          <w:p>
            <w:pPr>
              <w:pStyle w:val="Compact"/>
              <w:jc w:val="left"/>
            </w:pPr>
            <w:r>
              <w:t xml:space="preserve">−15,1 % Gewicht vs. −2,4 %</w:t>
            </w:r>
          </w:p>
        </w:tc>
      </w:tr>
      <w:tr>
        <w:tc>
          <w:tcPr/>
          <w:p>
            <w:pPr>
              <w:pStyle w:val="Compact"/>
              <w:jc w:val="left"/>
            </w:pPr>
            <w:r>
              <w:t xml:space="preserve">OASIS 4 (Wharton 2025), PMID 40934115</w:t>
            </w:r>
          </w:p>
        </w:tc>
        <w:tc>
          <w:tcPr/>
          <w:p>
            <w:pPr>
              <w:pStyle w:val="Compact"/>
              <w:jc w:val="left"/>
            </w:pPr>
            <w:r>
              <w:t xml:space="preserve">307 Erwachsene ohne Diabetes, niedrigere Tablettendosis gegen Placebo</w:t>
            </w:r>
          </w:p>
        </w:tc>
        <w:tc>
          <w:tcPr/>
          <w:p>
            <w:pPr>
              <w:pStyle w:val="Compact"/>
              <w:jc w:val="left"/>
            </w:pPr>
            <w:r>
              <w:t xml:space="preserve">64 Wochen</w:t>
            </w:r>
          </w:p>
        </w:tc>
        <w:tc>
          <w:tcPr/>
          <w:p>
            <w:pPr>
              <w:pStyle w:val="Compact"/>
              <w:jc w:val="left"/>
            </w:pPr>
            <w:r>
              <w:t xml:space="preserve">−13,6 % vs. −2,2 %</w:t>
            </w:r>
          </w:p>
        </w:tc>
      </w:tr>
      <w:tr>
        <w:tc>
          <w:tcPr/>
          <w:p>
            <w:pPr>
              <w:pStyle w:val="Compact"/>
              <w:jc w:val="left"/>
            </w:pPr>
            <w:r>
              <w:t xml:space="preserve">Zum Vergleich: STEP 1 (Wilding 2021), PMID 33567185</w:t>
            </w:r>
          </w:p>
        </w:tc>
        <w:tc>
          <w:tcPr/>
          <w:p>
            <w:pPr>
              <w:pStyle w:val="Compact"/>
              <w:jc w:val="left"/>
            </w:pPr>
            <w:r>
              <w:t xml:space="preserve">1.961 Erwachsene ohne Diabetes, wöchentliche Spritze gegen Placebo</w:t>
            </w:r>
          </w:p>
        </w:tc>
        <w:tc>
          <w:tcPr/>
          <w:p>
            <w:pPr>
              <w:pStyle w:val="Compact"/>
              <w:jc w:val="left"/>
            </w:pPr>
            <w:r>
              <w:t xml:space="preserve">68 Wochen</w:t>
            </w:r>
          </w:p>
        </w:tc>
        <w:tc>
          <w:tcPr/>
          <w:p>
            <w:pPr>
              <w:pStyle w:val="Compact"/>
              <w:jc w:val="left"/>
            </w:pPr>
            <w:r>
              <w:t xml:space="preserve">−14,9 % vs. −2,4 %</w:t>
            </w:r>
          </w:p>
        </w:tc>
      </w:tr>
    </w:tbl>
    <w:p>
      <w:pPr>
        <w:pStyle w:val="BodyText"/>
      </w:pPr>
      <w:r>
        <w:t xml:space="preserve">In beiden Tablettenstudien waren Magen-Darm-Beschwerden häufig: 80 % gegenüber 46 % unter Placebo in OASIS 1, 74,0 % gegenüber 42,2 % in OASIS 4. Die Studie OASIS 4 bildet nach dem Kapitel Semaglutid die Grundlage der in den USA zugelassenen Wegovy-Tablette (bitte aktuellen Zulassungsstand prüfen). Eine weitere Phase-3-Studie zur Tablette läuft (OASIS 5, NCT07770841, Ende April 2028).</w:t>
      </w:r>
    </w:p>
    <w:p>
      <w:pPr>
        <w:pStyle w:val="BodyText"/>
      </w:pPr>
      <w:r>
        <w:t xml:space="preserve">Die Zahlen liegen nahe an denen der Spritze. Ein großer direkter Vergleich zwischen Tablette und Spritze bei Adipositas fehlt allerdings, und Quervergleiche zwischen Studien sind nur eine grobe Orientierung.</w:t>
      </w:r>
    </w:p>
    <w:p>
      <w:pPr>
        <w:pStyle w:val="BodyText"/>
      </w:pPr>
      <w:r>
        <w:rPr>
          <w:bCs/>
          <w:b/>
        </w:rPr>
        <w:t xml:space="preserve">Ein Nachteil, der selten erwähnt wird:</w:t>
      </w:r>
      <w:r>
        <w:t xml:space="preserve"> </w:t>
      </w:r>
      <w:r>
        <w:t xml:space="preserve">Weil nur ein Bruchteil aufgenommen wird, braucht die Tablette ein Vielfaches an Wirkstoff. Eine Kostenschätzung für Nachahmerpräparate nach Patentablauf kam für gespritztes Semaglutid auf 28 bis 140 US-Dollar pro Person und Jahr, für die Tablette auf 186 bis 380 US-Dollar (Levi 2026, PMID 42437874). Die Tablette ist also nicht automatisch die günstigere Lösung (mehr dazu im Kapitel „Patente, Generika und Preise“).</w:t>
      </w:r>
    </w:p>
    <w:bookmarkEnd w:id="1040"/>
    <w:bookmarkStart w:id="1041" w:name="harte-endpunkte-soul"/>
    <w:p>
      <w:pPr>
        <w:pStyle w:val="Heading4"/>
      </w:pPr>
      <w:r>
        <w:t xml:space="preserve">Harte Endpunkte: SOUL</w:t>
      </w:r>
    </w:p>
    <w:p>
      <w:pPr>
        <w:pStyle w:val="FirstParagraph"/>
      </w:pPr>
      <w:r>
        <w:t xml:space="preserve">Für Typ-2-Diabetes ist der Nutzen der Semaglutid-Tablette über den Blutzucker hinaus belegt. In SOUL mit 9.650 Menschen mit Typ-2-Diabetes und Gefäß- oder Nierenerkrankung traten schwere Herz-Kreislauf-Ereignisse über eine mittlere Beobachtungszeit von etwa vier Jahren bei 12,0 % unter der Tablette und bei 13,8 % unter Placebo auf (Hazard Ratio 0,86). Die bestätigenden Nierenendpunkte unterschieden sich nicht signifikant (McGuire 2025, PMID 40162642). Für Menschen mit Adipositas ohne Diabetes gibt es eine solche Studie mit der Tablette bisher nicht.</w:t>
      </w:r>
    </w:p>
    <w:bookmarkEnd w:id="1041"/>
    <w:bookmarkStart w:id="1042" w:name="amylin-und-glp-1-als-tablette"/>
    <w:p>
      <w:pPr>
        <w:pStyle w:val="Heading4"/>
      </w:pPr>
      <w:r>
        <w:t xml:space="preserve">Amylin und GLP-1 als Tablette</w:t>
      </w:r>
    </w:p>
    <w:p>
      <w:pPr>
        <w:pStyle w:val="FirstParagraph"/>
      </w:pPr>
      <w:r>
        <w:t xml:space="preserve">Novo Nordisk entwickelt auch Amycretin (seit 2026 Zenagamtid) als Tablette. Das Peptid wirkt laut der Studienveröffentlichung an GLP-1-, Amylin- und Calcitonin-Rezeptoren. In einer Phase-2-Studie mit 186 Erwachsenen mit Typ-2-Diabetes sank der HbA1c-Wert nach 36 Wochen in den drei Dosisgruppen um 0,5 bis 1,1 Prozentpunkte stärker als unter Placebo. Magen-Darm-Beschwerden traten je nach Dosis bei 26 bis 47 % auf (Placebo 23 %); schwere unerwünschte Ereignisse betrafen 4 % unter Zenagamtid und niemanden unter Placebo (Mora 2026, PMID 42532079). Die Phase-3-Studie AMAZE 9 prüft die Tablette bei Übergewicht mit 950 Teilnehmenden (NCT07720271, Ende August 2028). Eine Phase-1-Studie untersucht ausdrücklich, wie Wassermenge und Zeitpunkt der Mahlzeit die Aufnahme beeinflussen (NCT07815067) – ein Hinweis darauf, dass auch diese Tablette an Einnahmeregeln gebunden sein dürfte.</w:t>
      </w:r>
    </w:p>
    <w:bookmarkEnd w:id="1042"/>
    <w:bookmarkStart w:id="1043" w:name="X459f4598c9f516f227a9c51f1924753652a6a3d"/>
    <w:p>
      <w:pPr>
        <w:pStyle w:val="Heading4"/>
      </w:pPr>
      <w:r>
        <w:t xml:space="preserve">Orale Peptide außerhalb des Stoffwechsels</w:t>
      </w:r>
    </w:p>
    <w:p>
      <w:pPr>
        <w:pStyle w:val="FirstParagraph"/>
      </w:pPr>
      <w:r>
        <w:t xml:space="preserve">Der Durchbruch beschränkt sich nicht auf Abnehmmittel. Zwei Beispiele zeigen, dass orale Peptide zu einer eigenen Arzneimittelklasse werden:</w:t>
      </w:r>
    </w:p>
    <w:p>
      <w:pPr>
        <w:numPr>
          <w:ilvl w:val="0"/>
          <w:numId w:val="1359"/>
        </w:numPr>
        <w:pStyle w:val="Compact"/>
      </w:pPr>
      <w:r>
        <w:rPr>
          <w:bCs/>
          <w:b/>
        </w:rPr>
        <w:t xml:space="preserve">Enlicitide</w:t>
      </w:r>
      <w:r>
        <w:t xml:space="preserve"> </w:t>
      </w:r>
      <w:r>
        <w:t xml:space="preserve">ist ein ringförmiges (makrozyklisches) Peptid, das das Eiweiß PCSK9 hemmt und so das LDL-Cholesterin senkt. Bisher gab es solche Hemmstoffe nur als Spritze (Antikörper). Gefunden wurde der Wirkstoff mit einem Verfahren, das sehr große Peptid-Bibliotheken nach passenden Bindungspartnern durchsucht, und anschließend gezielt chemisch optimiert (Johns 2023, PMID 37125593). In der Phase-3-Studie CORALreef Lipids mit 2.909 Teilnehmenden sank das LDL-Cholesterin nach 24 Wochen um 57,1 %, unter Placebo stieg es um 3,0 %. Unerwünschte Ereignisse traten in beiden Gruppen ähnlich häufig auf (Navar 2026, PMID 41879224). Ob das auch Herzinfarkte und Schlaganfälle verhindert, soll CORALreef Outcomes mit 14.550 Teilnehmenden zeigen (NCT06008756, Ende November 2031).</w:t>
      </w:r>
    </w:p>
    <w:p>
      <w:pPr>
        <w:numPr>
          <w:ilvl w:val="0"/>
          <w:numId w:val="1359"/>
        </w:numPr>
        <w:pStyle w:val="Compact"/>
      </w:pPr>
      <w:r>
        <w:rPr>
          <w:bCs/>
          <w:b/>
        </w:rPr>
        <w:t xml:space="preserve">Icotrokinra</w:t>
      </w:r>
      <w:r>
        <w:t xml:space="preserve"> </w:t>
      </w:r>
      <w:r>
        <w:t xml:space="preserve">ist ein orales Peptid, das den Rezeptor für den Entzündungsbotenstoff Interleukin-23 blockiert. In der Phase-3-Studie ICONIC-LEAD mit 684 Erwachsenen und Jugendlichen mit mittelschwerer bis schwerer Schuppenflechte erreichten nach 16 Wochen 65 % eine (fast) erscheinungsfreie Haut gegenüber 8 % unter Placebo; unerwünschte Ereignisse waren in beiden Gruppen gleich häufig (49 %) (Bissonnette 2025, PMID 41191940). Im März 2026 wurde Icotrokinra in den USA zugelassen, in der EU lief die Prüfung (Keam 2026, PMID 42243571; bitte aktuellen Stand prüfen). Bemerkenswert ist der Weg dorthin: Laut einer pharmakologischen Untersuchung kommt Icotrokinra</w:t>
      </w:r>
      <w:r>
        <w:t xml:space="preserve"> </w:t>
      </w:r>
      <w:r>
        <w:rPr>
          <w:bCs/>
          <w:b/>
        </w:rPr>
        <w:t xml:space="preserve">ohne</w:t>
      </w:r>
      <w:r>
        <w:t xml:space="preserve"> </w:t>
      </w:r>
      <w:r>
        <w:t xml:space="preserve">Absorptionsverstärker aus. Im Tierversuch gelangten nur 0,1 bis 0,3 % ins Blut, und doch war eine Wirkung im ganzen Körper messbar, weil das Peptid sehr stabil und sehr wirksam ist (Knight 2025, PMID 40629250). Studien bei Colitis ulcerosa laufen (ICONIC-UC, NCT07196748).</w:t>
      </w:r>
    </w:p>
    <w:p>
      <w:pPr>
        <w:pStyle w:val="FirstParagraph"/>
      </w:pPr>
      <w:r>
        <w:t xml:space="preserve">Beide Wirkstoffe sind keine Peptide aus dem Graumarkt, sondern gezielt am Reißbrett entworfene Moleküle, die über Jahre in großen Studien geprüft wurden. Mit den „oralen“ Peptiden, die im Internet angeboten werden, haben sie nichts gemeinsam.</w:t>
      </w:r>
    </w:p>
    <w:bookmarkEnd w:id="1043"/>
    <w:bookmarkEnd w:id="1044"/>
    <w:bookmarkStart w:id="1047" w:name="weg-2-kleine-moleküle-statt-peptide"/>
    <w:p>
      <w:pPr>
        <w:pStyle w:val="Heading3"/>
      </w:pPr>
      <w:r>
        <w:t xml:space="preserve">Weg 2: Kleine Moleküle statt Peptide</w:t>
      </w:r>
    </w:p>
    <w:bookmarkStart w:id="1045" w:name="orforglipron"/>
    <w:p>
      <w:pPr>
        <w:pStyle w:val="Heading4"/>
      </w:pPr>
      <w:r>
        <w:t xml:space="preserve">Orforglipron</w:t>
      </w:r>
    </w:p>
    <w:p>
      <w:pPr>
        <w:pStyle w:val="FirstParagraph"/>
      </w:pPr>
      <w:r>
        <w:t xml:space="preserve">Orforglipron ist kein Peptid, sondern ein kleines, chemisch hergestelltes Molekül, das den GLP-1-Rezeptor aktiviert (ausführlich im Kapitel Orforglipron in Teil II · A). Es wird wie eine gewöhnliche Tablette einmal täglich eingenommen, laut den Studien ohne Rücksicht auf Mahlzeiten oder Wassermenge (Rosenstock 2026, PMID 41765029).</w:t>
      </w:r>
    </w:p>
    <w:p>
      <w:pPr>
        <w:numPr>
          <w:ilvl w:val="0"/>
          <w:numId w:val="1360"/>
        </w:numPr>
        <w:pStyle w:val="Compact"/>
      </w:pPr>
      <w:r>
        <w:rPr>
          <w:bCs/>
          <w:b/>
        </w:rPr>
        <w:t xml:space="preserve">Gewicht:</w:t>
      </w:r>
      <w:r>
        <w:t xml:space="preserve"> </w:t>
      </w:r>
      <w:r>
        <w:t xml:space="preserve">In ATTAIN-1 mit 3.127 Erwachsenen mit Adipositas sank das Gewicht nach 72 Wochen in der höchsten Dosis um 11,2 %, unter Placebo um 2,1 %. Wegen Nebenwirkungen brachen 5,3 bis 10,3 % ab (Placebo 2,7 %) (Wharton 2025, PMID 40960239).</w:t>
      </w:r>
    </w:p>
    <w:p>
      <w:pPr>
        <w:numPr>
          <w:ilvl w:val="0"/>
          <w:numId w:val="1360"/>
        </w:numPr>
        <w:pStyle w:val="Compact"/>
      </w:pPr>
      <w:r>
        <w:rPr>
          <w:bCs/>
          <w:b/>
        </w:rPr>
        <w:t xml:space="preserve">Blutzucker:</w:t>
      </w:r>
      <w:r>
        <w:t xml:space="preserve"> </w:t>
      </w:r>
      <w:r>
        <w:t xml:space="preserve">Im offenen Vergleich mit der Semaglutid-Tablette (ACHIEVE-3, 1.698 Teilnehmende) senkte Orforglipron den HbA1c-Wert nach 52 Wochen stärker, in den jeweils höheren Dosen um 1,91 gegenüber 1,47 Prozentpunkten (Rosenstock 2026, PMID 41765029).</w:t>
      </w:r>
    </w:p>
    <w:p>
      <w:pPr>
        <w:numPr>
          <w:ilvl w:val="0"/>
          <w:numId w:val="1360"/>
        </w:numPr>
        <w:pStyle w:val="Compact"/>
      </w:pPr>
      <w:r>
        <w:rPr>
          <w:bCs/>
          <w:b/>
        </w:rPr>
        <w:t xml:space="preserve">Gewicht halten:</w:t>
      </w:r>
      <w:r>
        <w:t xml:space="preserve"> </w:t>
      </w:r>
      <w:r>
        <w:t xml:space="preserve">In ATTAIN-MAINTAIN wechselten Teilnehmende nach einer Abnahme mit gespritztem Tirzepatid oder Semaglutid auf Orforglipron oder Placebo. Nach 52 Wochen hielten sie mit Orforglipron 74,7 % bzw. 79,3 % ihres Gewichtsverlusts, mit Placebo 49,2 % bzw. 37,6 %. Eine Gruppe, die die Spritze einfach weiter erhielt, gab es nicht; die Autorinnen und Autoren nennen das selbst als Einschränkung (Aronne 2026, PMID 42120723).</w:t>
      </w:r>
    </w:p>
    <w:p>
      <w:pPr>
        <w:numPr>
          <w:ilvl w:val="0"/>
          <w:numId w:val="1360"/>
        </w:numPr>
        <w:pStyle w:val="Compact"/>
      </w:pPr>
      <w:r>
        <w:rPr>
          <w:bCs/>
          <w:b/>
        </w:rPr>
        <w:t xml:space="preserve">Leber:</w:t>
      </w:r>
      <w:r>
        <w:t xml:space="preserve"> </w:t>
      </w:r>
      <w:r>
        <w:t xml:space="preserve">Bei kleinen GLP-1-Molekülen waren Leberwerte eine besondere Sorge. Eine gepoolte Auswertung von sieben Phase-3-Studien mit 11.220 Teilnehmenden fand für Orforglipron keinen Fall, der die Kriterien eines arzneimittelbedingten Leberschadens erfüllte (Wharton 2026, PMID 42338042).</w:t>
      </w:r>
    </w:p>
    <w:bookmarkEnd w:id="1045"/>
    <w:bookmarkStart w:id="1046" w:name="nicht-jedes-kleine-molekül-schafft-es"/>
    <w:p>
      <w:pPr>
        <w:pStyle w:val="Heading4"/>
      </w:pPr>
      <w:r>
        <w:t xml:space="preserve">Nicht jedes kleine Molekül schafft es</w:t>
      </w:r>
    </w:p>
    <w:p>
      <w:pPr>
        <w:pStyle w:val="FirstParagraph"/>
      </w:pPr>
      <w:r>
        <w:t xml:space="preserve">Dass der Weg schwierig ist, zeigt</w:t>
      </w:r>
      <w:r>
        <w:t xml:space="preserve"> </w:t>
      </w:r>
      <w:r>
        <w:rPr>
          <w:bCs/>
          <w:b/>
        </w:rPr>
        <w:t xml:space="preserve">Danuglipron</w:t>
      </w:r>
      <w:r>
        <w:t xml:space="preserve"> </w:t>
      </w:r>
      <w:r>
        <w:t xml:space="preserve">von Pfizer. In einer Phase-2b-Studie mit 628 Erwachsenen mit Adipositas, in der die Tabletten zweimal täglich genommen wurden, sank das Gewicht zwar deutlich stärker als unter Placebo, aber nur 39,3 % schlossen die Behandlung ab; etwa 38 % brachen wegen Nebenwirkungen ab (Buckeridge 2025, PMID 40539310). Nach Mitteilungen des Herstellers wurde die Entwicklung eingestellt (Stand 2026, bitte prüfen). Weitere Unternehmen entwickeln eigene Tabletten; AstraZeneca etwa prüft den Wirkstoff Elecoglipron in einer Phase-3-Studie gegen die Semaglutid-Tablette (Eluminate-2, NCT07662213).</w:t>
      </w:r>
    </w:p>
    <w:bookmarkEnd w:id="1046"/>
    <w:bookmarkEnd w:id="1047"/>
    <w:bookmarkStart w:id="1048" w:name="X4c828522be558c0a510d892b01c80627d6eee7d"/>
    <w:p>
      <w:pPr>
        <w:pStyle w:val="Heading3"/>
      </w:pPr>
      <w:r>
        <w:t xml:space="preserve">Peptid-Tablette oder kleines Molekül: ein Vergleich</w:t>
      </w:r>
    </w:p>
    <w:p>
      <w:pPr>
        <w:pStyle w:val="FirstParagraph"/>
      </w:pPr>
      <w:r>
        <w:t xml:space="preserve">Ein direkter Vergleich der Semaglutid-Tablette mit Orforglipron bei Adipositas fehlt. Eine Auswertung verglich die beiden indirekt, indem sie die Einzeldaten von OASIS 4 mit den veröffentlichten Gesamtdaten von ATTAIN-1 abglich. Danach war der Gewichtsverlust mit der Semaglutid-Tablette um rund 3 Prozentpunkte größer, und Abbrüche wegen Nebenwirkungen waren unter Orforglipron häufiger (Michalak 2026, PMID 42225305). Solche indirekten Vergleiche sind mit Vorsicht zu lesen: Nur für eine der beiden Studien standen die Einzeldaten zur Verfügung, und zwar die des Semaglutid-Programms.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Merkmal</w:t>
            </w:r>
          </w:p>
        </w:tc>
        <w:tc>
          <w:tcPr/>
          <w:p>
            <w:pPr>
              <w:pStyle w:val="Compact"/>
              <w:jc w:val="left"/>
            </w:pPr>
            <w:r>
              <w:t xml:space="preserve">Peptid-Spritze</w:t>
            </w:r>
          </w:p>
        </w:tc>
        <w:tc>
          <w:tcPr/>
          <w:p>
            <w:pPr>
              <w:pStyle w:val="Compact"/>
              <w:jc w:val="left"/>
            </w:pPr>
            <w:r>
              <w:t xml:space="preserve">Peptid-Tablette</w:t>
            </w:r>
          </w:p>
        </w:tc>
        <w:tc>
          <w:tcPr/>
          <w:p>
            <w:pPr>
              <w:pStyle w:val="Compact"/>
              <w:jc w:val="left"/>
            </w:pPr>
            <w:r>
              <w:t xml:space="preserve">Kleines Molekül</w:t>
            </w:r>
          </w:p>
        </w:tc>
      </w:tr>
      <w:tr>
        <w:tc>
          <w:tcPr/>
          <w:p>
            <w:pPr>
              <w:pStyle w:val="Compact"/>
              <w:jc w:val="left"/>
            </w:pPr>
            <w:r>
              <w:t xml:space="preserve">Beispiel</w:t>
            </w:r>
          </w:p>
        </w:tc>
        <w:tc>
          <w:tcPr/>
          <w:p>
            <w:pPr>
              <w:pStyle w:val="Compact"/>
              <w:jc w:val="left"/>
            </w:pPr>
            <w:r>
              <w:t xml:space="preserve">Semaglutid, Tirzepatid</w:t>
            </w:r>
          </w:p>
        </w:tc>
        <w:tc>
          <w:tcPr/>
          <w:p>
            <w:pPr>
              <w:pStyle w:val="Compact"/>
              <w:jc w:val="left"/>
            </w:pPr>
            <w:r>
              <w:t xml:space="preserve">Semaglutid-Tablette, Zenagamtid-Tablette</w:t>
            </w:r>
          </w:p>
        </w:tc>
        <w:tc>
          <w:tcPr/>
          <w:p>
            <w:pPr>
              <w:pStyle w:val="Compact"/>
              <w:jc w:val="left"/>
            </w:pPr>
            <w:r>
              <w:t xml:space="preserve">Orforglipron</w:t>
            </w:r>
          </w:p>
        </w:tc>
      </w:tr>
      <w:tr>
        <w:tc>
          <w:tcPr/>
          <w:p>
            <w:pPr>
              <w:pStyle w:val="Compact"/>
              <w:jc w:val="left"/>
            </w:pPr>
            <w:r>
              <w:t xml:space="preserve">Einnahme</w:t>
            </w:r>
          </w:p>
        </w:tc>
        <w:tc>
          <w:tcPr/>
          <w:p>
            <w:pPr>
              <w:pStyle w:val="Compact"/>
              <w:jc w:val="left"/>
            </w:pPr>
            <w:r>
              <w:t xml:space="preserve">wöchentlich bis monatlich</w:t>
            </w:r>
          </w:p>
        </w:tc>
        <w:tc>
          <w:tcPr/>
          <w:p>
            <w:pPr>
              <w:pStyle w:val="Compact"/>
              <w:jc w:val="left"/>
            </w:pPr>
            <w:r>
              <w:t xml:space="preserve">täglich, nüchtern, mit Einnahmeregeln</w:t>
            </w:r>
          </w:p>
        </w:tc>
        <w:tc>
          <w:tcPr/>
          <w:p>
            <w:pPr>
              <w:pStyle w:val="Compact"/>
              <w:jc w:val="left"/>
            </w:pPr>
            <w:r>
              <w:t xml:space="preserve">täglich, ohne Essensregeln</w:t>
            </w:r>
          </w:p>
        </w:tc>
      </w:tr>
      <w:tr>
        <w:tc>
          <w:tcPr/>
          <w:p>
            <w:pPr>
              <w:pStyle w:val="Compact"/>
              <w:jc w:val="left"/>
            </w:pPr>
            <w:r>
              <w:t xml:space="preserve">Wirkstoffbedarf</w:t>
            </w:r>
          </w:p>
        </w:tc>
        <w:tc>
          <w:tcPr/>
          <w:p>
            <w:pPr>
              <w:pStyle w:val="Compact"/>
              <w:jc w:val="left"/>
            </w:pPr>
            <w:r>
              <w:t xml:space="preserve">gering</w:t>
            </w:r>
          </w:p>
        </w:tc>
        <w:tc>
          <w:tcPr/>
          <w:p>
            <w:pPr>
              <w:pStyle w:val="Compact"/>
              <w:jc w:val="left"/>
            </w:pPr>
            <w:r>
              <w:t xml:space="preserve">sehr hoch (Aufnahme etwa 1 %)</w:t>
            </w:r>
          </w:p>
        </w:tc>
        <w:tc>
          <w:tcPr/>
          <w:p>
            <w:pPr>
              <w:pStyle w:val="Compact"/>
              <w:jc w:val="left"/>
            </w:pPr>
            <w:r>
              <w:t xml:space="preserve">normal für Tabletten</w:t>
            </w:r>
          </w:p>
        </w:tc>
      </w:tr>
      <w:tr>
        <w:tc>
          <w:tcPr/>
          <w:p>
            <w:pPr>
              <w:pStyle w:val="Compact"/>
              <w:jc w:val="left"/>
            </w:pPr>
            <w:r>
              <w:t xml:space="preserve">Gewichtsverlust in Studien</w:t>
            </w:r>
          </w:p>
        </w:tc>
        <w:tc>
          <w:tcPr/>
          <w:p>
            <w:pPr>
              <w:pStyle w:val="Compact"/>
              <w:jc w:val="left"/>
            </w:pPr>
            <w:r>
              <w:t xml:space="preserve">am höchsten</w:t>
            </w:r>
          </w:p>
        </w:tc>
        <w:tc>
          <w:tcPr/>
          <w:p>
            <w:pPr>
              <w:pStyle w:val="Compact"/>
              <w:jc w:val="left"/>
            </w:pPr>
            <w:r>
              <w:t xml:space="preserve">ähnlich der Semaglutid-Spritze</w:t>
            </w:r>
          </w:p>
        </w:tc>
        <w:tc>
          <w:tcPr/>
          <w:p>
            <w:pPr>
              <w:pStyle w:val="Compact"/>
              <w:jc w:val="left"/>
            </w:pPr>
            <w:r>
              <w:t xml:space="preserve">etwas geringer</w:t>
            </w:r>
          </w:p>
        </w:tc>
      </w:tr>
      <w:tr>
        <w:tc>
          <w:tcPr/>
          <w:p>
            <w:pPr>
              <w:pStyle w:val="Compact"/>
              <w:jc w:val="left"/>
            </w:pPr>
            <w:r>
              <w:t xml:space="preserve">Abbau, Wechselwirkungen</w:t>
            </w:r>
          </w:p>
        </w:tc>
        <w:tc>
          <w:tcPr/>
          <w:p>
            <w:pPr>
              <w:pStyle w:val="Compact"/>
              <w:jc w:val="left"/>
            </w:pPr>
            <w:r>
              <w:t xml:space="preserve">wie Eiweiß, kaum Wechselwirkungen</w:t>
            </w:r>
          </w:p>
        </w:tc>
        <w:tc>
          <w:tcPr/>
          <w:p>
            <w:pPr>
              <w:pStyle w:val="Compact"/>
              <w:jc w:val="left"/>
            </w:pPr>
            <w:r>
              <w:t xml:space="preserve">wie Eiweiß</w:t>
            </w:r>
          </w:p>
        </w:tc>
        <w:tc>
          <w:tcPr/>
          <w:p>
            <w:pPr>
              <w:pStyle w:val="Compact"/>
              <w:jc w:val="left"/>
            </w:pPr>
            <w:r>
              <w:t xml:space="preserve">über Leberenzyme, Wechselwirkungen möglich</w:t>
            </w:r>
          </w:p>
        </w:tc>
      </w:tr>
      <w:tr>
        <w:tc>
          <w:tcPr/>
          <w:p>
            <w:pPr>
              <w:pStyle w:val="Compact"/>
              <w:jc w:val="left"/>
            </w:pPr>
            <w:r>
              <w:t xml:space="preserve">Harte Endpunkte</w:t>
            </w:r>
          </w:p>
        </w:tc>
        <w:tc>
          <w:tcPr/>
          <w:p>
            <w:pPr>
              <w:pStyle w:val="Compact"/>
              <w:jc w:val="left"/>
            </w:pPr>
            <w:r>
              <w:t xml:space="preserve">für mehrere Wirkstoffe belegt</w:t>
            </w:r>
          </w:p>
        </w:tc>
        <w:tc>
          <w:tcPr/>
          <w:p>
            <w:pPr>
              <w:pStyle w:val="Compact"/>
              <w:jc w:val="left"/>
            </w:pPr>
            <w:r>
              <w:t xml:space="preserve">bei Typ-2-Diabetes belegt (SOUL)</w:t>
            </w:r>
          </w:p>
        </w:tc>
        <w:tc>
          <w:tcPr/>
          <w:p>
            <w:pPr>
              <w:pStyle w:val="Compact"/>
              <w:jc w:val="left"/>
            </w:pPr>
            <w:r>
              <w:t xml:space="preserve">Endpunktstudie läuft bis 2031</w:t>
            </w:r>
          </w:p>
        </w:tc>
      </w:tr>
    </w:tbl>
    <w:p>
      <w:pPr>
        <w:pStyle w:val="BodyText"/>
      </w:pPr>
      <w:r>
        <w:t xml:space="preserve">Der Punkt „Wechselwirkungen“ verdient eine Erklärung: Peptide werden im Körper wie andere Eiweiße abgebaut. Kleine Moleküle wie Orforglipron werden dagegen über Leberenzyme verstoffwechselt, über die auch viele andere Medikamente laufen. Deshalb wurden für Orforglipron zahlreiche Wechselwirkungsstudien durchgeführt (siehe Kapitel Orforglipron).</w:t>
      </w:r>
    </w:p>
    <w:bookmarkEnd w:id="1048"/>
    <w:bookmarkStart w:id="1049" w:name="offene-fragen"/>
    <w:p>
      <w:pPr>
        <w:pStyle w:val="Heading3"/>
      </w:pPr>
      <w:r>
        <w:t xml:space="preserve">Offene Fragen</w:t>
      </w:r>
    </w:p>
    <w:p>
      <w:pPr>
        <w:pStyle w:val="FirstParagraph"/>
      </w:pPr>
      <w:r>
        <w:rPr>
          <w:bCs/>
          <w:b/>
        </w:rPr>
        <w:t xml:space="preserve">Nimmt man eine tägliche Tablette zuverlässiger als eine wöchentliche Spritze?</w:t>
      </w:r>
      <w:r>
        <w:t xml:space="preserve"> </w:t>
      </w:r>
      <w:r>
        <w:t xml:space="preserve">Das ist keineswegs ausgemacht. Wer eine Spritze pro Woche gegen sieben Tabletten tauscht, hat sieben Gelegenheiten pro Woche, eine Dosis zu vergessen. Bei der Semaglutid-Tablette kommt hinzu, dass schon eine Mahlzeit zu früh die Aufnahme praktisch verhindern kann (Vahora 2026, PMID 42687069). Wie sich das im Alltag auf die Wirkung auswirkt, zeigen Zulassungsstudien mit ihren eng betreuten Teilnehmenden nicht.</w:t>
      </w:r>
    </w:p>
    <w:p>
      <w:pPr>
        <w:pStyle w:val="BodyText"/>
      </w:pPr>
      <w:r>
        <w:rPr>
          <w:bCs/>
          <w:b/>
        </w:rPr>
        <w:t xml:space="preserve">Gibt es harte Endpunkte für Tabletten bei Adipositas?</w:t>
      </w:r>
      <w:r>
        <w:t xml:space="preserve"> </w:t>
      </w:r>
      <w:r>
        <w:t xml:space="preserve">Noch nicht. SOUL betraf Menschen mit Typ-2-Diabetes. Die Herz-Kreislauf-Studie zu Orforglipron läuft bis 2031 (NCT07241390), und Orforglipron wird sogar bei Menschen mit Übergewicht geprüft, um das Fortschreiten zur Adipositas oder zu Folgeerkrankungen zu verhindern (ATTAIN-NOW, NCT07794579, 2.001 Teilnehmende, Ende September 2030).</w:t>
      </w:r>
    </w:p>
    <w:p>
      <w:pPr>
        <w:pStyle w:val="BodyText"/>
      </w:pPr>
      <w:r>
        <w:rPr>
          <w:bCs/>
          <w:b/>
        </w:rPr>
        <w:t xml:space="preserve">Ist die Tablette das Mittel für die Erhaltung?</w:t>
      </w:r>
      <w:r>
        <w:t xml:space="preserve"> </w:t>
      </w:r>
      <w:r>
        <w:t xml:space="preserve">ATTAIN-MAINTAIN legt nahe, dass ein Umstieg von der Spritze auf eine Tablette einen großen Teil des Gewichtsverlusts erhalten kann. Ob das genauso gut ist wie die Spritze fortzusetzen, wurde nicht geprüft.</w:t>
      </w:r>
    </w:p>
    <w:p>
      <w:pPr>
        <w:pStyle w:val="BodyText"/>
      </w:pPr>
      <w:r>
        <w:rPr>
          <w:bCs/>
          <w:b/>
        </w:rPr>
        <w:t xml:space="preserve">Werden Tabletten günstiger?</w:t>
      </w:r>
      <w:r>
        <w:t xml:space="preserve"> </w:t>
      </w:r>
      <w:r>
        <w:t xml:space="preserve">Für kleine Moleküle ist das plausibel, weil sie mit Standardverfahren der Chemie hergestellt werden. Für Peptid-Tabletten spricht die Kostenschätzung eher dagegen, weil sie viel mehr Wirkstoff brauchen (Levi 2026, PMID 42437874). Konkrete Preise in Europa sind offen.</w:t>
      </w:r>
    </w:p>
    <w:p>
      <w:pPr>
        <w:pStyle w:val="BodyText"/>
      </w:pPr>
      <w:r>
        <w:rPr>
          <w:bCs/>
          <w:b/>
        </w:rPr>
        <w:t xml:space="preserve">Was ist mit Tropfen, Schmelztabletten und Nasensprays aus dem Internet?</w:t>
      </w:r>
      <w:r>
        <w:t xml:space="preserve"> </w:t>
      </w:r>
      <w:r>
        <w:t xml:space="preserve">Hier ist Vorsicht angebracht. Eine Untersuchung von in den USA hergestellten Apotheken-Zubereitungen fand Tropfen und Schmelztabletten mit Semaglutid oder Tirzepatid zur Anwendung unter der Zunge, für die keine Belege zu Wirksamkeit und Sicherheit vorliegen (Belcourt 2026, PMID 41689811). Nachahmerprodukte von oralem Semaglutid enthielten in einer Laboranalyse teils deutlich weniger Wirkstoff als angegeben und setzten Wirkstoff und SNAC anders frei als das Original (Hach 2024, PMID 39379664). Ein Peptid, das „als Tablette“ verkauft wird, wird ohne eine geprüfte Rezeptur kaum aufgenommen – das gilt für Semaglutid ebenso wie für BPC-157 oder andere Graumarkt-Peptide.</w:t>
      </w:r>
    </w:p>
    <w:bookmarkEnd w:id="1049"/>
    <w:bookmarkStart w:id="1050" w:name="einschätzung-des-autors"/>
    <w:p>
      <w:pPr>
        <w:pStyle w:val="Heading3"/>
      </w:pPr>
      <w:r>
        <w:t xml:space="preserve">Einschätzung des Autors</w:t>
      </w:r>
    </w:p>
    <w:p>
      <w:pPr>
        <w:pStyle w:val="FirstParagraph"/>
      </w:pPr>
      <w:r>
        <w:t xml:space="preserve">Die Spritze wird nicht verschwinden, aber ihre Monopolstellung ist vorbei. Für die Phase der starken Abnahme dürften gespritzte Wirkstoffe in den nächsten Jahren vorn bleiben, weil sie in Studien am meisten bewirken und die Herz-Kreislauf-Daten bislang fast ausschließlich für sie vorliegen. Für die jahrelange Erhaltung, für Menschen mit Spritzenangst und für Länder ohne verlässliche Kühlkette sind Tabletten dagegen ein echter Fortschritt. Ob sich eher Peptid-Tabletten oder kleine Moleküle durchsetzen, wird weniger an der Wirkung entschieden als an Preis, Einnahmekomfort und Langzeitsicherheit. Das ist eine Einschätzung; gesichert ist nur, dass beide Wege in großen Phase-3-Studien geprüft werden.</w:t>
      </w:r>
    </w:p>
    <w:bookmarkEnd w:id="1050"/>
    <w:bookmarkStart w:id="1051" w:name="das-wichtigste-in-kürze-9"/>
    <w:p>
      <w:pPr>
        <w:pStyle w:val="Heading3"/>
      </w:pPr>
      <w:r>
        <w:t xml:space="preserve">Das Wichtigste in Kürze</w:t>
      </w:r>
    </w:p>
    <w:p>
      <w:pPr>
        <w:numPr>
          <w:ilvl w:val="0"/>
          <w:numId w:val="1361"/>
        </w:numPr>
        <w:pStyle w:val="Compact"/>
      </w:pPr>
      <w:r>
        <w:t xml:space="preserve">Peptide als Tablette funktionieren nur mit großem technischem Aufwand. Bei der Semaglutid-Tablette gelangt etwa 1 % des Wirkstoffs ins Blut, dennoch erreicht sie in Studien ähnliche Gewichtsverluste wie die Spritze.</w:t>
      </w:r>
    </w:p>
    <w:p>
      <w:pPr>
        <w:numPr>
          <w:ilvl w:val="0"/>
          <w:numId w:val="1361"/>
        </w:numPr>
        <w:pStyle w:val="Compact"/>
      </w:pPr>
      <w:r>
        <w:t xml:space="preserve">Kleine Moleküle wie Orforglipron umgehen das Problem, bewirkten in Studien aber etwas weniger Gewichtsverlust und werden über Leberenzyme abgebaut.</w:t>
      </w:r>
    </w:p>
    <w:p>
      <w:pPr>
        <w:numPr>
          <w:ilvl w:val="0"/>
          <w:numId w:val="1361"/>
        </w:numPr>
        <w:pStyle w:val="Compact"/>
      </w:pPr>
      <w:r>
        <w:t xml:space="preserve">Orale Peptide werden auch außerhalb des Stoffwechsels zur eigenen Arzneimittelklasse, etwa gegen hohes Cholesterin (Enlicitide) und Schuppenflechte (Icotrokinra).</w:t>
      </w:r>
    </w:p>
    <w:p>
      <w:pPr>
        <w:numPr>
          <w:ilvl w:val="0"/>
          <w:numId w:val="1361"/>
        </w:numPr>
        <w:pStyle w:val="Compact"/>
      </w:pPr>
      <w:r>
        <w:t xml:space="preserve">Offen sind Langzeitdaten, harte Endpunkte bei Adipositas, die Therapietreue im Alltag und die Preise.</w:t>
      </w:r>
    </w:p>
    <w:p>
      <w:pPr>
        <w:numPr>
          <w:ilvl w:val="0"/>
          <w:numId w:val="1361"/>
        </w:numPr>
        <w:pStyle w:val="Compact"/>
      </w:pPr>
      <w:r>
        <w:t xml:space="preserve">Medikamente sind nur unter ärztlicher Begleitung und nach Fachinformation anzuwenden; „orale“ Graumarkt-Peptide haben mit diesen Entwicklungen nichts zu tun.</w:t>
      </w:r>
    </w:p>
    <w:bookmarkEnd w:id="1051"/>
    <w:bookmarkEnd w:id="1052"/>
    <w:bookmarkStart w:id="1063" w:name="patente-generika-und-preise"/>
    <w:p>
      <w:pPr>
        <w:pStyle w:val="Heading2"/>
      </w:pPr>
      <w:r>
        <w:t xml:space="preserve">Patente, Generika und Preise</w:t>
      </w:r>
    </w:p>
    <w:p>
      <w:pPr>
        <w:pStyle w:val="FirstParagraph"/>
      </w:pPr>
      <w:r>
        <w:t xml:space="preserve">Ob ein Medikament wirkt, entscheiden Studien. Ob es bei den Menschen ankommt, entscheiden Patente, Preise, Lieferketten und Krankenkassen. Bei den GLP-1-Medikamenten ist dieser zweite Teil der Geschichte fast so dramatisch wie der erste: Lieferengpässe, ein Markt für Apotheken-Kopien in den USA, Fälschungen weltweit – und 2026 das Auslaufen der ersten Semaglutid-Patente in großen Ländern.</w:t>
      </w:r>
    </w:p>
    <w:p>
      <w:pPr>
        <w:pStyle w:val="BodyText"/>
      </w:pPr>
      <w:r>
        <w:rPr>
          <w:bCs/>
          <w:b/>
        </w:rPr>
        <w:t xml:space="preserve">Ein wichtiger Hinweis vorab:</w:t>
      </w:r>
      <w:r>
        <w:t xml:space="preserve"> </w:t>
      </w:r>
      <w:r>
        <w:t xml:space="preserve">Preise, Patentlaufzeiten und Erstattungsregeln ändern sich schnell und sind nur teilweise in wissenschaftlichen Arbeiten dokumentiert. Wo dieses Kapitel Angaben ohne Studienbeleg macht, sind sie mit „Stand 2026, bitte prüfen“ gekennzeichnet. Konkrete Preise in Euro werden bewusst nicht genannt, weil sie sich je nach Land, Packung und Zeitpunkt unterscheiden.</w:t>
      </w:r>
    </w:p>
    <w:bookmarkStart w:id="1053" w:name="X7e365eb0e94012bd4f3f1837d93d3a0ffb07561"/>
    <w:p>
      <w:pPr>
        <w:pStyle w:val="Heading3"/>
      </w:pPr>
      <w:r>
        <w:t xml:space="preserve">Patente, Generika und Biosimilars: die Begriffe</w:t>
      </w:r>
    </w:p>
    <w:p>
      <w:pPr>
        <w:pStyle w:val="FirstParagraph"/>
      </w:pPr>
      <w:r>
        <w:t xml:space="preserve">Ein</w:t>
      </w:r>
      <w:r>
        <w:t xml:space="preserve"> </w:t>
      </w:r>
      <w:r>
        <w:rPr>
          <w:bCs/>
          <w:b/>
        </w:rPr>
        <w:t xml:space="preserve">Patent</w:t>
      </w:r>
      <w:r>
        <w:t xml:space="preserve"> </w:t>
      </w:r>
      <w:r>
        <w:t xml:space="preserve">gibt dem Hersteller für eine begrenzte Zeit das alleinige Recht, einen Wirkstoff zu verkaufen. In der EU und den USA beträgt die Grundlaufzeit 20 Jahre ab Anmeldung; weil die Entwicklung viele Jahre dauert, kann sie für Arzneimittel durch ein ergänzendes Schutzzertifikat um bis zu fünf Jahre verlängert werden. Neben dem Patent auf den Wirkstoff selbst gibt es oft weitere Patente auf Herstellungsverfahren, Darreichungsformen oder Pens (Stand 2026, bitte prüfen).</w:t>
      </w:r>
    </w:p>
    <w:p>
      <w:pPr>
        <w:pStyle w:val="BodyText"/>
      </w:pPr>
      <w:r>
        <w:t xml:space="preserve">Nach Ablauf des Schutzes dürfen andere Hersteller Nachahmerpräparate anbieten:</w:t>
      </w:r>
    </w:p>
    <w:p>
      <w:pPr>
        <w:numPr>
          <w:ilvl w:val="0"/>
          <w:numId w:val="1362"/>
        </w:numPr>
        <w:pStyle w:val="Compact"/>
      </w:pPr>
      <w:r>
        <w:rPr>
          <w:bCs/>
          <w:b/>
        </w:rPr>
        <w:t xml:space="preserve">Generika</w:t>
      </w:r>
      <w:r>
        <w:t xml:space="preserve"> </w:t>
      </w:r>
      <w:r>
        <w:t xml:space="preserve">sind Kopien chemisch hergestellter Wirkstoffe. Sie müssen zeigen, dass sie denselben Wirkstoff enthalten und im Körper gleich verfügbar sind; neue große Wirksamkeitsstudien sind nicht nötig.</w:t>
      </w:r>
    </w:p>
    <w:p>
      <w:pPr>
        <w:numPr>
          <w:ilvl w:val="0"/>
          <w:numId w:val="1362"/>
        </w:numPr>
        <w:pStyle w:val="Compact"/>
      </w:pPr>
      <w:r>
        <w:rPr>
          <w:bCs/>
          <w:b/>
        </w:rPr>
        <w:t xml:space="preserve">Biosimilars</w:t>
      </w:r>
      <w:r>
        <w:t xml:space="preserve"> </w:t>
      </w:r>
      <w:r>
        <w:t xml:space="preserve">sind Nachfolger biologisch hergestellter Wirkstoffe, etwa von Antikörpern oder Fusionsproteinen. Weil biologische Herstellung nie ganz identische Moleküle liefert, ist ihre Zulassung aufwendiger.</w:t>
      </w:r>
    </w:p>
    <w:p>
      <w:pPr>
        <w:pStyle w:val="FirstParagraph"/>
      </w:pPr>
      <w:r>
        <w:t xml:space="preserve">Kurze Peptide wie Liraglutid oder Semaglutid stehen dazwischen: Sie können gentechnisch oder chemisch hergestellt werden. Das hat praktische Folgen. Eine Laboranalyse verglich 16 gespritzte und 8 orale Semaglutid-Nachahmerprodukte sowie 2 Liraglutid-Nachahmerprodukte mit den Originalen. Sie fand neue Verunreinigungen, bei mehreren Semaglutid-Tabletten deutlich weniger Wirkstoff als angegeben und bei Liraglutid eine stärkere Neigung zur Verklumpung (Hach 2024, PMID 39379664). Ob die Unterschiede klinisch etwas bedeuten, ist laut den Autorinnen und Autoren unbekannt. Sie zeigt aber, warum Behörden bei Peptid-Nachahmern genau hinsehen.</w:t>
      </w:r>
    </w:p>
    <w:bookmarkEnd w:id="1053"/>
    <w:bookmarkStart w:id="1054" w:name="liraglutid-das-erste-glp-1-generikum"/>
    <w:p>
      <w:pPr>
        <w:pStyle w:val="Heading3"/>
      </w:pPr>
      <w:r>
        <w:t xml:space="preserve">Liraglutid: das erste GLP-1-Generikum</w:t>
      </w:r>
    </w:p>
    <w:p>
      <w:pPr>
        <w:pStyle w:val="FirstParagraph"/>
      </w:pPr>
      <w:r>
        <w:t xml:space="preserve">Liraglutid ist der erste GLP-1-Wirkstoff, dessen Schutz in großen Märkten abgelaufen ist. In den USA sind seit 2024 Generika der Diabetesform (Victoza) und seit 2025 auch der Adipositasform (Saxenda) auf dem Markt. In Europa kommen Nachahmerpräparate nach und nach hinzu; der Stand unterscheidet sich je nach Land (siehe Kapitel Liraglutid; Stand 2026, bitte prüfen).</w:t>
      </w:r>
    </w:p>
    <w:p>
      <w:pPr>
        <w:pStyle w:val="BodyText"/>
      </w:pPr>
      <w:r>
        <w:t xml:space="preserve">Für die Versorgung hat das zwei Seiten. Einerseits wird ein Wirkstoff mit nachgewiesenem Herz-Kreislauf-Nutzen bei Typ-2-Diabetes günstiger. Andererseits muss Liraglutid täglich gespritzt werden und wirkt beim Gewicht deutlich schwächer als Semaglutid: In STEP 8 sank das Gewicht unter wöchentlichem Semaglutid im Mittel um 15,8 %, unter täglichem Liraglutid um 6,4 %; mindestens ein Fünftel ihres Gewichts verloren 38,5 % gegenüber 6,0 % (Rubino 2022, PMID 35015037). Für Menschen, die das neuere Mittel nicht bezahlen können, kann ein günstiges älteres Mittel trotzdem die bessere Wahl sein als gar keines.</w:t>
      </w:r>
    </w:p>
    <w:bookmarkEnd w:id="1054"/>
    <w:bookmarkStart w:id="1055" w:name="semaglutid-2026-als-wendejahr"/>
    <w:p>
      <w:pPr>
        <w:pStyle w:val="Heading3"/>
      </w:pPr>
      <w:r>
        <w:t xml:space="preserve">Semaglutid: 2026 als Wendejahr</w:t>
      </w:r>
    </w:p>
    <w:p>
      <w:pPr>
        <w:pStyle w:val="FirstParagraph"/>
      </w:pPr>
      <w:r>
        <w:t xml:space="preserve">Für Semaglutid laufen die Patente in mehreren großen Ländern außerhalb der EU und der USA 2026 aus, darunter nach dem Kapitel Semaglutid Kanada, China, Indien und Brasilien. Eine Analyse von Patentdatenbanken kam zu folgendem Bild (Levi 2026, PMID 42437874):</w:t>
      </w:r>
    </w:p>
    <w:p>
      <w:pPr>
        <w:numPr>
          <w:ilvl w:val="0"/>
          <w:numId w:val="1363"/>
        </w:numPr>
        <w:pStyle w:val="Compact"/>
      </w:pPr>
      <w:r>
        <w:t xml:space="preserve">In zwölf Ländern endet der Patentschutz 2026. Auf sie entfallen 47 % der Menschen mit Adipositas und 49 % der Menschen mit Typ-2-Diabetes weltweit.</w:t>
      </w:r>
    </w:p>
    <w:p>
      <w:pPr>
        <w:numPr>
          <w:ilvl w:val="0"/>
          <w:numId w:val="1363"/>
        </w:numPr>
        <w:pStyle w:val="Compact"/>
      </w:pPr>
      <w:r>
        <w:t xml:space="preserve">In 150 weiteren Ländern fanden die Autorinnen und Autoren gar keine Patentanmeldung.</w:t>
      </w:r>
    </w:p>
    <w:p>
      <w:pPr>
        <w:numPr>
          <w:ilvl w:val="0"/>
          <w:numId w:val="1363"/>
        </w:numPr>
        <w:pStyle w:val="Compact"/>
      </w:pPr>
      <w:r>
        <w:t xml:space="preserve">Bis Ende 2026 könnten gespritzte Semaglutid-Nachahmer damit in 162 Ländern verfügbar sein, in denen 69 % der Menschen mit Typ-2-Diabetes und 84 % der Menschen mit klinischer Adipositas leben.</w:t>
      </w:r>
    </w:p>
    <w:p>
      <w:pPr>
        <w:numPr>
          <w:ilvl w:val="0"/>
          <w:numId w:val="1363"/>
        </w:numPr>
        <w:pStyle w:val="Compact"/>
      </w:pPr>
      <w:r>
        <w:t xml:space="preserve">Aus Daten zu Wirkstofflieferungen aus Indien schätzten sie die Produktionskosten: Ein Jahr gespritztes Semaglutid könnte als Generikum für 28 bis 140 US-Dollar pro Person angeboten werden, die Tablette für 186 bis 380 US-Dollar. Der Pen machte einen unverhältnismäßig großen Teil der Kosten aus.</w:t>
      </w:r>
    </w:p>
    <w:p>
      <w:pPr>
        <w:pStyle w:val="FirstParagraph"/>
      </w:pPr>
      <w:r>
        <w:t xml:space="preserve">Die Autorinnen und Autoren betonen selbst, dass Pen-Kosten, weitere Patente und schwache Gesundheitssysteme den Zugang trotzdem begrenzen können. Wie stark Generika Preise drücken können, zeigt eine Analyse aus Indien: Dort sanken die Preise für SGLT2-Hemmer und GLP-1-Rezeptor-Agonisten nach Patentablauf um etwa 60 bis 90 %. Zwischen indischen Generikapreisen und US-Listenpreisen fanden die Autoren Unterschiede um das 15- bis 65-Fache. Sie weisen aber auch darauf hin, dass sich Generika verschiedener Hersteller in Qualität und Aufnahme im Körper unterscheiden können (Mohan 2026, PMID 42747945).</w:t>
      </w:r>
    </w:p>
    <w:p>
      <w:pPr>
        <w:pStyle w:val="BodyText"/>
      </w:pPr>
      <w:r>
        <w:rPr>
          <w:bCs/>
          <w:b/>
        </w:rPr>
        <w:t xml:space="preserve">In der EU und den USA</w:t>
      </w:r>
      <w:r>
        <w:t xml:space="preserve"> </w:t>
      </w:r>
      <w:r>
        <w:t xml:space="preserve">wird mit Semaglutid-Generika erst um 2031/2032 gerechnet (Stand 2026, bitte prüfen). Für Leserinnen und Leser in Österreich und Deutschland heißt das: Ein in Kanada oder Indien legal verkauftes Semaglutid-Generikum ist hier kein zugelassenes Arzneimittel. Die Regeln zur Einfuhr für den persönlichen Bedarf sind eng (siehe Kapitel „Rechtlicher Rahmen“ in Teil I), und Online-Angebote, die sich auf solche Generika berufen, sind eine typische Einfallstür für Fälschungen (siehe Kapitel „Der Graumarkt“).</w:t>
      </w:r>
    </w:p>
    <w:p>
      <w:pPr>
        <w:pStyle w:val="BodyText"/>
      </w:pPr>
      <w:r>
        <w:rPr>
          <w:bCs/>
          <w:b/>
        </w:rPr>
        <w:t xml:space="preserve">Ein politisches Signal:</w:t>
      </w:r>
      <w:r>
        <w:t xml:space="preserve"> </w:t>
      </w:r>
      <w:r>
        <w:t xml:space="preserve">Die Weltgesundheitsorganisation hat Semaglutid, Liraglutid, Dulaglutid und Tirzepatid im September 2025 in ihre Liste der unentbehrlichen Arzneimittel aufgenommen. Eine Einordnung sieht darin einen Schritt, der Preisverhandlungen und die Entwicklung von Generika in Ländern mit niedrigem und mittlerem Einkommen erleichtern soll; zugleich nennt sie fehlende Mittel, schwache Infrastruktur und das Risiko unkritischer Anwendung als Hürden (Mani 2025, PMID 41358329). In ihrer ersten Leitlinie zu GLP-1-Therapien bei Adipositas spricht die WHO eine bedingte Empfehlung für die langfristige Behandlung zusammen mit intensiver Verhaltenstherapie aus. Als Gründe für die Einschränkung nennt sie unter anderem begrenzte Langzeitdaten, Kosten und die Frage des gerechten Zugangs (Celletti 2026, PMID 41324410).</w:t>
      </w:r>
    </w:p>
    <w:bookmarkEnd w:id="1055"/>
    <w:bookmarkStart w:id="1056" w:name="tirzepatid-und-die-nachfolger"/>
    <w:p>
      <w:pPr>
        <w:pStyle w:val="Heading3"/>
      </w:pPr>
      <w:r>
        <w:t xml:space="preserve">Tirzepatid und die Nachfolger</w:t>
      </w:r>
    </w:p>
    <w:p>
      <w:pPr>
        <w:pStyle w:val="FirstParagraph"/>
      </w:pPr>
      <w:r>
        <w:t xml:space="preserve">Für Tirzepatid und alle neueren Wirkstoffe – Retatrutid, CagriSema, Amycretin, Maridebart Cafraglutid, Orforglipron – ist ein Patentablauf in diesem Jahrzehnt nicht zu erwarten. Für Tirzepatid wird nach Branchenangaben mit Generika frühestens in der zweiten Hälfte der 2030er-Jahre gerechnet (Stand 2026, bitte prüfen). Daraus ergibt sich ein absehbares Muster: Die älteren Wirkstoffe werden billiger, die stärksten bleiben teuer.</w:t>
      </w:r>
    </w:p>
    <w:bookmarkEnd w:id="1056"/>
    <w:bookmarkStart w:id="1057" w:name="das-ende-des-compounding-in-den-usa"/>
    <w:p>
      <w:pPr>
        <w:pStyle w:val="Heading3"/>
      </w:pPr>
      <w:r>
        <w:t xml:space="preserve">Das Ende des Compounding in den USA</w:t>
      </w:r>
    </w:p>
    <w:p>
      <w:pPr>
        <w:pStyle w:val="FirstParagraph"/>
      </w:pPr>
      <w:r>
        <w:t xml:space="preserve">Während der offiziellen Lieferengpässe durften US-Apotheken Semaglutid und Tirzepatid selbst zubereiten („Compounding“, siehe Teil I). Daraus entstand ein großer Markt. Eine Untersuchung im US-Bundesstaat Colorado fand im Frühjahr 2024 93 Unternehmen mit 188 Standorten, die solche Präparate bewarben – meist als medizinische Spas oder Abnehmdienste. 41 dieser Websites verwiesen in ihren Produktbeschreibungen auf die FDA-Zulassung, obwohl die Präparate keine hatten. Ein Anbieter bewarb eine Mischung mit BPC-157, einem Stoff, den die FDA als ungeeignet für das Compounding eingestuft hat (DiStefano 2025, PMID 39776466).</w:t>
      </w:r>
    </w:p>
    <w:p>
      <w:pPr>
        <w:pStyle w:val="BodyText"/>
      </w:pPr>
      <w:r>
        <w:t xml:space="preserve">Nachdem die FDA die Engpässe für beendet erklärt hatte – für Tirzepatid Ende 2024, für Semaglutid Anfang 2025 –, liefen die Übergangsfristen für Kopien der zugelassenen Präparate im Lauf des Jahres 2025 aus (Stand 2026, bitte prüfen). Erlaubt sind seither nur noch Zubereitungen, die sich von den zugelassenen Präparaten unterscheiden. Eine Analyse fand 33 solcher Produkte, darunter Mischungen mit Vitamin B12, Glycin oder einem Abführmittel sowie Tropfen und Schmelztabletten, deren Nutzen und Sicherheit weitgehend unbekannt sind (Belcourt 2026, PMID 41689811). Ein Labor fand in Tirzepatid-B12-Mischungen verschiedener Anbieter eine bisher unbekannte Verunreinigung, die durch eine chemische Reaktion zwischen Tirzepatid und bestimmten B12-Formen entsteht; welche Folgen sie für die Gesundheit hat, ist unbekannt (Jordan 2026, PMID 42010938).</w:t>
      </w:r>
    </w:p>
    <w:p>
      <w:pPr>
        <w:pStyle w:val="BodyText"/>
      </w:pPr>
      <w:r>
        <w:t xml:space="preserve">Das Compounding ist damit nicht verschwunden, sondern hat sich in eine Nische verschoben, in der „personalisierte“ Zusätze die rechtliche Grundlage liefern. In Europa gibt es kein vergleichbares System.</w:t>
      </w:r>
    </w:p>
    <w:bookmarkEnd w:id="1057"/>
    <w:bookmarkStart w:id="1058" w:name="versorgungsengpässe"/>
    <w:p>
      <w:pPr>
        <w:pStyle w:val="Heading3"/>
      </w:pPr>
      <w:r>
        <w:t xml:space="preserve">Versorgungsengpässe</w:t>
      </w:r>
    </w:p>
    <w:p>
      <w:pPr>
        <w:pStyle w:val="FirstParagraph"/>
      </w:pPr>
      <w:r>
        <w:t xml:space="preserve">Ab 2022 überstieg die Nachfrage nach Semaglutid und später Tirzepatid die Produktion. Menschen mit Typ-2-Diabetes bekamen ihre Medikamente zeitweise nicht. In Deutschland und Österreich riefen Behörden und Fachgesellschaften dazu auf, Ozempic Menschen mit Typ-2-Diabetes vorzubehalten und nicht zur reinen Gewichtsabnahme zu verordnen (Stand 2026, bitte prüfen).</w:t>
      </w:r>
    </w:p>
    <w:p>
      <w:pPr>
        <w:pStyle w:val="BodyText"/>
      </w:pPr>
      <w:r>
        <w:t xml:space="preserve">Wie groß war der Anteil der Verordnungen außerhalb der Zulassung? Eine landesweite Registerstudie aus Dänemark gibt eine Antwort. Die Zahl der neuen Ozempic-Anwendenden stieg ab 2022 stark an, auf einen Höchstwert von 10 je 1.000 Erwachsenen und Jahr Anfang 2023. Im Jahr 2022 hatte ein Drittel der neuen Anwendenden keinen dokumentierten Typ-2-Diabetes; 2023 sank dieser Anteil wieder. Die Autorinnen und Autoren folgern, dass Verordnungen zur Gewichtsabnahme nur einen kleineren Teil des Engpasses erklären (Mailhac 2024, PMID 38685990).</w:t>
      </w:r>
    </w:p>
    <w:p>
      <w:pPr>
        <w:pStyle w:val="BodyText"/>
      </w:pPr>
      <w:r>
        <w:t xml:space="preserve">Engpässe haben direkte Folgen für die Behandlung. In einer US-Untersuchung von 288 Menschen, die Semaglutid oder Tirzepatid zur Gewichtsabnahme innerhalb des ersten Jahres absetzten, nannten 11,8 % Lieferengpässe als Hauptgrund. Am häufigsten waren aber Kosten- oder Versicherungsprobleme (47,6 %), gefolgt von Nebenwirkungen (14,6 %); 2,4 % wechselten zu einem Apothekenpräparat (Gasoyan 2025, PMID 41039650).</w:t>
      </w:r>
    </w:p>
    <w:p>
      <w:pPr>
        <w:pStyle w:val="BodyText"/>
      </w:pPr>
      <w:r>
        <w:t xml:space="preserve">Die Hersteller haben ihre Produktionskapazitäten seither stark ausgebaut, und die offiziellen Engpässe gelten in den USA als beendet. In Europa ist die Lage je nach Präparat und Land unterschiedlich (Stand 2026, bitte prüfen).</w:t>
      </w:r>
    </w:p>
    <w:bookmarkEnd w:id="1058"/>
    <w:bookmarkStart w:id="1059" w:name="preise-was-ist-ein-abnehmmedikament-wert"/>
    <w:p>
      <w:pPr>
        <w:pStyle w:val="Heading3"/>
      </w:pPr>
      <w:r>
        <w:t xml:space="preserve">Preise: Was ist ein Abnehmmedikament wert?</w:t>
      </w:r>
    </w:p>
    <w:p>
      <w:pPr>
        <w:pStyle w:val="FirstParagraph"/>
      </w:pPr>
      <w:r>
        <w:t xml:space="preserve">In den USA liegen die Listenpreise für GLP-1-Medikamente deutlich höher als in Europa. Gesundheitsökonomische Arbeiten aus den USA fragen deshalb, ob der Nutzen den Preis rechtfertigt:</w:t>
      </w:r>
    </w:p>
    <w:p>
      <w:pPr>
        <w:numPr>
          <w:ilvl w:val="0"/>
          <w:numId w:val="1364"/>
        </w:numPr>
        <w:pStyle w:val="Compact"/>
      </w:pPr>
      <w:r>
        <w:t xml:space="preserve">Eine Modellrechnung für US-Erwachsene ergab, dass Tirzepatid und Semaglutid über die Lebenszeit zwar viele Fälle von Diabetes und Herz-Kreislauf-Erkrankungen verhindern würden, zu den damaligen Nettopreisen aber nicht kosteneffektiv waren. Um eine übliche Schwelle zu erreichen, hätten die Preise um weitere 30,5 % (Tirzepatid) bzw. 81,9 % (Semaglutid) sinken müssen (Hwang 2025, PMID 40085108).</w:t>
      </w:r>
    </w:p>
    <w:p>
      <w:pPr>
        <w:numPr>
          <w:ilvl w:val="0"/>
          <w:numId w:val="1364"/>
        </w:numPr>
        <w:pStyle w:val="Compact"/>
      </w:pPr>
      <w:r>
        <w:t xml:space="preserve">Eine Meta-Analyse von neun gesundheitsökonomischen Studien aus Ländern mit hohem Einkommen kam zu dem Schluss, dass GLP-1-Rezeptor-Agonisten zur Behandlung von Adipositas ohne Diabetes aus Sicht der Kostenträger im Allgemeinen nicht kosteneffektiv sind; in Untergruppen und über längere Zeiträume könne das anders sein (Dhippayom 2026, PMID 41365841).</w:t>
      </w:r>
    </w:p>
    <w:p>
      <w:pPr>
        <w:numPr>
          <w:ilvl w:val="0"/>
          <w:numId w:val="1364"/>
        </w:numPr>
        <w:pStyle w:val="Compact"/>
      </w:pPr>
      <w:r>
        <w:t xml:space="preserve">Für Menschen ohne Diabetes, die bereits einen Herzinfarkt oder Schlaganfall hatten, fiel eine Modellrechnung günstiger aus: Zu dem Preis, den Selbstzahlende in den USA zum Zeitpunkt der Analyse zahlten, wäre Semaglutid in dieser Gruppe kosteneffektiv (Hennessy 2026, PMID 41637062).</w:t>
      </w:r>
    </w:p>
    <w:p>
      <w:pPr>
        <w:pStyle w:val="FirstParagraph"/>
      </w:pPr>
      <w:r>
        <w:t xml:space="preserve">Solche Berechnungen hängen stark von Preisannahmen ab, und die Preise bewegen sich. In den USA haben die Hersteller seit 2025 deutlich günstigere Direktangebote für Selbstzahlende eingeführt und mit der Regierung Preisvereinbarungen getroffen; Semaglutid ist außerdem Gegenstand der staatlichen Preisverhandlungen für das Rentnerprogramm Medicare (Stand 2026, bitte prüfen). Wie stark die Kostenübernahme die Nutzung beeinflusst, zeigt eine US-Auswertung: Nachdem Wegovy im März 2024 für die Senkung des Herz-Kreislauf-Risikos zugelassen und von Medicare für diese Anwendung übernommen wurde, stieg die Zahl der über Medicare abgegebenen Wegovy-Packungen relativ um 598,1 % (Scannell 2026, PMID 42640207).</w:t>
      </w:r>
    </w:p>
    <w:p>
      <w:pPr>
        <w:pStyle w:val="BodyText"/>
      </w:pPr>
      <w:r>
        <w:rPr>
          <w:bCs/>
          <w:b/>
        </w:rPr>
        <w:t xml:space="preserve">Einschätzung des Autors:</w:t>
      </w:r>
      <w:r>
        <w:t xml:space="preserve"> </w:t>
      </w:r>
      <w:r>
        <w:t xml:space="preserve">Die Preise für GLP-1-basierte Medikamente werden in den nächsten Jahren sinken – durch Generika älterer Wirkstoffe, durch Konkurrenz zwischen den Herstellern, durch Tabletten aus kleinen Molekülen und durch politischen Druck. Am stärksten wird das in Ländern mit frühem Patentablauf spürbar sein. In der EU dürfte der große Preissprung erst mit Semaglutid-Generika Anfang der 2030er-Jahre kommen.</w:t>
      </w:r>
    </w:p>
    <w:bookmarkEnd w:id="1059"/>
    <w:bookmarkStart w:id="1060" w:name="Xaab953e09853232dcf6bdde17975c9ae4fb27d2"/>
    <w:p>
      <w:pPr>
        <w:pStyle w:val="Heading3"/>
      </w:pPr>
      <w:r>
        <w:t xml:space="preserve">Kostenerstattung in Deutschland und Österreich</w:t>
      </w:r>
    </w:p>
    <w:p>
      <w:pPr>
        <w:pStyle w:val="FirstParagraph"/>
      </w:pPr>
      <w:r>
        <w:rPr>
          <w:bCs/>
          <w:b/>
        </w:rPr>
        <w:t xml:space="preserve">Deutschland:</w:t>
      </w:r>
      <w:r>
        <w:t xml:space="preserve"> </w:t>
      </w:r>
      <w:r>
        <w:t xml:space="preserve">Bei Typ-2-Diabetes übernimmt die gesetzliche Krankenversicherung die Kosten für zugelassene GLP-1-Medikamente wie Ozempic, Rybelsus, Trulicity oder Mounjaro im Rahmen der Zulassung. Arzneimittel, die überwiegend der Gewichtsreduktion dienen, sind dagegen nach § 34 SGB V von der Erstattung ausgeschlossen; Wegovy, Saxenda und Mounjaro zum Gewichtsmanagement müssen gesetzlich Versicherte daher in der Regel selbst bezahlen. Ob diese Regel für Menschen mit hohem Herz-Kreislauf-Risiko geändert wird, wird politisch und in der Selbstverwaltung diskutiert. Private Krankenversicherungen entscheiden nach ihren eigenen Tarifbedingungen (Stand 2026, bitte prüfen).</w:t>
      </w:r>
    </w:p>
    <w:p>
      <w:pPr>
        <w:pStyle w:val="BodyText"/>
      </w:pPr>
      <w:r>
        <w:rPr>
          <w:bCs/>
          <w:b/>
        </w:rPr>
        <w:t xml:space="preserve">Österreich:</w:t>
      </w:r>
      <w:r>
        <w:t xml:space="preserve"> </w:t>
      </w:r>
      <w:r>
        <w:t xml:space="preserve">Für Typ-2-Diabetes sind GLP-1-Medikamente erstattungsfähig, die Übernahme ist aber teils an Bedingungen oder eine Bewilligung durch die Krankenkasse geknüpft. Für das reine Gewichtsmanagement werden die Kosten in der Regel nicht oder nur in Ausnahmefällen übernommen (Stand 2026, bitte prüfen).</w:t>
      </w:r>
    </w:p>
    <w:p>
      <w:pPr>
        <w:pStyle w:val="BodyText"/>
      </w:pPr>
      <w:r>
        <w:t xml:space="preserve">In beiden Ländern gilt: Ob eine Behandlung erstattet wird, hängt vom Anwendungsgebiet, von den Befunden und von der aktuellen Rechtslage ab. Die behandelnde Ärztin oder der behandelnde Arzt und die Krankenkasse sind die richtigen Ansprechpartner. Eine Verordnung zur Gewichtsabnahme mit einem Präparat, das nur für Diabetes zugelassen ist, ist eine Anwendung außerhalb der Zulassung und wird nicht erstattet.</w:t>
      </w:r>
    </w:p>
    <w:bookmarkEnd w:id="1060"/>
    <w:bookmarkStart w:id="1061" w:name="Xfc93a588f03f31cfc7e49f10718a25dd5ab5ccd"/>
    <w:p>
      <w:pPr>
        <w:pStyle w:val="Heading3"/>
      </w:pPr>
      <w:r>
        <w:t xml:space="preserve">Was das für Patientinnen und Patienten bedeutet</w:t>
      </w:r>
    </w:p>
    <w:p>
      <w:pPr>
        <w:numPr>
          <w:ilvl w:val="0"/>
          <w:numId w:val="1365"/>
        </w:numPr>
        <w:pStyle w:val="Compact"/>
      </w:pPr>
      <w:r>
        <w:rPr>
          <w:bCs/>
          <w:b/>
        </w:rPr>
        <w:t xml:space="preserve">Günstiger heißt nicht Graumarkt.</w:t>
      </w:r>
      <w:r>
        <w:t xml:space="preserve"> </w:t>
      </w:r>
      <w:r>
        <w:t xml:space="preserve">Mit dem Patentablauf in anderen Ländern werden Angebote zunehmen, die sich auf „Generika“ berufen. Für Österreich und Deutschland sind nur hier zugelassene Präparate aus Apotheken geprüfte Arzneimittel.</w:t>
      </w:r>
    </w:p>
    <w:p>
      <w:pPr>
        <w:numPr>
          <w:ilvl w:val="0"/>
          <w:numId w:val="1365"/>
        </w:numPr>
        <w:pStyle w:val="Compact"/>
      </w:pPr>
      <w:r>
        <w:rPr>
          <w:bCs/>
          <w:b/>
        </w:rPr>
        <w:t xml:space="preserve">Absetzen aus Kostengründen ist häufig – und hat Folgen.</w:t>
      </w:r>
      <w:r>
        <w:t xml:space="preserve"> </w:t>
      </w:r>
      <w:r>
        <w:t xml:space="preserve">In der STEP-1-Verlängerung nahmen Teilnehmende ein Jahr nach dem Absetzen von Semaglutid im Mittel zwei Drittel ihres Gewichtsverlusts wieder zu, und die Verbesserungen bei Blutdruck und Blutwerten bildeten sich weitgehend zurück (Wilding 2022, PMID 35441470). Wer aus Kostengründen über ein Absetzen nachdenkt, sollte das ärztlich besprechen.</w:t>
      </w:r>
    </w:p>
    <w:p>
      <w:pPr>
        <w:numPr>
          <w:ilvl w:val="0"/>
          <w:numId w:val="1365"/>
        </w:numPr>
        <w:pStyle w:val="Compact"/>
      </w:pPr>
      <w:r>
        <w:rPr>
          <w:bCs/>
          <w:b/>
        </w:rPr>
        <w:t xml:space="preserve">Ältere Wirkstoffe sind nicht wertlos.</w:t>
      </w:r>
      <w:r>
        <w:t xml:space="preserve"> </w:t>
      </w:r>
      <w:r>
        <w:t xml:space="preserve">Liraglutid oder Dulaglutid sind gut untersucht und haben bei Typ-2-Diabetes einen belegten Herz-Kreislauf-Nutzen. Welcher Wirkstoff im Einzelfall infrage kommt, ist eine ärztliche Entscheidung.</w:t>
      </w:r>
    </w:p>
    <w:bookmarkEnd w:id="1061"/>
    <w:bookmarkStart w:id="1062" w:name="das-wichtigste-in-kürze-10"/>
    <w:p>
      <w:pPr>
        <w:pStyle w:val="Heading3"/>
      </w:pPr>
      <w:r>
        <w:t xml:space="preserve">Das Wichtigste in Kürze</w:t>
      </w:r>
    </w:p>
    <w:p>
      <w:pPr>
        <w:numPr>
          <w:ilvl w:val="0"/>
          <w:numId w:val="1366"/>
        </w:numPr>
        <w:pStyle w:val="Compact"/>
      </w:pPr>
      <w:r>
        <w:t xml:space="preserve">2026 endet der Patentschutz für Semaglutid in Ländern, in denen fast die Hälfte der Menschen mit Adipositas lebt. Generika könnten dort einen Bruchteil heutiger Preise kosten; in der EU und den USA wird erst um 2031/2032 damit gerechnet (bitte prüfen).</w:t>
      </w:r>
    </w:p>
    <w:p>
      <w:pPr>
        <w:numPr>
          <w:ilvl w:val="0"/>
          <w:numId w:val="1366"/>
        </w:numPr>
        <w:pStyle w:val="Compact"/>
      </w:pPr>
      <w:r>
        <w:t xml:space="preserve">Für Liraglutid gibt es bereits Generika; Tirzepatid und alle neueren Wirkstoffe bleiben voraussichtlich bis weit in die 2030er-Jahre patentgeschützt.</w:t>
      </w:r>
    </w:p>
    <w:p>
      <w:pPr>
        <w:numPr>
          <w:ilvl w:val="0"/>
          <w:numId w:val="1366"/>
        </w:numPr>
        <w:pStyle w:val="Compact"/>
      </w:pPr>
      <w:r>
        <w:t xml:space="preserve">Das US-Compounding mit Kopien zugelassener Präparate ist nach dem Ende der Engpässe weitgehend beendet; übrig sind abgewandelte Zubereitungen mit ungeprüften Zusätzen.</w:t>
      </w:r>
    </w:p>
    <w:p>
      <w:pPr>
        <w:numPr>
          <w:ilvl w:val="0"/>
          <w:numId w:val="1366"/>
        </w:numPr>
        <w:pStyle w:val="Compact"/>
      </w:pPr>
      <w:r>
        <w:t xml:space="preserve">Kosten sind in Studien der häufigste Grund, eine Behandlung abzubrechen. In Deutschland sind Abnehmmedikamente von der Erstattung ausgeschlossen, in Österreich wird nur eingeschränkt erstattet (Stand 2026, bitte prüfen).</w:t>
      </w:r>
    </w:p>
    <w:bookmarkEnd w:id="1062"/>
    <w:bookmarkEnd w:id="1063"/>
    <w:bookmarkStart w:id="1078" w:name="prognosen-2030-bis-2035"/>
    <w:p>
      <w:pPr>
        <w:pStyle w:val="Heading2"/>
      </w:pPr>
      <w:r>
        <w:t xml:space="preserve">Prognosen 2030 bis 2035</w:t>
      </w:r>
    </w:p>
    <w:p>
      <w:pPr>
        <w:pStyle w:val="FirstParagraph"/>
      </w:pPr>
      <w:r>
        <w:t xml:space="preserve">Vorhersagen in der Medizin haben eine schlechte Erfolgsbilanz. Auch dieses Buch kennt Beispiele: Tierversuche und Beobachtungsdaten ließen hoffen, dass GLP-1-Medikamente den geistigen Abbau bei Alzheimer bremsen. In den beiden Phase-3-Studien evoke und evoke+ mit zusammen 3.808 Teilnehmenden schritt die Erkrankung unter Semaglutid-Tabletten jedoch genauso schnell voran wie unter Placebo (Cummings 2026, PMID 41865758). Bei Parkinson fand die Phase-3-Studie Exenatide-PD3 mit 194 Teilnehmenden keinen Hinweis, dass Exenatid das Fortschreiten verlangsamt (Vijiaratnam 2025, PMID 39919773).</w:t>
      </w:r>
    </w:p>
    <w:p>
      <w:pPr>
        <w:pStyle w:val="BodyText"/>
      </w:pPr>
      <w:r>
        <w:t xml:space="preserve">Dieses Kapitel trennt deshalb in jedem Abschnitt streng:</w:t>
      </w:r>
    </w:p>
    <w:p>
      <w:pPr>
        <w:numPr>
          <w:ilvl w:val="0"/>
          <w:numId w:val="1367"/>
        </w:numPr>
        <w:pStyle w:val="Compact"/>
      </w:pPr>
      <w:r>
        <w:rPr>
          <w:bCs/>
          <w:b/>
        </w:rPr>
        <w:t xml:space="preserve">Gesichert:</w:t>
      </w:r>
      <w:r>
        <w:t xml:space="preserve"> </w:t>
      </w:r>
      <w:r>
        <w:t xml:space="preserve">was in Studienregistern eingetragen ist (mit geplantem Enddatum), was in begutachteten Studien veröffentlicht ist und was Behörden beschlossen haben. Auch Gesichertes kann sich ändern – Enddaten verschieben sich, Studien werden abgebrochen.</w:t>
      </w:r>
    </w:p>
    <w:p>
      <w:pPr>
        <w:numPr>
          <w:ilvl w:val="0"/>
          <w:numId w:val="1367"/>
        </w:numPr>
        <w:pStyle w:val="Compact"/>
      </w:pPr>
      <w:r>
        <w:rPr>
          <w:bCs/>
          <w:b/>
        </w:rPr>
        <w:t xml:space="preserve">Einschätzung des Autors:</w:t>
      </w:r>
      <w:r>
        <w:t xml:space="preserve"> </w:t>
      </w:r>
      <w:r>
        <w:t xml:space="preserve">eine begründete Erwartung, die falsch sein kann. Sie ist als solche gekennzeichnet und wird jeweils begründet.</w:t>
      </w:r>
    </w:p>
    <w:p>
      <w:pPr>
        <w:pStyle w:val="FirstParagraph"/>
      </w:pPr>
      <w:r>
        <w:t xml:space="preserve">Die Registerdaten geben den Stand von Oktober 2026 wieder.</w:t>
      </w:r>
    </w:p>
    <w:bookmarkStart w:id="1064" w:name="gruppe-a-stoffwechsel-und-gewicht"/>
    <w:p>
      <w:pPr>
        <w:pStyle w:val="Heading3"/>
      </w:pPr>
      <w:r>
        <w:t xml:space="preserve">Gruppe A – Stoffwechsel und Gewicht</w:t>
      </w:r>
    </w:p>
    <w:p>
      <w:pPr>
        <w:pStyle w:val="FirstParagraph"/>
      </w:pPr>
      <w:r>
        <w:rPr>
          <w:bCs/>
          <w:b/>
        </w:rPr>
        <w:t xml:space="preserve">Gesichert:</w:t>
      </w:r>
    </w:p>
    <w:p>
      <w:pPr>
        <w:numPr>
          <w:ilvl w:val="0"/>
          <w:numId w:val="1368"/>
        </w:numPr>
        <w:pStyle w:val="Compact"/>
      </w:pPr>
      <w:r>
        <w:t xml:space="preserve">Bis 2032 enden mindestens neun große Endpunkt- und Leberstudien: SURMOUNT-MMO zu Tirzepatid (NCT05556512) und REDEFINE 3 zu CagriSema (NCT05669755) im Jahr 2027, TRIUMPH-Outcomes zu Retatrutid (NCT06383390) und LIVERAGE-Cirrhosis zu Survodutid (NCT06632457) im Jahr 2029, MARITIME-CV und MARITIME-HF zu Maridebart Cafraglutid (NCT07037433, NCT07037459) sowie AMBIENCE zu Zenagamtid (NCT07861100) im Jahr 2030, ATTAIN-Outcomes zu Orforglipron (NCT07241390) im Jahr 2031 und SYNERGY-Outcomes zu Tirzepatid und Retatrutid (NCT07165028) im Jahr 2032.</w:t>
      </w:r>
    </w:p>
    <w:p>
      <w:pPr>
        <w:numPr>
          <w:ilvl w:val="0"/>
          <w:numId w:val="1368"/>
        </w:numPr>
        <w:pStyle w:val="Compact"/>
      </w:pPr>
      <w:r>
        <w:t xml:space="preserve">Reine Amylin-Wirkstoffe sind in Phase 3: Eloralintide (ENLIGHTEN-1, NCT07321886, Ende 2030) und Petrelintide (ZUPREME-3, NCT07843498, Ende 2029).</w:t>
      </w:r>
    </w:p>
    <w:p>
      <w:pPr>
        <w:numPr>
          <w:ilvl w:val="0"/>
          <w:numId w:val="1368"/>
        </w:numPr>
        <w:pStyle w:val="Compact"/>
      </w:pPr>
      <w:r>
        <w:t xml:space="preserve">Für CagriSema und Orforglipron sind nach den jeweiligen Kapiteln Zulassungsanträge gestellt oder angekündigt; für Retatrutid werden sie nach Abschluss von TRIUMPH-1 und TRIUMPH-2 erwartet (Stand Oktober 2026, bitte prüfen).</w:t>
      </w:r>
    </w:p>
    <w:p>
      <w:pPr>
        <w:numPr>
          <w:ilvl w:val="0"/>
          <w:numId w:val="1368"/>
        </w:numPr>
        <w:pStyle w:val="Compact"/>
      </w:pPr>
      <w:r>
        <w:t xml:space="preserve">In zwölf Ländern endet 2026 der Patentschutz für Semaglutid, darunter große Märkte außerhalb von EU und USA (Levi 2026, PMID 42437874). In der EU und den USA wird mit Generika um 2031/2032 gerechnet (Stand 2026, bitte prüfen).</w:t>
      </w:r>
    </w:p>
    <w:p>
      <w:pPr>
        <w:pStyle w:val="FirstParagraph"/>
      </w:pPr>
      <w:r>
        <w:rPr>
          <w:bCs/>
          <w:b/>
        </w:rPr>
        <w:t xml:space="preserve">Einschätzung des Autors:</w:t>
      </w:r>
      <w:r>
        <w:t xml:space="preserve"> </w:t>
      </w:r>
      <w:r>
        <w:t xml:space="preserve">Bis 2030 werden in der EU voraussichtlich mehrere neue Wirkstoffklassen zugelassen sein – mindestens eine Amylin-Kombination, ein Dreifach-Agonist und ein kleines Molekül als Tablette. Begründung: Die Phase-3-Programme sind weit fortgeschritten, die bisher veröffentlichten Ergebnisse sind klar positiv, und die Hersteller haben Zulassungsanträge gestellt oder angekündigt. Ein mittlerer Gewichtsverlust von 20 bis 25 % in Studien dürfte dann nicht mehr die Ausnahme sein. Wichtiger als ein neuer Rekord wird aber die Frage, welcher Wirkstoff zu welcher Person passt: wer vor allem Herzschutz braucht, wer eine Fettleber hat, wer Spritzen meiden will, wer Nebenwirkungen schlecht verträgt. Zwischen 2030 und 2035 rechne ich mit deutlich sinkenden Preisen für Semaglutid in Europa durch Generika, während die neuesten Wirkstoffe teuer bleiben. Das Risiko einer Zwei-Klassen-Versorgung – die stärksten Mittel für Selbstzahlende, ältere Mittel für alle anderen – halte ich für real.</w:t>
      </w:r>
    </w:p>
    <w:bookmarkEnd w:id="1064"/>
    <w:bookmarkStart w:id="1065" w:name="X31825aa7844903dcc0f309843def9a84c4bfe78"/>
    <w:p>
      <w:pPr>
        <w:pStyle w:val="Heading3"/>
      </w:pPr>
      <w:r>
        <w:t xml:space="preserve">Gruppe B – Heilung, Regeneration und Immunsystem</w:t>
      </w:r>
    </w:p>
    <w:p>
      <w:pPr>
        <w:pStyle w:val="FirstParagraph"/>
      </w:pPr>
      <w:r>
        <w:rPr>
          <w:bCs/>
          <w:b/>
        </w:rPr>
        <w:t xml:space="preserve">Gesichert:</w:t>
      </w:r>
    </w:p>
    <w:p>
      <w:pPr>
        <w:numPr>
          <w:ilvl w:val="0"/>
          <w:numId w:val="1369"/>
        </w:numPr>
        <w:pStyle w:val="Compact"/>
      </w:pPr>
      <w:r>
        <w:t xml:space="preserve">Die Phase-3-Studie zu Thymosin Alpha-1 nach Darmkrebsoperation mit 2.500 Teilnehmenden soll im März 2027 enden (NCT05086614).</w:t>
      </w:r>
    </w:p>
    <w:p>
      <w:pPr>
        <w:numPr>
          <w:ilvl w:val="0"/>
          <w:numId w:val="1369"/>
        </w:numPr>
        <w:pStyle w:val="Compact"/>
      </w:pPr>
      <w:r>
        <w:t xml:space="preserve">Die Phase-3-Studie SEER-2 mit Thymosin-Beta-4-Augentropfen bei neurotropher Keratopathie war laut Register im Mai 2026 beendet; Ergebnisse lagen im Oktober 2026 nicht vor (NCT05555589).</w:t>
      </w:r>
    </w:p>
    <w:p>
      <w:pPr>
        <w:numPr>
          <w:ilvl w:val="0"/>
          <w:numId w:val="1369"/>
        </w:numPr>
        <w:pStyle w:val="Compact"/>
      </w:pPr>
      <w:r>
        <w:t xml:space="preserve">Eine chinesische Phase-2-Studie mit rekombinantem Thymosin Beta-4 nach Herzinfarkt ist geplant (NCT07586865, 189 Teilnehmende, Ende Mai 2028).</w:t>
      </w:r>
    </w:p>
    <w:p>
      <w:pPr>
        <w:numPr>
          <w:ilvl w:val="0"/>
          <w:numId w:val="1369"/>
        </w:numPr>
        <w:pStyle w:val="Compact"/>
      </w:pPr>
      <w:r>
        <w:t xml:space="preserve">Für BPC-157 ist eine kleine randomisierte Studie mit 30 Teilnehmenden nach Schulteroperationen registriert, die noch nicht begonnen hat (NCT07803250, Ende geplant August 2027).</w:t>
      </w:r>
    </w:p>
    <w:p>
      <w:pPr>
        <w:pStyle w:val="FirstParagraph"/>
      </w:pPr>
      <w:r>
        <w:rPr>
          <w:bCs/>
          <w:b/>
        </w:rPr>
        <w:t xml:space="preserve">Einschätzung des Autors:</w:t>
      </w:r>
      <w:r>
        <w:t xml:space="preserve"> </w:t>
      </w:r>
      <w:r>
        <w:t xml:space="preserve">Bis 2035 halte ich eine Zulassung von BPC-157, TB-500 oder KPV in der EU für sehr unwahrscheinlich. Begründung: Es gibt keine Phase-2- oder Phase-3-Programme, keinen Hersteller mit erkennbarem Zulassungsinteresse, und selbst ein positives Ergebnis der kleinen Schulterstudie wäre nur ein erster Hinweis. Realistischer ist eine Nischenzulassung für Thymosin-Beta-4-Augentropfen bei einer seltenen Hornhauterkrankung, sofern SEER-2 positiv ausfällt. Thymosin Alpha-1 könnte in China eine größere Rolle in der Krebsnachsorge spielen, wenn die Darmkrebsstudie positiv ist – wegen der fehlenden Doppelverblindung aber mit Vorbehalt.</w:t>
      </w:r>
    </w:p>
    <w:bookmarkEnd w:id="1065"/>
    <w:bookmarkStart w:id="1066" w:name="gruppe-c-wachstumshormon-achse"/>
    <w:p>
      <w:pPr>
        <w:pStyle w:val="Heading3"/>
      </w:pPr>
      <w:r>
        <w:t xml:space="preserve">Gruppe C – Wachstumshormon-Achse</w:t>
      </w:r>
    </w:p>
    <w:p>
      <w:pPr>
        <w:pStyle w:val="FirstParagraph"/>
      </w:pPr>
      <w:r>
        <w:rPr>
          <w:bCs/>
          <w:b/>
        </w:rPr>
        <w:t xml:space="preserve">Gesichert:</w:t>
      </w:r>
    </w:p>
    <w:p>
      <w:pPr>
        <w:numPr>
          <w:ilvl w:val="0"/>
          <w:numId w:val="1370"/>
        </w:numPr>
        <w:pStyle w:val="Compact"/>
      </w:pPr>
      <w:r>
        <w:t xml:space="preserve">Ibutamoren (kein Peptid) wird als LUM-201 in einer Phase-3-Studie mit 150 Kindern mit Wachstumshormonmangel geprüft (NCT06948214, Ende Januar 2028). Eine Phase-2-Studie mit 202 älteren Menschen mit Adipositas soll LUM-201 zusätzlich zu Semaglutid untersuchen (NCT07754045, Ende Februar 2028).</w:t>
      </w:r>
    </w:p>
    <w:p>
      <w:pPr>
        <w:numPr>
          <w:ilvl w:val="0"/>
          <w:numId w:val="1370"/>
        </w:numPr>
        <w:pStyle w:val="Compact"/>
      </w:pPr>
      <w:r>
        <w:t xml:space="preserve">Das Langzeitregister zu Mecasermin läuft bis Ende 2027 (NCT00903110).</w:t>
      </w:r>
    </w:p>
    <w:p>
      <w:pPr>
        <w:numPr>
          <w:ilvl w:val="0"/>
          <w:numId w:val="1370"/>
        </w:numPr>
        <w:pStyle w:val="Compact"/>
      </w:pPr>
      <w:r>
        <w:t xml:space="preserve">Für Sermorelin, CJC-1295, Ipamorelin, GHRP-2, GHRP-6, Hexarelin und IGF-1 LR3 ist keine laufende Studie registriert (siehe jeweilige Kapitel).</w:t>
      </w:r>
    </w:p>
    <w:p>
      <w:pPr>
        <w:pStyle w:val="FirstParagraph"/>
      </w:pPr>
      <w:r>
        <w:rPr>
          <w:bCs/>
          <w:b/>
        </w:rPr>
        <w:t xml:space="preserve">Einschätzung des Autors:</w:t>
      </w:r>
      <w:r>
        <w:t xml:space="preserve"> </w:t>
      </w:r>
      <w:r>
        <w:t xml:space="preserve">Eine neue Zulassung eines Wachstumshormon-freisetzenden Peptids für Erwachsene halte ich bis 2035 für unwahrscheinlich. Begründung: Die Substanzen sind alt, kaum patentierbar, und die Sicherheitsfragen um dauerhaft erhöhte IGF-1-Spiegel (siehe Teil IV) machen große Studien teuer und riskant. Interessant ist ein anderer Trend: Weil starke Gewichtsabnahme auch Muskeln kostet, könnte die Wachstumshormon-Achse als möglicher Muskelschutz neue Aufmerksamkeit bekommen – die Studie mit LUM-201 und Semaglutid ist ein erstes Beispiel. Ob daraus ein Nutzen entsteht, ist völlig offen.</w:t>
      </w:r>
    </w:p>
    <w:bookmarkEnd w:id="1066"/>
    <w:bookmarkStart w:id="1067" w:name="gruppe-d-gehirn-schlaf-und-langlebigkeit"/>
    <w:p>
      <w:pPr>
        <w:pStyle w:val="Heading3"/>
      </w:pPr>
      <w:r>
        <w:t xml:space="preserve">Gruppe D – Gehirn, Schlaf und Langlebigkeit</w:t>
      </w:r>
    </w:p>
    <w:p>
      <w:pPr>
        <w:pStyle w:val="FirstParagraph"/>
      </w:pPr>
      <w:r>
        <w:rPr>
          <w:bCs/>
          <w:b/>
        </w:rPr>
        <w:t xml:space="preserve">Gesichert:</w:t>
      </w:r>
    </w:p>
    <w:p>
      <w:pPr>
        <w:numPr>
          <w:ilvl w:val="0"/>
          <w:numId w:val="1371"/>
        </w:numPr>
        <w:pStyle w:val="Compact"/>
      </w:pPr>
      <w:r>
        <w:t xml:space="preserve">Elamipretid (SS-31) ist in den USA seit September 2025 beschleunigt für das Barth-Syndrom zugelassen, gebunden an eine Bestätigungsstudie (4TAZPower, NCT07531251, Ende November 2029). Die Phase-3-Studie ReNEW bei trockener Makuladegeneration soll im September 2027 enden (NCT06373731).</w:t>
      </w:r>
    </w:p>
    <w:p>
      <w:pPr>
        <w:numPr>
          <w:ilvl w:val="0"/>
          <w:numId w:val="1371"/>
        </w:numPr>
        <w:pStyle w:val="Compact"/>
      </w:pPr>
      <w:r>
        <w:t xml:space="preserve">Zu Cerebrolysin laufen nur kleinere Studien, etwa bei CADASIL (NCT05755997).</w:t>
      </w:r>
    </w:p>
    <w:p>
      <w:pPr>
        <w:numPr>
          <w:ilvl w:val="0"/>
          <w:numId w:val="1371"/>
        </w:numPr>
        <w:pStyle w:val="Compact"/>
      </w:pPr>
      <w:r>
        <w:t xml:space="preserve">Für Semax, Selank, Dihexa, DSIP, Pinealon, Humanin, FOXO4-DRI und MOTS-c ist keine verlässlich registrierte Studie zur Gabe des Wirkstoffs verzeichnet. Für Epitalon gibt es nur eine unkontrollierte Studie, in der es einer von fünf Bestandteilen eines Hautserums ist (NCT07888595).</w:t>
      </w:r>
    </w:p>
    <w:p>
      <w:pPr>
        <w:numPr>
          <w:ilvl w:val="0"/>
          <w:numId w:val="1371"/>
        </w:numPr>
        <w:pStyle w:val="Compact"/>
      </w:pPr>
      <w:r>
        <w:t xml:space="preserve">In den USA wird die Einstufung mehrerer dieser Peptide für Apotheken-Rezepturen neu bewertet (siehe Kapitel Semax und Dihexa; Willis 2026, PMID 42752426).</w:t>
      </w:r>
    </w:p>
    <w:p>
      <w:pPr>
        <w:pStyle w:val="FirstParagraph"/>
      </w:pPr>
      <w:r>
        <w:rPr>
          <w:bCs/>
          <w:b/>
        </w:rPr>
        <w:t xml:space="preserve">Einschätzung des Autors:</w:t>
      </w:r>
      <w:r>
        <w:t xml:space="preserve"> </w:t>
      </w:r>
      <w:r>
        <w:t xml:space="preserve">Die Langlebigkeitspeptide werden bis 2035 voraussichtlich bleiben, was sie heute sind: Stoffe mit interessanten Tierdaten und großer Online-Nachfrage, aber ohne Nachweis eines Nutzens am Menschen. Begründung: Studien zu „gesundem Altern“ brauchen viele Jahre und klare Endpunkte, die es dafür noch kaum gibt; kein Hersteller hat ein erkennbares Programm. Sollten US-Behörden einzelne Peptide für Rezepturen freigeben, würde das die Verbreitung erhöhen, ohne die Datenlage zu verbessern. Elamipretid ist der einzige Wirkstoff dieser Gruppe mit einem realistischen Weg zu einer breiteren Zulassung, und auch das nur, wenn ReNEW positiv ausfällt.</w:t>
      </w:r>
    </w:p>
    <w:bookmarkEnd w:id="1067"/>
    <w:bookmarkStart w:id="1068" w:name="X87f4274df71fabf0a6d8cb2a40844406ec8f80a"/>
    <w:p>
      <w:pPr>
        <w:pStyle w:val="Heading3"/>
      </w:pPr>
      <w:r>
        <w:t xml:space="preserve">Gruppe E – Hormone, Sexualität und Pigmentierung</w:t>
      </w:r>
    </w:p>
    <w:p>
      <w:pPr>
        <w:pStyle w:val="FirstParagraph"/>
      </w:pPr>
      <w:r>
        <w:rPr>
          <w:bCs/>
          <w:b/>
        </w:rPr>
        <w:t xml:space="preserve">Gesichert:</w:t>
      </w:r>
    </w:p>
    <w:p>
      <w:pPr>
        <w:numPr>
          <w:ilvl w:val="0"/>
          <w:numId w:val="1372"/>
        </w:numPr>
        <w:pStyle w:val="Compact"/>
      </w:pPr>
      <w:r>
        <w:t xml:space="preserve">Die Phase-3-Studie zu Afamelanotid bei Vitiligo mit 200 Teilnehmenden war laut Register im Juni 2026 beendet; begutachtete Ergebnisse lagen im Oktober 2026 nicht vor (NCT06109649).</w:t>
      </w:r>
    </w:p>
    <w:p>
      <w:pPr>
        <w:numPr>
          <w:ilvl w:val="0"/>
          <w:numId w:val="1372"/>
        </w:numPr>
        <w:pStyle w:val="Compact"/>
      </w:pPr>
      <w:r>
        <w:t xml:space="preserve">Kisspeptin wird in kleinen Phase-2-Studien bei angeborenem Hormonmangel (NCT05896293, Ende Mai 2028) und bei hypothalamischer Amenorrhö (NCT07224438, Ende Mai 2030) untersucht.</w:t>
      </w:r>
    </w:p>
    <w:p>
      <w:pPr>
        <w:numPr>
          <w:ilvl w:val="0"/>
          <w:numId w:val="1372"/>
        </w:numPr>
        <w:pStyle w:val="Compact"/>
      </w:pPr>
      <w:r>
        <w:t xml:space="preserve">Oxytocin-Nasenspray wird als Ergänzung einer Paartherapie bei posttraumatischer Belastungsstörung mit 240 Teilnehmenden geprüft (NCT06194851, Ende September 2028).</w:t>
      </w:r>
    </w:p>
    <w:p>
      <w:pPr>
        <w:pStyle w:val="FirstParagraph"/>
      </w:pPr>
      <w:r>
        <w:rPr>
          <w:bCs/>
          <w:b/>
        </w:rPr>
        <w:t xml:space="preserve">Einschätzung des Autors:</w:t>
      </w:r>
      <w:r>
        <w:t xml:space="preserve"> </w:t>
      </w:r>
      <w:r>
        <w:t xml:space="preserve">Am ehesten ist bis 2030 eine Erweiterung der Afamelanotid-Zulassung auf Vitiligo denkbar – falls die Phase-3-Studie positiv ist. Kisspeptin dürfte ein Forschungs- und Diagnosewerkzeug bleiben; eine Zulassung bis 2035 setzt größere Vergleichsstudien voraus, die bisher fehlen. Beim Oxytocin-Nasenspray erwarte ich keine Zulassung für Autismus oder soziale Ängste, allenfalls Belege für eng umrissene Anwendungen in Kombination mit Psychotherapie. Melanotan II bleibt ein Graumarkt-Produkt.</w:t>
      </w:r>
    </w:p>
    <w:bookmarkEnd w:id="1068"/>
    <w:bookmarkStart w:id="1069" w:name="gruppe-f-kollagen-ernährung-und-kosmetik"/>
    <w:p>
      <w:pPr>
        <w:pStyle w:val="Heading3"/>
      </w:pPr>
      <w:r>
        <w:t xml:space="preserve">Gruppe F – Kollagen, Ernährung und Kosmetik</w:t>
      </w:r>
    </w:p>
    <w:p>
      <w:pPr>
        <w:pStyle w:val="FirstParagraph"/>
      </w:pPr>
      <w:r>
        <w:rPr>
          <w:bCs/>
          <w:b/>
        </w:rPr>
        <w:t xml:space="preserve">Gesichert:</w:t>
      </w:r>
    </w:p>
    <w:p>
      <w:pPr>
        <w:numPr>
          <w:ilvl w:val="0"/>
          <w:numId w:val="1373"/>
        </w:numPr>
        <w:pStyle w:val="Compact"/>
      </w:pPr>
      <w:r>
        <w:t xml:space="preserve">Eine placebokontrollierte Studie mit 204 Teilnehmenden prüft Kollagenhydrolysat bei Kniearthrose, Hauptendpunkt sind Schmerzen (NCT04998188, Ende Dezember 2027).</w:t>
      </w:r>
    </w:p>
    <w:p>
      <w:pPr>
        <w:numPr>
          <w:ilvl w:val="0"/>
          <w:numId w:val="1373"/>
        </w:numPr>
        <w:pStyle w:val="Compact"/>
      </w:pPr>
      <w:r>
        <w:t xml:space="preserve">Eine Phase-1/2-Studie mit 144 Teilnehmenden untersucht Carnosin bei peripherer arterieller Verschlusskrankheit, Hauptendpunkt ist die Gehstrecke in sechs Minuten (NCT06480760, Ende Oktober 2028).</w:t>
      </w:r>
    </w:p>
    <w:p>
      <w:pPr>
        <w:numPr>
          <w:ilvl w:val="0"/>
          <w:numId w:val="1373"/>
        </w:numPr>
        <w:pStyle w:val="Compact"/>
      </w:pPr>
      <w:r>
        <w:t xml:space="preserve">Für Lactotripeptide, Matrixyl und Argireline ist keine laufende Studie registriert.</w:t>
      </w:r>
    </w:p>
    <w:p>
      <w:pPr>
        <w:pStyle w:val="FirstParagraph"/>
      </w:pPr>
      <w:r>
        <w:rPr>
          <w:bCs/>
          <w:b/>
        </w:rPr>
        <w:t xml:space="preserve">Einschätzung des Autors:</w:t>
      </w:r>
      <w:r>
        <w:t xml:space="preserve"> </w:t>
      </w:r>
      <w:r>
        <w:t xml:space="preserve">Diese Gruppe wird Lebensmittel und Kosmetik bleiben; Arzneimittelzulassungen sind nicht zu erwarten, weil die Produkte bereits frei verkäuflich sind und niemand die Kosten eines Zulassungsprogramms tragen müsste. Was sich ändern könnte, ist die Qualität der Belege: Unabhängig finanzierte, vorab registrierte Studien wie die zur Kniearthrose werden zeigen, ob die kleinen Effekte aus herstellerfinanzierten Studien Bestand haben. Ich erwarte, dass die Effekte in solchen Studien eher kleiner ausfallen.</w:t>
      </w:r>
    </w:p>
    <w:bookmarkEnd w:id="1069"/>
    <w:bookmarkStart w:id="1075" w:name="übergreifende-themen"/>
    <w:p>
      <w:pPr>
        <w:pStyle w:val="Heading3"/>
      </w:pPr>
      <w:r>
        <w:t xml:space="preserve">Übergreifende Themen</w:t>
      </w:r>
    </w:p>
    <w:bookmarkStart w:id="1070" w:name="langzeitdaten"/>
    <w:p>
      <w:pPr>
        <w:pStyle w:val="Heading4"/>
      </w:pPr>
      <w:r>
        <w:t xml:space="preserve">Langzeitdaten</w:t>
      </w:r>
    </w:p>
    <w:p>
      <w:pPr>
        <w:pStyle w:val="FirstParagraph"/>
      </w:pPr>
      <w:r>
        <w:rPr>
          <w:bCs/>
          <w:b/>
        </w:rPr>
        <w:t xml:space="preserve">Gesichert:</w:t>
      </w:r>
      <w:r>
        <w:t xml:space="preserve"> </w:t>
      </w:r>
      <w:r>
        <w:t xml:space="preserve">Die WHO-Leitlinie zu GLP-1-Therapien bei Adipositas spricht nur eine bedingte Empfehlung aus und nennt begrenzte Langzeitdaten als einen der Gründe (Celletti 2026, PMID 41324410). Die laufenden Endpunktstudien beobachten ihre Teilnehmenden über mehrere Jahre, aber kaum eine über zehn Jahre.</w:t>
      </w:r>
    </w:p>
    <w:p>
      <w:pPr>
        <w:pStyle w:val="BodyText"/>
      </w:pPr>
      <w:r>
        <w:rPr>
          <w:bCs/>
          <w:b/>
        </w:rPr>
        <w:t xml:space="preserve">Einschätzung des Autors:</w:t>
      </w:r>
      <w:r>
        <w:t xml:space="preserve"> </w:t>
      </w:r>
      <w:r>
        <w:t xml:space="preserve">Bis 2035 werden zehnjährige Daten vor allem aus nationalen Registern und Krankenkassendaten kommen, nicht aus randomisierten Studien. Sie werden seltene Nebenwirkungen besser erfassen, aber Ursache und Wirkung schwerer trennen können. Bei Kindern und Jugendlichen, für die mehrere Studien bis in die frühen 2030er-Jahre laufen, ist die Frage nach Langzeitfolgen besonders dringlich.</w:t>
      </w:r>
    </w:p>
    <w:bookmarkEnd w:id="1070"/>
    <w:bookmarkStart w:id="1071" w:name="erhaltungstherapie"/>
    <w:p>
      <w:pPr>
        <w:pStyle w:val="Heading4"/>
      </w:pPr>
      <w:r>
        <w:t xml:space="preserve">Erhaltungstherapie</w:t>
      </w:r>
    </w:p>
    <w:p>
      <w:pPr>
        <w:pStyle w:val="FirstParagraph"/>
      </w:pPr>
      <w:r>
        <w:rPr>
          <w:bCs/>
          <w:b/>
        </w:rPr>
        <w:t xml:space="preserve">Gesichert:</w:t>
      </w:r>
      <w:r>
        <w:t xml:space="preserve"> </w:t>
      </w:r>
      <w:r>
        <w:t xml:space="preserve">Nach dem Absetzen kehrt ein Großteil des verlorenen Gewichts zurück. In der STEP-1-Verlängerung waren es ein Jahr nach dem Ende der Semaglutid-Behandlung im Mittel zwei Drittel (Wilding 2022, PMID 35441470). In SURMOUNT-4 nahmen Teilnehmende nach dem Wechsel von Tirzepatid auf Placebo im folgenden Jahr 14,0 % wieder zu (Aronne 2024, PMID 38078870). Der Umstieg von der Spritze auf Orforglipron erhielt in ATTAIN-MAINTAIN einen großen Teil des Gewichtsverlusts (Aronne 2026, PMID 42120723). Weitere Studien zum Gewichtserhalt laufen (TRIUMPH-6, NCT06859268; Umstieg auf monatliche Wirkstoffe, NCT07575399, NCT07845500). Modellrechnungen deuten an, dass seltenere Gaben einen Teil der Wirkung erhalten könnten; das ist bisher nicht in Studien geprüft und keine Grundlage für eigenmächtige Änderungen der Behandlung (Cengiz 2025, PMID 39950222).</w:t>
      </w:r>
    </w:p>
    <w:p>
      <w:pPr>
        <w:pStyle w:val="BodyText"/>
      </w:pPr>
      <w:r>
        <w:rPr>
          <w:bCs/>
          <w:b/>
        </w:rPr>
        <w:t xml:space="preserve">Einschätzung des Autors:</w:t>
      </w:r>
      <w:r>
        <w:t xml:space="preserve"> </w:t>
      </w:r>
      <w:r>
        <w:t xml:space="preserve">Bis 2030 wird sich ein Stufenmodell durchsetzen: zuerst eine Phase mit einem stark wirksamen Wirkstoff, dann eine Erhaltung mit einer Tablette, einem monatlichen Präparat oder einer niedrigeren Intensität. Begründung: Mehrere Hersteller testen genau diese Abfolge, und sie ist für Kostenträger attraktiv. Ob die Erhaltung lebenslang nötig ist oder bei manchen Menschen ein Absetzen ohne große Wiederzunahme gelingt, wird eine der wichtigsten offenen Fragen bleiben.</w:t>
      </w:r>
    </w:p>
    <w:bookmarkEnd w:id="1071"/>
    <w:bookmarkStart w:id="1072" w:name="personalisierung"/>
    <w:p>
      <w:pPr>
        <w:pStyle w:val="Heading4"/>
      </w:pPr>
      <w:r>
        <w:t xml:space="preserve">Personalisierung</w:t>
      </w:r>
    </w:p>
    <w:p>
      <w:pPr>
        <w:pStyle w:val="FirstParagraph"/>
      </w:pPr>
      <w:r>
        <w:rPr>
          <w:bCs/>
          <w:b/>
        </w:rPr>
        <w:t xml:space="preserve">Gesichert:</w:t>
      </w:r>
      <w:r>
        <w:t xml:space="preserve"> </w:t>
      </w:r>
      <w:r>
        <w:t xml:space="preserve">Präzisionsmedizin bei Adipositas gibt es bereits für seltene genetische Formen: Setmelanotid ist nur für bestimmte Gendefekte zugelassen (siehe Kapitel Setmelanotid). Orforglipron wird in einer Studie mit 2.001 Teilnehmenden bei Übergewicht geprüft, um das Fortschreiten zu Adipositas oder Folgeerkrankungen zu verhindern (ATTAIN-NOW, NCT07794579, Ende September 2030). Die WHO kündigt an, als Nächstes Kriterien zu erarbeiten, wer bei begrenzten Mitteln zuerst behandelt werden soll (Celletti 2026, PMID 41324410).</w:t>
      </w:r>
    </w:p>
    <w:p>
      <w:pPr>
        <w:pStyle w:val="BodyText"/>
      </w:pPr>
      <w:r>
        <w:rPr>
          <w:bCs/>
          <w:b/>
        </w:rPr>
        <w:t xml:space="preserve">Einschätzung des Autors:</w:t>
      </w:r>
      <w:r>
        <w:t xml:space="preserve"> </w:t>
      </w:r>
      <w:r>
        <w:t xml:space="preserve">Ein verlässlicher Test, der vorab sagt, wer auf welchen Wirkstoff gut anspricht, ist bis 2030 nicht in Sicht. Personalisierung wird zunächst pragmatisch sein: nach Begleiterkrankungen, Verträglichkeit, Spritzenbereitschaft und Kosten. Die Frage, ob Medikamente schon vor dem Entstehen einer Adipositas eingesetzt werden sollen, wird ethisch und ökonomisch umstritten bleiben.</w:t>
      </w:r>
    </w:p>
    <w:bookmarkEnd w:id="1072"/>
    <w:bookmarkStart w:id="1073" w:name="regulierung-des-graumarkts"/>
    <w:p>
      <w:pPr>
        <w:pStyle w:val="Heading4"/>
      </w:pPr>
      <w:r>
        <w:t xml:space="preserve">Regulierung des Graumarkts</w:t>
      </w:r>
    </w:p>
    <w:p>
      <w:pPr>
        <w:pStyle w:val="FirstParagraph"/>
      </w:pPr>
      <w:r>
        <w:rPr>
          <w:bCs/>
          <w:b/>
        </w:rPr>
        <w:t xml:space="preserve">Gesichert:</w:t>
      </w:r>
      <w:r>
        <w:t xml:space="preserve"> </w:t>
      </w:r>
      <w:r>
        <w:t xml:space="preserve">Die Laboranalysen und Fallberichte aus Teil I und Teil IV zeigen Fälschungen, Fehldosierungen und Verunreinigungen. Inzwischen werden auch nicht zugelassene Wirkstoffe wie Retatrutid und Zenagamtid online verkauft (Rubin 2026, PMID 42853576). In den USA wurden Apotheken-Kopien von Semaglutid und Tirzepatid nach dem Ende der Engpässe weitgehend beendet; abgewandelte Zubereitungen bestehen weiter (Belcourt 2026, PMID 41689811). Die Einstufung von Peptiden für Rezepturen wird in den USA neu verhandelt (Willis 2026, PMID 42752426).</w:t>
      </w:r>
    </w:p>
    <w:p>
      <w:pPr>
        <w:pStyle w:val="BodyText"/>
      </w:pPr>
      <w:r>
        <w:rPr>
          <w:bCs/>
          <w:b/>
        </w:rPr>
        <w:t xml:space="preserve">Einschätzung des Autors:</w:t>
      </w:r>
      <w:r>
        <w:t xml:space="preserve"> </w:t>
      </w:r>
      <w:r>
        <w:t xml:space="preserve">Der Graumarkt wird bis 2035 nicht verschwinden, aber sich verändern. Sinkende Preise für zugelassene Medikamente dürften den Anreiz für Fälschungen von Semaglutid verringern. Gleichzeitig wird jeder neue Wirkstoff, der in Studien Aufsehen erregt, schon vor seiner Zulassung als „Research Peptide“ angeboten werden. Ich erwarte strengere Kontrollen von Online-Händlern und Zahlungswegen in der EU, aber keine wirksame Lösung, solange Bestellungen aus Ländern mit schwacher Aufsicht möglich sind.</w:t>
      </w:r>
    </w:p>
    <w:bookmarkEnd w:id="1073"/>
    <w:bookmarkStart w:id="1074" w:name="künstliche-intelligenz-im-peptiddesign"/>
    <w:p>
      <w:pPr>
        <w:pStyle w:val="Heading4"/>
      </w:pPr>
      <w:r>
        <w:t xml:space="preserve">Künstliche Intelligenz im Peptiddesign</w:t>
      </w:r>
    </w:p>
    <w:p>
      <w:pPr>
        <w:pStyle w:val="FirstParagraph"/>
      </w:pPr>
      <w:r>
        <w:rPr>
          <w:bCs/>
          <w:b/>
        </w:rPr>
        <w:t xml:space="preserve">Gesichert:</w:t>
      </w:r>
      <w:r>
        <w:t xml:space="preserve"> </w:t>
      </w:r>
      <w:r>
        <w:t xml:space="preserve">Bisher stammen alle veröffentlichten Belege aus Labor- und Tierversuchen. Ein Forschungsteam entwarf mit Methoden des maschinellen Lernens 10.000 neue GLP-1-Rezeptor-Agonisten, wählte am Computer 60 aus und testete sie im Labor; zwei Kandidaten wirkten bei Mäusen etwa dreimal so lange wie Semaglutid (Wei 2025, PMID 40787887). Ein anderes Verfahren entwarf ringförmige Peptide, die gezielt an vorgegebene Eiweiße binden; die im Labor bestimmten Strukturen stimmten eng mit den Computermodellen überein (Rettie 2025, PMID 40542165). Mit einem lernenden Modell wurden aus Bakterienpeptiden neue antimikrobielle Peptide abgeleitet, von denen eines bei Mäusen mit einer Infektion des Oberschenkels die Bakterienlast um über 95 % senkte (Wang 2025, PMID 39825096). Das orale PCSK9-Peptid Enlicitide wurde mit einem anderen Hochdurchsatzverfahren gefunden und ist bereits in Phase 3 (Johns 2023, PMID 37125593; NCT06008756).</w:t>
      </w:r>
    </w:p>
    <w:p>
      <w:pPr>
        <w:pStyle w:val="BodyText"/>
      </w:pPr>
      <w:r>
        <w:rPr>
          <w:bCs/>
          <w:b/>
        </w:rPr>
        <w:t xml:space="preserve">Einschätzung des Autors:</w:t>
      </w:r>
      <w:r>
        <w:t xml:space="preserve"> </w:t>
      </w:r>
      <w:r>
        <w:t xml:space="preserve">Bis 2030 werden die ersten mit KI-Methoden entworfenen Peptide in frühen Studien am Menschen sein; eine Zulassung bis 2035 ist möglich, aber nicht wahrscheinlich, weil auch ein schnell gefundenes Molekül alle klinischen Phasen durchlaufen muss. KI verkürzt die Suche nach Kandidaten, nicht die Prüfung am Menschen. Für Leserinnen und Leser heißt das: Angebote, die „KI-optimierte Peptide“ versprechen, sind Werbung, kein Wirksamkeitsnachweis.</w:t>
      </w:r>
    </w:p>
    <w:bookmarkEnd w:id="1074"/>
    <w:bookmarkEnd w:id="1075"/>
    <w:bookmarkStart w:id="1076" w:name="X924d4974aa28ba71253b30afb253645d4c802e0"/>
    <w:p>
      <w:pPr>
        <w:pStyle w:val="Heading3"/>
      </w:pPr>
      <w:r>
        <w:t xml:space="preserve">Zeitleiste: was bis 2032 im Register angekündigt 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Zeitraum</w:t>
            </w:r>
          </w:p>
        </w:tc>
        <w:tc>
          <w:tcPr/>
          <w:p>
            <w:pPr>
              <w:pStyle w:val="Compact"/>
              <w:jc w:val="left"/>
            </w:pPr>
            <w:r>
              <w:t xml:space="preserve">Erwartetes Ereignis laut Register</w:t>
            </w:r>
          </w:p>
        </w:tc>
        <w:tc>
          <w:tcPr/>
          <w:p>
            <w:pPr>
              <w:pStyle w:val="Compact"/>
              <w:jc w:val="left"/>
            </w:pPr>
            <w:r>
              <w:t xml:space="preserve">Wirkstoff</w:t>
            </w:r>
          </w:p>
        </w:tc>
        <w:tc>
          <w:tcPr/>
          <w:p>
            <w:pPr>
              <w:pStyle w:val="Compact"/>
              <w:jc w:val="left"/>
            </w:pPr>
            <w:r>
              <w:t xml:space="preserve">Studie</w:t>
            </w:r>
          </w:p>
        </w:tc>
      </w:tr>
      <w:tr>
        <w:tc>
          <w:tcPr/>
          <w:p>
            <w:pPr>
              <w:pStyle w:val="Compact"/>
              <w:jc w:val="left"/>
            </w:pPr>
            <w:r>
              <w:t xml:space="preserve">2026/2027</w:t>
            </w:r>
          </w:p>
        </w:tc>
        <w:tc>
          <w:tcPr/>
          <w:p>
            <w:pPr>
              <w:pStyle w:val="Compact"/>
              <w:jc w:val="left"/>
            </w:pPr>
            <w:r>
              <w:t xml:space="preserve">Ergebnisse Direktvergleich mit Tirzepatid</w:t>
            </w:r>
          </w:p>
        </w:tc>
        <w:tc>
          <w:tcPr/>
          <w:p>
            <w:pPr>
              <w:pStyle w:val="Compact"/>
              <w:jc w:val="left"/>
            </w:pPr>
            <w:r>
              <w:t xml:space="preserve">Retatrutid</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Herz-Kreislauf-Ergebnisse ohne Diabetes</w:t>
            </w:r>
          </w:p>
        </w:tc>
        <w:tc>
          <w:tcPr/>
          <w:p>
            <w:pPr>
              <w:pStyle w:val="Compact"/>
              <w:jc w:val="left"/>
            </w:pPr>
            <w:r>
              <w:t xml:space="preserve">Tirzepatid</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Herz-Kreislauf-Ergebnisse</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Darmkrebs-Nachsorge</w:t>
            </w:r>
          </w:p>
        </w:tc>
        <w:tc>
          <w:tcPr/>
          <w:p>
            <w:pPr>
              <w:pStyle w:val="Compact"/>
              <w:jc w:val="left"/>
            </w:pPr>
            <w:r>
              <w:t xml:space="preserve">Thymosin Alpha-1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Makuladegeneration</w:t>
            </w:r>
          </w:p>
        </w:tc>
        <w:tc>
          <w:tcPr/>
          <w:p>
            <w:pPr>
              <w:pStyle w:val="Compact"/>
              <w:jc w:val="left"/>
            </w:pPr>
            <w:r>
              <w:t xml:space="preserve">Elamipretid</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Wachstum bei Kindern</w:t>
            </w:r>
          </w:p>
        </w:tc>
        <w:tc>
          <w:tcPr/>
          <w:p>
            <w:pPr>
              <w:pStyle w:val="Compact"/>
              <w:jc w:val="left"/>
            </w:pPr>
            <w:r>
              <w:t xml:space="preserve">Ibutamoren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Herz- und Nierenereignisse</w:t>
            </w:r>
          </w:p>
        </w:tc>
        <w:tc>
          <w:tcPr/>
          <w:p>
            <w:pPr>
              <w:pStyle w:val="Compact"/>
              <w:jc w:val="left"/>
            </w:pPr>
            <w:r>
              <w:t xml:space="preserve">Retatrutid</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Herz-Kreislauf-Ergebnisse, Herzschwäche</w:t>
            </w:r>
          </w:p>
        </w:tc>
        <w:tc>
          <w:tcPr/>
          <w:p>
            <w:pPr>
              <w:pStyle w:val="Compact"/>
              <w:jc w:val="left"/>
            </w:pPr>
            <w:r>
              <w:t xml:space="preserve">Maridebart Cafraglutid</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Herz-Kreislauf-Ergebnisse</w:t>
            </w:r>
          </w:p>
        </w:tc>
        <w:tc>
          <w:tcPr/>
          <w:p>
            <w:pPr>
              <w:pStyle w:val="Compact"/>
              <w:jc w:val="left"/>
            </w:pPr>
            <w:r>
              <w:t xml:space="preserve">Zenagamtid</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Herz-Kreislauf-Ergebnisse</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Herz-Kreislauf-Ergebnisse</w:t>
            </w:r>
          </w:p>
        </w:tc>
        <w:tc>
          <w:tcPr/>
          <w:p>
            <w:pPr>
              <w:pStyle w:val="Compact"/>
              <w:jc w:val="left"/>
            </w:pPr>
            <w:r>
              <w:t xml:space="preserve">Enlicitide (orales Peptid)</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schwere Leberereignisse</w:t>
            </w:r>
          </w:p>
        </w:tc>
        <w:tc>
          <w:tcPr/>
          <w:p>
            <w:pPr>
              <w:pStyle w:val="Compact"/>
              <w:jc w:val="left"/>
            </w:pPr>
            <w:r>
              <w:t xml:space="preserve">Tirzepatid, Retatrutid</w:t>
            </w:r>
          </w:p>
        </w:tc>
        <w:tc>
          <w:tcPr/>
          <w:p>
            <w:pPr>
              <w:pStyle w:val="Compact"/>
              <w:jc w:val="left"/>
            </w:pPr>
            <w:r>
              <w:t xml:space="preserve">NCT07165028</w:t>
            </w:r>
          </w:p>
        </w:tc>
      </w:tr>
    </w:tbl>
    <w:p>
      <w:pPr>
        <w:pStyle w:val="BodyText"/>
      </w:pPr>
      <w:r>
        <w:t xml:space="preserve">Die Jahreszahlen sind die im Register angegebenen Studienenden. Veröffentlichungen folgen meist später, und Verschiebungen sind häufig.</w:t>
      </w:r>
    </w:p>
    <w:bookmarkEnd w:id="1076"/>
    <w:bookmarkStart w:id="1077" w:name="fazit-des-buches"/>
    <w:p>
      <w:pPr>
        <w:pStyle w:val="Heading3"/>
      </w:pPr>
      <w:r>
        <w:t xml:space="preserve">Fazit des Buches</w:t>
      </w:r>
    </w:p>
    <w:p>
      <w:pPr>
        <w:pStyle w:val="FirstParagraph"/>
      </w:pPr>
      <w:r>
        <w:t xml:space="preserve">Von den Peptiden in diesem Buch haben nur wenige in großen Studien am Menschen bewiesen, was sie leisten – allen voran die GLP-1-basierten Medikamente, deren Nutzen bis zu weniger Herz-Kreislauf-Ereignissen belegt ist. Für die meisten Peptide, die im Internet als Wundermittel für Heilung, Muskeln oder ein langes Leben beworben werden, gibt es dagegen nur Tierversuche, kleine Studien oder gar keine Daten – und auch keine laufende große Studie, die das bald ändern würde. Die Zukunft der Peptid-Medizin entscheidet sich deshalb nicht in Online-Shops, sondern in den Endpunktstudien, die zwischen 2027 und 2032 enden. Wer sich für ein Peptid interessiert, fährt am besten mit drei Fragen: Gibt es randomisierte Studien am Menschen, ist das Produkt ein geprüftes Arzneimittel, und begleitet eine Ärztin oder ein Arzt die Anwendung?</w:t>
      </w:r>
    </w:p>
    <w:bookmarkEnd w:id="1077"/>
    <w:bookmarkEnd w:id="1078"/>
    <w:bookmarkEnd w:id="1079"/>
    <w:bookmarkStart w:id="1102" w:name="glossar"/>
    <w:p>
      <w:pPr>
        <w:pStyle w:val="Heading1"/>
      </w:pPr>
      <w:r>
        <w:t xml:space="preserve">Glossar</w:t>
      </w:r>
    </w:p>
    <w:p>
      <w:pPr>
        <w:pStyle w:val="FirstParagraph"/>
      </w:pPr>
      <w:r>
        <w:t xml:space="preserve">Die folgenden Erklärungen sind bewusst kurz gehalten. Ausführlichere Darstellungen finden Sie in den Kapiteln von Teil I, insbesondere in „Was Peptide sind – und was nicht“ und „Studien richtig lesen“.</w:t>
      </w:r>
    </w:p>
    <w:bookmarkStart w:id="1080" w:name="a"/>
    <w:p>
      <w:pPr>
        <w:pStyle w:val="Heading3"/>
      </w:pPr>
      <w:r>
        <w:t xml:space="preserve">A</w:t>
      </w:r>
    </w:p>
    <w:p>
      <w:pPr>
        <w:pStyle w:val="FirstParagraph"/>
      </w:pPr>
      <w:r>
        <w:rPr>
          <w:bCs/>
          <w:b/>
        </w:rPr>
        <w:t xml:space="preserve">Absolute Risikoreduktion</w:t>
      </w:r>
      <w:r>
        <w:t xml:space="preserve">: Der Unterschied in der Häufigkeit eines Ereignisses zwischen zwei Gruppen, angegeben in Prozentpunkten. Sinkt ein Risiko von 8 % auf 6,5 %, beträgt die absolute Risikoreduktion 1,5 Prozentpunkte.</w:t>
      </w:r>
    </w:p>
    <w:p>
      <w:pPr>
        <w:pStyle w:val="BodyText"/>
      </w:pPr>
      <w:r>
        <w:rPr>
          <w:bCs/>
          <w:b/>
        </w:rPr>
        <w:t xml:space="preserve">Adipositas</w:t>
      </w:r>
      <w:r>
        <w:t xml:space="preserve">: Krankhaftes Übergewicht, meist definiert als Body-Mass-Index von 30 oder mehr. Sie gilt als chronische Erkrankung mit erhöhtem Risiko für Diabetes, Herz-Kreislauf- und Gelenkerkrankungen.</w:t>
      </w:r>
    </w:p>
    <w:p>
      <w:pPr>
        <w:pStyle w:val="BodyText"/>
      </w:pPr>
      <w:r>
        <w:rPr>
          <w:bCs/>
          <w:b/>
        </w:rPr>
        <w:t xml:space="preserve">Agonist</w:t>
      </w:r>
      <w:r>
        <w:t xml:space="preserve">: Ein Stoff, der an einen Rezeptor bindet und ihn aktiviert, also ein Signal auslöst. Semaglutid ist zum Beispiel ein Agonist am GLP-1-Rezeptor.</w:t>
      </w:r>
    </w:p>
    <w:p>
      <w:pPr>
        <w:pStyle w:val="BodyText"/>
      </w:pPr>
      <w:r>
        <w:rPr>
          <w:bCs/>
          <w:b/>
        </w:rPr>
        <w:t xml:space="preserve">Akromegalie</w:t>
      </w:r>
      <w:r>
        <w:t xml:space="preserve">: Erkrankung durch eine dauerhafte Überproduktion von Wachstumshormon im Erwachsenenalter, meist durch einen gutartigen Tumor der Hirnanhangdrüse. Typisch sind vergrößerte Hände, Füße und Gesichtszüge.</w:t>
      </w:r>
    </w:p>
    <w:p>
      <w:pPr>
        <w:pStyle w:val="BodyText"/>
      </w:pPr>
      <w:r>
        <w:rPr>
          <w:bCs/>
          <w:b/>
        </w:rPr>
        <w:t xml:space="preserve">Albumin</w:t>
      </w:r>
      <w:r>
        <w:t xml:space="preserve">: Das häufigste Eiweiß im Blutplasma. Manche Peptid-Arzneimittel sind so gebaut, dass sie sich an Albumin binden und dadurch länger im Körper bleiben.</w:t>
      </w:r>
    </w:p>
    <w:p>
      <w:pPr>
        <w:pStyle w:val="BodyText"/>
      </w:pPr>
      <w:r>
        <w:rPr>
          <w:bCs/>
          <w:b/>
        </w:rPr>
        <w:t xml:space="preserve">Aminosäure</w:t>
      </w:r>
      <w:r>
        <w:t xml:space="preserve">: Grundbaustein von Peptiden und Proteinen. Der Mensch nutzt im Wesentlichen 20 Standard-Aminosäuren, die über Peptidbindungen zu Ketten verknüpft werden.</w:t>
      </w:r>
    </w:p>
    <w:p>
      <w:pPr>
        <w:pStyle w:val="BodyText"/>
      </w:pPr>
      <w:r>
        <w:rPr>
          <w:bCs/>
          <w:b/>
        </w:rPr>
        <w:t xml:space="preserve">Amylin</w:t>
      </w:r>
      <w:r>
        <w:t xml:space="preserve">: Ein Peptidhormon, das zusammen mit Insulin aus der Bauchspeicheldrüse ausgeschüttet wird und unter anderem Sättigung und Magenentleerung beeinflusst. Abwandlungen wie Pramlintid und Cagrilintid werden als Arzneimittel genutzt oder erforscht.</w:t>
      </w:r>
    </w:p>
    <w:p>
      <w:pPr>
        <w:pStyle w:val="BodyText"/>
      </w:pPr>
      <w:r>
        <w:rPr>
          <w:bCs/>
          <w:b/>
        </w:rPr>
        <w:t xml:space="preserve">Analogon</w:t>
      </w:r>
      <w:r>
        <w:t xml:space="preserve">: Ein Molekül, das einem natürlichen Vorbild nachgebildet, aber gezielt verändert wurde – etwa um es stabiler oder länger wirksam zu machen.</w:t>
      </w:r>
    </w:p>
    <w:p>
      <w:pPr>
        <w:pStyle w:val="BodyText"/>
      </w:pPr>
      <w:r>
        <w:rPr>
          <w:bCs/>
          <w:b/>
        </w:rPr>
        <w:t xml:space="preserve">Angiogenese</w:t>
      </w:r>
      <w:r>
        <w:t xml:space="preserve">: Neubildung von Blutgefäßen. Sie ist für die Wundheilung wichtig, kann aber auch das Wachstum von Tumoren fördern.</w:t>
      </w:r>
    </w:p>
    <w:p>
      <w:pPr>
        <w:pStyle w:val="BodyText"/>
      </w:pPr>
      <w:r>
        <w:rPr>
          <w:bCs/>
          <w:b/>
        </w:rPr>
        <w:t xml:space="preserve">Antagonist</w:t>
      </w:r>
      <w:r>
        <w:t xml:space="preserve">: Ein Stoff, der an einen Rezeptor bindet, ohne ihn zu aktivieren, und dadurch die Wirkung körpereigener Botenstoffe blockiert.</w:t>
      </w:r>
    </w:p>
    <w:p>
      <w:pPr>
        <w:pStyle w:val="BodyText"/>
      </w:pPr>
      <w:r>
        <w:rPr>
          <w:bCs/>
          <w:b/>
        </w:rPr>
        <w:t xml:space="preserve">Antikörper</w:t>
      </w:r>
      <w:r>
        <w:t xml:space="preserve">: Eiweißmoleküle des Immunsystems, die gezielt an fremde Strukturen binden. Gegen Peptid-Arzneimittel gebildete Antikörper können deren Wirkung abschwächen oder Reaktionen auslösen.</w:t>
      </w:r>
    </w:p>
    <w:p>
      <w:pPr>
        <w:pStyle w:val="BodyText"/>
      </w:pPr>
      <w:r>
        <w:rPr>
          <w:bCs/>
          <w:b/>
        </w:rPr>
        <w:t xml:space="preserve">Antimikrobielle Peptide</w:t>
      </w:r>
      <w:r>
        <w:t xml:space="preserve">: Körpereigene Peptide, die Teil der angeborenen Immunabwehr sind und Bakterien, Pilze oder Viren schädigen können. Ein Beispiel ist LL-37.</w:t>
      </w:r>
    </w:p>
    <w:p>
      <w:pPr>
        <w:pStyle w:val="BodyText"/>
      </w:pPr>
      <w:r>
        <w:rPr>
          <w:bCs/>
          <w:b/>
        </w:rPr>
        <w:t xml:space="preserve">Arzneimittel</w:t>
      </w:r>
      <w:r>
        <w:t xml:space="preserve">: Ein Stoff oder eine Zubereitung, die zur Heilung, Linderung oder Verhütung von Krankheiten bestimmt ist oder Körperfunktionen pharmakologisch, immunologisch oder metabolisch beeinflusst. In der EU braucht ein Arzneimittel vor dem Verkauf eine Zulassung.</w:t>
      </w:r>
    </w:p>
    <w:bookmarkEnd w:id="1080"/>
    <w:bookmarkStart w:id="1081" w:name="b"/>
    <w:p>
      <w:pPr>
        <w:pStyle w:val="Heading3"/>
      </w:pPr>
      <w:r>
        <w:t xml:space="preserve">B</w:t>
      </w:r>
    </w:p>
    <w:p>
      <w:pPr>
        <w:pStyle w:val="FirstParagraph"/>
      </w:pPr>
      <w:r>
        <w:rPr>
          <w:bCs/>
          <w:b/>
        </w:rPr>
        <w:t xml:space="preserve">Biologikum</w:t>
      </w:r>
      <w:r>
        <w:t xml:space="preserve">: Ein Arzneimittel, dessen Wirkstoff mit Hilfe lebender Zellen hergestellt wird, etwa gentechnisch in Bakterien oder Säugetierzellen. Viele größere Peptide und alle Antikörper-Medikamente gehören dazu.</w:t>
      </w:r>
    </w:p>
    <w:p>
      <w:pPr>
        <w:pStyle w:val="BodyText"/>
      </w:pPr>
      <w:r>
        <w:rPr>
          <w:bCs/>
          <w:b/>
        </w:rPr>
        <w:t xml:space="preserve">Biosimilar</w:t>
      </w:r>
      <w:r>
        <w:t xml:space="preserve">: Ein Nachfolgepräparat eines biologischen Arzneimittels nach Ablauf des Patentschutzes. Es muss dem Original in Qualität, Wirksamkeit und Sicherheit nachweislich sehr ähnlich sein.</w:t>
      </w:r>
    </w:p>
    <w:p>
      <w:pPr>
        <w:pStyle w:val="BodyText"/>
      </w:pPr>
      <w:r>
        <w:rPr>
          <w:bCs/>
          <w:b/>
        </w:rPr>
        <w:t xml:space="preserve">Bioverfügbarkeit</w:t>
      </w:r>
      <w:r>
        <w:t xml:space="preserve">: Der Anteil eines verabreichten Wirkstoffs, der unverändert im Blutkreislauf ankommt. Bei einer Infusion in die Vene beträgt sie 100 %, bei Peptid-Tabletten oft nur wenige Prozent oder weniger.</w:t>
      </w:r>
    </w:p>
    <w:p>
      <w:pPr>
        <w:pStyle w:val="BodyText"/>
      </w:pPr>
      <w:r>
        <w:rPr>
          <w:bCs/>
          <w:b/>
        </w:rPr>
        <w:t xml:space="preserve">BMI (Body-Mass-Index)</w:t>
      </w:r>
      <w:r>
        <w:t xml:space="preserve">: Körpergewicht in Kilogramm geteilt durch das Quadrat der Körpergröße in Metern. Grobes Maß für Unter-, Normal- und Übergewicht.</w:t>
      </w:r>
    </w:p>
    <w:bookmarkEnd w:id="1081"/>
    <w:bookmarkStart w:id="1082" w:name="c"/>
    <w:p>
      <w:pPr>
        <w:pStyle w:val="Heading3"/>
      </w:pPr>
      <w:r>
        <w:t xml:space="preserve">C</w:t>
      </w:r>
    </w:p>
    <w:p>
      <w:pPr>
        <w:pStyle w:val="FirstParagraph"/>
      </w:pPr>
      <w:r>
        <w:rPr>
          <w:bCs/>
          <w:b/>
        </w:rPr>
        <w:t xml:space="preserve">C-Terminus</w:t>
      </w:r>
      <w:r>
        <w:t xml:space="preserve">: Das Ende einer Peptidkette mit der freien Säuregruppe. Peptidsequenzen werden vom N-Terminus zum C-Terminus geschrieben.</w:t>
      </w:r>
    </w:p>
    <w:p>
      <w:pPr>
        <w:pStyle w:val="BodyText"/>
      </w:pPr>
      <w:r>
        <w:rPr>
          <w:bCs/>
          <w:b/>
        </w:rPr>
        <w:t xml:space="preserve">Compounding</w:t>
      </w:r>
      <w:r>
        <w:t xml:space="preserve">: In den USA die Herstellung von Arzneimitteln durch Apotheken selbst, etwa bei Lieferengpässen. Solche Zubereitungen sind keine zugelassenen Fertigarzneimittel.</w:t>
      </w:r>
    </w:p>
    <w:p>
      <w:pPr>
        <w:pStyle w:val="BodyText"/>
      </w:pPr>
      <w:r>
        <w:rPr>
          <w:bCs/>
          <w:b/>
        </w:rPr>
        <w:t xml:space="preserve">Confounding (Störgröße)</w:t>
      </w:r>
      <w:r>
        <w:t xml:space="preserve">: Ein Faktor, der sowohl mit einer Behandlung als auch mit einem Ergebnis zusammenhängt und so einen scheinbaren Zusammenhang erzeugen kann. Typisches Problem von Beobachtungsstudien.</w:t>
      </w:r>
    </w:p>
    <w:bookmarkEnd w:id="1082"/>
    <w:bookmarkStart w:id="1083" w:name="d"/>
    <w:p>
      <w:pPr>
        <w:pStyle w:val="Heading3"/>
      </w:pPr>
      <w:r>
        <w:t xml:space="preserve">D</w:t>
      </w:r>
    </w:p>
    <w:p>
      <w:pPr>
        <w:pStyle w:val="FirstParagraph"/>
      </w:pPr>
      <w:r>
        <w:rPr>
          <w:bCs/>
          <w:b/>
        </w:rPr>
        <w:t xml:space="preserve">Dalton</w:t>
      </w:r>
      <w:r>
        <w:t xml:space="preserve">: Maßeinheit für die Masse von Molekülen. Eine Aminosäure in einer Peptidkette wiegt im Durchschnitt etwas mehr als 100 Dalton.</w:t>
      </w:r>
    </w:p>
    <w:p>
      <w:pPr>
        <w:pStyle w:val="BodyText"/>
      </w:pPr>
      <w:r>
        <w:rPr>
          <w:bCs/>
          <w:b/>
        </w:rPr>
        <w:t xml:space="preserve">Dipeptidylpeptidase-4 (DPP-4)</w:t>
      </w:r>
      <w:r>
        <w:t xml:space="preserve">: Ein Enzym, das unter anderem das Darmhormon GLP-1 rasch abbaut. Hemmstoffe dieses Enzyms (Gliptine) werden als Diabetes-Tabletten eingesetzt.</w:t>
      </w:r>
    </w:p>
    <w:p>
      <w:pPr>
        <w:pStyle w:val="BodyText"/>
      </w:pPr>
      <w:r>
        <w:rPr>
          <w:bCs/>
          <w:b/>
        </w:rPr>
        <w:t xml:space="preserve">Doppelblind</w:t>
      </w:r>
      <w:r>
        <w:t xml:space="preserve">: Eine Studie, bei der weder die Teilnehmenden noch das Studienpersonal wissen, wer Wirkstoff und wer Placebo erhält. Das verringert den Einfluss von Erwartungen auf die Ergebnisse.</w:t>
      </w:r>
    </w:p>
    <w:bookmarkEnd w:id="1083"/>
    <w:bookmarkStart w:id="1084" w:name="e"/>
    <w:p>
      <w:pPr>
        <w:pStyle w:val="Heading3"/>
      </w:pPr>
      <w:r>
        <w:t xml:space="preserve">E</w:t>
      </w:r>
    </w:p>
    <w:p>
      <w:pPr>
        <w:pStyle w:val="FirstParagraph"/>
      </w:pPr>
      <w:r>
        <w:rPr>
          <w:bCs/>
          <w:b/>
        </w:rPr>
        <w:t xml:space="preserve">Endotoxine</w:t>
      </w:r>
      <w:r>
        <w:t xml:space="preserve">: Hitzestabile Bestandteile der Zellwand bestimmter Bakterien. Gelangen sie ins Blut, können sie Fieber, Entzündungen und Kreislaufreaktionen auslösen; sie bleiben auch nach Abtöten der Bakterien wirksam.</w:t>
      </w:r>
    </w:p>
    <w:p>
      <w:pPr>
        <w:pStyle w:val="BodyText"/>
      </w:pPr>
      <w:r>
        <w:rPr>
          <w:bCs/>
          <w:b/>
        </w:rPr>
        <w:t xml:space="preserve">Endpunkt</w:t>
      </w:r>
      <w:r>
        <w:t xml:space="preserve">: Das Merkmal, an dem in einer Studie der Erfolg einer Behandlung gemessen wird, etwa Gewichtsverlust, Blutzucker oder Herzinfarkte. Der wichtigste wird als primärer Endpunkt vor Studienbeginn festgelegt.</w:t>
      </w:r>
    </w:p>
    <w:p>
      <w:pPr>
        <w:pStyle w:val="BodyText"/>
      </w:pPr>
      <w:r>
        <w:rPr>
          <w:bCs/>
          <w:b/>
        </w:rPr>
        <w:t xml:space="preserve">Estimand</w:t>
      </w:r>
      <w:r>
        <w:t xml:space="preserve">: Eine genaue Beschreibung, welcher Behandlungseffekt in einer Studie geschätzt wird – zum Beispiel unabhängig davon, ob Teilnehmende die Behandlung abbrechen, oder nur für die Zeit der tatsächlichen Einnahme.</w:t>
      </w:r>
    </w:p>
    <w:p>
      <w:pPr>
        <w:pStyle w:val="BodyText"/>
      </w:pPr>
      <w:r>
        <w:rPr>
          <w:bCs/>
          <w:b/>
        </w:rPr>
        <w:t xml:space="preserve">EudraVigilance</w:t>
      </w:r>
      <w:r>
        <w:t xml:space="preserve">: Die Datenbank der Europäischen Arzneimittel-Agentur für Meldungen über Verdachtsfälle von Nebenwirkungen.</w:t>
      </w:r>
    </w:p>
    <w:p>
      <w:pPr>
        <w:pStyle w:val="BodyText"/>
      </w:pPr>
      <w:r>
        <w:rPr>
          <w:bCs/>
          <w:b/>
        </w:rPr>
        <w:t xml:space="preserve">Evidenzpyramide</w:t>
      </w:r>
      <w:r>
        <w:t xml:space="preserve">: Eine Rangordnung von Studientypen nach ihrer Aussagekraft, von Labor- und Tierstudien unten bis zu Meta-Analysen randomisierter Studien oben.</w:t>
      </w:r>
    </w:p>
    <w:p>
      <w:pPr>
        <w:pStyle w:val="BodyText"/>
      </w:pPr>
      <w:r>
        <w:rPr>
          <w:bCs/>
          <w:b/>
        </w:rPr>
        <w:t xml:space="preserve">Evidenzstufe</w:t>
      </w:r>
      <w:r>
        <w:t xml:space="preserve">: In diesem Buch eine Einstufung von A bis D, wie gut die Wirkung eines Peptids am Menschen belegt ist. A steht für mehrere große randomisierte Studien und Zulassung, D für ausschließlich Tier- und Laborstudien.</w:t>
      </w:r>
    </w:p>
    <w:bookmarkEnd w:id="1084"/>
    <w:bookmarkStart w:id="1085" w:name="f"/>
    <w:p>
      <w:pPr>
        <w:pStyle w:val="Heading3"/>
      </w:pPr>
      <w:r>
        <w:t xml:space="preserve">F</w:t>
      </w:r>
    </w:p>
    <w:p>
      <w:pPr>
        <w:pStyle w:val="FirstParagraph"/>
      </w:pPr>
      <w:r>
        <w:rPr>
          <w:bCs/>
          <w:b/>
        </w:rPr>
        <w:t xml:space="preserve">Fachinformation</w:t>
      </w:r>
      <w:r>
        <w:t xml:space="preserve">: Die für Ärztinnen, Ärzte und Apotheken bestimmte, behördlich genehmigte Information zu einem zugelassenen Arzneimittel mit Anwendungsgebieten, Dosierung, Gegenanzeigen und Nebenwirkungen.</w:t>
      </w:r>
    </w:p>
    <w:p>
      <w:pPr>
        <w:pStyle w:val="BodyText"/>
      </w:pPr>
      <w:r>
        <w:rPr>
          <w:bCs/>
          <w:b/>
        </w:rPr>
        <w:t xml:space="preserve">FAERS</w:t>
      </w:r>
      <w:r>
        <w:t xml:space="preserve">: Das Meldesystem der US-Arzneimittelbehörde FDA für Verdachtsfälle von Nebenwirkungen.</w:t>
      </w:r>
    </w:p>
    <w:p>
      <w:pPr>
        <w:pStyle w:val="BodyText"/>
      </w:pPr>
      <w:r>
        <w:rPr>
          <w:bCs/>
          <w:b/>
        </w:rPr>
        <w:t xml:space="preserve">Fallbericht</w:t>
      </w:r>
      <w:r>
        <w:t xml:space="preserve">: Die Beschreibung eines einzelnen Krankheitsfalls in einer Fachzeitschrift. Fallberichte sind wichtig, um seltene Nebenwirkungen zu erkennen, sagen aber wenig über Wirksamkeit.</w:t>
      </w:r>
    </w:p>
    <w:p>
      <w:pPr>
        <w:pStyle w:val="BodyText"/>
      </w:pPr>
      <w:r>
        <w:rPr>
          <w:bCs/>
          <w:b/>
        </w:rPr>
        <w:t xml:space="preserve">Festphasen-Peptidsynthese</w:t>
      </w:r>
      <w:r>
        <w:t xml:space="preserve">: Chemisches Verfahren, bei dem eine Peptidkette an einem festen Trägermaterial Baustein für Baustein aufgebaut wird. Grundlage der Herstellung der meisten kurzen Peptide.</w:t>
      </w:r>
    </w:p>
    <w:p>
      <w:pPr>
        <w:pStyle w:val="BodyText"/>
      </w:pPr>
      <w:r>
        <w:rPr>
          <w:bCs/>
          <w:b/>
        </w:rPr>
        <w:t xml:space="preserve">Funktionsarzneimittel</w:t>
      </w:r>
      <w:r>
        <w:t xml:space="preserve">: Rechtlicher Begriff für ein Produkt, das wegen seiner pharmakologischen, immunologischen oder metabolischen Wirkung als Arzneimittel gilt – unabhängig davon, wie es beworben wird.</w:t>
      </w:r>
    </w:p>
    <w:bookmarkEnd w:id="1085"/>
    <w:bookmarkStart w:id="1086" w:name="g"/>
    <w:p>
      <w:pPr>
        <w:pStyle w:val="Heading3"/>
      </w:pPr>
      <w:r>
        <w:t xml:space="preserve">G</w:t>
      </w:r>
    </w:p>
    <w:p>
      <w:pPr>
        <w:pStyle w:val="FirstParagraph"/>
      </w:pPr>
      <w:r>
        <w:rPr>
          <w:bCs/>
          <w:b/>
        </w:rPr>
        <w:t xml:space="preserve">Ghrelin</w:t>
      </w:r>
      <w:r>
        <w:t xml:space="preserve">: Ein Peptidhormon, das vor allem im Magen gebildet wird, Hunger auslöst und die Ausschüttung von Wachstumshormon anregt.</w:t>
      </w:r>
    </w:p>
    <w:p>
      <w:pPr>
        <w:pStyle w:val="BodyText"/>
      </w:pPr>
      <w:r>
        <w:rPr>
          <w:bCs/>
          <w:b/>
        </w:rPr>
        <w:t xml:space="preserve">GHRH (Growth-Hormone-Releasing-Hormon)</w:t>
      </w:r>
      <w:r>
        <w:t xml:space="preserve">: Ein Hormon aus dem Hypothalamus, das die Hirnanhangdrüse zur Ausschüttung von Wachstumshormon anregt. Sermorelin, Tesamorelin und CJC-1295 sind davon abgeleitet.</w:t>
      </w:r>
    </w:p>
    <w:p>
      <w:pPr>
        <w:pStyle w:val="BodyText"/>
      </w:pPr>
      <w:r>
        <w:rPr>
          <w:bCs/>
          <w:b/>
        </w:rPr>
        <w:t xml:space="preserve">GHRP (Growth-Hormone-Releasing-Peptide)</w:t>
      </w:r>
      <w:r>
        <w:t xml:space="preserve">: Eine Gruppe synthetischer Peptide, die über den Ghrelin-Rezeptor die Ausschüttung von Wachstumshormon steigern, etwa GHRP-2, GHRP-6, Hexarelin und Ipamorelin.</w:t>
      </w:r>
    </w:p>
    <w:p>
      <w:pPr>
        <w:pStyle w:val="BodyText"/>
      </w:pPr>
      <w:r>
        <w:rPr>
          <w:bCs/>
          <w:b/>
        </w:rPr>
        <w:t xml:space="preserve">GIP (glukoseabhängiges insulinotropes Polypeptid)</w:t>
      </w:r>
      <w:r>
        <w:t xml:space="preserve">: Ein Darmhormon aus der Gruppe der Inkretine. Tirzepatid aktiviert neben dem GLP-1- auch den GIP-Rezeptor.</w:t>
      </w:r>
    </w:p>
    <w:p>
      <w:pPr>
        <w:pStyle w:val="BodyText"/>
      </w:pPr>
      <w:r>
        <w:rPr>
          <w:bCs/>
          <w:b/>
        </w:rPr>
        <w:t xml:space="preserve">GLP-1 (Glucagon-like Peptide-1)</w:t>
      </w:r>
      <w:r>
        <w:t xml:space="preserve">: Ein Darmhormon, das nach dem Essen ausgeschüttet wird, die Insulinfreisetzung abhängig vom Blutzucker verstärkt, die Magenentleerung verlangsamt und das Sättigungsgefühl beeinflusst.</w:t>
      </w:r>
    </w:p>
    <w:p>
      <w:pPr>
        <w:pStyle w:val="BodyText"/>
      </w:pPr>
      <w:r>
        <w:rPr>
          <w:bCs/>
          <w:b/>
        </w:rPr>
        <w:t xml:space="preserve">GLP-1-Rezeptoragonist</w:t>
      </w:r>
      <w:r>
        <w:t xml:space="preserve">: Ein Wirkstoff, der den GLP-1-Rezeptor aktiviert, zum Beispiel Exenatid, Liraglutid, Dulaglutid oder Semaglutid.</w:t>
      </w:r>
    </w:p>
    <w:p>
      <w:pPr>
        <w:pStyle w:val="BodyText"/>
      </w:pPr>
      <w:r>
        <w:rPr>
          <w:bCs/>
          <w:b/>
        </w:rPr>
        <w:t xml:space="preserve">Glukagon</w:t>
      </w:r>
      <w:r>
        <w:t xml:space="preserve">: Ein Peptidhormon der Bauchspeicheldrüse, das den Blutzucker erhöht. Einige neue Wirkstoffe aktivieren zusätzlich den Glukagon-Rezeptor.</w:t>
      </w:r>
    </w:p>
    <w:p>
      <w:pPr>
        <w:pStyle w:val="BodyText"/>
      </w:pPr>
      <w:r>
        <w:rPr>
          <w:bCs/>
          <w:b/>
        </w:rPr>
        <w:t xml:space="preserve">GnRH (Gonadotropin-Releasing-Hormon)</w:t>
      </w:r>
      <w:r>
        <w:t xml:space="preserve">: Ein Hormon aus dem Hypothalamus, das die Ausschüttung der Sexualhormon-steuernden Hormone LH und FSH regelt. Gonadorelin ist eine synthetische Form.</w:t>
      </w:r>
    </w:p>
    <w:bookmarkEnd w:id="1086"/>
    <w:bookmarkStart w:id="1087" w:name="h"/>
    <w:p>
      <w:pPr>
        <w:pStyle w:val="Heading3"/>
      </w:pPr>
      <w:r>
        <w:t xml:space="preserve">H</w:t>
      </w:r>
    </w:p>
    <w:p>
      <w:pPr>
        <w:pStyle w:val="FirstParagraph"/>
      </w:pPr>
      <w:r>
        <w:rPr>
          <w:bCs/>
          <w:b/>
        </w:rPr>
        <w:t xml:space="preserve">Halbwertszeit</w:t>
      </w:r>
      <w:r>
        <w:t xml:space="preserve">: Die Zeit, nach der die Hälfte eines Wirkstoffs im Körper abgebaut oder ausgeschieden ist. Sie bestimmt maßgeblich, wie oft ein Arzneimittel gegeben werden muss.</w:t>
      </w:r>
    </w:p>
    <w:p>
      <w:pPr>
        <w:pStyle w:val="BodyText"/>
      </w:pPr>
      <w:r>
        <w:rPr>
          <w:bCs/>
          <w:b/>
        </w:rPr>
        <w:t xml:space="preserve">Harter Endpunkt</w:t>
      </w:r>
      <w:r>
        <w:t xml:space="preserve">: Ein Studienergebnis, das für Patientinnen und Patienten unmittelbar zählt, etwa Tod, Herzinfarkt, Schlaganfall oder Knochenbruch.</w:t>
      </w:r>
    </w:p>
    <w:p>
      <w:pPr>
        <w:pStyle w:val="BodyText"/>
      </w:pPr>
      <w:r>
        <w:rPr>
          <w:bCs/>
          <w:b/>
        </w:rPr>
        <w:t xml:space="preserve">Hazard Ratio</w:t>
      </w:r>
      <w:r>
        <w:t xml:space="preserve">: Ein Maß dafür, wie sich das Risiko für ein Ereignis über die Zeit zwischen zwei Gruppen unterscheidet. Ein Wert von 0,80 bedeutet ein um rund 20 % niedrigeres relatives Risiko.</w:t>
      </w:r>
    </w:p>
    <w:p>
      <w:pPr>
        <w:pStyle w:val="BodyText"/>
      </w:pPr>
      <w:r>
        <w:rPr>
          <w:bCs/>
          <w:b/>
        </w:rPr>
        <w:t xml:space="preserve">HbA1c</w:t>
      </w:r>
      <w:r>
        <w:t xml:space="preserve">: Der Anteil des roten Blutfarbstoffs, an den Zucker gebunden ist. Er spiegelt den durchschnittlichen Blutzucker der letzten zwei bis drei Monate wider und ist ein wichtiger Surrogat-Endpunkt in Diabetesstudien.</w:t>
      </w:r>
    </w:p>
    <w:p>
      <w:pPr>
        <w:pStyle w:val="BodyText"/>
      </w:pPr>
      <w:r>
        <w:rPr>
          <w:bCs/>
          <w:b/>
        </w:rPr>
        <w:t xml:space="preserve">HPLC (Hochleistungsflüssigchromatographie)</w:t>
      </w:r>
      <w:r>
        <w:t xml:space="preserve">: Ein Laborverfahren, mit dem sich Stoffgemische trennen und die Reinheit von Peptiden bestimmen lässt.</w:t>
      </w:r>
    </w:p>
    <w:p>
      <w:pPr>
        <w:pStyle w:val="BodyText"/>
      </w:pPr>
      <w:r>
        <w:rPr>
          <w:bCs/>
          <w:b/>
        </w:rPr>
        <w:t xml:space="preserve">Hydrolysat</w:t>
      </w:r>
      <w:r>
        <w:t xml:space="preserve">: Ein Gemisch aus Bruchstücken, das entsteht, wenn Eiweiße mit Enzymen oder Säure gespalten werden. Kollagenpeptide werden so gewonnen.</w:t>
      </w:r>
    </w:p>
    <w:p>
      <w:pPr>
        <w:pStyle w:val="BodyText"/>
      </w:pPr>
      <w:r>
        <w:rPr>
          <w:bCs/>
          <w:b/>
        </w:rPr>
        <w:t xml:space="preserve">Hypoglykämie</w:t>
      </w:r>
      <w:r>
        <w:t xml:space="preserve">: Unterzuckerung, also ein zu niedriger Blutzuckerspiegel. Sie kann zu Zittern, Schwitzen, Verwirrtheit und Bewusstlosigkeit führen und ist ein Notfall.</w:t>
      </w:r>
    </w:p>
    <w:p>
      <w:pPr>
        <w:pStyle w:val="BodyText"/>
      </w:pPr>
      <w:r>
        <w:rPr>
          <w:bCs/>
          <w:b/>
        </w:rPr>
        <w:t xml:space="preserve">Hypophyse (Hirnanhangdrüse)</w:t>
      </w:r>
      <w:r>
        <w:t xml:space="preserve">: Eine kleine Hormondrüse an der Schädelbasis, die unter anderem Wachstumshormon und die Steuerhormone für Schilddrüse, Nebennieren und Keimdrüsen ausschüttet.</w:t>
      </w:r>
    </w:p>
    <w:p>
      <w:pPr>
        <w:pStyle w:val="BodyText"/>
      </w:pPr>
      <w:r>
        <w:rPr>
          <w:bCs/>
          <w:b/>
        </w:rPr>
        <w:t xml:space="preserve">Hypothalamus</w:t>
      </w:r>
      <w:r>
        <w:t xml:space="preserve">: Eine Hirnregion, die über Freisetzungshormone die Hirnanhangdrüse steuert und an Hunger, Durst, Schlaf und Körpertemperatur beteiligt ist.</w:t>
      </w:r>
    </w:p>
    <w:bookmarkEnd w:id="1087"/>
    <w:bookmarkStart w:id="1088" w:name="i"/>
    <w:p>
      <w:pPr>
        <w:pStyle w:val="Heading3"/>
      </w:pPr>
      <w:r>
        <w:t xml:space="preserve">I</w:t>
      </w:r>
    </w:p>
    <w:p>
      <w:pPr>
        <w:pStyle w:val="FirstParagraph"/>
      </w:pPr>
      <w:r>
        <w:rPr>
          <w:bCs/>
          <w:b/>
        </w:rPr>
        <w:t xml:space="preserve">IGF-1 (insulinähnlicher Wachstumsfaktor 1)</w:t>
      </w:r>
      <w:r>
        <w:t xml:space="preserve">: Ein Wachstumsfaktor, der vor allem in der Leber unter dem Einfluss von Wachstumshormon gebildet wird. Er vermittelt viele Wirkungen des Wachstumshormons und dient als Laborwert zu dessen Beurteilung.</w:t>
      </w:r>
    </w:p>
    <w:p>
      <w:pPr>
        <w:pStyle w:val="BodyText"/>
      </w:pPr>
      <w:r>
        <w:rPr>
          <w:bCs/>
          <w:b/>
        </w:rPr>
        <w:t xml:space="preserve">Immunogenität</w:t>
      </w:r>
      <w:r>
        <w:t xml:space="preserve">: Die Eigenschaft eines Stoffes, eine Reaktion des Immunsystems auszulösen, etwa die Bildung von Antikörpern.</w:t>
      </w:r>
    </w:p>
    <w:p>
      <w:pPr>
        <w:pStyle w:val="BodyText"/>
      </w:pPr>
      <w:r>
        <w:rPr>
          <w:bCs/>
          <w:b/>
        </w:rPr>
        <w:t xml:space="preserve">Inkretine</w:t>
      </w:r>
      <w:r>
        <w:t xml:space="preserve">: Darmhormone, die nach einer Mahlzeit die Insulinausschüttung verstärken. Die wichtigsten sind GLP-1 und GIP.</w:t>
      </w:r>
    </w:p>
    <w:p>
      <w:pPr>
        <w:pStyle w:val="BodyText"/>
      </w:pPr>
      <w:r>
        <w:rPr>
          <w:bCs/>
          <w:b/>
        </w:rPr>
        <w:t xml:space="preserve">Insulin</w:t>
      </w:r>
      <w:r>
        <w:t xml:space="preserve">: Ein Peptidhormon der Bauchspeicheldrüse aus 51 Aminosäuren, das den Blutzucker senkt. Es war 1922 das erste als Arzneimittel eingesetzte Peptid.</w:t>
      </w:r>
    </w:p>
    <w:p>
      <w:pPr>
        <w:pStyle w:val="BodyText"/>
      </w:pPr>
      <w:r>
        <w:rPr>
          <w:bCs/>
          <w:b/>
        </w:rPr>
        <w:t xml:space="preserve">Intention-to-treat-Analyse</w:t>
      </w:r>
      <w:r>
        <w:t xml:space="preserve">: Auswertung einer Studie, bei der alle Teilnehmenden in der Gruppe gezählt werden, der sie zugeteilt wurden – auch wenn sie die Behandlung abgebrochen haben. Sie gilt als realistischere Schätzung des Effekts im Alltag.</w:t>
      </w:r>
    </w:p>
    <w:p>
      <w:pPr>
        <w:pStyle w:val="BodyText"/>
      </w:pPr>
      <w:r>
        <w:rPr>
          <w:bCs/>
          <w:b/>
        </w:rPr>
        <w:t xml:space="preserve">Interessenkonflikt</w:t>
      </w:r>
      <w:r>
        <w:t xml:space="preserve">: Eine Situation, in der finanzielle oder andere Interessen das Urteil von Forschenden oder Autoren beeinflussen könnten, etwa durch Finanzierung einer Studie durch den Hersteller.</w:t>
      </w:r>
    </w:p>
    <w:p>
      <w:pPr>
        <w:pStyle w:val="BodyText"/>
      </w:pPr>
      <w:r>
        <w:rPr>
          <w:bCs/>
          <w:b/>
        </w:rPr>
        <w:t xml:space="preserve">In vitro</w:t>
      </w:r>
      <w:r>
        <w:t xml:space="preserve">: „Im Glas“ – Versuche im Labor an Zellen, Geweben oder isolierten Molekülen außerhalb eines lebenden Organismus.</w:t>
      </w:r>
    </w:p>
    <w:bookmarkEnd w:id="1088"/>
    <w:bookmarkStart w:id="1089" w:name="k"/>
    <w:p>
      <w:pPr>
        <w:pStyle w:val="Heading3"/>
      </w:pPr>
      <w:r>
        <w:t xml:space="preserve">K</w:t>
      </w:r>
    </w:p>
    <w:p>
      <w:pPr>
        <w:pStyle w:val="FirstParagraph"/>
      </w:pPr>
      <w:r>
        <w:rPr>
          <w:bCs/>
          <w:b/>
        </w:rPr>
        <w:t xml:space="preserve">Kohortenstudie</w:t>
      </w:r>
      <w:r>
        <w:t xml:space="preserve">: Eine Beobachtungsstudie, die eine Gruppe von Menschen über längere Zeit verfolgt und vergleicht, wie häufig bei unterschiedlichen Eigenschaften oder Behandlungen bestimmte Ereignisse auftreten.</w:t>
      </w:r>
    </w:p>
    <w:p>
      <w:pPr>
        <w:pStyle w:val="BodyText"/>
      </w:pPr>
      <w:r>
        <w:rPr>
          <w:bCs/>
          <w:b/>
        </w:rPr>
        <w:t xml:space="preserve">Konfidenzintervall</w:t>
      </w:r>
      <w:r>
        <w:t xml:space="preserve">: Ein Bereich um ein Studienergebnis, in dem der wahre Wert mit einer bestimmten Wahrscheinlichkeit (meist 95 %) liegt. Breite Intervalle deuten auf eine unsichere Schätzung hin.</w:t>
      </w:r>
    </w:p>
    <w:p>
      <w:pPr>
        <w:pStyle w:val="BodyText"/>
      </w:pPr>
      <w:r>
        <w:rPr>
          <w:bCs/>
          <w:b/>
        </w:rPr>
        <w:t xml:space="preserve">Kontrollgruppe</w:t>
      </w:r>
      <w:r>
        <w:t xml:space="preserve">: Die Vergleichsgruppe in einer Studie, die keinen Wirkstoff, ein Placebo oder eine Standardbehandlung erhält.</w:t>
      </w:r>
    </w:p>
    <w:p>
      <w:pPr>
        <w:pStyle w:val="BodyText"/>
      </w:pPr>
      <w:r>
        <w:rPr>
          <w:bCs/>
          <w:b/>
        </w:rPr>
        <w:t xml:space="preserve">Kosmetikum</w:t>
      </w:r>
      <w:r>
        <w:t xml:space="preserve">: Ein Produkt zur äußerlichen Anwendung, das reinigt, pflegt, schützt oder das Aussehen verändert. Es darf keine arzneiliche Wirkung beanspruchen und braucht in der EU keine Zulassung.</w:t>
      </w:r>
    </w:p>
    <w:bookmarkEnd w:id="1089"/>
    <w:bookmarkStart w:id="1090" w:name="l"/>
    <w:p>
      <w:pPr>
        <w:pStyle w:val="Heading3"/>
      </w:pPr>
      <w:r>
        <w:t xml:space="preserve">L</w:t>
      </w:r>
    </w:p>
    <w:p>
      <w:pPr>
        <w:pStyle w:val="FirstParagraph"/>
      </w:pPr>
      <w:r>
        <w:rPr>
          <w:bCs/>
          <w:b/>
        </w:rPr>
        <w:t xml:space="preserve">Lyophilisat</w:t>
      </w:r>
      <w:r>
        <w:t xml:space="preserve">: Ein gefriergetrocknetes Pulver. Viele Peptide werden in dieser Form gelagert und müssen vor der Anwendung in einer Flüssigkeit aufgelöst werden.</w:t>
      </w:r>
    </w:p>
    <w:bookmarkEnd w:id="1090"/>
    <w:bookmarkStart w:id="1091" w:name="m"/>
    <w:p>
      <w:pPr>
        <w:pStyle w:val="Heading3"/>
      </w:pPr>
      <w:r>
        <w:t xml:space="preserve">M</w:t>
      </w:r>
    </w:p>
    <w:p>
      <w:pPr>
        <w:pStyle w:val="FirstParagraph"/>
      </w:pPr>
      <w:r>
        <w:rPr>
          <w:bCs/>
          <w:b/>
        </w:rPr>
        <w:t xml:space="preserve">Massenspektrometrie</w:t>
      </w:r>
      <w:r>
        <w:t xml:space="preserve">: Ein Messverfahren, das Moleküle nach ihrer Masse bestimmt. Damit lassen sich Peptide in Produkten und Körperflüssigkeiten eindeutig identifizieren, etwa in Dopingkontrollen.</w:t>
      </w:r>
    </w:p>
    <w:p>
      <w:pPr>
        <w:pStyle w:val="BodyText"/>
      </w:pPr>
      <w:r>
        <w:rPr>
          <w:bCs/>
          <w:b/>
        </w:rPr>
        <w:t xml:space="preserve">Melanocortin-Rezeptoren</w:t>
      </w:r>
      <w:r>
        <w:t xml:space="preserve">: Eine Familie von Rezeptoren, die unter anderem Hautpigmentierung, Appetit und Sexualfunktion beeinflussen. Afamelanotid, Bremelanotid, Melanotan II und Setmelanotid wirken an diesen Rezeptoren.</w:t>
      </w:r>
    </w:p>
    <w:p>
      <w:pPr>
        <w:pStyle w:val="BodyText"/>
      </w:pPr>
      <w:r>
        <w:rPr>
          <w:bCs/>
          <w:b/>
        </w:rPr>
        <w:t xml:space="preserve">Meta-Analyse</w:t>
      </w:r>
      <w:r>
        <w:t xml:space="preserve">: Eine statistische Zusammenfassung der Ergebnisse mehrerer Studien zur selben Frage. Sie ist nur so gut wie die Studien, die in sie eingehen.</w:t>
      </w:r>
    </w:p>
    <w:p>
      <w:pPr>
        <w:pStyle w:val="BodyText"/>
      </w:pPr>
      <w:r>
        <w:rPr>
          <w:bCs/>
          <w:b/>
        </w:rPr>
        <w:t xml:space="preserve">Mimetikum</w:t>
      </w:r>
      <w:r>
        <w:t xml:space="preserve">: Ein Stoff, der die Wirkung eines anderen nachahmt, ohne dessen Struktur zu haben – etwa ein kleines Molekül, das wie ein Peptidhormon einen Rezeptor aktiviert.</w:t>
      </w:r>
    </w:p>
    <w:bookmarkEnd w:id="1091"/>
    <w:bookmarkStart w:id="1092" w:name="n"/>
    <w:p>
      <w:pPr>
        <w:pStyle w:val="Heading3"/>
      </w:pPr>
      <w:r>
        <w:t xml:space="preserve">N</w:t>
      </w:r>
    </w:p>
    <w:p>
      <w:pPr>
        <w:pStyle w:val="FirstParagraph"/>
      </w:pPr>
      <w:r>
        <w:rPr>
          <w:bCs/>
          <w:b/>
        </w:rPr>
        <w:t xml:space="preserve">Nahrungsergänzungsmittel</w:t>
      </w:r>
      <w:r>
        <w:t xml:space="preserve">: Ein Lebensmittel, das die normale Ernährung mit Nährstoffen oder anderen Stoffen ergänzen soll. Es braucht keine Zulassung, darf aber keine pharmakologische Wirkung haben.</w:t>
      </w:r>
    </w:p>
    <w:p>
      <w:pPr>
        <w:pStyle w:val="BodyText"/>
      </w:pPr>
      <w:r>
        <w:rPr>
          <w:bCs/>
          <w:b/>
        </w:rPr>
        <w:t xml:space="preserve">NCT-Nummer</w:t>
      </w:r>
      <w:r>
        <w:t xml:space="preserve">: Die Kennnummer einer Studie im Register ClinicalTrials.gov, bestehend aus „NCT“ und acht Ziffern.</w:t>
      </w:r>
    </w:p>
    <w:p>
      <w:pPr>
        <w:pStyle w:val="BodyText"/>
      </w:pPr>
      <w:r>
        <w:rPr>
          <w:bCs/>
          <w:b/>
        </w:rPr>
        <w:t xml:space="preserve">Novel Food</w:t>
      </w:r>
      <w:r>
        <w:t xml:space="preserve">: In der EU ein Lebensmittel oder eine Zutat, die vor dem 15. Mai 1997 nicht in nennenswertem Umfang verzehrt wurde. Solche Produkte brauchen vor dem Verkauf eine Zulassung.</w:t>
      </w:r>
    </w:p>
    <w:p>
      <w:pPr>
        <w:pStyle w:val="BodyText"/>
      </w:pPr>
      <w:r>
        <w:rPr>
          <w:bCs/>
          <w:b/>
        </w:rPr>
        <w:t xml:space="preserve">N-Terminus</w:t>
      </w:r>
      <w:r>
        <w:t xml:space="preserve">: Der Anfang einer Peptidkette mit der freien Aminogruppe.</w:t>
      </w:r>
    </w:p>
    <w:p>
      <w:pPr>
        <w:pStyle w:val="BodyText"/>
      </w:pPr>
      <w:r>
        <w:rPr>
          <w:bCs/>
          <w:b/>
        </w:rPr>
        <w:t xml:space="preserve">Number Needed to Treat (NNT)</w:t>
      </w:r>
      <w:r>
        <w:t xml:space="preserve">: Die Zahl der Menschen, die eine bestimmte Zeit behandelt werden müssen, damit eine Person ein Ereignis vermeidet. Sie wird aus der absoluten Risikoreduktion berechnet.</w:t>
      </w:r>
    </w:p>
    <w:bookmarkEnd w:id="1092"/>
    <w:bookmarkStart w:id="1093" w:name="o"/>
    <w:p>
      <w:pPr>
        <w:pStyle w:val="Heading3"/>
      </w:pPr>
      <w:r>
        <w:t xml:space="preserve">O</w:t>
      </w:r>
    </w:p>
    <w:p>
      <w:pPr>
        <w:pStyle w:val="FirstParagraph"/>
      </w:pPr>
      <w:r>
        <w:rPr>
          <w:bCs/>
          <w:b/>
        </w:rPr>
        <w:t xml:space="preserve">Offene Studie</w:t>
      </w:r>
      <w:r>
        <w:t xml:space="preserve">: Eine Studie ohne Verblindung, in der Teilnehmende und Studienpersonal wissen, welche Behandlung gegeben wird.</w:t>
      </w:r>
    </w:p>
    <w:p>
      <w:pPr>
        <w:pStyle w:val="BodyText"/>
      </w:pPr>
      <w:r>
        <w:rPr>
          <w:bCs/>
          <w:b/>
        </w:rPr>
        <w:t xml:space="preserve">Off-Label-Use</w:t>
      </w:r>
      <w:r>
        <w:t xml:space="preserve">: Die Anwendung eines zugelassenen Arzneimittels außerhalb der zugelassenen Anwendungsgebiete, Dosierungen oder Personengruppen.</w:t>
      </w:r>
    </w:p>
    <w:p>
      <w:pPr>
        <w:pStyle w:val="BodyText"/>
      </w:pPr>
      <w:r>
        <w:rPr>
          <w:bCs/>
          <w:b/>
        </w:rPr>
        <w:t xml:space="preserve">Oligopeptid</w:t>
      </w:r>
      <w:r>
        <w:t xml:space="preserve">: Ein kurzes Peptid aus etwa zwei bis zehn Aminosäuren.</w:t>
      </w:r>
    </w:p>
    <w:bookmarkEnd w:id="1093"/>
    <w:bookmarkStart w:id="1094" w:name="p"/>
    <w:p>
      <w:pPr>
        <w:pStyle w:val="Heading3"/>
      </w:pPr>
      <w:r>
        <w:t xml:space="preserve">P</w:t>
      </w:r>
    </w:p>
    <w:p>
      <w:pPr>
        <w:pStyle w:val="FirstParagraph"/>
      </w:pPr>
      <w:r>
        <w:rPr>
          <w:bCs/>
          <w:b/>
        </w:rPr>
        <w:t xml:space="preserve">Pankreatitis</w:t>
      </w:r>
      <w:r>
        <w:t xml:space="preserve">: Entzündung der Bauchspeicheldrüse. Sie wird als mögliche, seltene Nebenwirkung von GLP-1-Medikamenten diskutiert.</w:t>
      </w:r>
    </w:p>
    <w:p>
      <w:pPr>
        <w:pStyle w:val="BodyText"/>
      </w:pPr>
      <w:r>
        <w:rPr>
          <w:bCs/>
          <w:b/>
        </w:rPr>
        <w:t xml:space="preserve">Peptid</w:t>
      </w:r>
      <w:r>
        <w:t xml:space="preserve">: Eine Kette aus Aminosäuren, die über Peptidbindungen verknüpft sind. Ab etwa 50 Aminosäuren spricht man meist von einem Protein.</w:t>
      </w:r>
    </w:p>
    <w:p>
      <w:pPr>
        <w:pStyle w:val="BodyText"/>
      </w:pPr>
      <w:r>
        <w:rPr>
          <w:bCs/>
          <w:b/>
        </w:rPr>
        <w:t xml:space="preserve">Peptidbindung</w:t>
      </w:r>
      <w:r>
        <w:t xml:space="preserve">: Die chemische Verbindung zwischen der Säuregruppe einer Aminosäure und der Aminogruppe der nächsten, bei deren Bildung Wasser abgespalten wird.</w:t>
      </w:r>
    </w:p>
    <w:p>
      <w:pPr>
        <w:pStyle w:val="BodyText"/>
      </w:pPr>
      <w:r>
        <w:rPr>
          <w:bCs/>
          <w:b/>
        </w:rPr>
        <w:t xml:space="preserve">Pharmakodynamik</w:t>
      </w:r>
      <w:r>
        <w:t xml:space="preserve">: Die Lehre davon, was ein Wirkstoff im Körper bewirkt – also seine Wirkungen und Wirkmechanismen.</w:t>
      </w:r>
    </w:p>
    <w:p>
      <w:pPr>
        <w:pStyle w:val="BodyText"/>
      </w:pPr>
      <w:r>
        <w:rPr>
          <w:bCs/>
          <w:b/>
        </w:rPr>
        <w:t xml:space="preserve">Pharmakokinetik</w:t>
      </w:r>
      <w:r>
        <w:t xml:space="preserve">: Die Lehre davon, was der Körper mit einem Wirkstoff macht – Aufnahme, Verteilung, Abbau und Ausscheidung.</w:t>
      </w:r>
    </w:p>
    <w:p>
      <w:pPr>
        <w:pStyle w:val="BodyText"/>
      </w:pPr>
      <w:r>
        <w:rPr>
          <w:bCs/>
          <w:b/>
        </w:rPr>
        <w:t xml:space="preserve">Pharmakovigilanz</w:t>
      </w:r>
      <w:r>
        <w:t xml:space="preserve">: Die systematische Überwachung von Arzneimitteln nach der Zulassung, um Nebenwirkungen zu erkennen und zu bewerten.</w:t>
      </w:r>
    </w:p>
    <w:p>
      <w:pPr>
        <w:pStyle w:val="BodyText"/>
      </w:pPr>
      <w:r>
        <w:rPr>
          <w:bCs/>
          <w:b/>
        </w:rPr>
        <w:t xml:space="preserve">Placebo</w:t>
      </w:r>
      <w:r>
        <w:t xml:space="preserve">: Ein Scheinpräparat ohne Wirkstoff, das in Studien zum Vergleich eingesetzt wird.</w:t>
      </w:r>
    </w:p>
    <w:p>
      <w:pPr>
        <w:pStyle w:val="BodyText"/>
      </w:pPr>
      <w:r>
        <w:rPr>
          <w:bCs/>
          <w:b/>
        </w:rPr>
        <w:t xml:space="preserve">Placebo-Effekt</w:t>
      </w:r>
      <w:r>
        <w:t xml:space="preserve">: Eine Verbesserung von Beschwerden, die nicht auf einen Wirkstoff, sondern auf Erwartungen, Zuwendung oder den natürlichen Verlauf zurückgeht.</w:t>
      </w:r>
    </w:p>
    <w:p>
      <w:pPr>
        <w:pStyle w:val="BodyText"/>
      </w:pPr>
      <w:r>
        <w:rPr>
          <w:bCs/>
          <w:b/>
        </w:rPr>
        <w:t xml:space="preserve">PMID</w:t>
      </w:r>
      <w:r>
        <w:t xml:space="preserve">: Die PubMed-Identifikationsnummer, eine eindeutige Nummer für jeden Eintrag in der Literaturdatenbank PubMed.</w:t>
      </w:r>
    </w:p>
    <w:p>
      <w:pPr>
        <w:pStyle w:val="BodyText"/>
      </w:pPr>
      <w:r>
        <w:rPr>
          <w:bCs/>
          <w:b/>
        </w:rPr>
        <w:t xml:space="preserve">Polypeptid</w:t>
      </w:r>
      <w:r>
        <w:t xml:space="preserve">: Eine längere Peptidkette, meist mit mehr als zehn Aminosäuren.</w:t>
      </w:r>
    </w:p>
    <w:p>
      <w:pPr>
        <w:pStyle w:val="BodyText"/>
      </w:pPr>
      <w:r>
        <w:rPr>
          <w:bCs/>
          <w:b/>
        </w:rPr>
        <w:t xml:space="preserve">Präklinische Studien</w:t>
      </w:r>
      <w:r>
        <w:t xml:space="preserve">: Untersuchungen im Labor und an Tieren, die vor den ersten Studien am Menschen durchgeführt werden.</w:t>
      </w:r>
    </w:p>
    <w:p>
      <w:pPr>
        <w:pStyle w:val="BodyText"/>
      </w:pPr>
      <w:r>
        <w:rPr>
          <w:bCs/>
          <w:b/>
        </w:rPr>
        <w:t xml:space="preserve">Präsentationsarzneimittel</w:t>
      </w:r>
      <w:r>
        <w:t xml:space="preserve">: Rechtlicher Begriff für ein Produkt, das als Arzneimittel gilt, weil es als Mittel gegen Krankheiten dargestellt oder beworben wird.</w:t>
      </w:r>
    </w:p>
    <w:p>
      <w:pPr>
        <w:pStyle w:val="BodyText"/>
      </w:pPr>
      <w:r>
        <w:rPr>
          <w:bCs/>
          <w:b/>
        </w:rPr>
        <w:t xml:space="preserve">Preprint</w:t>
      </w:r>
      <w:r>
        <w:t xml:space="preserve">: Eine wissenschaftliche Arbeit, die vor der Begutachtung durch Fachleute öffentlich gemacht wird.</w:t>
      </w:r>
    </w:p>
    <w:p>
      <w:pPr>
        <w:pStyle w:val="BodyText"/>
      </w:pPr>
      <w:r>
        <w:rPr>
          <w:bCs/>
          <w:b/>
        </w:rPr>
        <w:t xml:space="preserve">Protease</w:t>
      </w:r>
      <w:r>
        <w:t xml:space="preserve">: Ein Enzym, das Peptidbindungen spaltet und so Eiweiße und Peptide abbaut. Auch Peptidase genannt.</w:t>
      </w:r>
    </w:p>
    <w:p>
      <w:pPr>
        <w:pStyle w:val="BodyText"/>
      </w:pPr>
      <w:r>
        <w:rPr>
          <w:bCs/>
          <w:b/>
        </w:rPr>
        <w:t xml:space="preserve">Protein</w:t>
      </w:r>
      <w:r>
        <w:t xml:space="preserve">: Ein großes Eiweißmolekül aus meist mehr als 50 Aminosäuren mit einer bestimmten räumlichen Faltung.</w:t>
      </w:r>
    </w:p>
    <w:p>
      <w:pPr>
        <w:pStyle w:val="BodyText"/>
      </w:pPr>
      <w:r>
        <w:rPr>
          <w:bCs/>
          <w:b/>
        </w:rPr>
        <w:t xml:space="preserve">Publikationsbias</w:t>
      </w:r>
      <w:r>
        <w:t xml:space="preserve">: Die Verzerrung des Gesamtbildes, wenn Studien mit positiven Ergebnissen häufiger veröffentlicht werden als solche mit negativen.</w:t>
      </w:r>
    </w:p>
    <w:p>
      <w:pPr>
        <w:pStyle w:val="BodyText"/>
      </w:pPr>
      <w:r>
        <w:rPr>
          <w:bCs/>
          <w:b/>
        </w:rPr>
        <w:t xml:space="preserve">PubMed</w:t>
      </w:r>
      <w:r>
        <w:t xml:space="preserve">: Eine frei zugängliche Literaturdatenbank der US-amerikanischen National Library of Medicine mit Millionen Einträgen aus der biomedizinischen Forschung.</w:t>
      </w:r>
    </w:p>
    <w:p>
      <w:pPr>
        <w:pStyle w:val="BodyText"/>
      </w:pPr>
      <w:r>
        <w:rPr>
          <w:bCs/>
          <w:b/>
        </w:rPr>
        <w:t xml:space="preserve">p-Wert</w:t>
      </w:r>
      <w:r>
        <w:t xml:space="preserve">: Ein statistisches Maß dafür, wie wahrscheinlich ein mindestens so großer Unterschied wäre, wenn es in Wirklichkeit keinen Effekt gäbe. Werte unter 0,05 gelten üblicherweise als statistisch signifikant.</w:t>
      </w:r>
    </w:p>
    <w:bookmarkEnd w:id="1094"/>
    <w:bookmarkStart w:id="1095" w:name="r"/>
    <w:p>
      <w:pPr>
        <w:pStyle w:val="Heading3"/>
      </w:pPr>
      <w:r>
        <w:t xml:space="preserve">R</w:t>
      </w:r>
    </w:p>
    <w:p>
      <w:pPr>
        <w:pStyle w:val="FirstParagraph"/>
      </w:pPr>
      <w:r>
        <w:rPr>
          <w:bCs/>
          <w:b/>
        </w:rPr>
        <w:t xml:space="preserve">Randomisierung</w:t>
      </w:r>
      <w:r>
        <w:t xml:space="preserve">: Die zufällige Zuteilung von Teilnehmenden zu den Gruppen einer Studie. Sie sorgt dafür, dass sich die Gruppen nur in der Behandlung systematisch unterscheiden.</w:t>
      </w:r>
    </w:p>
    <w:p>
      <w:pPr>
        <w:pStyle w:val="BodyText"/>
      </w:pPr>
      <w:r>
        <w:rPr>
          <w:bCs/>
          <w:b/>
        </w:rPr>
        <w:t xml:space="preserve">RCT (randomisierte kontrollierte Studie)</w:t>
      </w:r>
      <w:r>
        <w:t xml:space="preserve">: Eine Studie mit zufälliger Zuteilung zu einer Behandlungs- und einer Kontrollgruppe. Sie gilt als zuverlässigster Weg, die Wirkung einer Behandlung nachzuweisen.</w:t>
      </w:r>
    </w:p>
    <w:p>
      <w:pPr>
        <w:pStyle w:val="BodyText"/>
      </w:pPr>
      <w:r>
        <w:rPr>
          <w:bCs/>
          <w:b/>
        </w:rPr>
        <w:t xml:space="preserve">Rekombinant</w:t>
      </w:r>
      <w:r>
        <w:t xml:space="preserve">: Gentechnisch hergestellt, indem die Bauanleitung für ein Peptid oder Protein in Bakterien, Hefen oder andere Zellen eingebracht wird.</w:t>
      </w:r>
    </w:p>
    <w:p>
      <w:pPr>
        <w:pStyle w:val="BodyText"/>
      </w:pPr>
      <w:r>
        <w:rPr>
          <w:bCs/>
          <w:b/>
        </w:rPr>
        <w:t xml:space="preserve">Relatives Risiko</w:t>
      </w:r>
      <w:r>
        <w:t xml:space="preserve">: Das Verhältnis der Ereignishäufigkeit in zwei Gruppen. Ein relatives Risiko von 0,5 bedeutet eine Halbierung – unabhängig davon, wie häufig das Ereignis insgesamt ist.</w:t>
      </w:r>
    </w:p>
    <w:p>
      <w:pPr>
        <w:pStyle w:val="BodyText"/>
      </w:pPr>
      <w:r>
        <w:rPr>
          <w:bCs/>
          <w:b/>
        </w:rPr>
        <w:t xml:space="preserve">Research Peptides</w:t>
      </w:r>
      <w:r>
        <w:t xml:space="preserve">: Peptide, die mit dem Hinweis „nur für Forschungszwecke“ oder „nicht zur Anwendung am Menschen“ verkauft werden, oft aber an Privatpersonen. Sie sind keine geprüften Arzneimittel.</w:t>
      </w:r>
    </w:p>
    <w:p>
      <w:pPr>
        <w:pStyle w:val="BodyText"/>
      </w:pPr>
      <w:r>
        <w:rPr>
          <w:bCs/>
          <w:b/>
        </w:rPr>
        <w:t xml:space="preserve">Rezeptor</w:t>
      </w:r>
      <w:r>
        <w:t xml:space="preserve">: Ein Eiweißmolekül, meist an der Zelloberfläche, an das ein Botenstoff bindet und dadurch ein Signal in der Zelle auslöst.</w:t>
      </w:r>
    </w:p>
    <w:p>
      <w:pPr>
        <w:pStyle w:val="BodyText"/>
      </w:pPr>
      <w:r>
        <w:rPr>
          <w:bCs/>
          <w:b/>
        </w:rPr>
        <w:t xml:space="preserve">Rhabdomyolyse</w:t>
      </w:r>
      <w:r>
        <w:t xml:space="preserve">: Ein Zerfall von Muskelgewebe, bei dem Muskelbestandteile ins Blut gelangen und die Nieren schädigen können.</w:t>
      </w:r>
    </w:p>
    <w:bookmarkEnd w:id="1095"/>
    <w:bookmarkStart w:id="1096" w:name="s"/>
    <w:p>
      <w:pPr>
        <w:pStyle w:val="Heading3"/>
      </w:pPr>
      <w:r>
        <w:t xml:space="preserve">S</w:t>
      </w:r>
    </w:p>
    <w:p>
      <w:pPr>
        <w:pStyle w:val="FirstParagraph"/>
      </w:pPr>
      <w:r>
        <w:rPr>
          <w:bCs/>
          <w:b/>
        </w:rPr>
        <w:t xml:space="preserve">Sekretagogum</w:t>
      </w:r>
      <w:r>
        <w:t xml:space="preserve">: Ein Stoff, der die Ausschüttung eines anderen Stoffes anregt. Wachstumshormon-Sekretagoga steigern die Freisetzung von Wachstumshormon.</w:t>
      </w:r>
    </w:p>
    <w:p>
      <w:pPr>
        <w:pStyle w:val="BodyText"/>
      </w:pPr>
      <w:r>
        <w:rPr>
          <w:bCs/>
          <w:b/>
        </w:rPr>
        <w:t xml:space="preserve">Sequenz</w:t>
      </w:r>
      <w:r>
        <w:t xml:space="preserve">: Die Reihenfolge der Aminosäuren in einer Peptidkette. Sie bestimmt die Eigenschaften des Peptids.</w:t>
      </w:r>
    </w:p>
    <w:p>
      <w:pPr>
        <w:pStyle w:val="BodyText"/>
      </w:pPr>
      <w:r>
        <w:rPr>
          <w:bCs/>
          <w:b/>
        </w:rPr>
        <w:t xml:space="preserve">Signifikanz (statistische)</w:t>
      </w:r>
      <w:r>
        <w:t xml:space="preserve">: Die Aussage, dass ein beobachteter Unterschied wahrscheinlich nicht allein durch Zufall entstanden ist. Sie sagt nichts darüber, ob der Unterschied groß oder bedeutsam ist.</w:t>
      </w:r>
    </w:p>
    <w:p>
      <w:pPr>
        <w:pStyle w:val="BodyText"/>
      </w:pPr>
      <w:r>
        <w:rPr>
          <w:bCs/>
          <w:b/>
        </w:rPr>
        <w:t xml:space="preserve">SNAC</w:t>
      </w:r>
      <w:r>
        <w:t xml:space="preserve">: Ein Hilfsstoff (Natrium-N-[8-(2-hydroxybenzoyl)amino]caprylat), der in der Semaglutid-Tablette die Aufnahme des Peptids im Magen ermöglicht.</w:t>
      </w:r>
    </w:p>
    <w:p>
      <w:pPr>
        <w:pStyle w:val="BodyText"/>
      </w:pPr>
      <w:r>
        <w:rPr>
          <w:bCs/>
          <w:b/>
        </w:rPr>
        <w:t xml:space="preserve">Sterilität</w:t>
      </w:r>
      <w:r>
        <w:t xml:space="preserve">: Freiheit von lebenden Mikroorganismen. Ein steriles Produkt kann dennoch Endotoxine enthalten.</w:t>
      </w:r>
    </w:p>
    <w:p>
      <w:pPr>
        <w:pStyle w:val="BodyText"/>
      </w:pPr>
      <w:r>
        <w:rPr>
          <w:bCs/>
          <w:b/>
        </w:rPr>
        <w:t xml:space="preserve">Studienphasen</w:t>
      </w:r>
      <w:r>
        <w:t xml:space="preserve">: Die Stufen der Arzneimittelprüfung am Menschen, von Phase 1 (Verträglichkeit an wenigen Personen) bis Phase 3 (große Vergleichsstudien) und Phase 4 (Beobachtung nach der Zulassung).</w:t>
      </w:r>
    </w:p>
    <w:p>
      <w:pPr>
        <w:pStyle w:val="BodyText"/>
      </w:pPr>
      <w:r>
        <w:rPr>
          <w:bCs/>
          <w:b/>
        </w:rPr>
        <w:t xml:space="preserve">Studienregister</w:t>
      </w:r>
      <w:r>
        <w:t xml:space="preserve">: Öffentliche Datenbanken, in denen klinische Studien vor Beginn eingetragen werden, etwa ClinicalTrials.gov oder das EU-Register.</w:t>
      </w:r>
    </w:p>
    <w:p>
      <w:pPr>
        <w:pStyle w:val="BodyText"/>
      </w:pPr>
      <w:r>
        <w:rPr>
          <w:bCs/>
          <w:b/>
        </w:rPr>
        <w:t xml:space="preserve">Subkutan</w:t>
      </w:r>
      <w:r>
        <w:t xml:space="preserve">: Unter die Haut, in das Unterhautfettgewebe gespritzt. Der häufigste Verabreichungsweg für Peptid-Arzneimittel.</w:t>
      </w:r>
    </w:p>
    <w:p>
      <w:pPr>
        <w:pStyle w:val="BodyText"/>
      </w:pPr>
      <w:r>
        <w:rPr>
          <w:bCs/>
          <w:b/>
        </w:rPr>
        <w:t xml:space="preserve">Surrogat-Endpunkt</w:t>
      </w:r>
      <w:r>
        <w:t xml:space="preserve">: Ein Messwert, der stellvertretend für ein klinisch bedeutsames Ereignis verwendet wird, etwa Blutzucker statt Herzinfarkt. Verbesserungen eines Surrogats bedeuten nicht automatisch einen Nutzen für Patientinnen und Patienten.</w:t>
      </w:r>
    </w:p>
    <w:p>
      <w:pPr>
        <w:pStyle w:val="BodyText"/>
      </w:pPr>
      <w:r>
        <w:rPr>
          <w:bCs/>
          <w:b/>
        </w:rPr>
        <w:t xml:space="preserve">Systematische Übersichtsarbeit</w:t>
      </w:r>
      <w:r>
        <w:t xml:space="preserve">: Eine Arbeit, die nach festgelegten Regeln alle verfügbaren Studien zu einer Frage sucht, bewertet und zusammenfasst.</w:t>
      </w:r>
    </w:p>
    <w:bookmarkEnd w:id="1096"/>
    <w:bookmarkStart w:id="1097" w:name="t"/>
    <w:p>
      <w:pPr>
        <w:pStyle w:val="Heading3"/>
      </w:pPr>
      <w:r>
        <w:t xml:space="preserve">T</w:t>
      </w:r>
    </w:p>
    <w:p>
      <w:pPr>
        <w:pStyle w:val="FirstParagraph"/>
      </w:pPr>
      <w:r>
        <w:rPr>
          <w:bCs/>
          <w:b/>
        </w:rPr>
        <w:t xml:space="preserve">Therapeutic Use Exemption (TUE)</w:t>
      </w:r>
      <w:r>
        <w:t xml:space="preserve">: Eine medizinische Ausnahmegenehmigung im Sport, die die Anwendung eines verbotenen, aber medizinisch notwendigen Arzneimittels erlaubt.</w:t>
      </w:r>
    </w:p>
    <w:p>
      <w:pPr>
        <w:pStyle w:val="BodyText"/>
      </w:pPr>
      <w:r>
        <w:rPr>
          <w:bCs/>
          <w:b/>
        </w:rPr>
        <w:t xml:space="preserve">Typ-2-Diabetes</w:t>
      </w:r>
      <w:r>
        <w:t xml:space="preserve">: Die häufigste Form der Zuckerkrankheit, bei der der Körper Insulin weniger wirksam nutzt und die Bauchspeicheldrüse nicht genug nachliefert. Häufig mit Übergewicht verbunden.</w:t>
      </w:r>
    </w:p>
    <w:bookmarkEnd w:id="1097"/>
    <w:bookmarkStart w:id="1098" w:name="u"/>
    <w:p>
      <w:pPr>
        <w:pStyle w:val="Heading3"/>
      </w:pPr>
      <w:r>
        <w:t xml:space="preserve">U</w:t>
      </w:r>
    </w:p>
    <w:p>
      <w:pPr>
        <w:pStyle w:val="FirstParagraph"/>
      </w:pPr>
      <w:r>
        <w:rPr>
          <w:bCs/>
          <w:b/>
        </w:rPr>
        <w:t xml:space="preserve">Unerwünschtes Ereignis</w:t>
      </w:r>
      <w:r>
        <w:t xml:space="preserve">: Jedes gesundheitliche Problem, das während einer Studie auftritt, unabhängig davon, ob es durch die Behandlung verursacht wurde. Erst der Vergleich mit der Kontrollgruppe zeigt, ob ein Zusammenhang wahrscheinlich ist.</w:t>
      </w:r>
    </w:p>
    <w:bookmarkEnd w:id="1098"/>
    <w:bookmarkStart w:id="1099" w:name="v"/>
    <w:p>
      <w:pPr>
        <w:pStyle w:val="Heading3"/>
      </w:pPr>
      <w:r>
        <w:t xml:space="preserve">V</w:t>
      </w:r>
    </w:p>
    <w:p>
      <w:pPr>
        <w:pStyle w:val="FirstParagraph"/>
      </w:pPr>
      <w:r>
        <w:rPr>
          <w:bCs/>
          <w:b/>
        </w:rPr>
        <w:t xml:space="preserve">Verblindung</w:t>
      </w:r>
      <w:r>
        <w:t xml:space="preserve">: Das Verbergen der Gruppenzuteilung vor Teilnehmenden und/oder Studienpersonal, um Erwartungseffekte zu vermeiden.</w:t>
      </w:r>
    </w:p>
    <w:p>
      <w:pPr>
        <w:pStyle w:val="BodyText"/>
      </w:pPr>
      <w:r>
        <w:rPr>
          <w:bCs/>
          <w:b/>
        </w:rPr>
        <w:t xml:space="preserve">Verunreinigung</w:t>
      </w:r>
      <w:r>
        <w:t xml:space="preserve">: Unerwünschte Bestandteile eines Produkts, etwa fehlerhafte Peptidketten aus der Synthese, Lösungsmittelreste, Metalle oder Bakterienbestandteile.</w:t>
      </w:r>
    </w:p>
    <w:bookmarkEnd w:id="1099"/>
    <w:bookmarkStart w:id="1100" w:name="w"/>
    <w:p>
      <w:pPr>
        <w:pStyle w:val="Heading3"/>
      </w:pPr>
      <w:r>
        <w:t xml:space="preserve">W</w:t>
      </w:r>
    </w:p>
    <w:p>
      <w:pPr>
        <w:pStyle w:val="FirstParagraph"/>
      </w:pPr>
      <w:r>
        <w:rPr>
          <w:bCs/>
          <w:b/>
        </w:rPr>
        <w:t xml:space="preserve">WADA (Welt-Anti-Doping-Agentur)</w:t>
      </w:r>
      <w:r>
        <w:t xml:space="preserve">: Die internationale Organisation, die jährlich die Liste der im Sport verbotenen Substanzen und Methoden herausgibt.</w:t>
      </w:r>
    </w:p>
    <w:p>
      <w:pPr>
        <w:pStyle w:val="BodyText"/>
      </w:pPr>
      <w:r>
        <w:rPr>
          <w:bCs/>
          <w:b/>
        </w:rPr>
        <w:t xml:space="preserve">Wachstumshormon (Somatotropin)</w:t>
      </w:r>
      <w:r>
        <w:t xml:space="preserve">: Ein Protein aus der Hirnanhangdrüse, das Wachstum, Stoffwechsel und Körperzusammensetzung beeinflusst. Viele Peptide in diesem Buch sollen seine Ausschüttung steigern.</w:t>
      </w:r>
    </w:p>
    <w:bookmarkEnd w:id="1100"/>
    <w:bookmarkStart w:id="1101" w:name="z"/>
    <w:p>
      <w:pPr>
        <w:pStyle w:val="Heading3"/>
      </w:pPr>
      <w:r>
        <w:t xml:space="preserve">Z</w:t>
      </w:r>
    </w:p>
    <w:p>
      <w:pPr>
        <w:pStyle w:val="FirstParagraph"/>
      </w:pPr>
      <w:r>
        <w:rPr>
          <w:bCs/>
          <w:b/>
        </w:rPr>
        <w:t xml:space="preserve">Zulassung</w:t>
      </w:r>
      <w:r>
        <w:t xml:space="preserve">: Die behördliche Genehmigung, ein Arzneimittel in den Verkehr zu bringen, nach Prüfung von Qualität, Wirksamkeit und Sicherheit.</w:t>
      </w:r>
    </w:p>
    <w:p>
      <w:pPr>
        <w:pStyle w:val="BodyText"/>
      </w:pPr>
      <w:r>
        <w:rPr>
          <w:bCs/>
          <w:b/>
        </w:rPr>
        <w:t xml:space="preserve">Zyklisches Peptid</w:t>
      </w:r>
      <w:r>
        <w:t xml:space="preserve">: Ein Peptid, dessen Kette zu einem Ring geschlossen ist. Ringstrukturen machen Peptide oft stabiler gegenüber Enzymen.</w:t>
      </w:r>
    </w:p>
    <w:bookmarkEnd w:id="1101"/>
    <w:bookmarkEnd w:id="1102"/>
    <w:bookmarkStart w:id="1118" w:name="methodik"/>
    <w:p>
      <w:pPr>
        <w:pStyle w:val="Heading1"/>
      </w:pPr>
      <w:r>
        <w:t xml:space="preserve">Methodik</w:t>
      </w:r>
    </w:p>
    <w:p>
      <w:pPr>
        <w:pStyle w:val="FirstParagraph"/>
      </w:pPr>
      <w:r>
        <w:t xml:space="preserve">Dieser Anhang beschreibt, wie die Studien für dieses Buch gesucht, ausgewählt und geprüft wurden. Er soll es Ihnen ermöglichen, die Recherche nachzuvollziehen und bei Bedarf selbst zu wiederholen oder zu aktualisieren.</w:t>
      </w:r>
    </w:p>
    <w:bookmarkStart w:id="1103" w:name="datenbanken"/>
    <w:p>
      <w:pPr>
        <w:pStyle w:val="Heading3"/>
      </w:pPr>
      <w:r>
        <w:t xml:space="preserve">Datenbanken</w:t>
      </w:r>
    </w:p>
    <w:p>
      <w:pPr>
        <w:pStyle w:val="FirstParagraph"/>
      </w:pPr>
      <w:r>
        <w:t xml:space="preserve">Grundlage der Recherche sind zwei frei zugängliche Datenbanken:</w:t>
      </w:r>
    </w:p>
    <w:p>
      <w:pPr>
        <w:numPr>
          <w:ilvl w:val="0"/>
          <w:numId w:val="1374"/>
        </w:numPr>
        <w:pStyle w:val="Compact"/>
      </w:pPr>
      <w:r>
        <w:rPr>
          <w:bCs/>
          <w:b/>
        </w:rPr>
        <w:t xml:space="preserve">PubMed</w:t>
      </w:r>
      <w:r>
        <w:t xml:space="preserve"> </w:t>
      </w:r>
      <w:r>
        <w:t xml:space="preserve">(pubmed.ncbi.nlm.nih.gov), die Literaturdatenbank der US-amerikanischen National Library of Medicine. Sie verzeichnet Veröffentlichungen aus biomedizinischen Fachzeitschriften mit Titel, Autorinnen und Autoren, Zusammenfassung (Abstract) und Schlagwörtern. Jeder Eintrag hat eine eindeutige Nummer, die PMID.</w:t>
      </w:r>
    </w:p>
    <w:p>
      <w:pPr>
        <w:numPr>
          <w:ilvl w:val="0"/>
          <w:numId w:val="1374"/>
        </w:numPr>
        <w:pStyle w:val="Compact"/>
      </w:pPr>
      <w:r>
        <w:rPr>
          <w:bCs/>
          <w:b/>
        </w:rPr>
        <w:t xml:space="preserve">ClinicalTrials.gov</w:t>
      </w:r>
      <w:r>
        <w:t xml:space="preserve"> </w:t>
      </w:r>
      <w:r>
        <w:t xml:space="preserve">(clinicaltrials.gov), das Studienregister der US-amerikanischen National Institutes of Health. Hier werden klinische Studien aus aller Welt vor ihrem Beginn registriert, mit Design, geplanter Teilnehmerzahl, Endpunkten und Status. Jede Studie hat eine NCT-Nummer.</w:t>
      </w:r>
    </w:p>
    <w:p>
      <w:pPr>
        <w:pStyle w:val="FirstParagraph"/>
      </w:pPr>
      <w:r>
        <w:t xml:space="preserve">Beide Datenbanken wurden über ihre offiziellen, öffentlich zugänglichen Programmierschnittstellen abgefragt: PubMed über die E-Utilities des National Center for Biotechnology Information, ClinicalTrials.gov über die Programmierschnittstelle in Version 2. Andere Datenbanken wie Embase, Cochrane Library, Web of Science, das EU-Studienregister oder nationale Register wurden nicht systematisch durchsucht.</w:t>
      </w:r>
    </w:p>
    <w:bookmarkEnd w:id="1103"/>
    <w:bookmarkStart w:id="1104" w:name="abfragezeitraum"/>
    <w:p>
      <w:pPr>
        <w:pStyle w:val="Heading3"/>
      </w:pPr>
      <w:r>
        <w:t xml:space="preserve">Abfragezeitraum</w:t>
      </w:r>
    </w:p>
    <w:p>
      <w:pPr>
        <w:pStyle w:val="FirstParagraph"/>
      </w:pPr>
      <w:r>
        <w:t xml:space="preserve">Die systematischen Abfragen erfolgten im</w:t>
      </w:r>
      <w:r>
        <w:t xml:space="preserve"> </w:t>
      </w:r>
      <w:r>
        <w:rPr>
          <w:bCs/>
          <w:b/>
        </w:rPr>
        <w:t xml:space="preserve">Oktober 2026</w:t>
      </w:r>
      <w:r>
        <w:t xml:space="preserve">; die Zählung der Treffer für alle Peptide stammt vom 28. Oktober 2026. Ergänzende gezielte Suchen zu einzelnen Studien, Fallberichten und Übersichtsarbeiten wurden im selben Zeitraum durchgeführt. Später erschienene Studien sind nicht berücksichtigt. Der Stand des Buches ist November 2026.</w:t>
      </w:r>
    </w:p>
    <w:bookmarkEnd w:id="1104"/>
    <w:bookmarkStart w:id="1105" w:name="suchstrategie"/>
    <w:p>
      <w:pPr>
        <w:pStyle w:val="Heading3"/>
      </w:pPr>
      <w:r>
        <w:t xml:space="preserve">Suchstrategie</w:t>
      </w:r>
    </w:p>
    <w:p>
      <w:pPr>
        <w:pStyle w:val="FirstParagraph"/>
      </w:pPr>
      <w:r>
        <w:t xml:space="preserve">Für jedes der 58 Peptide und Vergleichsstoffe wurde ein eigener PubMed-Suchbegriff festgelegt. Er umfasst den internationalen Wirkstoffnamen sowie gebräuchliche Kurz-, Code- und Handelsbezeichnungen und sucht in Titel und Zusammenfassung (Kennzeichnung</w:t>
      </w:r>
      <w:r>
        <w:t xml:space="preserve"> </w:t>
      </w:r>
      <w:r>
        <w:rPr>
          <w:rStyle w:val="VerbatimChar"/>
        </w:rPr>
        <w:t xml:space="preserve">[tiab]</w:t>
      </w:r>
      <w:r>
        <w:t xml:space="preserve">) oder nur im Titel (</w:t>
      </w:r>
      <w:r>
        <w:rPr>
          <w:rStyle w:val="VerbatimChar"/>
        </w:rPr>
        <w:t xml:space="preserve">[ti]</w:t>
      </w:r>
      <w:r>
        <w:t xml:space="preserve">). Bei mehrdeutigen Begriffen wurde der Suchbegriff eingeschränkt, etwa bei Kollagenpeptiden auf Arbeiten zur Einnahme oder bei Kisspeptin auf Arbeiten zur Verabreichung des Peptids.</w:t>
      </w:r>
    </w:p>
    <w:p>
      <w:pPr>
        <w:pStyle w:val="BodyText"/>
      </w:pPr>
      <w:r>
        <w:t xml:space="preserve">Auf diesen Suchbegriff wurden drei Filter angewendet:</w:t>
      </w:r>
    </w:p>
    <w:p>
      <w:pPr>
        <w:pStyle w:val="BodyText"/>
      </w:pPr>
      <w:r>
        <w:rPr>
          <w:bCs/>
          <w:b/>
        </w:rPr>
        <w:t xml:space="preserve">Humanstudien.</w:t>
      </w:r>
      <w:r>
        <w:t xml:space="preserve"> </w:t>
      </w:r>
      <w:r>
        <w:t xml:space="preserve">Um klinische Studien am Menschen zu finden, wurde der Suchbegriff mit folgendem Filter kombiniert:</w:t>
      </w:r>
    </w:p>
    <w:p>
      <w:pPr>
        <w:pStyle w:val="BodyText"/>
      </w:pPr>
      <w:r>
        <w:rPr>
          <w:rStyle w:val="VerbatimChar"/>
        </w:rPr>
        <w:t xml:space="preserve">(clinical trial[pt] OR randomized controlled trial[pt]) AND humans[mh]</w:t>
      </w:r>
    </w:p>
    <w:p>
      <w:pPr>
        <w:pStyle w:val="BodyText"/>
      </w:pPr>
      <w:r>
        <w:t xml:space="preserve">Der Teil</w:t>
      </w:r>
      <w:r>
        <w:t xml:space="preserve"> </w:t>
      </w:r>
      <w:r>
        <w:rPr>
          <w:rStyle w:val="VerbatimChar"/>
        </w:rPr>
        <w:t xml:space="preserve">[pt]</w:t>
      </w:r>
      <w:r>
        <w:t xml:space="preserve"> </w:t>
      </w:r>
      <w:r>
        <w:t xml:space="preserve">sucht nach dem Publikationstyp, den PubMed jedem Artikel zuordnet;</w:t>
      </w:r>
      <w:r>
        <w:t xml:space="preserve"> </w:t>
      </w:r>
      <w:r>
        <w:rPr>
          <w:rStyle w:val="VerbatimChar"/>
        </w:rPr>
        <w:t xml:space="preserve">humans[mh]</w:t>
      </w:r>
      <w:r>
        <w:t xml:space="preserve"> </w:t>
      </w:r>
      <w:r>
        <w:t xml:space="preserve">steht für das Schlagwort „Menschen“ im Schlagwortsystem MeSH. Gefunden werden damit Artikel, die als klinische Studie oder als randomisierte kontrollierte Studie gekennzeichnet sind und Menschen betreffen.</w:t>
      </w:r>
    </w:p>
    <w:p>
      <w:pPr>
        <w:pStyle w:val="BodyText"/>
      </w:pPr>
      <w:r>
        <w:rPr>
          <w:bCs/>
          <w:b/>
        </w:rPr>
        <w:t xml:space="preserve">Meta-Analysen und Übersichtsarbeiten.</w:t>
      </w:r>
      <w:r>
        <w:t xml:space="preserve"> </w:t>
      </w:r>
      <w:r>
        <w:t xml:space="preserve">Für zusammenfassende Arbeiten wurde der Suchbegriff mit diesem Filter kombiniert:</w:t>
      </w:r>
    </w:p>
    <w:p>
      <w:pPr>
        <w:pStyle w:val="BodyText"/>
      </w:pPr>
      <w:r>
        <w:rPr>
          <w:rStyle w:val="VerbatimChar"/>
        </w:rPr>
        <w:t xml:space="preserve">(meta-analysis[pt] OR systematic review[pt])</w:t>
      </w:r>
    </w:p>
    <w:p>
      <w:pPr>
        <w:pStyle w:val="BodyText"/>
      </w:pPr>
      <w:r>
        <w:rPr>
          <w:bCs/>
          <w:b/>
        </w:rPr>
        <w:t xml:space="preserve">Präklinik.</w:t>
      </w:r>
      <w:r>
        <w:t xml:space="preserve"> </w:t>
      </w:r>
      <w:r>
        <w:t xml:space="preserve">Bei Peptiden mit weniger als 25 gefundenen Humanstudien wurden zusätzlich die relevantesten übrigen Arbeiten ohne den Humanstudien-Filter ausgewertet, um Tier- und Laborstudien, Fallberichte und Analysen von Graumarkt-Produkten zu erfassen.</w:t>
      </w:r>
    </w:p>
    <w:p>
      <w:pPr>
        <w:pStyle w:val="BodyText"/>
      </w:pPr>
      <w:r>
        <w:rPr>
          <w:bCs/>
          <w:b/>
        </w:rPr>
        <w:t xml:space="preserve">Registerstudien.</w:t>
      </w:r>
      <w:r>
        <w:t xml:space="preserve"> </w:t>
      </w:r>
      <w:r>
        <w:t xml:space="preserve">In ClinicalTrials.gov wurde für jedes Peptid ein eigener, meist einfacher Suchbegriff mit dem Wirkstoffnamen verwendet. Erfasst wurden alle Einträge unabhängig von Status und Studienphase.</w:t>
      </w:r>
    </w:p>
    <w:p>
      <w:pPr>
        <w:pStyle w:val="BodyText"/>
      </w:pPr>
      <w:r>
        <w:t xml:space="preserve">Über diese automatisierten Suchen hinaus wurde für jedes Kapitel gezielt nach den wichtigsten Zulassungs- und Endpunktstudien, großen Meta-Analysen, Studienprogrammen (zum Beispiel STEP, SURMOUNT oder SELECT), Sicherheitsdaten, Fallberichten und Laboranalysen von Graumarkt-Produkten gesucht. Für Teil I wurden außerdem Arbeiten zur Geschichte der Peptidmedizin, zu Darreichungsformen, zur Studienmethodik und zum Graumarkt recherchiert.</w:t>
      </w:r>
    </w:p>
    <w:bookmarkEnd w:id="1105"/>
    <w:bookmarkStart w:id="1112" w:name="suchbegriffe-je-peptid"/>
    <w:p>
      <w:pPr>
        <w:pStyle w:val="Heading3"/>
      </w:pPr>
      <w:r>
        <w:t xml:space="preserve">Suchbegriffe je Peptid</w:t>
      </w:r>
    </w:p>
    <w:p>
      <w:pPr>
        <w:pStyle w:val="FirstParagraph"/>
      </w:pPr>
      <w:r>
        <w:t xml:space="preserve">Die folgenden Tabellen geben die PubMed-Suchbegriffe wieder, die für die systematische Abfrage verwendet wurden. An jeden Begriff wurden die oben beschriebenen Filter angehängt. Ein Sternchen am Wortende steht für beliebige Wortendungen,</w:t>
      </w:r>
      <w:r>
        <w:t xml:space="preserve"> </w:t>
      </w:r>
      <w:r>
        <w:rPr>
          <w:rStyle w:val="VerbatimChar"/>
        </w:rPr>
        <w:t xml:space="preserve">OR</w:t>
      </w:r>
      <w:r>
        <w:t xml:space="preserve"> </w:t>
      </w:r>
      <w:r>
        <w:t xml:space="preserve">verknüpft alternative Bezeichnungen,</w:t>
      </w:r>
      <w:r>
        <w:t xml:space="preserve"> </w:t>
      </w:r>
      <w:r>
        <w:rPr>
          <w:rStyle w:val="VerbatimChar"/>
        </w:rPr>
        <w:t xml:space="preserve">AND</w:t>
      </w:r>
      <w:r>
        <w:t xml:space="preserve"> </w:t>
      </w:r>
      <w:r>
        <w:t xml:space="preserve">schränkt die Suche ein.</w:t>
      </w:r>
    </w:p>
    <w:bookmarkStart w:id="1106" w:name="a.-stoffwechsel-und-gewicht-1"/>
    <w:p>
      <w:pPr>
        <w:pStyle w:val="Heading4"/>
      </w:pPr>
      <w:r>
        <w:t xml:space="preserve">A. Stoffwechsel und Gewicht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Exenatid</w:t>
            </w:r>
          </w:p>
        </w:tc>
        <w:tc>
          <w:tcPr/>
          <w:p>
            <w:pPr>
              <w:pStyle w:val="Compact"/>
              <w:jc w:val="left"/>
            </w:pPr>
            <w:r>
              <w:rPr>
                <w:rStyle w:val="VerbatimChar"/>
              </w:rPr>
              <w:t xml:space="preserve">exenatide[tiab]</w:t>
            </w:r>
          </w:p>
        </w:tc>
      </w:tr>
      <w:tr>
        <w:tc>
          <w:tcPr/>
          <w:p>
            <w:pPr>
              <w:pStyle w:val="Compact"/>
              <w:jc w:val="left"/>
            </w:pPr>
            <w:r>
              <w:t xml:space="preserve">Liraglutid</w:t>
            </w:r>
          </w:p>
        </w:tc>
        <w:tc>
          <w:tcPr/>
          <w:p>
            <w:pPr>
              <w:pStyle w:val="Compact"/>
              <w:jc w:val="left"/>
            </w:pPr>
            <w:r>
              <w:rPr>
                <w:rStyle w:val="VerbatimChar"/>
              </w:rPr>
              <w:t xml:space="preserve">liraglutide[tiab]</w:t>
            </w:r>
          </w:p>
        </w:tc>
      </w:tr>
      <w:tr>
        <w:tc>
          <w:tcPr/>
          <w:p>
            <w:pPr>
              <w:pStyle w:val="Compact"/>
              <w:jc w:val="left"/>
            </w:pPr>
            <w:r>
              <w:t xml:space="preserve">Dulaglutid</w:t>
            </w:r>
          </w:p>
        </w:tc>
        <w:tc>
          <w:tcPr/>
          <w:p>
            <w:pPr>
              <w:pStyle w:val="Compact"/>
              <w:jc w:val="left"/>
            </w:pPr>
            <w:r>
              <w:rPr>
                <w:rStyle w:val="VerbatimChar"/>
              </w:rPr>
              <w:t xml:space="preserve">dulaglutide[tiab]</w:t>
            </w:r>
          </w:p>
        </w:tc>
      </w:tr>
      <w:tr>
        <w:tc>
          <w:tcPr/>
          <w:p>
            <w:pPr>
              <w:pStyle w:val="Compact"/>
              <w:jc w:val="left"/>
            </w:pPr>
            <w:r>
              <w:t xml:space="preserve">Semaglutid</w:t>
            </w:r>
          </w:p>
        </w:tc>
        <w:tc>
          <w:tcPr/>
          <w:p>
            <w:pPr>
              <w:pStyle w:val="Compact"/>
              <w:jc w:val="left"/>
            </w:pPr>
            <w:r>
              <w:rPr>
                <w:rStyle w:val="VerbatimChar"/>
              </w:rPr>
              <w:t xml:space="preserve">semaglutide[tiab]</w:t>
            </w:r>
          </w:p>
        </w:tc>
      </w:tr>
      <w:tr>
        <w:tc>
          <w:tcPr/>
          <w:p>
            <w:pPr>
              <w:pStyle w:val="Compact"/>
              <w:jc w:val="left"/>
            </w:pPr>
            <w:r>
              <w:t xml:space="preserve">Tirzepatid</w:t>
            </w:r>
          </w:p>
        </w:tc>
        <w:tc>
          <w:tcPr/>
          <w:p>
            <w:pPr>
              <w:pStyle w:val="Compact"/>
              <w:jc w:val="left"/>
            </w:pPr>
            <w:r>
              <w:rPr>
                <w:rStyle w:val="VerbatimChar"/>
              </w:rPr>
              <w:t xml:space="preserve">tirzepatide[tiab]</w:t>
            </w:r>
          </w:p>
        </w:tc>
      </w:tr>
      <w:tr>
        <w:tc>
          <w:tcPr/>
          <w:p>
            <w:pPr>
              <w:pStyle w:val="Compact"/>
              <w:jc w:val="left"/>
            </w:pPr>
            <w:r>
              <w:t xml:space="preserve">Retatrutid</w:t>
            </w:r>
          </w:p>
        </w:tc>
        <w:tc>
          <w:tcPr/>
          <w:p>
            <w:pPr>
              <w:pStyle w:val="Compact"/>
              <w:jc w:val="left"/>
            </w:pPr>
            <w:r>
              <w:rPr>
                <w:rStyle w:val="VerbatimChar"/>
              </w:rPr>
              <w:t xml:space="preserve">retatrutide[tiab]</w:t>
            </w:r>
          </w:p>
        </w:tc>
      </w:tr>
      <w:tr>
        <w:tc>
          <w:tcPr/>
          <w:p>
            <w:pPr>
              <w:pStyle w:val="Compact"/>
              <w:jc w:val="left"/>
            </w:pPr>
            <w:r>
              <w:t xml:space="preserve">Survodutid</w:t>
            </w:r>
          </w:p>
        </w:tc>
        <w:tc>
          <w:tcPr/>
          <w:p>
            <w:pPr>
              <w:pStyle w:val="Compact"/>
              <w:jc w:val="left"/>
            </w:pPr>
            <w:r>
              <w:rPr>
                <w:rStyle w:val="VerbatimChar"/>
              </w:rPr>
              <w:t xml:space="preserve">survodutide[tiab]</w:t>
            </w:r>
          </w:p>
        </w:tc>
      </w:tr>
      <w:tr>
        <w:tc>
          <w:tcPr/>
          <w:p>
            <w:pPr>
              <w:pStyle w:val="Compact"/>
              <w:jc w:val="left"/>
            </w:pPr>
            <w:r>
              <w:t xml:space="preserve">Mazdutid</w:t>
            </w:r>
          </w:p>
        </w:tc>
        <w:tc>
          <w:tcPr/>
          <w:p>
            <w:pPr>
              <w:pStyle w:val="Compact"/>
              <w:jc w:val="left"/>
            </w:pPr>
            <w:r>
              <w:rPr>
                <w:rStyle w:val="VerbatimChar"/>
              </w:rPr>
              <w:t xml:space="preserve">mazdutide[tiab]</w:t>
            </w:r>
          </w:p>
        </w:tc>
      </w:tr>
      <w:tr>
        <w:tc>
          <w:tcPr/>
          <w:p>
            <w:pPr>
              <w:pStyle w:val="Compact"/>
              <w:jc w:val="left"/>
            </w:pPr>
            <w:r>
              <w:t xml:space="preserve">Cagrilintid bzw. CagriSema</w:t>
            </w:r>
          </w:p>
        </w:tc>
        <w:tc>
          <w:tcPr/>
          <w:p>
            <w:pPr>
              <w:pStyle w:val="Compact"/>
              <w:jc w:val="left"/>
            </w:pPr>
            <w:r>
              <w:rPr>
                <w:rStyle w:val="VerbatimChar"/>
              </w:rPr>
              <w:t xml:space="preserve">cagrilintide[tiab]</w:t>
            </w:r>
          </w:p>
        </w:tc>
      </w:tr>
      <w:tr>
        <w:tc>
          <w:tcPr/>
          <w:p>
            <w:pPr>
              <w:pStyle w:val="Compact"/>
              <w:jc w:val="left"/>
            </w:pPr>
            <w:r>
              <w:t xml:space="preserve">Amycretin</w:t>
            </w:r>
          </w:p>
        </w:tc>
        <w:tc>
          <w:tcPr/>
          <w:p>
            <w:pPr>
              <w:pStyle w:val="Compact"/>
              <w:jc w:val="left"/>
            </w:pPr>
            <w:r>
              <w:rPr>
                <w:rStyle w:val="VerbatimChar"/>
              </w:rPr>
              <w:t xml:space="preserve">amycretin[tiab]</w:t>
            </w:r>
          </w:p>
        </w:tc>
      </w:tr>
      <w:tr>
        <w:tc>
          <w:tcPr/>
          <w:p>
            <w:pPr>
              <w:pStyle w:val="Compact"/>
              <w:jc w:val="left"/>
            </w:pPr>
            <w:r>
              <w:t xml:space="preserve">Maridebart Cafraglutid (MariTide)</w:t>
            </w:r>
          </w:p>
        </w:tc>
        <w:tc>
          <w:tcPr/>
          <w:p>
            <w:pPr>
              <w:pStyle w:val="Compact"/>
              <w:jc w:val="left"/>
            </w:pPr>
            <w:r>
              <w:rPr>
                <w:rStyle w:val="VerbatimChar"/>
              </w:rPr>
              <w:t xml:space="preserve">maridebart[tiab] OR AMG 133[tiab]</w:t>
            </w:r>
          </w:p>
        </w:tc>
      </w:tr>
      <w:tr>
        <w:tc>
          <w:tcPr/>
          <w:p>
            <w:pPr>
              <w:pStyle w:val="Compact"/>
              <w:jc w:val="left"/>
            </w:pPr>
            <w:r>
              <w:t xml:space="preserve">Pramlintid</w:t>
            </w:r>
          </w:p>
        </w:tc>
        <w:tc>
          <w:tcPr/>
          <w:p>
            <w:pPr>
              <w:pStyle w:val="Compact"/>
              <w:jc w:val="left"/>
            </w:pPr>
            <w:r>
              <w:rPr>
                <w:rStyle w:val="VerbatimChar"/>
              </w:rPr>
              <w:t xml:space="preserve">pramlintide[tiab]</w:t>
            </w:r>
          </w:p>
        </w:tc>
      </w:tr>
      <w:tr>
        <w:tc>
          <w:tcPr/>
          <w:p>
            <w:pPr>
              <w:pStyle w:val="Compact"/>
              <w:jc w:val="left"/>
            </w:pPr>
            <w:r>
              <w:t xml:space="preserve">Setmelanotid</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(Vergleich)</w:t>
            </w:r>
          </w:p>
        </w:tc>
        <w:tc>
          <w:tcPr/>
          <w:p>
            <w:pPr>
              <w:pStyle w:val="Compact"/>
              <w:jc w:val="left"/>
            </w:pPr>
            <w:r>
              <w:rPr>
                <w:rStyle w:val="VerbatimChar"/>
              </w:rPr>
              <w:t xml:space="preserve">orforglipron[tiab]</w:t>
            </w:r>
          </w:p>
        </w:tc>
      </w:tr>
    </w:tbl>
    <w:bookmarkEnd w:id="1106"/>
    <w:bookmarkStart w:id="1107" w:name="X3015189e268379062426343c7aa82640e988236"/>
    <w:p>
      <w:pPr>
        <w:pStyle w:val="Heading4"/>
      </w:pPr>
      <w:r>
        <w:t xml:space="preserve">B. Heilung, Regeneration und Immunsystem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bzw. Thymosin Beta-4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Thymosin Alpha-1 (Thymalfasin)</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w:t>
            </w:r>
          </w:p>
        </w:tc>
        <w:tc>
          <w:tcPr/>
          <w:p>
            <w:pPr>
              <w:pStyle w:val="Compact"/>
              <w:jc w:val="left"/>
            </w:pPr>
            <w:r>
              <w:rPr>
                <w:rStyle w:val="VerbatimChar"/>
              </w:rPr>
              <w:t xml:space="preserve">ARA 290[tiab] OR ARA290[tiab] OR cibinetide[tiab]</w:t>
            </w:r>
          </w:p>
        </w:tc>
      </w:tr>
      <w:tr>
        <w:tc>
          <w:tcPr/>
          <w:p>
            <w:pPr>
              <w:pStyle w:val="Compact"/>
              <w:jc w:val="left"/>
            </w:pPr>
            <w:r>
              <w:t xml:space="preserve">Larazotid</w:t>
            </w:r>
          </w:p>
        </w:tc>
        <w:tc>
          <w:tcPr/>
          <w:p>
            <w:pPr>
              <w:pStyle w:val="Compact"/>
              <w:jc w:val="left"/>
            </w:pPr>
            <w:r>
              <w:rPr>
                <w:rStyle w:val="VerbatimChar"/>
              </w:rPr>
              <w:t xml:space="preserve">larazotide[tiab]</w:t>
            </w:r>
          </w:p>
        </w:tc>
      </w:tr>
      <w:tr>
        <w:tc>
          <w:tcPr/>
          <w:p>
            <w:pPr>
              <w:pStyle w:val="Compact"/>
              <w:jc w:val="left"/>
            </w:pPr>
            <w:r>
              <w:t xml:space="preserve">Thymalin bzw. Thymogen</w:t>
            </w:r>
          </w:p>
        </w:tc>
        <w:tc>
          <w:tcPr/>
          <w:p>
            <w:pPr>
              <w:pStyle w:val="Compact"/>
              <w:jc w:val="left"/>
            </w:pPr>
            <w:r>
              <w:rPr>
                <w:rStyle w:val="VerbatimChar"/>
              </w:rPr>
              <w:t xml:space="preserve">thymalin[tiab] OR thymogen[tiab]</w:t>
            </w:r>
          </w:p>
        </w:tc>
      </w:tr>
    </w:tbl>
    <w:bookmarkEnd w:id="1107"/>
    <w:bookmarkStart w:id="1108" w:name="c.-wachstumshormon-achse-1"/>
    <w:p>
      <w:pPr>
        <w:pStyle w:val="Heading4"/>
      </w:pPr>
      <w:r>
        <w:t xml:space="preserve">C. Wachstumshormon-Achse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Sermorelin</w:t>
            </w:r>
          </w:p>
        </w:tc>
        <w:tc>
          <w:tcPr/>
          <w:p>
            <w:pPr>
              <w:pStyle w:val="Compact"/>
              <w:jc w:val="left"/>
            </w:pPr>
            <w:r>
              <w:rPr>
                <w:rStyle w:val="VerbatimChar"/>
              </w:rPr>
              <w:t xml:space="preserve">sermorelin[tiab]</w:t>
            </w:r>
          </w:p>
        </w:tc>
      </w:tr>
      <w:tr>
        <w:tc>
          <w:tcPr/>
          <w:p>
            <w:pPr>
              <w:pStyle w:val="Compact"/>
              <w:jc w:val="left"/>
            </w:pPr>
            <w:r>
              <w:t xml:space="preserve">Tesamorelin</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w:t>
            </w:r>
          </w:p>
        </w:tc>
        <w:tc>
          <w:tcPr/>
          <w:p>
            <w:pPr>
              <w:pStyle w:val="Compact"/>
              <w:jc w:val="left"/>
            </w:pPr>
            <w:r>
              <w:rPr>
                <w:rStyle w:val="VerbatimChar"/>
              </w:rPr>
              <w:t xml:space="preserve">ipamorelin[tiab]</w:t>
            </w:r>
          </w:p>
        </w:tc>
      </w:tr>
      <w:tr>
        <w:tc>
          <w:tcPr/>
          <w:p>
            <w:pPr>
              <w:pStyle w:val="Compact"/>
              <w:jc w:val="left"/>
            </w:pPr>
            <w:r>
              <w:t xml:space="preserve">GHRP-2 (Pralmorelin)</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w:t>
            </w:r>
          </w:p>
        </w:tc>
        <w:tc>
          <w:tcPr/>
          <w:p>
            <w:pPr>
              <w:pStyle w:val="Compact"/>
              <w:jc w:val="left"/>
            </w:pPr>
            <w:r>
              <w:rPr>
                <w:rStyle w:val="VerbatimChar"/>
              </w:rPr>
              <w:t xml:space="preserve">hexarelin[tiab]</w:t>
            </w:r>
          </w:p>
        </w:tc>
      </w:tr>
      <w:tr>
        <w:tc>
          <w:tcPr/>
          <w:p>
            <w:pPr>
              <w:pStyle w:val="Compact"/>
              <w:jc w:val="left"/>
            </w:pPr>
            <w:r>
              <w:t xml:space="preserve">Macimorelin</w:t>
            </w:r>
          </w:p>
        </w:tc>
        <w:tc>
          <w:tcPr/>
          <w:p>
            <w:pPr>
              <w:pStyle w:val="Compact"/>
              <w:jc w:val="left"/>
            </w:pPr>
            <w:r>
              <w:rPr>
                <w:rStyle w:val="VerbatimChar"/>
              </w:rPr>
              <w:t xml:space="preserve">macimorelin[tiab]</w:t>
            </w:r>
          </w:p>
        </w:tc>
      </w:tr>
      <w:tr>
        <w:tc>
          <w:tcPr/>
          <w:p>
            <w:pPr>
              <w:pStyle w:val="Compact"/>
              <w:jc w:val="left"/>
            </w:pPr>
            <w:r>
              <w:t xml:space="preserve">Mecasermin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 (MK-677) (Vergleich)</w:t>
            </w:r>
          </w:p>
        </w:tc>
        <w:tc>
          <w:tcPr/>
          <w:p>
            <w:pPr>
              <w:pStyle w:val="Compact"/>
              <w:jc w:val="left"/>
            </w:pPr>
            <w:r>
              <w:rPr>
                <w:rStyle w:val="VerbatimChar"/>
              </w:rPr>
              <w:t xml:space="preserve">ibutamoren[tiab] OR MK-677[tiab] OR MK-0677[tiab]</w:t>
            </w:r>
          </w:p>
        </w:tc>
      </w:tr>
    </w:tbl>
    <w:bookmarkEnd w:id="1108"/>
    <w:bookmarkStart w:id="1109" w:name="d.-gehirn-schlaf-und-langlebigkeit-1"/>
    <w:p>
      <w:pPr>
        <w:pStyle w:val="Heading4"/>
      </w:pPr>
      <w:r>
        <w:t xml:space="preserve">D. Gehirn, Schlaf und Langlebigkeit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w:t>
            </w:r>
          </w:p>
        </w:tc>
        <w:tc>
          <w:tcPr/>
          <w:p>
            <w:pPr>
              <w:pStyle w:val="Compact"/>
              <w:jc w:val="left"/>
            </w:pPr>
            <w:r>
              <w:rPr>
                <w:rStyle w:val="VerbatimChar"/>
              </w:rPr>
              <w:t xml:space="preserve">humanin[tiab]</w:t>
            </w:r>
          </w:p>
        </w:tc>
      </w:tr>
      <w:tr>
        <w:tc>
          <w:tcPr/>
          <w:p>
            <w:pPr>
              <w:pStyle w:val="Compact"/>
              <w:jc w:val="left"/>
            </w:pPr>
            <w:r>
              <w:t xml:space="preserve">SS-31 (Elamipretid)</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Glutathion</w:t>
            </w:r>
          </w:p>
        </w:tc>
        <w:tc>
          <w:tcPr/>
          <w:p>
            <w:pPr>
              <w:pStyle w:val="Compact"/>
              <w:jc w:val="left"/>
            </w:pPr>
            <w:r>
              <w:rPr>
                <w:rStyle w:val="VerbatimChar"/>
              </w:rPr>
              <w:t xml:space="preserve">glutathione[ti] AND (supplementation[tiab] OR oral[tiab] OR intravenous[tiab])</w:t>
            </w:r>
          </w:p>
        </w:tc>
      </w:tr>
    </w:tbl>
    <w:bookmarkEnd w:id="1109"/>
    <w:bookmarkStart w:id="1110" w:name="Xd24107054445892bde950dc5c91f31cd49ad37e"/>
    <w:p>
      <w:pPr>
        <w:pStyle w:val="Heading4"/>
      </w:pPr>
      <w:r>
        <w:t xml:space="preserve">E. Hormone, Sexualität und Pigmentierung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Bremelanotid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Afamelanotid</w:t>
            </w:r>
          </w:p>
        </w:tc>
        <w:tc>
          <w:tcPr/>
          <w:p>
            <w:pPr>
              <w:pStyle w:val="Compact"/>
              <w:jc w:val="left"/>
            </w:pPr>
            <w:r>
              <w:rPr>
                <w:rStyle w:val="VerbatimChar"/>
              </w:rPr>
              <w:t xml:space="preserve">afamelanotide[tiab]</w:t>
            </w:r>
          </w:p>
        </w:tc>
      </w:tr>
      <w:tr>
        <w:tc>
          <w:tcPr/>
          <w:p>
            <w:pPr>
              <w:pStyle w:val="Compact"/>
              <w:jc w:val="left"/>
            </w:pPr>
            <w:r>
              <w:t xml:space="preserve">Kisspeptin</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Oxytocin (intranasal)</w:t>
            </w:r>
          </w:p>
        </w:tc>
        <w:tc>
          <w:tcPr/>
          <w:p>
            <w:pPr>
              <w:pStyle w:val="Compact"/>
              <w:jc w:val="left"/>
            </w:pPr>
            <w:r>
              <w:rPr>
                <w:rStyle w:val="VerbatimChar"/>
              </w:rPr>
              <w:t xml:space="preserve">intranasal oxytocin[tiab]</w:t>
            </w:r>
          </w:p>
        </w:tc>
      </w:tr>
      <w:tr>
        <w:tc>
          <w:tcPr/>
          <w:p>
            <w:pPr>
              <w:pStyle w:val="Compact"/>
              <w:jc w:val="left"/>
            </w:pPr>
            <w:r>
              <w:t xml:space="preserve">Gonadorelin</w:t>
            </w:r>
          </w:p>
        </w:tc>
        <w:tc>
          <w:tcPr/>
          <w:p>
            <w:pPr>
              <w:pStyle w:val="Compact"/>
              <w:jc w:val="left"/>
            </w:pPr>
            <w:r>
              <w:rPr>
                <w:rStyle w:val="VerbatimChar"/>
              </w:rPr>
              <w:t xml:space="preserve">gonadorelin[tiab]</w:t>
            </w:r>
          </w:p>
        </w:tc>
      </w:tr>
    </w:tbl>
    <w:bookmarkEnd w:id="1110"/>
    <w:bookmarkStart w:id="1111" w:name="f.-kollagen-ernährung-und-kosmetik-1"/>
    <w:p>
      <w:pPr>
        <w:pStyle w:val="Heading4"/>
      </w:pPr>
      <w:r>
        <w:t xml:space="preserve">F. Kollagen, Ernährung und Kosmetik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w:t>
            </w:r>
          </w:p>
        </w:tc>
        <w:tc>
          <w:tcPr/>
          <w:p>
            <w:pPr>
              <w:pStyle w:val="Compact"/>
              <w:jc w:val="left"/>
            </w:pPr>
            <w:r>
              <w:t xml:space="preserve">PubMed-Suchbegriff</w:t>
            </w:r>
          </w:p>
        </w:tc>
      </w:tr>
      <w:tr>
        <w:tc>
          <w:tcPr/>
          <w:p>
            <w:pPr>
              <w:pStyle w:val="Compact"/>
              <w:jc w:val="left"/>
            </w:pPr>
            <w:r>
              <w:t xml:space="preserve">Kollagenhydrolysat bzw. Kollagenpeptide</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Lactotripeptide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w:t>
            </w:r>
          </w:p>
        </w:tc>
        <w:tc>
          <w:tcPr/>
          <w:p>
            <w:pPr>
              <w:pStyle w:val="Compact"/>
              <w:jc w:val="left"/>
            </w:pPr>
            <w:r>
              <w:rPr>
                <w:rStyle w:val="VerbatimChar"/>
              </w:rPr>
              <w:t xml:space="preserve">carnosine[ti] AND (supplementation[tiab] OR oral[tiab])</w:t>
            </w:r>
          </w:p>
        </w:tc>
      </w:tr>
      <w:tr>
        <w:tc>
          <w:tcPr/>
          <w:p>
            <w:pPr>
              <w:pStyle w:val="Compact"/>
              <w:jc w:val="left"/>
            </w:pPr>
            <w:r>
              <w:t xml:space="preserve">GHK-Cu (Kupferpeptid)</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Palmitoyl-Pentapeptid-4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Acetyl-Hexapeptid-8 (Argireline)</w:t>
            </w:r>
          </w:p>
        </w:tc>
        <w:tc>
          <w:tcPr/>
          <w:p>
            <w:pPr>
              <w:pStyle w:val="Compact"/>
              <w:jc w:val="left"/>
            </w:pPr>
            <w:r>
              <w:rPr>
                <w:rStyle w:val="VerbatimChar"/>
              </w:rPr>
              <w:t xml:space="preserve">acetyl hexapeptide[tiab] OR argireline[tiab]</w:t>
            </w:r>
          </w:p>
        </w:tc>
      </w:tr>
    </w:tbl>
    <w:bookmarkEnd w:id="1111"/>
    <w:bookmarkEnd w:id="1112"/>
    <w:bookmarkStart w:id="1113" w:name="umfang-der-treffer"/>
    <w:p>
      <w:pPr>
        <w:pStyle w:val="Heading3"/>
      </w:pPr>
      <w:r>
        <w:t xml:space="preserve">Umfang der Treffer</w:t>
      </w:r>
    </w:p>
    <w:p>
      <w:pPr>
        <w:pStyle w:val="FirstParagraph"/>
      </w:pPr>
      <w:r>
        <w:t xml:space="preserve">Insgesamt ergaben die 58 Abfragen mit dem Humanstudien-Filter 3.216 Treffer, mit dem Filter für Meta-Analysen und Übersichtsarbeiten 1.739 Treffer. In ClinicalTrials.gov wurden 4.879 Registereinträge gefunden. Diese Summen enthalten Mehrfachzählungen, weil manche Studien mehrere Peptide betreffen – etwa Vergleichsstudien zwischen Semaglutid und Tirzepatid. Die Zahlen je Peptid werden zu Beginn des Abschnitts „Studien am Menschen“ im jeweiligen Kapitel genannt.</w:t>
      </w:r>
    </w:p>
    <w:p>
      <w:pPr>
        <w:pStyle w:val="BodyText"/>
      </w:pPr>
      <w:r>
        <w:t xml:space="preserve">Die Verteilung ist sehr ungleich: Auf die zugelassenen GLP-1-Medikamente entfallen Hunderte von Humanstudien, für viele Graumarkt-Peptide dagegen keine oder nur eine Handvoll.</w:t>
      </w:r>
    </w:p>
    <w:bookmarkEnd w:id="1113"/>
    <w:bookmarkStart w:id="1114" w:name="auswahl-und-auswertung"/>
    <w:p>
      <w:pPr>
        <w:pStyle w:val="Heading3"/>
      </w:pPr>
      <w:r>
        <w:t xml:space="preserve">Auswahl und Auswertung</w:t>
      </w:r>
    </w:p>
    <w:p>
      <w:pPr>
        <w:pStyle w:val="FirstParagraph"/>
      </w:pPr>
      <w:r>
        <w:t xml:space="preserve">Für jedes Peptid wurden alle Treffer mit dem Humanstudien-Filter als Kurzliste (Titel, Jahr, Fachzeitschrift, Erstautorin oder Erstautor) erfasst; sie bilden die Grundlage des Studienverzeichnisses im Anhang. Die nach PubMed-Relevanz wichtigsten Humanstudien und Übersichtsarbeiten wurden mit ihren Zusammenfassungen gelesen und ausgewertet, ergänzt um die gezielt gesuchten Arbeiten.</w:t>
      </w:r>
    </w:p>
    <w:p>
      <w:pPr>
        <w:pStyle w:val="BodyText"/>
      </w:pPr>
      <w:r>
        <w:t xml:space="preserve">Für die Darstellung im Text gilt:</w:t>
      </w:r>
    </w:p>
    <w:p>
      <w:pPr>
        <w:numPr>
          <w:ilvl w:val="0"/>
          <w:numId w:val="1375"/>
        </w:numPr>
        <w:pStyle w:val="Compact"/>
      </w:pPr>
      <w:r>
        <w:t xml:space="preserve">Jede genannte Studie wurde anhand ihres PubMed-Eintrags beziehungsweise Registereintrags gelesen.</w:t>
      </w:r>
    </w:p>
    <w:p>
      <w:pPr>
        <w:numPr>
          <w:ilvl w:val="0"/>
          <w:numId w:val="1375"/>
        </w:numPr>
        <w:pStyle w:val="Compact"/>
      </w:pPr>
      <w:r>
        <w:t xml:space="preserve">Zahlen – etwa Teilnehmerzahlen, Prozentwerte, Gewichtsveränderungen oder p-Werte – stammen ausschließlich aus der Zusammenfassung der Veröffentlichung oder aus dem Registereintrag. Was dort nicht belegt ist, wird nicht als Zahl genannt.</w:t>
      </w:r>
    </w:p>
    <w:p>
      <w:pPr>
        <w:numPr>
          <w:ilvl w:val="0"/>
          <w:numId w:val="1375"/>
        </w:numPr>
        <w:pStyle w:val="Compact"/>
      </w:pPr>
      <w:r>
        <w:t xml:space="preserve">Volltexte wurden nicht systematisch ausgewertet. Details, die nur im Volltext stehen, etwa einzelne Nebenwirkungsraten oder Untergruppen, fehlen daher teilweise.</w:t>
      </w:r>
    </w:p>
    <w:p>
      <w:pPr>
        <w:numPr>
          <w:ilvl w:val="0"/>
          <w:numId w:val="1375"/>
        </w:numPr>
        <w:pStyle w:val="Compact"/>
      </w:pPr>
      <w:r>
        <w:t xml:space="preserve">Tier- und Laborergebnisse werden ausdrücklich als solche gekennzeichnet.</w:t>
      </w:r>
    </w:p>
    <w:p>
      <w:pPr>
        <w:numPr>
          <w:ilvl w:val="0"/>
          <w:numId w:val="1375"/>
        </w:numPr>
        <w:pStyle w:val="Compact"/>
      </w:pPr>
      <w:r>
        <w:t xml:space="preserve">Bei laufenden Studien wird nur berichtet, was im Register steht. Sie werden als</w:t>
      </w:r>
      <w:r>
        <w:t xml:space="preserve"> </w:t>
      </w:r>
      <w:r>
        <w:rPr>
          <w:iCs/>
          <w:i/>
        </w:rPr>
        <w:t xml:space="preserve">gesichert</w:t>
      </w:r>
      <w:r>
        <w:t xml:space="preserve"> </w:t>
      </w:r>
      <w:r>
        <w:t xml:space="preserve">(registriert, laufend) gekennzeichnet, eigene Prognosen als</w:t>
      </w:r>
      <w:r>
        <w:t xml:space="preserve"> </w:t>
      </w:r>
      <w:r>
        <w:rPr>
          <w:iCs/>
          <w:i/>
        </w:rPr>
        <w:t xml:space="preserve">Einschätzung</w:t>
      </w:r>
      <w:r>
        <w:t xml:space="preserve">.</w:t>
      </w:r>
    </w:p>
    <w:bookmarkEnd w:id="1114"/>
    <w:bookmarkStart w:id="1115" w:name="evidenzstufen"/>
    <w:p>
      <w:pPr>
        <w:pStyle w:val="Heading3"/>
      </w:pPr>
      <w:r>
        <w:t xml:space="preserve">Evidenzstufen</w:t>
      </w:r>
    </w:p>
    <w:p>
      <w:pPr>
        <w:pStyle w:val="FirstParagraph"/>
      </w:pPr>
      <w:r>
        <w:t xml:space="preserve">Jedes Peptid erhielt eine Evidenzstufe nach folgenden Kriterien: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Stufe</w:t>
            </w:r>
          </w:p>
        </w:tc>
        <w:tc>
          <w:tcPr/>
          <w:p>
            <w:pPr>
              <w:pStyle w:val="Compact"/>
              <w:jc w:val="left"/>
            </w:pPr>
            <w:r>
              <w:t xml:space="preserve">Kriterium</w:t>
            </w:r>
          </w:p>
        </w:tc>
      </w:tr>
      <w:tr>
        <w:tc>
          <w:tcPr/>
          <w:p>
            <w:pPr>
              <w:pStyle w:val="Compact"/>
              <w:jc w:val="left"/>
            </w:pPr>
            <w:r>
              <w:t xml:space="preserve">A</w:t>
            </w:r>
          </w:p>
        </w:tc>
        <w:tc>
          <w:tcPr/>
          <w:p>
            <w:pPr>
              <w:pStyle w:val="Compact"/>
              <w:jc w:val="left"/>
            </w:pPr>
            <w:r>
              <w:t xml:space="preserve">mehrere große randomisierte Studien am Menschen, Zulassung als Arzneimittel</w:t>
            </w:r>
          </w:p>
        </w:tc>
      </w:tr>
      <w:tr>
        <w:tc>
          <w:tcPr/>
          <w:p>
            <w:pPr>
              <w:pStyle w:val="Compact"/>
              <w:jc w:val="left"/>
            </w:pPr>
            <w:r>
              <w:t xml:space="preserve">B</w:t>
            </w:r>
          </w:p>
        </w:tc>
        <w:tc>
          <w:tcPr/>
          <w:p>
            <w:pPr>
              <w:pStyle w:val="Compact"/>
              <w:jc w:val="left"/>
            </w:pPr>
            <w:r>
              <w:t xml:space="preserve">einzelne randomisierte Studien am Menschen</w:t>
            </w:r>
          </w:p>
        </w:tc>
      </w:tr>
      <w:tr>
        <w:tc>
          <w:tcPr/>
          <w:p>
            <w:pPr>
              <w:pStyle w:val="Compact"/>
              <w:jc w:val="left"/>
            </w:pPr>
            <w:r>
              <w:t xml:space="preserve">C</w:t>
            </w:r>
          </w:p>
        </w:tc>
        <w:tc>
          <w:tcPr/>
          <w:p>
            <w:pPr>
              <w:pStyle w:val="Compact"/>
              <w:jc w:val="left"/>
            </w:pPr>
            <w:r>
              <w:t xml:space="preserve">nur kleine oder unkontrollierte Studien am Menschen</w:t>
            </w:r>
          </w:p>
        </w:tc>
      </w:tr>
      <w:tr>
        <w:tc>
          <w:tcPr/>
          <w:p>
            <w:pPr>
              <w:pStyle w:val="Compact"/>
              <w:jc w:val="left"/>
            </w:pPr>
            <w:r>
              <w:t xml:space="preserve">D</w:t>
            </w:r>
          </w:p>
        </w:tc>
        <w:tc>
          <w:tcPr/>
          <w:p>
            <w:pPr>
              <w:pStyle w:val="Compact"/>
              <w:jc w:val="left"/>
            </w:pPr>
            <w:r>
              <w:t xml:space="preserve">nur Tier- und Laborstudien</w:t>
            </w:r>
          </w:p>
        </w:tc>
      </w:tr>
    </w:tbl>
    <w:p>
      <w:pPr>
        <w:pStyle w:val="BodyText"/>
      </w:pPr>
      <w:r>
        <w:t xml:space="preserve">Die Einstufung bezieht sich auf die Datenlage am Menschen insgesamt und auf das wichtigste untersuchte Anwendungsgebiet. Sie ist eine Bewertung des Autors auf Grundlage der ausgewerteten Studien und keine offizielle Klassifikation.</w:t>
      </w:r>
    </w:p>
    <w:bookmarkEnd w:id="1115"/>
    <w:bookmarkStart w:id="1116" w:name="grenzen-der-methodik"/>
    <w:p>
      <w:pPr>
        <w:pStyle w:val="Heading3"/>
      </w:pPr>
      <w:r>
        <w:t xml:space="preserve">Grenzen der Methodik</w:t>
      </w:r>
    </w:p>
    <w:p>
      <w:pPr>
        <w:pStyle w:val="FirstParagraph"/>
      </w:pPr>
      <w:r>
        <w:t xml:space="preserve">Wie jede Literaturrecherche hat auch diese Grenzen, die Sie bei der Lektüre berücksichtigen sollten:</w:t>
      </w:r>
    </w:p>
    <w:p>
      <w:pPr>
        <w:pStyle w:val="BodyText"/>
      </w:pPr>
      <w:r>
        <w:rPr>
          <w:bCs/>
          <w:b/>
        </w:rPr>
        <w:t xml:space="preserve">Treffer sind nicht gleich eigenständige Studien.</w:t>
      </w:r>
      <w:r>
        <w:t xml:space="preserve"> </w:t>
      </w:r>
      <w:r>
        <w:t xml:space="preserve">Eine große Studie wird oft in mehreren Artikeln veröffentlicht – Hauptergebnis, Untergruppen, Nachbeobachtung, Lebensqualität. Jeder dieser Artikel ist ein eigener Treffer. Umgekehrt können Studien in einem Artikel zusammengefasst sein. Die Trefferzahlen geben deshalb die Größenordnung der Forschung wieder, nicht die exakte Zahl unabhängiger Studien.</w:t>
      </w:r>
    </w:p>
    <w:p>
      <w:pPr>
        <w:pStyle w:val="BodyText"/>
      </w:pPr>
      <w:r>
        <w:rPr>
          <w:bCs/>
          <w:b/>
        </w:rPr>
        <w:t xml:space="preserve">Publikationstypen sind nicht immer korrekt.</w:t>
      </w:r>
      <w:r>
        <w:t xml:space="preserve"> </w:t>
      </w:r>
      <w:r>
        <w:t xml:space="preserve">Der Humanstudien-Filter beruht auf der Verschlagwortung durch PubMed. Manche Studien sind nicht als klinische Studie gekennzeichnet und fehlen deshalb; manche als klinische Studie gekennzeichnete Arbeiten sind bei näherem Hinsehen Beobachtungsstudien oder Laborarbeiten mit menschlichem Material. Sehr neue Artikel sind oft noch nicht vollständig verschlagwortet.</w:t>
      </w:r>
    </w:p>
    <w:p>
      <w:pPr>
        <w:pStyle w:val="BodyText"/>
      </w:pPr>
      <w:r>
        <w:rPr>
          <w:bCs/>
          <w:b/>
        </w:rPr>
        <w:t xml:space="preserve">Suchbegriffe können Lücken haben.</w:t>
      </w:r>
      <w:r>
        <w:t xml:space="preserve"> </w:t>
      </w:r>
      <w:r>
        <w:t xml:space="preserve">Ein Suchbegriff findet nur, was im Titel oder in der Zusammenfassung mit den gewählten Wörtern beschrieben ist. Studien, die einen Stoff nur unter einem Code-Namen oder in einer anderen Schreibweise führen, können fehlen. Umgekehrt können mehrdeutige Kürzel wie „KPV“ oder „SS-31“ auch Arbeiten zu ganz anderen Themen erfassen. Für die Kapitel wurden die Treffer deshalb gesichtet und nicht ungeprüft übernommen.</w:t>
      </w:r>
    </w:p>
    <w:p>
      <w:pPr>
        <w:pStyle w:val="BodyText"/>
      </w:pPr>
      <w:r>
        <w:rPr>
          <w:bCs/>
          <w:b/>
        </w:rPr>
        <w:t xml:space="preserve">Sprachen.</w:t>
      </w:r>
      <w:r>
        <w:t xml:space="preserve"> </w:t>
      </w:r>
      <w:r>
        <w:t xml:space="preserve">PubMed verzeichnet überwiegend englischsprachige Fachzeitschriften. Arbeiten, die nur in anderen Sprachen und in nicht verzeichneten Zeitschriften erschienen sind, fehlen weitgehend. Das betrifft besonders einige Peptide, die vor allem in Russland oder anderen Ländern Osteuropas erforscht und eingesetzt werden, etwa Semax, Selank, Epitalon oder Thymalin. Für sie ist die tatsächliche Studienlage möglicherweise umfangreicher, aber für internationale Leserinnen und Leser schwer überprüfbar.</w:t>
      </w:r>
    </w:p>
    <w:p>
      <w:pPr>
        <w:pStyle w:val="BodyText"/>
      </w:pPr>
      <w:r>
        <w:rPr>
          <w:bCs/>
          <w:b/>
        </w:rPr>
        <w:t xml:space="preserve">Nicht veröffentlichte Studien.</w:t>
      </w:r>
      <w:r>
        <w:t xml:space="preserve"> </w:t>
      </w:r>
      <w:r>
        <w:t xml:space="preserve">Studien, die nie veröffentlicht wurden, sind in PubMed nicht enthalten. Das Register ClinicalTrials.gov hilft, solche Lücken zu erkennen, erfasst aber nicht alle Studien weltweit.</w:t>
      </w:r>
    </w:p>
    <w:p>
      <w:pPr>
        <w:pStyle w:val="BodyText"/>
      </w:pPr>
      <w:r>
        <w:rPr>
          <w:bCs/>
          <w:b/>
        </w:rPr>
        <w:t xml:space="preserve">Nur Zusammenfassungen.</w:t>
      </w:r>
      <w:r>
        <w:t xml:space="preserve"> </w:t>
      </w:r>
      <w:r>
        <w:t xml:space="preserve">Die Auswertung beruht auf den Zusammenfassungen. Sie geben die Hauptergebnisse wieder, können aber Einschränkungen, Nebenwirkungen oder methodische Schwächen verkürzt darstellen.</w:t>
      </w:r>
    </w:p>
    <w:p>
      <w:pPr>
        <w:pStyle w:val="BodyText"/>
      </w:pPr>
      <w:r>
        <w:rPr>
          <w:bCs/>
          <w:b/>
        </w:rPr>
        <w:t xml:space="preserve">Momentaufnahme.</w:t>
      </w:r>
      <w:r>
        <w:t xml:space="preserve"> </w:t>
      </w:r>
      <w:r>
        <w:t xml:space="preserve">Die Recherche gibt den Stand vom Oktober 2026 wieder. In schnell wachsenden Feldern wie den GLP-1-Medikamenten erscheinen jede Woche neue Studien.</w:t>
      </w:r>
    </w:p>
    <w:bookmarkEnd w:id="1116"/>
    <w:bookmarkStart w:id="1117" w:name="ki-unterstützung-und-qualitätsprüfung"/>
    <w:p>
      <w:pPr>
        <w:pStyle w:val="Heading3"/>
      </w:pPr>
      <w:r>
        <w:t xml:space="preserve">KI-Unterstützung und Qualitätsprüfung</w:t>
      </w:r>
    </w:p>
    <w:p>
      <w:pPr>
        <w:pStyle w:val="FirstParagraph"/>
      </w:pPr>
      <w:r>
        <w:t xml:space="preserve">Dieses Buch wurde mit Unterstützung von Künstlicher Intelligenz recherchiert und verfasst und vom Autor überarbeitet. Die KI wurde für folgende Aufgaben eingesetzt:</w:t>
      </w:r>
    </w:p>
    <w:p>
      <w:pPr>
        <w:numPr>
          <w:ilvl w:val="0"/>
          <w:numId w:val="1376"/>
        </w:numPr>
        <w:pStyle w:val="Compact"/>
      </w:pPr>
      <w:r>
        <w:t xml:space="preserve">Durchführung der Datenbankabfragen über die genannten Schnittstellen mit eigens dafür geschriebenen Hilfsprogrammen,</w:t>
      </w:r>
    </w:p>
    <w:p>
      <w:pPr>
        <w:numPr>
          <w:ilvl w:val="0"/>
          <w:numId w:val="1376"/>
        </w:numPr>
        <w:pStyle w:val="Compact"/>
      </w:pPr>
      <w:r>
        <w:t xml:space="preserve">Lesen und Auswerten der Zusammenfassungen und Registereinträge,</w:t>
      </w:r>
    </w:p>
    <w:p>
      <w:pPr>
        <w:numPr>
          <w:ilvl w:val="0"/>
          <w:numId w:val="1376"/>
        </w:numPr>
        <w:pStyle w:val="Compact"/>
      </w:pPr>
      <w:r>
        <w:t xml:space="preserve">Erstellen von Textentwürfen nach festen Stil- und Arbeitsregeln.</w:t>
      </w:r>
    </w:p>
    <w:p>
      <w:pPr>
        <w:pStyle w:val="FirstParagraph"/>
      </w:pPr>
      <w:r>
        <w:t xml:space="preserve">Um das bekannte Risiko zu vermeiden, dass KI-Systeme Quellen oder Zahlen erfinden, galten verbindliche Regeln: Jede Studie im Text wird mit PMID oder NCT-Nummer zitiert; jede Zahl muss aus einer tatsächlich abgerufenen Zusammenfassung oder einem Registereintrag stammen; Studien dürfen nur genannt werden, wenn ihr Eintrag zuvor abgerufen und gelesen wurde.</w:t>
      </w:r>
    </w:p>
    <w:p>
      <w:pPr>
        <w:pStyle w:val="BodyText"/>
      </w:pPr>
      <w:r>
        <w:t xml:space="preserve">Zusätzlich wurde jedes Kapitel mit einem Prüfprogramm kontrolliert. Es ruft für jede im Text genannte PMID und NCT-Nummer den Eintrag in PubMed beziehungsweise ClinicalTrials.gov ab und meldet als Fehler, wenn eine Nummer nicht existiert. Es vergleicht außerdem Erstautorin oder Erstautor und Erscheinungsjahr, die im Text vor der PMID stehen, mit dem Datenbankeintrag und weist auf Abweichungen hin. Schließlich sucht es nach unzulässigen Formulierungen wie Heilversprechen, Dosierungsempfehlungen oder Hinweisen auf Bezugsquellen. Ein Kapitel galt erst als fertig, wenn diese Prüfung ohne Fehler durchlief.</w:t>
      </w:r>
    </w:p>
    <w:p>
      <w:pPr>
        <w:pStyle w:val="BodyText"/>
      </w:pPr>
      <w:r>
        <w:t xml:space="preserve">Diese Prüfung stellt sicher, dass jede zitierte Quelle existiert und richtig zugeordnet ist. Sie kann nicht vollständig ausschließen, dass ein Ergebnis im Text verkürzt oder missverständlich wiedergegeben ist. Deshalb sind alle Quellen so angegeben, dass Sie sie selbst nachschlagen können – wie das geht, steht im Abschnitt „Über dieses Buch“ am Anfang.</w:t>
      </w:r>
    </w:p>
    <w:bookmarkEnd w:id="1117"/>
    <w:bookmarkEnd w:id="1118"/>
    <w:bookmarkStart w:id="1177" w:name="studienverzeichnis"/>
    <w:p>
      <w:pPr>
        <w:pStyle w:val="Heading1"/>
      </w:pPr>
      <w:r>
        <w:t xml:space="preserve">Studienverzeichnis</w:t>
      </w:r>
    </w:p>
    <w:p>
      <w:pPr>
        <w:pStyle w:val="FirstParagraph"/>
      </w:pPr>
      <w:r>
        <w:t xml:space="preserve">Dieses Verzeichnis listet alle Veröffentlichungen klinischer Studien am Menschen, die die Recherche für die einzelnen Peptide in PubMed gefunden hat (Abfrage Oktober 2026, Filter siehe Methodik). Titel und Zeitschriften stehen in der Originalsprache. Jede Studie lässt sich über ihre PMID unter pubmed.ncbi.nlm.nih.gov nachschlagen. Nicht jeder Eintrag ist eine eigenständige Studie: Manche Studien wurden mehrfach ausgewertet und veröffentlicht.</w:t>
      </w:r>
      <w:r>
        <w:t xml:space="preserve"> </w:t>
      </w:r>
      <w:r>
        <w:t xml:space="preserve">Insgesamt: 3.216 Einträge.</w:t>
      </w:r>
    </w:p>
    <w:bookmarkStart w:id="1119" w:name="exenatid-437"/>
    <w:p>
      <w:pPr>
        <w:pStyle w:val="Heading2"/>
      </w:pPr>
      <w:r>
        <w:t xml:space="preserve">Exenatid (437)</w:t>
      </w:r>
    </w:p>
    <w:p>
      <w:pPr>
        <w:numPr>
          <w:ilvl w:val="0"/>
          <w:numId w:val="1377"/>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7"/>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7"/>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7"/>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7"/>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7"/>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7"/>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7"/>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7"/>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7"/>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7"/>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7"/>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7"/>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7"/>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7"/>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7"/>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7"/>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7"/>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7"/>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7"/>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7"/>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7"/>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7"/>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7"/>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7"/>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7"/>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7"/>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7"/>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7"/>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7"/>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7"/>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7"/>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7"/>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7"/>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7"/>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7"/>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7"/>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7"/>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7"/>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7"/>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7"/>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7"/>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7"/>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7"/>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7"/>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7"/>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7"/>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7"/>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7"/>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7"/>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7"/>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7"/>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7"/>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7"/>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7"/>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7"/>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7"/>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7"/>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7"/>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7"/>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7"/>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7"/>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7"/>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7"/>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7"/>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7"/>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7"/>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7"/>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7"/>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7"/>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7"/>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7"/>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7"/>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7"/>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7"/>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7"/>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7"/>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7"/>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7"/>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7"/>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7"/>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7"/>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7"/>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7"/>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7"/>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7"/>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7"/>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7"/>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7"/>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7"/>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7"/>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7"/>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7"/>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7"/>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7"/>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7"/>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7"/>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7"/>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7"/>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7"/>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7"/>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7"/>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7"/>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7"/>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7"/>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7"/>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7"/>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7"/>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7"/>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7"/>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7"/>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7"/>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7"/>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7"/>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7"/>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7"/>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7"/>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7"/>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7"/>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7"/>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7"/>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7"/>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7"/>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7"/>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7"/>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7"/>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7"/>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7"/>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7"/>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7"/>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7"/>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7"/>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7"/>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7"/>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7"/>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7"/>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7"/>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7"/>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7"/>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7"/>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7"/>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7"/>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7"/>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7"/>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7"/>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7"/>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7"/>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7"/>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7"/>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7"/>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7"/>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7"/>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7"/>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7"/>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7"/>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7"/>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7"/>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7"/>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7"/>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7"/>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7"/>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7"/>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7"/>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7"/>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7"/>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7"/>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7"/>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7"/>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7"/>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7"/>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7"/>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7"/>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7"/>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7"/>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7"/>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7"/>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7"/>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7"/>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7"/>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7"/>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7"/>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7"/>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7"/>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7"/>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7"/>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7"/>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7"/>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7"/>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7"/>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7"/>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7"/>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7"/>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7"/>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7"/>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7"/>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7"/>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7"/>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7"/>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7"/>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7"/>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7"/>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7"/>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7"/>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7"/>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7"/>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7"/>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7"/>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7"/>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7"/>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7"/>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7"/>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7"/>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7"/>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7"/>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7"/>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7"/>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7"/>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7"/>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7"/>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7"/>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7"/>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7"/>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7"/>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7"/>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7"/>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7"/>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7"/>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7"/>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7"/>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7"/>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7"/>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7"/>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7"/>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7"/>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7"/>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7"/>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7"/>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7"/>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7"/>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7"/>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7"/>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7"/>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7"/>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7"/>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7"/>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7"/>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7"/>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7"/>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7"/>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7"/>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7"/>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7"/>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7"/>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7"/>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7"/>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7"/>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7"/>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7"/>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7"/>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7"/>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7"/>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7"/>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7"/>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7"/>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7"/>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7"/>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7"/>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7"/>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7"/>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7"/>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7"/>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7"/>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7"/>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7"/>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7"/>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7"/>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7"/>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7"/>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7"/>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7"/>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7"/>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7"/>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7"/>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7"/>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7"/>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7"/>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7"/>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7"/>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7"/>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7"/>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7"/>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7"/>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7"/>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7"/>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7"/>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7"/>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7"/>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7"/>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7"/>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7"/>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7"/>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7"/>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7"/>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7"/>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7"/>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7"/>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7"/>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7"/>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7"/>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7"/>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7"/>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7"/>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7"/>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7"/>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7"/>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7"/>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7"/>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7"/>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7"/>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7"/>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7"/>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7"/>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7"/>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7"/>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7"/>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7"/>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7"/>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7"/>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7"/>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7"/>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7"/>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7"/>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7"/>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7"/>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7"/>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7"/>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7"/>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7"/>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7"/>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7"/>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7"/>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7"/>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7"/>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7"/>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7"/>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7"/>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7"/>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7"/>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7"/>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7"/>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7"/>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7"/>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7"/>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7"/>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7"/>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7"/>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7"/>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7"/>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7"/>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7"/>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7"/>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7"/>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7"/>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7"/>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7"/>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7"/>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7"/>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7"/>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7"/>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7"/>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7"/>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7"/>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7"/>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7"/>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7"/>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7"/>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7"/>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7"/>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7"/>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7"/>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7"/>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7"/>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7"/>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7"/>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7"/>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7"/>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7"/>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7"/>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1119"/>
    <w:bookmarkStart w:id="1120" w:name="liraglutid-613"/>
    <w:p>
      <w:pPr>
        <w:pStyle w:val="Heading2"/>
      </w:pPr>
      <w:r>
        <w:t xml:space="preserve">Liraglutid (613)</w:t>
      </w:r>
    </w:p>
    <w:p>
      <w:pPr>
        <w:numPr>
          <w:ilvl w:val="0"/>
          <w:numId w:val="1378"/>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8"/>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8"/>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8"/>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8"/>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8"/>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8"/>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8"/>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8"/>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8"/>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8"/>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8"/>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8"/>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8"/>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8"/>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8"/>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8"/>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8"/>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8"/>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8"/>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8"/>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8"/>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8"/>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8"/>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8"/>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8"/>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8"/>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8"/>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8"/>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8"/>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8"/>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8"/>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8"/>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8"/>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8"/>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8"/>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8"/>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8"/>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8"/>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8"/>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8"/>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8"/>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8"/>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8"/>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8"/>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8"/>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8"/>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8"/>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8"/>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8"/>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8"/>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8"/>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8"/>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8"/>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8"/>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8"/>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8"/>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8"/>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8"/>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8"/>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8"/>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8"/>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8"/>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8"/>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8"/>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8"/>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8"/>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8"/>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8"/>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8"/>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8"/>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8"/>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8"/>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8"/>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8"/>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8"/>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8"/>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8"/>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8"/>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8"/>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8"/>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8"/>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8"/>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8"/>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8"/>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8"/>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8"/>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8"/>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8"/>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8"/>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8"/>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8"/>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8"/>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8"/>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8"/>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8"/>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8"/>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8"/>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8"/>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8"/>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8"/>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8"/>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8"/>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8"/>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8"/>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8"/>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8"/>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8"/>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8"/>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8"/>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8"/>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8"/>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8"/>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8"/>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8"/>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8"/>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8"/>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8"/>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8"/>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8"/>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8"/>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8"/>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8"/>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8"/>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8"/>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8"/>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8"/>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8"/>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8"/>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8"/>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8"/>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8"/>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8"/>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8"/>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8"/>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8"/>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8"/>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8"/>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8"/>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8"/>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8"/>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8"/>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8"/>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8"/>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8"/>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8"/>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8"/>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8"/>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8"/>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8"/>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8"/>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8"/>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8"/>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8"/>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8"/>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8"/>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8"/>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8"/>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8"/>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8"/>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8"/>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8"/>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8"/>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8"/>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8"/>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8"/>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8"/>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8"/>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8"/>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8"/>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8"/>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8"/>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8"/>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8"/>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8"/>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8"/>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8"/>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8"/>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8"/>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8"/>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8"/>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8"/>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8"/>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8"/>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8"/>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8"/>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8"/>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8"/>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8"/>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8"/>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8"/>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8"/>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8"/>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8"/>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8"/>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8"/>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8"/>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8"/>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8"/>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8"/>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8"/>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8"/>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8"/>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8"/>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8"/>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8"/>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8"/>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8"/>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8"/>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8"/>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8"/>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8"/>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8"/>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8"/>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8"/>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8"/>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8"/>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8"/>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8"/>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8"/>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8"/>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8"/>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8"/>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8"/>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8"/>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8"/>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8"/>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8"/>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8"/>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8"/>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8"/>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8"/>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8"/>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8"/>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8"/>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8"/>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8"/>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8"/>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8"/>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8"/>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8"/>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8"/>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8"/>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8"/>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8"/>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8"/>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8"/>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8"/>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8"/>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8"/>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8"/>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8"/>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8"/>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8"/>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8"/>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8"/>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8"/>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8"/>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8"/>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8"/>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8"/>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8"/>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8"/>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8"/>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8"/>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8"/>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8"/>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8"/>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8"/>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8"/>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8"/>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8"/>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8"/>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8"/>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8"/>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8"/>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8"/>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8"/>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8"/>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8"/>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8"/>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8"/>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8"/>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8"/>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8"/>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8"/>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8"/>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8"/>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8"/>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8"/>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8"/>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8"/>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8"/>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8"/>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8"/>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8"/>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8"/>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8"/>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8"/>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8"/>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8"/>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8"/>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8"/>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8"/>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8"/>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8"/>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8"/>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8"/>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8"/>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8"/>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8"/>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8"/>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8"/>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8"/>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8"/>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8"/>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8"/>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8"/>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8"/>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8"/>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8"/>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8"/>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8"/>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8"/>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8"/>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8"/>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8"/>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8"/>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8"/>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8"/>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8"/>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8"/>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8"/>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8"/>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8"/>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8"/>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8"/>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8"/>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8"/>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8"/>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8"/>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8"/>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8"/>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8"/>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8"/>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8"/>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8"/>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8"/>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8"/>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8"/>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8"/>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8"/>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8"/>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8"/>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8"/>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8"/>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8"/>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8"/>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8"/>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8"/>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8"/>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8"/>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8"/>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8"/>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8"/>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8"/>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8"/>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8"/>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8"/>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8"/>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8"/>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8"/>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8"/>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8"/>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8"/>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8"/>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8"/>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8"/>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8"/>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8"/>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8"/>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8"/>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8"/>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8"/>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8"/>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8"/>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8"/>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8"/>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8"/>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8"/>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8"/>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8"/>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8"/>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8"/>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8"/>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8"/>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8"/>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8"/>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8"/>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8"/>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8"/>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8"/>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8"/>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8"/>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8"/>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8"/>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8"/>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8"/>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8"/>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8"/>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8"/>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8"/>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8"/>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8"/>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8"/>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8"/>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8"/>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8"/>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8"/>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8"/>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8"/>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8"/>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8"/>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8"/>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8"/>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8"/>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8"/>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8"/>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8"/>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8"/>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8"/>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8"/>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8"/>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8"/>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8"/>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8"/>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8"/>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8"/>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8"/>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8"/>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8"/>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8"/>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8"/>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8"/>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8"/>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8"/>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8"/>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8"/>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8"/>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8"/>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8"/>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8"/>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8"/>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8"/>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8"/>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8"/>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8"/>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8"/>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8"/>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8"/>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8"/>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8"/>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8"/>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8"/>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8"/>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8"/>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8"/>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8"/>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8"/>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8"/>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8"/>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8"/>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8"/>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8"/>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8"/>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8"/>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8"/>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8"/>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8"/>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8"/>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8"/>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8"/>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8"/>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8"/>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8"/>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8"/>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8"/>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8"/>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8"/>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8"/>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8"/>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8"/>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8"/>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8"/>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8"/>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8"/>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8"/>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8"/>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8"/>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8"/>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8"/>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8"/>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8"/>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8"/>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8"/>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8"/>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8"/>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8"/>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8"/>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8"/>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8"/>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8"/>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8"/>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8"/>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8"/>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8"/>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8"/>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8"/>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8"/>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8"/>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8"/>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8"/>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8"/>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8"/>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8"/>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8"/>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8"/>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8"/>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8"/>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8"/>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8"/>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8"/>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8"/>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8"/>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8"/>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8"/>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8"/>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8"/>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8"/>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8"/>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8"/>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8"/>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8"/>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8"/>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8"/>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8"/>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8"/>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8"/>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8"/>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8"/>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8"/>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8"/>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8"/>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8"/>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8"/>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8"/>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8"/>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8"/>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8"/>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8"/>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8"/>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8"/>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8"/>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8"/>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8"/>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8"/>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8"/>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8"/>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8"/>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8"/>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8"/>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8"/>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8"/>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8"/>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8"/>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8"/>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8"/>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8"/>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8"/>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8"/>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8"/>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8"/>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1120"/>
    <w:bookmarkStart w:id="1121" w:name="dulaglutid-158"/>
    <w:p>
      <w:pPr>
        <w:pStyle w:val="Heading2"/>
      </w:pPr>
      <w:r>
        <w:t xml:space="preserve">Dulaglutid (158)</w:t>
      </w:r>
    </w:p>
    <w:p>
      <w:pPr>
        <w:numPr>
          <w:ilvl w:val="0"/>
          <w:numId w:val="1379"/>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9"/>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9"/>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9"/>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9"/>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9"/>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9"/>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9"/>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9"/>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9"/>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9"/>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9"/>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9"/>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9"/>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9"/>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9"/>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9"/>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9"/>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9"/>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9"/>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9"/>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9"/>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9"/>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9"/>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9"/>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9"/>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9"/>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9"/>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9"/>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9"/>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9"/>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9"/>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9"/>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9"/>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9"/>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9"/>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9"/>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9"/>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9"/>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9"/>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9"/>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9"/>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9"/>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9"/>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9"/>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9"/>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9"/>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9"/>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9"/>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9"/>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9"/>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9"/>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9"/>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9"/>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9"/>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9"/>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9"/>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9"/>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9"/>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9"/>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9"/>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9"/>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9"/>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9"/>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9"/>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9"/>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9"/>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9"/>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9"/>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9"/>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9"/>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9"/>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9"/>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9"/>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9"/>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9"/>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9"/>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9"/>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9"/>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9"/>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9"/>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9"/>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9"/>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9"/>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9"/>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9"/>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9"/>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9"/>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9"/>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9"/>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9"/>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9"/>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9"/>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9"/>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9"/>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9"/>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9"/>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9"/>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9"/>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9"/>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9"/>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9"/>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9"/>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9"/>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9"/>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9"/>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9"/>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9"/>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9"/>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9"/>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9"/>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9"/>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9"/>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9"/>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9"/>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9"/>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9"/>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9"/>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9"/>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9"/>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9"/>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9"/>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9"/>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9"/>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1121"/>
    <w:bookmarkStart w:id="1122" w:name="semaglutid-342"/>
    <w:p>
      <w:pPr>
        <w:pStyle w:val="Heading2"/>
      </w:pPr>
      <w:r>
        <w:t xml:space="preserve">Semaglutid (342)</w:t>
      </w:r>
    </w:p>
    <w:p>
      <w:pPr>
        <w:numPr>
          <w:ilvl w:val="0"/>
          <w:numId w:val="1380"/>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80"/>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80"/>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80"/>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80"/>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80"/>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80"/>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80"/>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80"/>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80"/>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80"/>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80"/>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80"/>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80"/>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0"/>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80"/>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80"/>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80"/>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80"/>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80"/>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0"/>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0"/>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80"/>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80"/>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80"/>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80"/>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0"/>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0"/>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0"/>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80"/>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0"/>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80"/>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80"/>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80"/>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80"/>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80"/>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80"/>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80"/>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80"/>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80"/>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80"/>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80"/>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0"/>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80"/>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80"/>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80"/>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80"/>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80"/>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80"/>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0"/>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80"/>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80"/>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80"/>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80"/>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80"/>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80"/>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80"/>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80"/>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80"/>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80"/>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80"/>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0"/>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80"/>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80"/>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80"/>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80"/>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80"/>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80"/>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80"/>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80"/>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80"/>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80"/>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80"/>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80"/>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80"/>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80"/>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80"/>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80"/>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80"/>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80"/>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80"/>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80"/>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80"/>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80"/>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80"/>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80"/>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80"/>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80"/>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80"/>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80"/>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80"/>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80"/>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80"/>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80"/>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0"/>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0"/>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80"/>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80"/>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80"/>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80"/>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80"/>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80"/>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80"/>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80"/>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80"/>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80"/>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80"/>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80"/>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80"/>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80"/>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80"/>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80"/>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80"/>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80"/>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80"/>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80"/>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80"/>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80"/>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80"/>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80"/>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80"/>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80"/>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80"/>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80"/>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80"/>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80"/>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80"/>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80"/>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80"/>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80"/>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80"/>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80"/>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80"/>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0"/>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80"/>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80"/>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80"/>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80"/>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80"/>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80"/>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80"/>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80"/>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80"/>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80"/>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80"/>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80"/>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80"/>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80"/>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80"/>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80"/>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80"/>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80"/>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80"/>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80"/>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80"/>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80"/>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80"/>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80"/>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80"/>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80"/>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80"/>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80"/>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80"/>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80"/>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80"/>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80"/>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80"/>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80"/>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80"/>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80"/>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80"/>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80"/>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80"/>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80"/>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80"/>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80"/>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80"/>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80"/>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80"/>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80"/>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80"/>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80"/>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80"/>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0"/>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80"/>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0"/>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80"/>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80"/>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80"/>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80"/>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80"/>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80"/>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80"/>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80"/>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80"/>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80"/>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80"/>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80"/>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80"/>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80"/>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80"/>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80"/>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80"/>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80"/>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80"/>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80"/>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80"/>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80"/>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80"/>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80"/>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80"/>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80"/>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80"/>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80"/>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80"/>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80"/>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80"/>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80"/>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80"/>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80"/>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80"/>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80"/>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80"/>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80"/>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80"/>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80"/>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80"/>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80"/>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80"/>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80"/>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80"/>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80"/>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80"/>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80"/>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80"/>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80"/>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80"/>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80"/>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80"/>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80"/>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80"/>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80"/>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80"/>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80"/>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80"/>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80"/>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80"/>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80"/>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80"/>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80"/>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80"/>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80"/>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80"/>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80"/>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80"/>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80"/>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80"/>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80"/>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80"/>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80"/>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80"/>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80"/>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80"/>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80"/>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80"/>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80"/>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80"/>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80"/>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80"/>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80"/>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80"/>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80"/>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80"/>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80"/>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80"/>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80"/>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80"/>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80"/>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80"/>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80"/>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80"/>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80"/>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80"/>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80"/>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80"/>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80"/>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80"/>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80"/>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80"/>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80"/>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80"/>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80"/>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80"/>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1122"/>
    <w:bookmarkStart w:id="1123" w:name="tirzepatid-144"/>
    <w:p>
      <w:pPr>
        <w:pStyle w:val="Heading2"/>
      </w:pPr>
      <w:r>
        <w:t xml:space="preserve">Tirzepatid (144)</w:t>
      </w:r>
    </w:p>
    <w:p>
      <w:pPr>
        <w:numPr>
          <w:ilvl w:val="0"/>
          <w:numId w:val="1381"/>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1"/>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1"/>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1"/>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1"/>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1"/>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1"/>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1"/>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1"/>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1"/>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1"/>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1"/>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1"/>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1"/>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1"/>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1"/>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1"/>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1"/>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1"/>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1"/>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1"/>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1"/>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1"/>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1"/>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1"/>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1"/>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1"/>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1"/>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1"/>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1"/>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1"/>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1"/>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1"/>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1"/>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1"/>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1"/>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1"/>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1"/>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1"/>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1"/>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1"/>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1"/>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1"/>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1"/>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1"/>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1"/>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1"/>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1"/>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1"/>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1"/>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1"/>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1"/>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1"/>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1"/>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1"/>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1"/>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1"/>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1"/>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1"/>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1"/>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1"/>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1"/>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1"/>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1"/>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1"/>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1"/>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1"/>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1"/>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1"/>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1"/>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1"/>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1"/>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1"/>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1"/>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1"/>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1"/>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1"/>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1"/>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1"/>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1"/>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1"/>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1"/>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1"/>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1"/>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1"/>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1"/>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1"/>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1"/>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1"/>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1"/>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1"/>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1"/>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1"/>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1"/>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1"/>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1"/>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1"/>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1"/>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1"/>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1"/>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1"/>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1"/>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1"/>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1"/>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1"/>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1"/>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1"/>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1"/>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1"/>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1"/>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1"/>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1"/>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1"/>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1"/>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1"/>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1"/>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1"/>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1"/>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1"/>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1"/>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1"/>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1"/>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1"/>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1"/>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1"/>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1"/>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1"/>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1"/>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1"/>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1"/>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1"/>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1"/>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1"/>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1"/>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1"/>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1"/>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1"/>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1"/>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1"/>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1"/>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1"/>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1"/>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1"/>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1"/>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1123"/>
    <w:bookmarkStart w:id="1124" w:name="retatrutid-10"/>
    <w:p>
      <w:pPr>
        <w:pStyle w:val="Heading2"/>
      </w:pPr>
      <w:r>
        <w:t xml:space="preserve">Retatrutid (10)</w:t>
      </w:r>
    </w:p>
    <w:p>
      <w:pPr>
        <w:numPr>
          <w:ilvl w:val="0"/>
          <w:numId w:val="1382"/>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2"/>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2"/>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2"/>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2"/>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2"/>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2"/>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2"/>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2"/>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2"/>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1124"/>
    <w:bookmarkStart w:id="1125" w:name="survodutid-10"/>
    <w:p>
      <w:pPr>
        <w:pStyle w:val="Heading2"/>
      </w:pPr>
      <w:r>
        <w:t xml:space="preserve">Survodutid (10)</w:t>
      </w:r>
    </w:p>
    <w:p>
      <w:pPr>
        <w:numPr>
          <w:ilvl w:val="0"/>
          <w:numId w:val="1383"/>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3"/>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3"/>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3"/>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3"/>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3"/>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3"/>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3"/>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3"/>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3"/>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1125"/>
    <w:bookmarkStart w:id="1126" w:name="mazdutid-9"/>
    <w:p>
      <w:pPr>
        <w:pStyle w:val="Heading2"/>
      </w:pPr>
      <w:r>
        <w:t xml:space="preserve">Mazdutid (9)</w:t>
      </w:r>
    </w:p>
    <w:p>
      <w:pPr>
        <w:numPr>
          <w:ilvl w:val="0"/>
          <w:numId w:val="1384"/>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4"/>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4"/>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4"/>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4"/>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4"/>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4"/>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4"/>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4"/>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1126"/>
    <w:bookmarkStart w:id="1127" w:name="cagrilintid-cagrisema-15"/>
    <w:p>
      <w:pPr>
        <w:pStyle w:val="Heading2"/>
      </w:pPr>
      <w:r>
        <w:t xml:space="preserve">Cagrilintid / CagriSema (15)</w:t>
      </w:r>
    </w:p>
    <w:p>
      <w:pPr>
        <w:numPr>
          <w:ilvl w:val="0"/>
          <w:numId w:val="1385"/>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5"/>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5"/>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5"/>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5"/>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5"/>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5"/>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5"/>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5"/>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5"/>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5"/>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5"/>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5"/>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5"/>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5"/>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1127"/>
    <w:bookmarkStart w:id="1128" w:name="amycretin-4"/>
    <w:p>
      <w:pPr>
        <w:pStyle w:val="Heading2"/>
      </w:pPr>
      <w:r>
        <w:t xml:space="preserve">Amycretin (4)</w:t>
      </w:r>
    </w:p>
    <w:p>
      <w:pPr>
        <w:numPr>
          <w:ilvl w:val="0"/>
          <w:numId w:val="1386"/>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6"/>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6"/>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6"/>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1128"/>
    <w:bookmarkStart w:id="1129" w:name="maridebart-cafraglutid-maritide-2"/>
    <w:p>
      <w:pPr>
        <w:pStyle w:val="Heading2"/>
      </w:pPr>
      <w:r>
        <w:t xml:space="preserve">Maridebart Cafraglutid (MariTide) (2)</w:t>
      </w:r>
    </w:p>
    <w:p>
      <w:pPr>
        <w:numPr>
          <w:ilvl w:val="0"/>
          <w:numId w:val="1387"/>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7"/>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1129"/>
    <w:bookmarkStart w:id="1130" w:name="pramlintid-76"/>
    <w:p>
      <w:pPr>
        <w:pStyle w:val="Heading2"/>
      </w:pPr>
      <w:r>
        <w:t xml:space="preserve">Pramlintid (76)</w:t>
      </w:r>
    </w:p>
    <w:p>
      <w:pPr>
        <w:numPr>
          <w:ilvl w:val="0"/>
          <w:numId w:val="1388"/>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8"/>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8"/>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8"/>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8"/>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8"/>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8"/>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8"/>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8"/>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8"/>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8"/>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8"/>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8"/>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8"/>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8"/>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8"/>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8"/>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8"/>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8"/>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8"/>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8"/>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8"/>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8"/>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8"/>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8"/>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8"/>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8"/>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8"/>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8"/>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8"/>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8"/>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8"/>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8"/>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8"/>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8"/>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8"/>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8"/>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8"/>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8"/>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8"/>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8"/>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8"/>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8"/>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8"/>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8"/>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8"/>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8"/>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8"/>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8"/>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8"/>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8"/>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8"/>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8"/>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8"/>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8"/>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8"/>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8"/>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8"/>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8"/>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8"/>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8"/>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8"/>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8"/>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8"/>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8"/>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8"/>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8"/>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8"/>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8"/>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8"/>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8"/>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8"/>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8"/>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8"/>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8"/>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8"/>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1130"/>
    <w:bookmarkStart w:id="1131" w:name="setmelanotid-15"/>
    <w:p>
      <w:pPr>
        <w:pStyle w:val="Heading2"/>
      </w:pPr>
      <w:r>
        <w:t xml:space="preserve">Setmelanotid (15)</w:t>
      </w:r>
    </w:p>
    <w:p>
      <w:pPr>
        <w:numPr>
          <w:ilvl w:val="0"/>
          <w:numId w:val="1389"/>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9"/>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9"/>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9"/>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9"/>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9"/>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9"/>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9"/>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9"/>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9"/>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9"/>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9"/>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9"/>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9"/>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9"/>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1131"/>
    <w:bookmarkStart w:id="1132" w:name="aod-9604-0"/>
    <w:p>
      <w:pPr>
        <w:pStyle w:val="Heading2"/>
      </w:pPr>
      <w:r>
        <w:t xml:space="preserve">AOD-9604 (0)</w:t>
      </w:r>
    </w:p>
    <w:p>
      <w:pPr>
        <w:pStyle w:val="FirstParagraph"/>
      </w:pPr>
      <w:r>
        <w:t xml:space="preserve">Keine Veröffentlichungen klinischer Studien am Menschen gefunden.</w:t>
      </w:r>
    </w:p>
    <w:bookmarkEnd w:id="1132"/>
    <w:bookmarkStart w:id="1133" w:name="orforglipron-20"/>
    <w:p>
      <w:pPr>
        <w:pStyle w:val="Heading2"/>
      </w:pPr>
      <w:r>
        <w:t xml:space="preserve">Orforglipron (20)</w:t>
      </w:r>
    </w:p>
    <w:p>
      <w:pPr>
        <w:numPr>
          <w:ilvl w:val="0"/>
          <w:numId w:val="1390"/>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90"/>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90"/>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90"/>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90"/>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9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90"/>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90"/>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90"/>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90"/>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90"/>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90"/>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90"/>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90"/>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90"/>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90"/>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90"/>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90"/>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90"/>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90"/>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1133"/>
    <w:bookmarkStart w:id="1134" w:name="bpc-157-0"/>
    <w:p>
      <w:pPr>
        <w:pStyle w:val="Heading2"/>
      </w:pPr>
      <w:r>
        <w:t xml:space="preserve">BPC-157 (0)</w:t>
      </w:r>
    </w:p>
    <w:p>
      <w:pPr>
        <w:pStyle w:val="FirstParagraph"/>
      </w:pPr>
      <w:r>
        <w:t xml:space="preserve">Keine Veröffentlichungen klinischer Studien am Menschen gefunden.</w:t>
      </w:r>
    </w:p>
    <w:bookmarkEnd w:id="1134"/>
    <w:bookmarkStart w:id="1135" w:name="tb-500-thymosin-beta-4-9"/>
    <w:p>
      <w:pPr>
        <w:pStyle w:val="Heading2"/>
      </w:pPr>
      <w:r>
        <w:t xml:space="preserve">TB-500 / Thymosin Beta-4 (9)</w:t>
      </w:r>
    </w:p>
    <w:p>
      <w:pPr>
        <w:numPr>
          <w:ilvl w:val="0"/>
          <w:numId w:val="1391"/>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1"/>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1"/>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1"/>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1"/>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1"/>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1"/>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1"/>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1"/>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1135"/>
    <w:bookmarkStart w:id="1136" w:name="thymosin-alpha-1-thymalfasin-90"/>
    <w:p>
      <w:pPr>
        <w:pStyle w:val="Heading2"/>
      </w:pPr>
      <w:r>
        <w:t xml:space="preserve">Thymosin Alpha-1 (Thymalfasin) (90)</w:t>
      </w:r>
    </w:p>
    <w:p>
      <w:pPr>
        <w:numPr>
          <w:ilvl w:val="0"/>
          <w:numId w:val="1392"/>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2"/>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2"/>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2"/>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2"/>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2"/>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2"/>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2"/>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2"/>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2"/>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2"/>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2"/>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2"/>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2"/>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2"/>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2"/>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2"/>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2"/>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2"/>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2"/>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2"/>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2"/>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2"/>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2"/>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2"/>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2"/>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2"/>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2"/>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2"/>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2"/>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2"/>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2"/>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2"/>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2"/>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2"/>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2"/>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2"/>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2"/>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2"/>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2"/>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2"/>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2"/>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2"/>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2"/>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2"/>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2"/>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2"/>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2"/>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2"/>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2"/>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2"/>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2"/>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2"/>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2"/>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2"/>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2"/>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2"/>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2"/>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2"/>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2"/>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2"/>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2"/>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2"/>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2"/>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2"/>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2"/>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2"/>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2"/>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2"/>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2"/>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2"/>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2"/>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2"/>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2"/>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2"/>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2"/>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2"/>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2"/>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2"/>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2"/>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2"/>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2"/>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2"/>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2"/>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2"/>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2"/>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2"/>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2"/>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2"/>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2"/>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1136"/>
    <w:bookmarkStart w:id="1137" w:name="kpv-0"/>
    <w:p>
      <w:pPr>
        <w:pStyle w:val="Heading2"/>
      </w:pPr>
      <w:r>
        <w:t xml:space="preserve">KPV (0)</w:t>
      </w:r>
    </w:p>
    <w:p>
      <w:pPr>
        <w:pStyle w:val="FirstParagraph"/>
      </w:pPr>
      <w:r>
        <w:t xml:space="preserve">Keine Veröffentlichungen klinischer Studien am Menschen gefunden.</w:t>
      </w:r>
    </w:p>
    <w:bookmarkEnd w:id="1137"/>
    <w:bookmarkStart w:id="1138" w:name="ll-37-91"/>
    <w:p>
      <w:pPr>
        <w:pStyle w:val="Heading2"/>
      </w:pPr>
      <w:r>
        <w:t xml:space="preserve">LL-37 (91)</w:t>
      </w:r>
    </w:p>
    <w:p>
      <w:pPr>
        <w:numPr>
          <w:ilvl w:val="0"/>
          <w:numId w:val="1393"/>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3"/>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3"/>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3"/>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3"/>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3"/>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3"/>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3"/>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3"/>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3"/>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3"/>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3"/>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3"/>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3"/>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3"/>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3"/>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3"/>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3"/>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3"/>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3"/>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3"/>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3"/>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3"/>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3"/>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3"/>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3"/>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3"/>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3"/>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3"/>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3"/>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3"/>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3"/>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3"/>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3"/>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3"/>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3"/>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3"/>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3"/>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3"/>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3"/>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3"/>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3"/>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3"/>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3"/>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3"/>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3"/>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3"/>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3"/>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3"/>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3"/>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3"/>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3"/>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3"/>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3"/>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3"/>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3"/>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3"/>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3"/>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3"/>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3"/>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3"/>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3"/>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3"/>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3"/>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3"/>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3"/>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3"/>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3"/>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3"/>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3"/>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3"/>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3"/>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3"/>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3"/>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3"/>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3"/>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3"/>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3"/>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3"/>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3"/>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3"/>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3"/>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3"/>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3"/>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3"/>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3"/>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3"/>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3"/>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3"/>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3"/>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3"/>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1138"/>
    <w:bookmarkStart w:id="1139" w:name="ara-290-cibinetid-5"/>
    <w:p>
      <w:pPr>
        <w:pStyle w:val="Heading2"/>
      </w:pPr>
      <w:r>
        <w:t xml:space="preserve">ARA-290 (Cibinetid) (5)</w:t>
      </w:r>
    </w:p>
    <w:p>
      <w:pPr>
        <w:numPr>
          <w:ilvl w:val="0"/>
          <w:numId w:val="1394"/>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4"/>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4"/>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4"/>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4"/>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1139"/>
    <w:bookmarkStart w:id="1140" w:name="larazotid-4"/>
    <w:p>
      <w:pPr>
        <w:pStyle w:val="Heading2"/>
      </w:pPr>
      <w:r>
        <w:t xml:space="preserve">Larazotid (4)</w:t>
      </w:r>
    </w:p>
    <w:p>
      <w:pPr>
        <w:numPr>
          <w:ilvl w:val="0"/>
          <w:numId w:val="1395"/>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5"/>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5"/>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5"/>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1140"/>
    <w:bookmarkStart w:id="1141" w:name="thymalin-thymogen-17"/>
    <w:p>
      <w:pPr>
        <w:pStyle w:val="Heading2"/>
      </w:pPr>
      <w:r>
        <w:t xml:space="preserve">Thymalin / Thymogen (17)</w:t>
      </w:r>
    </w:p>
    <w:p>
      <w:pPr>
        <w:numPr>
          <w:ilvl w:val="0"/>
          <w:numId w:val="1396"/>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6"/>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6"/>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6"/>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6"/>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6"/>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6"/>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6"/>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6"/>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6"/>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6"/>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6"/>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6"/>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6"/>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6"/>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6"/>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6"/>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1141"/>
    <w:bookmarkStart w:id="1142" w:name="sermorelin-0"/>
    <w:p>
      <w:pPr>
        <w:pStyle w:val="Heading2"/>
      </w:pPr>
      <w:r>
        <w:t xml:space="preserve">Sermorelin (0)</w:t>
      </w:r>
    </w:p>
    <w:p>
      <w:pPr>
        <w:pStyle w:val="FirstParagraph"/>
      </w:pPr>
      <w:r>
        <w:t xml:space="preserve">Keine Veröffentlichungen klinischer Studien am Menschen gefunden.</w:t>
      </w:r>
    </w:p>
    <w:bookmarkEnd w:id="1142"/>
    <w:bookmarkStart w:id="1143" w:name="tesamorelin-23"/>
    <w:p>
      <w:pPr>
        <w:pStyle w:val="Heading2"/>
      </w:pPr>
      <w:r>
        <w:t xml:space="preserve">Tesamorelin (23)</w:t>
      </w:r>
    </w:p>
    <w:p>
      <w:pPr>
        <w:numPr>
          <w:ilvl w:val="0"/>
          <w:numId w:val="1397"/>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7"/>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7"/>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7"/>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7"/>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7"/>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7"/>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7"/>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7"/>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7"/>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7"/>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7"/>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7"/>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7"/>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7"/>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7"/>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7"/>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7"/>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7"/>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7"/>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7"/>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7"/>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7"/>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1143"/>
    <w:bookmarkStart w:id="1144" w:name="cjc-1295-2"/>
    <w:p>
      <w:pPr>
        <w:pStyle w:val="Heading2"/>
      </w:pPr>
      <w:r>
        <w:t xml:space="preserve">CJC-1295 (2)</w:t>
      </w:r>
    </w:p>
    <w:p>
      <w:pPr>
        <w:numPr>
          <w:ilvl w:val="0"/>
          <w:numId w:val="1398"/>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8"/>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1144"/>
    <w:bookmarkStart w:id="1145" w:name="ipamorelin-2"/>
    <w:p>
      <w:pPr>
        <w:pStyle w:val="Heading2"/>
      </w:pPr>
      <w:r>
        <w:t xml:space="preserve">Ipamorelin (2)</w:t>
      </w:r>
    </w:p>
    <w:p>
      <w:pPr>
        <w:numPr>
          <w:ilvl w:val="0"/>
          <w:numId w:val="1399"/>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9"/>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1145"/>
    <w:bookmarkStart w:id="1146" w:name="ghrp-2-pralmorelin-55"/>
    <w:p>
      <w:pPr>
        <w:pStyle w:val="Heading2"/>
      </w:pPr>
      <w:r>
        <w:t xml:space="preserve">GHRP-2 (Pralmorelin) (55)</w:t>
      </w:r>
    </w:p>
    <w:p>
      <w:pPr>
        <w:numPr>
          <w:ilvl w:val="0"/>
          <w:numId w:val="1400"/>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400"/>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400"/>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400"/>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400"/>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400"/>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400"/>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400"/>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400"/>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400"/>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400"/>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400"/>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400"/>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400"/>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400"/>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400"/>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400"/>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400"/>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400"/>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400"/>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400"/>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400"/>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400"/>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400"/>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400"/>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400"/>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400"/>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400"/>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400"/>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400"/>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400"/>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400"/>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400"/>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400"/>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400"/>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400"/>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400"/>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400"/>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400"/>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400"/>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400"/>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400"/>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400"/>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400"/>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400"/>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400"/>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400"/>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400"/>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400"/>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400"/>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400"/>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400"/>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400"/>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1146"/>
    <w:bookmarkStart w:id="1147" w:name="ghrp-6-40"/>
    <w:p>
      <w:pPr>
        <w:pStyle w:val="Heading2"/>
      </w:pPr>
      <w:r>
        <w:t xml:space="preserve">GHRP-6 (40)</w:t>
      </w:r>
    </w:p>
    <w:p>
      <w:pPr>
        <w:numPr>
          <w:ilvl w:val="0"/>
          <w:numId w:val="1401"/>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1"/>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1"/>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1"/>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1"/>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1"/>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1"/>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1"/>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1"/>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1"/>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1"/>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1"/>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1"/>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1"/>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1"/>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1"/>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1"/>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1"/>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1"/>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1"/>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1"/>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1"/>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1"/>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1"/>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1"/>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1"/>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1"/>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1"/>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1"/>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1"/>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1147"/>
    <w:bookmarkStart w:id="1148" w:name="hexarelin-58"/>
    <w:p>
      <w:pPr>
        <w:pStyle w:val="Heading2"/>
      </w:pPr>
      <w:r>
        <w:t xml:space="preserve">Hexarelin (58)</w:t>
      </w:r>
    </w:p>
    <w:p>
      <w:pPr>
        <w:numPr>
          <w:ilvl w:val="0"/>
          <w:numId w:val="1402"/>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2"/>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2"/>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2"/>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2"/>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2"/>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2"/>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2"/>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2"/>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2"/>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2"/>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2"/>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2"/>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2"/>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2"/>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2"/>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2"/>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2"/>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2"/>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2"/>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2"/>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2"/>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2"/>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2"/>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2"/>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2"/>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2"/>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2"/>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2"/>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2"/>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2"/>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2"/>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2"/>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2"/>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2"/>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2"/>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2"/>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2"/>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2"/>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2"/>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2"/>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2"/>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2"/>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2"/>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2"/>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2"/>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2"/>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2"/>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2"/>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2"/>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2"/>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2"/>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2"/>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2"/>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2"/>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2"/>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2"/>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2"/>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1148"/>
    <w:bookmarkStart w:id="1149" w:name="macimorelin-4"/>
    <w:p>
      <w:pPr>
        <w:pStyle w:val="Heading2"/>
      </w:pPr>
      <w:r>
        <w:t xml:space="preserve">Macimorelin (4)</w:t>
      </w:r>
    </w:p>
    <w:p>
      <w:pPr>
        <w:numPr>
          <w:ilvl w:val="0"/>
          <w:numId w:val="1403"/>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3"/>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3"/>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3"/>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1149"/>
    <w:bookmarkStart w:id="1150" w:name="mecasermin-igf-1-21"/>
    <w:p>
      <w:pPr>
        <w:pStyle w:val="Heading2"/>
      </w:pPr>
      <w:r>
        <w:t xml:space="preserve">Mecasermin (IGF-1) (21)</w:t>
      </w:r>
    </w:p>
    <w:p>
      <w:pPr>
        <w:numPr>
          <w:ilvl w:val="0"/>
          <w:numId w:val="1404"/>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4"/>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4"/>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4"/>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4"/>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4"/>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4"/>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4"/>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4"/>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4"/>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4"/>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4"/>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4"/>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4"/>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4"/>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4"/>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4"/>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4"/>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4"/>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4"/>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4"/>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1150"/>
    <w:bookmarkStart w:id="1151" w:name="igf-1-lr3-0"/>
    <w:p>
      <w:pPr>
        <w:pStyle w:val="Heading2"/>
      </w:pPr>
      <w:r>
        <w:t xml:space="preserve">IGF-1 LR3 (0)</w:t>
      </w:r>
    </w:p>
    <w:p>
      <w:pPr>
        <w:pStyle w:val="FirstParagraph"/>
      </w:pPr>
      <w:r>
        <w:t xml:space="preserve">Keine Veröffentlichungen klinischer Studien am Menschen gefunden.</w:t>
      </w:r>
    </w:p>
    <w:bookmarkEnd w:id="1151"/>
    <w:bookmarkStart w:id="1152" w:name="ibutamoren-mk-677-19"/>
    <w:p>
      <w:pPr>
        <w:pStyle w:val="Heading2"/>
      </w:pPr>
      <w:r>
        <w:t xml:space="preserve">Ibutamoren (MK-677) (19)</w:t>
      </w:r>
    </w:p>
    <w:p>
      <w:pPr>
        <w:numPr>
          <w:ilvl w:val="0"/>
          <w:numId w:val="1405"/>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5"/>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5"/>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5"/>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5"/>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5"/>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5"/>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5"/>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5"/>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5"/>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5"/>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5"/>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5"/>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5"/>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5"/>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5"/>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5"/>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5"/>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5"/>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1152"/>
    <w:bookmarkStart w:id="1153" w:name="semax-4"/>
    <w:p>
      <w:pPr>
        <w:pStyle w:val="Heading2"/>
      </w:pPr>
      <w:r>
        <w:t xml:space="preserve">Semax (4)</w:t>
      </w:r>
    </w:p>
    <w:p>
      <w:pPr>
        <w:numPr>
          <w:ilvl w:val="0"/>
          <w:numId w:val="1406"/>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6"/>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6"/>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6"/>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1153"/>
    <w:bookmarkStart w:id="1154" w:name="selank-3"/>
    <w:p>
      <w:pPr>
        <w:pStyle w:val="Heading2"/>
      </w:pPr>
      <w:r>
        <w:t xml:space="preserve">Selank (3)</w:t>
      </w:r>
    </w:p>
    <w:p>
      <w:pPr>
        <w:numPr>
          <w:ilvl w:val="0"/>
          <w:numId w:val="1407"/>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7"/>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7"/>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1154"/>
    <w:bookmarkStart w:id="1155" w:name="cerebrolysin-88"/>
    <w:p>
      <w:pPr>
        <w:pStyle w:val="Heading2"/>
      </w:pPr>
      <w:r>
        <w:t xml:space="preserve">Cerebrolysin (88)</w:t>
      </w:r>
    </w:p>
    <w:p>
      <w:pPr>
        <w:numPr>
          <w:ilvl w:val="0"/>
          <w:numId w:val="1408"/>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8"/>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8"/>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8"/>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8"/>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8"/>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8"/>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8"/>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8"/>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8"/>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8"/>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8"/>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8"/>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8"/>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8"/>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8"/>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8"/>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8"/>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8"/>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8"/>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8"/>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8"/>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8"/>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8"/>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8"/>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8"/>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8"/>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8"/>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8"/>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8"/>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8"/>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8"/>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8"/>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8"/>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8"/>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8"/>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8"/>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8"/>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8"/>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8"/>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8"/>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8"/>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8"/>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8"/>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8"/>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8"/>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8"/>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8"/>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8"/>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8"/>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8"/>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8"/>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8"/>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8"/>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8"/>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8"/>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8"/>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8"/>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8"/>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8"/>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8"/>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8"/>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8"/>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8"/>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8"/>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8"/>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8"/>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8"/>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8"/>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8"/>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8"/>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8"/>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8"/>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8"/>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8"/>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8"/>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8"/>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8"/>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8"/>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8"/>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8"/>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8"/>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8"/>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8"/>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8"/>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8"/>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8"/>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8"/>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1155"/>
    <w:bookmarkStart w:id="1156" w:name="dihexa-0"/>
    <w:p>
      <w:pPr>
        <w:pStyle w:val="Heading2"/>
      </w:pPr>
      <w:r>
        <w:t xml:space="preserve">Dihexa (0)</w:t>
      </w:r>
    </w:p>
    <w:p>
      <w:pPr>
        <w:pStyle w:val="FirstParagraph"/>
      </w:pPr>
      <w:r>
        <w:t xml:space="preserve">Keine Veröffentlichungen klinischer Studien am Menschen gefunden.</w:t>
      </w:r>
    </w:p>
    <w:bookmarkEnd w:id="1156"/>
    <w:bookmarkStart w:id="1157" w:name="dsip-18"/>
    <w:p>
      <w:pPr>
        <w:pStyle w:val="Heading2"/>
      </w:pPr>
      <w:r>
        <w:t xml:space="preserve">DSIP (18)</w:t>
      </w:r>
    </w:p>
    <w:p>
      <w:pPr>
        <w:numPr>
          <w:ilvl w:val="0"/>
          <w:numId w:val="1409"/>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9"/>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9"/>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9"/>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9"/>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9"/>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9"/>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9"/>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9"/>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9"/>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9"/>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9"/>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9"/>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9"/>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9"/>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9"/>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9"/>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9"/>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1157"/>
    <w:bookmarkStart w:id="1158" w:name="epitalon-epithalon-1"/>
    <w:p>
      <w:pPr>
        <w:pStyle w:val="Heading2"/>
      </w:pPr>
      <w:r>
        <w:t xml:space="preserve">Epitalon (Epithalon) (1)</w:t>
      </w:r>
    </w:p>
    <w:p>
      <w:pPr>
        <w:numPr>
          <w:ilvl w:val="0"/>
          <w:numId w:val="1410"/>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1158"/>
    <w:bookmarkStart w:id="1159" w:name="pinealon-1"/>
    <w:p>
      <w:pPr>
        <w:pStyle w:val="Heading2"/>
      </w:pPr>
      <w:r>
        <w:t xml:space="preserve">Pinealon (1)</w:t>
      </w:r>
    </w:p>
    <w:p>
      <w:pPr>
        <w:numPr>
          <w:ilvl w:val="0"/>
          <w:numId w:val="1411"/>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1159"/>
    <w:bookmarkStart w:id="1160" w:name="mots-c-5"/>
    <w:p>
      <w:pPr>
        <w:pStyle w:val="Heading2"/>
      </w:pPr>
      <w:r>
        <w:t xml:space="preserve">MOTS-c (5)</w:t>
      </w:r>
    </w:p>
    <w:p>
      <w:pPr>
        <w:numPr>
          <w:ilvl w:val="0"/>
          <w:numId w:val="1412"/>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2"/>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2"/>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1160"/>
    <w:bookmarkStart w:id="1161" w:name="humanin-8"/>
    <w:p>
      <w:pPr>
        <w:pStyle w:val="Heading2"/>
      </w:pPr>
      <w:r>
        <w:t xml:space="preserve">Humanin (8)</w:t>
      </w:r>
    </w:p>
    <w:p>
      <w:pPr>
        <w:numPr>
          <w:ilvl w:val="0"/>
          <w:numId w:val="1413"/>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3"/>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3"/>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3"/>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3"/>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3"/>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3"/>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3"/>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1161"/>
    <w:bookmarkStart w:id="1162" w:name="ss-31-elamipretid-19"/>
    <w:p>
      <w:pPr>
        <w:pStyle w:val="Heading2"/>
      </w:pPr>
      <w:r>
        <w:t xml:space="preserve">SS-31 (Elamipretid) (19)</w:t>
      </w:r>
    </w:p>
    <w:p>
      <w:pPr>
        <w:numPr>
          <w:ilvl w:val="0"/>
          <w:numId w:val="1414"/>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4"/>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4"/>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4"/>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4"/>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4"/>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4"/>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4"/>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4"/>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4"/>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4"/>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4"/>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4"/>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4"/>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4"/>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4"/>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4"/>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4"/>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4"/>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1162"/>
    <w:bookmarkStart w:id="1163" w:name="foxo4-dri-0"/>
    <w:p>
      <w:pPr>
        <w:pStyle w:val="Heading2"/>
      </w:pPr>
      <w:r>
        <w:t xml:space="preserve">FOXO4-DRI (0)</w:t>
      </w:r>
    </w:p>
    <w:p>
      <w:pPr>
        <w:pStyle w:val="FirstParagraph"/>
      </w:pPr>
      <w:r>
        <w:t xml:space="preserve">Keine Veröffentlichungen klinischer Studien am Menschen gefunden.</w:t>
      </w:r>
    </w:p>
    <w:bookmarkEnd w:id="1163"/>
    <w:bookmarkStart w:id="1164" w:name="glutathion-161"/>
    <w:p>
      <w:pPr>
        <w:pStyle w:val="Heading2"/>
      </w:pPr>
      <w:r>
        <w:t xml:space="preserve">Glutathion (161)</w:t>
      </w:r>
    </w:p>
    <w:p>
      <w:pPr>
        <w:numPr>
          <w:ilvl w:val="0"/>
          <w:numId w:val="1415"/>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5"/>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5"/>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5"/>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5"/>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5"/>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5"/>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5"/>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5"/>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5"/>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5"/>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5"/>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5"/>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5"/>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5"/>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5"/>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5"/>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5"/>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5"/>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5"/>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5"/>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5"/>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5"/>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5"/>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5"/>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5"/>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5"/>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5"/>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5"/>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5"/>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5"/>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5"/>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5"/>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5"/>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5"/>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5"/>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5"/>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5"/>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5"/>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5"/>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5"/>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5"/>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5"/>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5"/>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5"/>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5"/>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5"/>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5"/>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5"/>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5"/>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5"/>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5"/>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5"/>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5"/>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5"/>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5"/>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5"/>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5"/>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5"/>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5"/>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5"/>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5"/>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5"/>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5"/>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5"/>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5"/>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5"/>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5"/>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5"/>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5"/>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5"/>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5"/>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5"/>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5"/>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5"/>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5"/>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5"/>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5"/>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5"/>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5"/>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5"/>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5"/>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5"/>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5"/>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5"/>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5"/>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5"/>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5"/>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5"/>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5"/>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5"/>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5"/>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5"/>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5"/>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5"/>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5"/>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5"/>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5"/>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5"/>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5"/>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5"/>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5"/>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5"/>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5"/>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5"/>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5"/>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5"/>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5"/>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5"/>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5"/>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5"/>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5"/>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5"/>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5"/>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5"/>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5"/>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5"/>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5"/>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5"/>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5"/>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5"/>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5"/>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5"/>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5"/>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5"/>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5"/>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5"/>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5"/>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5"/>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5"/>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5"/>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5"/>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5"/>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5"/>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5"/>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5"/>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5"/>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5"/>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5"/>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5"/>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5"/>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5"/>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5"/>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5"/>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5"/>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5"/>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5"/>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5"/>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5"/>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5"/>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5"/>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5"/>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5"/>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5"/>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5"/>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5"/>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5"/>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5"/>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5"/>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5"/>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5"/>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1164"/>
    <w:bookmarkStart w:id="1165" w:name="bremelanotid-pt-141-16"/>
    <w:p>
      <w:pPr>
        <w:pStyle w:val="Heading2"/>
      </w:pPr>
      <w:r>
        <w:t xml:space="preserve">Bremelanotid (PT-141) (16)</w:t>
      </w:r>
    </w:p>
    <w:p>
      <w:pPr>
        <w:numPr>
          <w:ilvl w:val="0"/>
          <w:numId w:val="1416"/>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6"/>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6"/>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6"/>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6"/>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6"/>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6"/>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6"/>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6"/>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6"/>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6"/>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6"/>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6"/>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6"/>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6"/>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6"/>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1165"/>
    <w:bookmarkStart w:id="1166" w:name="melanotan-ii-8"/>
    <w:p>
      <w:pPr>
        <w:pStyle w:val="Heading2"/>
      </w:pPr>
      <w:r>
        <w:t xml:space="preserve">Melanotan II (8)</w:t>
      </w:r>
    </w:p>
    <w:p>
      <w:pPr>
        <w:numPr>
          <w:ilvl w:val="0"/>
          <w:numId w:val="1417"/>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7"/>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7"/>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7"/>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7"/>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7"/>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7"/>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7"/>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1166"/>
    <w:bookmarkStart w:id="1167" w:name="afamelanotid-10"/>
    <w:p>
      <w:pPr>
        <w:pStyle w:val="Heading2"/>
      </w:pPr>
      <w:r>
        <w:t xml:space="preserve">Afamelanotid (10)</w:t>
      </w:r>
    </w:p>
    <w:p>
      <w:pPr>
        <w:numPr>
          <w:ilvl w:val="0"/>
          <w:numId w:val="1418"/>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8"/>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8"/>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8"/>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8"/>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8"/>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8"/>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8"/>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8"/>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8"/>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1167"/>
    <w:bookmarkStart w:id="1168" w:name="kisspeptin-37"/>
    <w:p>
      <w:pPr>
        <w:pStyle w:val="Heading2"/>
      </w:pPr>
      <w:r>
        <w:t xml:space="preserve">Kisspeptin (37)</w:t>
      </w:r>
    </w:p>
    <w:p>
      <w:pPr>
        <w:numPr>
          <w:ilvl w:val="0"/>
          <w:numId w:val="1419"/>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9"/>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9"/>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9"/>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9"/>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9"/>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9"/>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9"/>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9"/>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9"/>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9"/>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9"/>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9"/>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9"/>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9"/>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9"/>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9"/>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9"/>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9"/>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9"/>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9"/>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9"/>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9"/>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9"/>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9"/>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9"/>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9"/>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9"/>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9"/>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9"/>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9"/>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9"/>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9"/>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9"/>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9"/>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9"/>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9"/>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1168"/>
    <w:bookmarkStart w:id="1169" w:name="oxytocin-intranasal-349"/>
    <w:p>
      <w:pPr>
        <w:pStyle w:val="Heading2"/>
      </w:pPr>
      <w:r>
        <w:t xml:space="preserve">Oxytocin (intranasal) (349)</w:t>
      </w:r>
    </w:p>
    <w:p>
      <w:pPr>
        <w:numPr>
          <w:ilvl w:val="0"/>
          <w:numId w:val="1420"/>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20"/>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20"/>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20"/>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20"/>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20"/>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20"/>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20"/>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20"/>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20"/>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20"/>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20"/>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20"/>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20"/>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20"/>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20"/>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20"/>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20"/>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20"/>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20"/>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20"/>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20"/>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20"/>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20"/>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20"/>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20"/>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20"/>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20"/>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20"/>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20"/>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20"/>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20"/>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20"/>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20"/>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20"/>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20"/>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20"/>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20"/>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20"/>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20"/>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20"/>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20"/>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20"/>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20"/>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20"/>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20"/>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20"/>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20"/>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20"/>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20"/>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20"/>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20"/>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20"/>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20"/>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20"/>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20"/>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20"/>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20"/>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20"/>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20"/>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20"/>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20"/>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20"/>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20"/>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20"/>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20"/>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20"/>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20"/>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20"/>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20"/>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20"/>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20"/>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20"/>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20"/>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20"/>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20"/>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20"/>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20"/>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20"/>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20"/>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20"/>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20"/>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20"/>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20"/>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20"/>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20"/>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20"/>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20"/>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20"/>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20"/>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20"/>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20"/>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20"/>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20"/>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20"/>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20"/>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20"/>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20"/>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20"/>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20"/>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20"/>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20"/>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20"/>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20"/>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20"/>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20"/>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20"/>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20"/>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20"/>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20"/>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20"/>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20"/>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20"/>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20"/>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20"/>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20"/>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20"/>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20"/>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20"/>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20"/>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20"/>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20"/>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20"/>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20"/>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20"/>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20"/>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20"/>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20"/>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20"/>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20"/>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20"/>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20"/>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20"/>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20"/>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20"/>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20"/>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20"/>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20"/>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20"/>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20"/>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20"/>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20"/>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20"/>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20"/>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20"/>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20"/>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20"/>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20"/>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20"/>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20"/>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20"/>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20"/>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20"/>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20"/>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20"/>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20"/>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20"/>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20"/>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20"/>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20"/>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20"/>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20"/>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20"/>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20"/>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20"/>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20"/>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20"/>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20"/>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20"/>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20"/>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20"/>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20"/>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20"/>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20"/>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20"/>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20"/>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20"/>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20"/>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20"/>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20"/>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20"/>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20"/>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20"/>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20"/>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20"/>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20"/>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20"/>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20"/>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20"/>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20"/>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20"/>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20"/>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20"/>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20"/>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20"/>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20"/>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20"/>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20"/>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20"/>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20"/>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20"/>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20"/>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20"/>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20"/>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20"/>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20"/>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20"/>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20"/>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20"/>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20"/>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20"/>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20"/>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20"/>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20"/>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20"/>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20"/>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20"/>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20"/>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20"/>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20"/>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20"/>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20"/>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20"/>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20"/>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20"/>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20"/>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20"/>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20"/>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20"/>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20"/>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20"/>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20"/>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20"/>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20"/>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20"/>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20"/>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20"/>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20"/>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20"/>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20"/>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20"/>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20"/>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20"/>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20"/>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20"/>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20"/>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20"/>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20"/>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20"/>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20"/>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20"/>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20"/>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20"/>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20"/>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20"/>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20"/>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20"/>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20"/>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20"/>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20"/>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20"/>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20"/>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20"/>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20"/>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20"/>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20"/>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20"/>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20"/>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20"/>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20"/>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20"/>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20"/>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20"/>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20"/>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20"/>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20"/>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20"/>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20"/>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20"/>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20"/>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20"/>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20"/>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20"/>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20"/>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20"/>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20"/>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20"/>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20"/>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20"/>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20"/>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20"/>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20"/>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20"/>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20"/>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20"/>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20"/>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20"/>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20"/>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20"/>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20"/>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20"/>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20"/>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20"/>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20"/>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20"/>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20"/>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20"/>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20"/>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20"/>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20"/>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20"/>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20"/>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20"/>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20"/>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20"/>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20"/>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20"/>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20"/>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20"/>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20"/>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20"/>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20"/>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20"/>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20"/>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20"/>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20"/>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20"/>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20"/>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20"/>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20"/>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20"/>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20"/>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20"/>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20"/>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20"/>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20"/>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20"/>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20"/>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20"/>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20"/>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20"/>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20"/>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20"/>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20"/>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20"/>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20"/>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20"/>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20"/>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20"/>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1169"/>
    <w:bookmarkStart w:id="1170" w:name="gonadorelin-9"/>
    <w:p>
      <w:pPr>
        <w:pStyle w:val="Heading2"/>
      </w:pPr>
      <w:r>
        <w:t xml:space="preserve">Gonadorelin (9)</w:t>
      </w:r>
    </w:p>
    <w:p>
      <w:pPr>
        <w:numPr>
          <w:ilvl w:val="0"/>
          <w:numId w:val="1421"/>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1"/>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1"/>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1"/>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1"/>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1"/>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1"/>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1"/>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1"/>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1170"/>
    <w:bookmarkStart w:id="1171" w:name="kollagenhydrolysat-kollagenpeptide-101"/>
    <w:p>
      <w:pPr>
        <w:pStyle w:val="Heading2"/>
      </w:pPr>
      <w:r>
        <w:t xml:space="preserve">Kollagenhydrolysat / Kollagenpeptide (101)</w:t>
      </w:r>
    </w:p>
    <w:p>
      <w:pPr>
        <w:numPr>
          <w:ilvl w:val="0"/>
          <w:numId w:val="1422"/>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2"/>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2"/>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2"/>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2"/>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2"/>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2"/>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2"/>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2"/>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2"/>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2"/>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2"/>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2"/>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2"/>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2"/>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2"/>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2"/>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2"/>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2"/>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2"/>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2"/>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2"/>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2"/>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2"/>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2"/>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2"/>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2"/>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2"/>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2"/>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2"/>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2"/>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2"/>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2"/>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2"/>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2"/>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2"/>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2"/>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2"/>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2"/>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2"/>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2"/>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2"/>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2"/>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2"/>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2"/>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2"/>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2"/>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2"/>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2"/>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2"/>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2"/>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2"/>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2"/>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2"/>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2"/>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2"/>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2"/>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2"/>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2"/>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2"/>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2"/>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2"/>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2"/>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2"/>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2"/>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2"/>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2"/>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2"/>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2"/>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2"/>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2"/>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2"/>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2"/>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2"/>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2"/>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2"/>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2"/>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2"/>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2"/>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2"/>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2"/>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2"/>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2"/>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2"/>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2"/>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2"/>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2"/>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2"/>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2"/>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2"/>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2"/>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2"/>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2"/>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2"/>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2"/>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2"/>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2"/>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2"/>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2"/>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2"/>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2"/>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1171"/>
    <w:bookmarkStart w:id="1172" w:name="lactotripeptide-vppipp-21"/>
    <w:p>
      <w:pPr>
        <w:pStyle w:val="Heading2"/>
      </w:pPr>
      <w:r>
        <w:t xml:space="preserve">Lactotripeptide (VPP/IPP) (21)</w:t>
      </w:r>
    </w:p>
    <w:p>
      <w:pPr>
        <w:numPr>
          <w:ilvl w:val="0"/>
          <w:numId w:val="1423"/>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3"/>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3"/>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3"/>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3"/>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3"/>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3"/>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3"/>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3"/>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3"/>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3"/>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3"/>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3"/>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3"/>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3"/>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3"/>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3"/>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3"/>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3"/>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3"/>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3"/>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1172"/>
    <w:bookmarkStart w:id="1173" w:name="carnosin-57"/>
    <w:p>
      <w:pPr>
        <w:pStyle w:val="Heading2"/>
      </w:pPr>
      <w:r>
        <w:t xml:space="preserve">Carnosin (57)</w:t>
      </w:r>
    </w:p>
    <w:p>
      <w:pPr>
        <w:numPr>
          <w:ilvl w:val="0"/>
          <w:numId w:val="1424"/>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4"/>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4"/>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4"/>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4"/>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4"/>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4"/>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4"/>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4"/>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4"/>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4"/>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4"/>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4"/>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4"/>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4"/>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4"/>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4"/>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4"/>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4"/>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4"/>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4"/>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4"/>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4"/>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4"/>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4"/>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4"/>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4"/>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4"/>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4"/>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4"/>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4"/>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4"/>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4"/>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4"/>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4"/>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4"/>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4"/>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4"/>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4"/>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4"/>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4"/>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4"/>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4"/>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4"/>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4"/>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4"/>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4"/>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4"/>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4"/>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4"/>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4"/>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4"/>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4"/>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4"/>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4"/>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4"/>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4"/>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1173"/>
    <w:bookmarkStart w:id="1174" w:name="ghk-cu-kupferpeptid-1"/>
    <w:p>
      <w:pPr>
        <w:pStyle w:val="Heading2"/>
      </w:pPr>
      <w:r>
        <w:t xml:space="preserve">GHK-Cu (Kupferpeptid) (1)</w:t>
      </w:r>
    </w:p>
    <w:p>
      <w:pPr>
        <w:numPr>
          <w:ilvl w:val="0"/>
          <w:numId w:val="1425"/>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1174"/>
    <w:bookmarkStart w:id="1175" w:name="palmitoyl-pentapeptid-4-matrixyl-1"/>
    <w:p>
      <w:pPr>
        <w:pStyle w:val="Heading2"/>
      </w:pPr>
      <w:r>
        <w:t xml:space="preserve">Palmitoyl-Pentapeptid-4 (Matrixyl) (1)</w:t>
      </w:r>
    </w:p>
    <w:p>
      <w:pPr>
        <w:numPr>
          <w:ilvl w:val="0"/>
          <w:numId w:val="1426"/>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1175"/>
    <w:bookmarkStart w:id="1176" w:name="acetyl-hexapeptid-8-argireline-3"/>
    <w:p>
      <w:pPr>
        <w:pStyle w:val="Heading2"/>
      </w:pPr>
      <w:r>
        <w:t xml:space="preserve">Acetyl-Hexapeptid-8 (Argireline) (3)</w:t>
      </w:r>
    </w:p>
    <w:p>
      <w:pPr>
        <w:numPr>
          <w:ilvl w:val="0"/>
          <w:numId w:val="1427"/>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7"/>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7"/>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1176"/>
    <w:bookmarkEnd w:id="1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Peptide von Semaglutid bis BPC-157: Was Studien am Menschen wirklich zeigen, welche Risiken bekannt sind, wie die Rechtslage ist und was die Forschung bringt.</dc:description>
  <dc:language>de-DE</dc:language>
  <dc:subject/>
  <cp:keywords/>
  <dcterms:created xsi:type="dcterms:W3CDTF">2026-10-28T20:41:42Z</dcterms:created>
  <dcterms:modified xsi:type="dcterms:W3CDTF">2026-10-28T20:41:42Z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Alle Rechte vorbehalten.</vt:lpwstr>
  </property>
  <property fmtid="{D5CDD505-2E9C-101B-9397-08002B2CF9AE}" pid="5" name="toc-title">
    <vt:lpwstr>Inhalt</vt:lpwstr>
  </property>
</Properties>
</file>